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9B" w:rsidRPr="00C83615" w:rsidRDefault="00E94E9B" w:rsidP="006876C6">
      <w:pPr>
        <w:pStyle w:val="Title"/>
      </w:pPr>
      <w:bookmarkStart w:id="0" w:name="_GoBack"/>
      <w:bookmarkEnd w:id="0"/>
    </w:p>
    <w:p w:rsidR="00D4700E" w:rsidRDefault="00006BF0" w:rsidP="00D4700E">
      <w:pPr>
        <w:pStyle w:val="Title"/>
        <w:jc w:val="center"/>
      </w:pPr>
      <w:r w:rsidRPr="00F86ABF">
        <w:t>Technical Support</w:t>
      </w:r>
    </w:p>
    <w:p w:rsidR="00006BF0" w:rsidRPr="00F86ABF" w:rsidRDefault="00006BF0" w:rsidP="00D4700E">
      <w:pPr>
        <w:pStyle w:val="Title"/>
        <w:jc w:val="center"/>
      </w:pPr>
      <w:r w:rsidRPr="00F86ABF">
        <w:t>to the Ministry of Local Development</w:t>
      </w:r>
    </w:p>
    <w:p w:rsidR="00006BF0" w:rsidRPr="00F86ABF" w:rsidRDefault="00006BF0" w:rsidP="00D4700E">
      <w:pPr>
        <w:pStyle w:val="Title"/>
        <w:jc w:val="center"/>
      </w:pPr>
      <w:r w:rsidRPr="00F86ABF">
        <w:t>in Support of Local Development</w:t>
      </w:r>
    </w:p>
    <w:p w:rsidR="009C42FA" w:rsidRPr="00C83615" w:rsidRDefault="009C42FA" w:rsidP="006876C6">
      <w:pPr>
        <w:pStyle w:val="Title"/>
      </w:pPr>
    </w:p>
    <w:p w:rsidR="009C42FA" w:rsidRPr="00C83615" w:rsidRDefault="009C42FA" w:rsidP="006876C6">
      <w:pPr>
        <w:pStyle w:val="Title"/>
      </w:pPr>
    </w:p>
    <w:p w:rsidR="009C42FA" w:rsidRPr="00C83615" w:rsidRDefault="009C42FA" w:rsidP="006876C6">
      <w:pPr>
        <w:pStyle w:val="Title"/>
      </w:pPr>
    </w:p>
    <w:p w:rsidR="00F37C9E" w:rsidRPr="00C83615" w:rsidRDefault="00F37C9E" w:rsidP="006876C6">
      <w:pPr>
        <w:pStyle w:val="Title"/>
      </w:pPr>
    </w:p>
    <w:p w:rsidR="00D95D9F" w:rsidRPr="00E9361B" w:rsidRDefault="007A0195" w:rsidP="00D4700E">
      <w:pPr>
        <w:pStyle w:val="Title"/>
        <w:jc w:val="center"/>
      </w:pPr>
      <w:r w:rsidRPr="00DF2DDD">
        <w:rPr>
          <w:i/>
        </w:rPr>
        <w:t>Mid-Term</w:t>
      </w:r>
      <w:r w:rsidR="009C42FA" w:rsidRPr="00DF2DDD">
        <w:rPr>
          <w:i/>
        </w:rPr>
        <w:t xml:space="preserve"> Review</w:t>
      </w:r>
      <w:r w:rsidR="00024EC5" w:rsidRPr="00E9361B">
        <w:t xml:space="preserve">: </w:t>
      </w:r>
      <w:r w:rsidR="00DF2DDD">
        <w:t>Final</w:t>
      </w:r>
      <w:r w:rsidR="00C13915">
        <w:t xml:space="preserve"> </w:t>
      </w:r>
      <w:r w:rsidR="00024EC5" w:rsidRPr="00E9361B">
        <w:t>Report</w:t>
      </w:r>
    </w:p>
    <w:p w:rsidR="00D95D9F" w:rsidRPr="00E9361B" w:rsidRDefault="00D95D9F" w:rsidP="00D4700E">
      <w:pPr>
        <w:pStyle w:val="BodyText"/>
        <w:jc w:val="center"/>
      </w:pPr>
    </w:p>
    <w:p w:rsidR="00D95D9F" w:rsidRPr="00E9361B" w:rsidRDefault="00D95D9F" w:rsidP="00D4700E">
      <w:pPr>
        <w:pStyle w:val="BodyText"/>
        <w:jc w:val="center"/>
      </w:pPr>
    </w:p>
    <w:p w:rsidR="00D95D9F" w:rsidRPr="008C5F4B" w:rsidRDefault="00521EB4" w:rsidP="00D4700E">
      <w:pPr>
        <w:pStyle w:val="BodyText"/>
        <w:jc w:val="center"/>
        <w:rPr>
          <w:b/>
          <w:sz w:val="22"/>
        </w:rPr>
      </w:pPr>
      <w:r w:rsidRPr="008C5F4B">
        <w:rPr>
          <w:b/>
          <w:sz w:val="22"/>
        </w:rPr>
        <w:t>Report commissioned by UNDP/Egypt</w:t>
      </w:r>
    </w:p>
    <w:p w:rsidR="006876C6" w:rsidRPr="008C5F4B" w:rsidRDefault="006876C6" w:rsidP="00D4700E">
      <w:pPr>
        <w:pStyle w:val="BodyText"/>
        <w:jc w:val="center"/>
        <w:rPr>
          <w:b/>
          <w:sz w:val="22"/>
        </w:rPr>
      </w:pPr>
    </w:p>
    <w:p w:rsidR="00D95D9F" w:rsidRPr="008C5F4B" w:rsidRDefault="009B4ECB" w:rsidP="00D4700E">
      <w:pPr>
        <w:pStyle w:val="BodyText"/>
        <w:jc w:val="center"/>
        <w:rPr>
          <w:b/>
          <w:sz w:val="22"/>
        </w:rPr>
      </w:pPr>
      <w:r w:rsidRPr="008C5F4B">
        <w:rPr>
          <w:b/>
          <w:sz w:val="22"/>
        </w:rPr>
        <w:t xml:space="preserve">Review Mission:  </w:t>
      </w:r>
      <w:r w:rsidR="006A6D3E" w:rsidRPr="008C5F4B">
        <w:rPr>
          <w:b/>
          <w:sz w:val="22"/>
        </w:rPr>
        <w:t>Paul Lundberg</w:t>
      </w:r>
    </w:p>
    <w:p w:rsidR="006876C6" w:rsidRPr="008C5F4B" w:rsidRDefault="006876C6" w:rsidP="00D4700E">
      <w:pPr>
        <w:pStyle w:val="BodyText"/>
        <w:jc w:val="center"/>
        <w:rPr>
          <w:b/>
          <w:sz w:val="22"/>
        </w:rPr>
      </w:pPr>
    </w:p>
    <w:p w:rsidR="00521EB4" w:rsidRPr="008C5F4B" w:rsidRDefault="00521EB4" w:rsidP="00D4700E">
      <w:pPr>
        <w:pStyle w:val="BodyText"/>
        <w:jc w:val="center"/>
        <w:rPr>
          <w:b/>
          <w:sz w:val="22"/>
        </w:rPr>
      </w:pPr>
      <w:r w:rsidRPr="008C5F4B">
        <w:rPr>
          <w:b/>
          <w:sz w:val="22"/>
        </w:rPr>
        <w:t>July-August  2011</w:t>
      </w:r>
    </w:p>
    <w:p w:rsidR="00D95D9F" w:rsidRDefault="00D95D9F" w:rsidP="006876C6">
      <w:pPr>
        <w:pStyle w:val="BodyText"/>
      </w:pPr>
    </w:p>
    <w:p w:rsidR="00E523B7" w:rsidRDefault="00E523B7" w:rsidP="006876C6">
      <w:pPr>
        <w:pStyle w:val="BodyText"/>
      </w:pPr>
    </w:p>
    <w:p w:rsidR="00E523B7" w:rsidRDefault="00E523B7" w:rsidP="006876C6">
      <w:pPr>
        <w:pStyle w:val="BodyText"/>
      </w:pPr>
    </w:p>
    <w:p w:rsidR="00E523B7" w:rsidRPr="00F43A07" w:rsidRDefault="00E523B7" w:rsidP="00D4700E">
      <w:pPr>
        <w:spacing w:after="0"/>
        <w:jc w:val="right"/>
        <w:rPr>
          <w:rFonts w:ascii="Cambria" w:hAnsi="Cambria"/>
          <w:sz w:val="18"/>
        </w:rPr>
      </w:pPr>
      <w:r w:rsidRPr="00F43A07">
        <w:rPr>
          <w:rFonts w:ascii="Cambria" w:hAnsi="Cambria"/>
          <w:sz w:val="18"/>
        </w:rPr>
        <w:t xml:space="preserve">“We may safely pronounce that the true test of a good government </w:t>
      </w:r>
    </w:p>
    <w:p w:rsidR="00E523B7" w:rsidRPr="00F43A07" w:rsidRDefault="00E523B7" w:rsidP="00D4700E">
      <w:pPr>
        <w:spacing w:after="0"/>
        <w:jc w:val="right"/>
        <w:rPr>
          <w:rFonts w:ascii="Cambria" w:hAnsi="Cambria"/>
          <w:sz w:val="18"/>
        </w:rPr>
      </w:pPr>
      <w:r w:rsidRPr="00F43A07">
        <w:rPr>
          <w:rFonts w:ascii="Cambria" w:hAnsi="Cambria"/>
          <w:sz w:val="18"/>
        </w:rPr>
        <w:t>is its aptitude and tendency to produce a good administration”</w:t>
      </w:r>
    </w:p>
    <w:p w:rsidR="00E523B7" w:rsidRPr="00F43A07" w:rsidRDefault="00E523B7" w:rsidP="00D4700E">
      <w:pPr>
        <w:spacing w:after="0"/>
        <w:jc w:val="right"/>
        <w:rPr>
          <w:rFonts w:ascii="Cambria" w:hAnsi="Cambria"/>
          <w:sz w:val="16"/>
        </w:rPr>
        <w:sectPr w:rsidR="00E523B7" w:rsidRPr="00F43A07" w:rsidSect="00531105">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pgNumType w:start="1"/>
          <w:cols w:space="708"/>
          <w:titlePg/>
          <w:docGrid w:linePitch="360"/>
        </w:sectPr>
      </w:pPr>
      <w:r w:rsidRPr="00F43A07">
        <w:rPr>
          <w:rFonts w:ascii="Cambria" w:hAnsi="Cambria"/>
          <w:sz w:val="16"/>
        </w:rPr>
        <w:t>Alexander Hamilt</w:t>
      </w:r>
      <w:r w:rsidR="004E0705">
        <w:rPr>
          <w:rFonts w:ascii="Cambria" w:hAnsi="Cambria"/>
          <w:sz w:val="16"/>
        </w:rPr>
        <w:t>on, Federalist Papers #68 (USA), 1788</w:t>
      </w:r>
    </w:p>
    <w:p w:rsidR="00270005" w:rsidRPr="00C83615" w:rsidRDefault="00270005" w:rsidP="006876C6">
      <w:pPr>
        <w:pStyle w:val="Title"/>
      </w:pPr>
    </w:p>
    <w:p w:rsidR="000C3472" w:rsidRPr="006876C6" w:rsidRDefault="006876C6" w:rsidP="0062529A">
      <w:pPr>
        <w:pStyle w:val="Heading1"/>
      </w:pPr>
      <w:bookmarkStart w:id="1" w:name="_Toc300432365"/>
      <w:bookmarkStart w:id="2" w:name="_Toc300433864"/>
      <w:bookmarkStart w:id="3" w:name="_Toc300433966"/>
      <w:bookmarkStart w:id="4" w:name="_Toc300434974"/>
      <w:bookmarkStart w:id="5" w:name="_Toc302386965"/>
      <w:r>
        <w:t>Table of Contents</w:t>
      </w:r>
      <w:bookmarkEnd w:id="1"/>
      <w:bookmarkEnd w:id="2"/>
      <w:bookmarkEnd w:id="3"/>
      <w:bookmarkEnd w:id="4"/>
      <w:bookmarkEnd w:id="5"/>
    </w:p>
    <w:p w:rsidR="00F4767B" w:rsidRDefault="00614E0A">
      <w:pPr>
        <w:pStyle w:val="TOC1"/>
        <w:tabs>
          <w:tab w:val="right" w:leader="dot" w:pos="8630"/>
        </w:tabs>
        <w:rPr>
          <w:rFonts w:asciiTheme="minorHAnsi" w:eastAsiaTheme="minorEastAsia" w:hAnsiTheme="minorHAnsi" w:cstheme="minorBidi"/>
          <w:b w:val="0"/>
          <w:bCs w:val="0"/>
          <w:caps w:val="0"/>
          <w:noProof/>
          <w:color w:val="auto"/>
          <w:sz w:val="22"/>
          <w:szCs w:val="22"/>
        </w:rPr>
      </w:pPr>
      <w:r>
        <w:fldChar w:fldCharType="begin"/>
      </w:r>
      <w:r w:rsidR="00362609">
        <w:instrText xml:space="preserve"> TOC \o "1-1" \h \z \u \t "Heading 2,2,Heading 3,3" </w:instrText>
      </w:r>
      <w:r>
        <w:fldChar w:fldCharType="separate"/>
      </w:r>
      <w:hyperlink w:anchor="_Toc302386965" w:history="1">
        <w:r w:rsidR="00F4767B" w:rsidRPr="00E66147">
          <w:rPr>
            <w:rStyle w:val="Hyperlink"/>
            <w:noProof/>
          </w:rPr>
          <w:t>Table of Contents</w:t>
        </w:r>
        <w:r w:rsidR="00F4767B">
          <w:rPr>
            <w:noProof/>
            <w:webHidden/>
          </w:rPr>
          <w:tab/>
        </w:r>
        <w:r>
          <w:rPr>
            <w:noProof/>
            <w:webHidden/>
          </w:rPr>
          <w:fldChar w:fldCharType="begin"/>
        </w:r>
        <w:r w:rsidR="00F4767B">
          <w:rPr>
            <w:noProof/>
            <w:webHidden/>
          </w:rPr>
          <w:instrText xml:space="preserve"> PAGEREF _Toc302386965 \h </w:instrText>
        </w:r>
        <w:r>
          <w:rPr>
            <w:noProof/>
            <w:webHidden/>
          </w:rPr>
        </w:r>
        <w:r>
          <w:rPr>
            <w:noProof/>
            <w:webHidden/>
          </w:rPr>
          <w:fldChar w:fldCharType="separate"/>
        </w:r>
        <w:r w:rsidR="00BC58B5">
          <w:rPr>
            <w:noProof/>
            <w:webHidden/>
          </w:rPr>
          <w:t>2</w:t>
        </w:r>
        <w:r>
          <w:rPr>
            <w:noProof/>
            <w:webHidden/>
          </w:rPr>
          <w:fldChar w:fldCharType="end"/>
        </w:r>
      </w:hyperlink>
    </w:p>
    <w:p w:rsidR="00F4767B" w:rsidRDefault="00A8627B">
      <w:pPr>
        <w:pStyle w:val="TOC1"/>
        <w:tabs>
          <w:tab w:val="right" w:leader="dot" w:pos="8630"/>
        </w:tabs>
        <w:rPr>
          <w:rFonts w:asciiTheme="minorHAnsi" w:eastAsiaTheme="minorEastAsia" w:hAnsiTheme="minorHAnsi" w:cstheme="minorBidi"/>
          <w:b w:val="0"/>
          <w:bCs w:val="0"/>
          <w:caps w:val="0"/>
          <w:noProof/>
          <w:color w:val="auto"/>
          <w:sz w:val="22"/>
          <w:szCs w:val="22"/>
        </w:rPr>
      </w:pPr>
      <w:hyperlink w:anchor="_Toc302386966" w:history="1">
        <w:r w:rsidR="00F4767B" w:rsidRPr="00E66147">
          <w:rPr>
            <w:rStyle w:val="Hyperlink"/>
            <w:noProof/>
          </w:rPr>
          <w:t>List of Acronyms</w:t>
        </w:r>
        <w:r w:rsidR="00F4767B">
          <w:rPr>
            <w:noProof/>
            <w:webHidden/>
          </w:rPr>
          <w:tab/>
        </w:r>
        <w:r w:rsidR="00614E0A">
          <w:rPr>
            <w:noProof/>
            <w:webHidden/>
          </w:rPr>
          <w:fldChar w:fldCharType="begin"/>
        </w:r>
        <w:r w:rsidR="00F4767B">
          <w:rPr>
            <w:noProof/>
            <w:webHidden/>
          </w:rPr>
          <w:instrText xml:space="preserve"> PAGEREF _Toc302386966 \h </w:instrText>
        </w:r>
        <w:r w:rsidR="00614E0A">
          <w:rPr>
            <w:noProof/>
            <w:webHidden/>
          </w:rPr>
        </w:r>
        <w:r w:rsidR="00614E0A">
          <w:rPr>
            <w:noProof/>
            <w:webHidden/>
          </w:rPr>
          <w:fldChar w:fldCharType="separate"/>
        </w:r>
        <w:r w:rsidR="00BC58B5">
          <w:rPr>
            <w:noProof/>
            <w:webHidden/>
          </w:rPr>
          <w:t>3</w:t>
        </w:r>
        <w:r w:rsidR="00614E0A">
          <w:rPr>
            <w:noProof/>
            <w:webHidden/>
          </w:rPr>
          <w:fldChar w:fldCharType="end"/>
        </w:r>
      </w:hyperlink>
    </w:p>
    <w:p w:rsidR="00F4767B" w:rsidRDefault="00A8627B">
      <w:pPr>
        <w:pStyle w:val="TOC1"/>
        <w:tabs>
          <w:tab w:val="right" w:leader="dot" w:pos="8630"/>
        </w:tabs>
        <w:rPr>
          <w:rFonts w:asciiTheme="minorHAnsi" w:eastAsiaTheme="minorEastAsia" w:hAnsiTheme="minorHAnsi" w:cstheme="minorBidi"/>
          <w:b w:val="0"/>
          <w:bCs w:val="0"/>
          <w:caps w:val="0"/>
          <w:noProof/>
          <w:color w:val="auto"/>
          <w:sz w:val="22"/>
          <w:szCs w:val="22"/>
        </w:rPr>
      </w:pPr>
      <w:hyperlink w:anchor="_Toc302386967" w:history="1">
        <w:r w:rsidR="00F4767B" w:rsidRPr="00E66147">
          <w:rPr>
            <w:rStyle w:val="Hyperlink"/>
            <w:noProof/>
          </w:rPr>
          <w:t>Executive Summary</w:t>
        </w:r>
        <w:r w:rsidR="00F4767B">
          <w:rPr>
            <w:noProof/>
            <w:webHidden/>
          </w:rPr>
          <w:tab/>
        </w:r>
        <w:r w:rsidR="00614E0A">
          <w:rPr>
            <w:noProof/>
            <w:webHidden/>
          </w:rPr>
          <w:fldChar w:fldCharType="begin"/>
        </w:r>
        <w:r w:rsidR="00F4767B">
          <w:rPr>
            <w:noProof/>
            <w:webHidden/>
          </w:rPr>
          <w:instrText xml:space="preserve"> PAGEREF _Toc302386967 \h </w:instrText>
        </w:r>
        <w:r w:rsidR="00614E0A">
          <w:rPr>
            <w:noProof/>
            <w:webHidden/>
          </w:rPr>
        </w:r>
        <w:r w:rsidR="00614E0A">
          <w:rPr>
            <w:noProof/>
            <w:webHidden/>
          </w:rPr>
          <w:fldChar w:fldCharType="separate"/>
        </w:r>
        <w:r w:rsidR="00BC58B5">
          <w:rPr>
            <w:noProof/>
            <w:webHidden/>
          </w:rPr>
          <w:t>4</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68" w:history="1">
        <w:r w:rsidR="00F4767B" w:rsidRPr="00E66147">
          <w:rPr>
            <w:rStyle w:val="Hyperlink"/>
            <w:noProof/>
          </w:rPr>
          <w:t>Introduction</w:t>
        </w:r>
        <w:r w:rsidR="00F4767B">
          <w:rPr>
            <w:noProof/>
            <w:webHidden/>
          </w:rPr>
          <w:tab/>
        </w:r>
        <w:r w:rsidR="00614E0A">
          <w:rPr>
            <w:noProof/>
            <w:webHidden/>
          </w:rPr>
          <w:fldChar w:fldCharType="begin"/>
        </w:r>
        <w:r w:rsidR="00F4767B">
          <w:rPr>
            <w:noProof/>
            <w:webHidden/>
          </w:rPr>
          <w:instrText xml:space="preserve"> PAGEREF _Toc302386968 \h </w:instrText>
        </w:r>
        <w:r w:rsidR="00614E0A">
          <w:rPr>
            <w:noProof/>
            <w:webHidden/>
          </w:rPr>
        </w:r>
        <w:r w:rsidR="00614E0A">
          <w:rPr>
            <w:noProof/>
            <w:webHidden/>
          </w:rPr>
          <w:fldChar w:fldCharType="separate"/>
        </w:r>
        <w:r w:rsidR="00BC58B5">
          <w:rPr>
            <w:noProof/>
            <w:webHidden/>
          </w:rPr>
          <w:t>4</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69" w:history="1">
        <w:r w:rsidR="00F4767B" w:rsidRPr="00E66147">
          <w:rPr>
            <w:rStyle w:val="Hyperlink"/>
            <w:noProof/>
          </w:rPr>
          <w:t>Background</w:t>
        </w:r>
        <w:r w:rsidR="00F4767B">
          <w:rPr>
            <w:noProof/>
            <w:webHidden/>
          </w:rPr>
          <w:tab/>
        </w:r>
        <w:r w:rsidR="00614E0A">
          <w:rPr>
            <w:noProof/>
            <w:webHidden/>
          </w:rPr>
          <w:fldChar w:fldCharType="begin"/>
        </w:r>
        <w:r w:rsidR="00F4767B">
          <w:rPr>
            <w:noProof/>
            <w:webHidden/>
          </w:rPr>
          <w:instrText xml:space="preserve"> PAGEREF _Toc302386969 \h </w:instrText>
        </w:r>
        <w:r w:rsidR="00614E0A">
          <w:rPr>
            <w:noProof/>
            <w:webHidden/>
          </w:rPr>
        </w:r>
        <w:r w:rsidR="00614E0A">
          <w:rPr>
            <w:noProof/>
            <w:webHidden/>
          </w:rPr>
          <w:fldChar w:fldCharType="separate"/>
        </w:r>
        <w:r w:rsidR="00BC58B5">
          <w:rPr>
            <w:noProof/>
            <w:webHidden/>
          </w:rPr>
          <w:t>4</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70" w:history="1">
        <w:r w:rsidR="00F4767B" w:rsidRPr="00E66147">
          <w:rPr>
            <w:rStyle w:val="Hyperlink"/>
            <w:noProof/>
          </w:rPr>
          <w:t>Performance of the TS-MLD project</w:t>
        </w:r>
        <w:r w:rsidR="00F4767B">
          <w:rPr>
            <w:noProof/>
            <w:webHidden/>
          </w:rPr>
          <w:tab/>
        </w:r>
        <w:r w:rsidR="00614E0A">
          <w:rPr>
            <w:noProof/>
            <w:webHidden/>
          </w:rPr>
          <w:fldChar w:fldCharType="begin"/>
        </w:r>
        <w:r w:rsidR="00F4767B">
          <w:rPr>
            <w:noProof/>
            <w:webHidden/>
          </w:rPr>
          <w:instrText xml:space="preserve"> PAGEREF _Toc302386970 \h </w:instrText>
        </w:r>
        <w:r w:rsidR="00614E0A">
          <w:rPr>
            <w:noProof/>
            <w:webHidden/>
          </w:rPr>
        </w:r>
        <w:r w:rsidR="00614E0A">
          <w:rPr>
            <w:noProof/>
            <w:webHidden/>
          </w:rPr>
          <w:fldChar w:fldCharType="separate"/>
        </w:r>
        <w:r w:rsidR="00BC58B5">
          <w:rPr>
            <w:noProof/>
            <w:webHidden/>
          </w:rPr>
          <w:t>5</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71" w:history="1">
        <w:r w:rsidR="00F4767B" w:rsidRPr="00E66147">
          <w:rPr>
            <w:rStyle w:val="Hyperlink"/>
            <w:noProof/>
          </w:rPr>
          <w:t>Recommendations</w:t>
        </w:r>
        <w:r w:rsidR="00F4767B">
          <w:rPr>
            <w:noProof/>
            <w:webHidden/>
          </w:rPr>
          <w:tab/>
        </w:r>
        <w:r w:rsidR="00614E0A">
          <w:rPr>
            <w:noProof/>
            <w:webHidden/>
          </w:rPr>
          <w:fldChar w:fldCharType="begin"/>
        </w:r>
        <w:r w:rsidR="00F4767B">
          <w:rPr>
            <w:noProof/>
            <w:webHidden/>
          </w:rPr>
          <w:instrText xml:space="preserve"> PAGEREF _Toc302386971 \h </w:instrText>
        </w:r>
        <w:r w:rsidR="00614E0A">
          <w:rPr>
            <w:noProof/>
            <w:webHidden/>
          </w:rPr>
        </w:r>
        <w:r w:rsidR="00614E0A">
          <w:rPr>
            <w:noProof/>
            <w:webHidden/>
          </w:rPr>
          <w:fldChar w:fldCharType="separate"/>
        </w:r>
        <w:r w:rsidR="00BC58B5">
          <w:rPr>
            <w:noProof/>
            <w:webHidden/>
          </w:rPr>
          <w:t>6</w:t>
        </w:r>
        <w:r w:rsidR="00614E0A">
          <w:rPr>
            <w:noProof/>
            <w:webHidden/>
          </w:rPr>
          <w:fldChar w:fldCharType="end"/>
        </w:r>
      </w:hyperlink>
    </w:p>
    <w:p w:rsidR="00F4767B" w:rsidRDefault="00A8627B">
      <w:pPr>
        <w:pStyle w:val="TOC1"/>
        <w:tabs>
          <w:tab w:val="left" w:pos="480"/>
          <w:tab w:val="right" w:leader="dot" w:pos="8630"/>
        </w:tabs>
        <w:rPr>
          <w:rFonts w:asciiTheme="minorHAnsi" w:eastAsiaTheme="minorEastAsia" w:hAnsiTheme="minorHAnsi" w:cstheme="minorBidi"/>
          <w:b w:val="0"/>
          <w:bCs w:val="0"/>
          <w:caps w:val="0"/>
          <w:noProof/>
          <w:color w:val="auto"/>
          <w:sz w:val="22"/>
          <w:szCs w:val="22"/>
        </w:rPr>
      </w:pPr>
      <w:hyperlink w:anchor="_Toc302386972" w:history="1">
        <w:r w:rsidR="00F4767B" w:rsidRPr="00E66147">
          <w:rPr>
            <w:rStyle w:val="Hyperlink"/>
            <w:noProof/>
          </w:rPr>
          <w:t>A</w:t>
        </w:r>
        <w:r w:rsidR="00F4767B">
          <w:rPr>
            <w:rFonts w:asciiTheme="minorHAnsi" w:eastAsiaTheme="minorEastAsia" w:hAnsiTheme="minorHAnsi" w:cstheme="minorBidi"/>
            <w:b w:val="0"/>
            <w:bCs w:val="0"/>
            <w:caps w:val="0"/>
            <w:noProof/>
            <w:color w:val="auto"/>
            <w:sz w:val="22"/>
            <w:szCs w:val="22"/>
          </w:rPr>
          <w:tab/>
        </w:r>
        <w:r w:rsidR="00F4767B" w:rsidRPr="00E66147">
          <w:rPr>
            <w:rStyle w:val="Hyperlink"/>
            <w:noProof/>
          </w:rPr>
          <w:t>Introduction</w:t>
        </w:r>
        <w:r w:rsidR="00F4767B">
          <w:rPr>
            <w:noProof/>
            <w:webHidden/>
          </w:rPr>
          <w:tab/>
        </w:r>
        <w:r w:rsidR="00614E0A">
          <w:rPr>
            <w:noProof/>
            <w:webHidden/>
          </w:rPr>
          <w:fldChar w:fldCharType="begin"/>
        </w:r>
        <w:r w:rsidR="00F4767B">
          <w:rPr>
            <w:noProof/>
            <w:webHidden/>
          </w:rPr>
          <w:instrText xml:space="preserve"> PAGEREF _Toc302386972 \h </w:instrText>
        </w:r>
        <w:r w:rsidR="00614E0A">
          <w:rPr>
            <w:noProof/>
            <w:webHidden/>
          </w:rPr>
        </w:r>
        <w:r w:rsidR="00614E0A">
          <w:rPr>
            <w:noProof/>
            <w:webHidden/>
          </w:rPr>
          <w:fldChar w:fldCharType="separate"/>
        </w:r>
        <w:r w:rsidR="00BC58B5">
          <w:rPr>
            <w:noProof/>
            <w:webHidden/>
          </w:rPr>
          <w:t>8</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73" w:history="1">
        <w:r w:rsidR="00F4767B" w:rsidRPr="00E66147">
          <w:rPr>
            <w:rStyle w:val="Hyperlink"/>
            <w:noProof/>
          </w:rPr>
          <w:t>Review criteria</w:t>
        </w:r>
        <w:r w:rsidR="00F4767B">
          <w:rPr>
            <w:noProof/>
            <w:webHidden/>
          </w:rPr>
          <w:tab/>
        </w:r>
        <w:r w:rsidR="00614E0A">
          <w:rPr>
            <w:noProof/>
            <w:webHidden/>
          </w:rPr>
          <w:fldChar w:fldCharType="begin"/>
        </w:r>
        <w:r w:rsidR="00F4767B">
          <w:rPr>
            <w:noProof/>
            <w:webHidden/>
          </w:rPr>
          <w:instrText xml:space="preserve"> PAGEREF _Toc302386973 \h </w:instrText>
        </w:r>
        <w:r w:rsidR="00614E0A">
          <w:rPr>
            <w:noProof/>
            <w:webHidden/>
          </w:rPr>
        </w:r>
        <w:r w:rsidR="00614E0A">
          <w:rPr>
            <w:noProof/>
            <w:webHidden/>
          </w:rPr>
          <w:fldChar w:fldCharType="separate"/>
        </w:r>
        <w:r w:rsidR="00BC58B5">
          <w:rPr>
            <w:noProof/>
            <w:webHidden/>
          </w:rPr>
          <w:t>10</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74" w:history="1">
        <w:r w:rsidR="00F4767B" w:rsidRPr="00E66147">
          <w:rPr>
            <w:rStyle w:val="Hyperlink"/>
            <w:noProof/>
          </w:rPr>
          <w:t>Review Process</w:t>
        </w:r>
        <w:r w:rsidR="00F4767B">
          <w:rPr>
            <w:noProof/>
            <w:webHidden/>
          </w:rPr>
          <w:tab/>
        </w:r>
        <w:r w:rsidR="00614E0A">
          <w:rPr>
            <w:noProof/>
            <w:webHidden/>
          </w:rPr>
          <w:fldChar w:fldCharType="begin"/>
        </w:r>
        <w:r w:rsidR="00F4767B">
          <w:rPr>
            <w:noProof/>
            <w:webHidden/>
          </w:rPr>
          <w:instrText xml:space="preserve"> PAGEREF _Toc302386974 \h </w:instrText>
        </w:r>
        <w:r w:rsidR="00614E0A">
          <w:rPr>
            <w:noProof/>
            <w:webHidden/>
          </w:rPr>
        </w:r>
        <w:r w:rsidR="00614E0A">
          <w:rPr>
            <w:noProof/>
            <w:webHidden/>
          </w:rPr>
          <w:fldChar w:fldCharType="separate"/>
        </w:r>
        <w:r w:rsidR="00BC58B5">
          <w:rPr>
            <w:noProof/>
            <w:webHidden/>
          </w:rPr>
          <w:t>10</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75" w:history="1">
        <w:r w:rsidR="00F4767B" w:rsidRPr="00E66147">
          <w:rPr>
            <w:rStyle w:val="Hyperlink"/>
            <w:noProof/>
          </w:rPr>
          <w:t>Structure of the report</w:t>
        </w:r>
        <w:r w:rsidR="00F4767B">
          <w:rPr>
            <w:noProof/>
            <w:webHidden/>
          </w:rPr>
          <w:tab/>
        </w:r>
        <w:r w:rsidR="00614E0A">
          <w:rPr>
            <w:noProof/>
            <w:webHidden/>
          </w:rPr>
          <w:fldChar w:fldCharType="begin"/>
        </w:r>
        <w:r w:rsidR="00F4767B">
          <w:rPr>
            <w:noProof/>
            <w:webHidden/>
          </w:rPr>
          <w:instrText xml:space="preserve"> PAGEREF _Toc302386975 \h </w:instrText>
        </w:r>
        <w:r w:rsidR="00614E0A">
          <w:rPr>
            <w:noProof/>
            <w:webHidden/>
          </w:rPr>
        </w:r>
        <w:r w:rsidR="00614E0A">
          <w:rPr>
            <w:noProof/>
            <w:webHidden/>
          </w:rPr>
          <w:fldChar w:fldCharType="separate"/>
        </w:r>
        <w:r w:rsidR="00BC58B5">
          <w:rPr>
            <w:noProof/>
            <w:webHidden/>
          </w:rPr>
          <w:t>12</w:t>
        </w:r>
        <w:r w:rsidR="00614E0A">
          <w:rPr>
            <w:noProof/>
            <w:webHidden/>
          </w:rPr>
          <w:fldChar w:fldCharType="end"/>
        </w:r>
      </w:hyperlink>
    </w:p>
    <w:p w:rsidR="00F4767B" w:rsidRDefault="00A8627B">
      <w:pPr>
        <w:pStyle w:val="TOC1"/>
        <w:tabs>
          <w:tab w:val="right" w:leader="dot" w:pos="8630"/>
        </w:tabs>
        <w:rPr>
          <w:rFonts w:asciiTheme="minorHAnsi" w:eastAsiaTheme="minorEastAsia" w:hAnsiTheme="minorHAnsi" w:cstheme="minorBidi"/>
          <w:b w:val="0"/>
          <w:bCs w:val="0"/>
          <w:caps w:val="0"/>
          <w:noProof/>
          <w:color w:val="auto"/>
          <w:sz w:val="22"/>
          <w:szCs w:val="22"/>
        </w:rPr>
      </w:pPr>
      <w:hyperlink w:anchor="_Toc302386976" w:history="1">
        <w:r w:rsidR="00F4767B" w:rsidRPr="00E66147">
          <w:rPr>
            <w:rStyle w:val="Hyperlink"/>
            <w:noProof/>
          </w:rPr>
          <w:t>B The project and its development context</w:t>
        </w:r>
        <w:r w:rsidR="00F4767B">
          <w:rPr>
            <w:noProof/>
            <w:webHidden/>
          </w:rPr>
          <w:tab/>
        </w:r>
        <w:r w:rsidR="00614E0A">
          <w:rPr>
            <w:noProof/>
            <w:webHidden/>
          </w:rPr>
          <w:fldChar w:fldCharType="begin"/>
        </w:r>
        <w:r w:rsidR="00F4767B">
          <w:rPr>
            <w:noProof/>
            <w:webHidden/>
          </w:rPr>
          <w:instrText xml:space="preserve"> PAGEREF _Toc302386976 \h </w:instrText>
        </w:r>
        <w:r w:rsidR="00614E0A">
          <w:rPr>
            <w:noProof/>
            <w:webHidden/>
          </w:rPr>
        </w:r>
        <w:r w:rsidR="00614E0A">
          <w:rPr>
            <w:noProof/>
            <w:webHidden/>
          </w:rPr>
          <w:fldChar w:fldCharType="separate"/>
        </w:r>
        <w:r w:rsidR="00BC58B5">
          <w:rPr>
            <w:noProof/>
            <w:webHidden/>
          </w:rPr>
          <w:t>12</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77" w:history="1">
        <w:r w:rsidR="00F4767B" w:rsidRPr="00E66147">
          <w:rPr>
            <w:rStyle w:val="Hyperlink"/>
            <w:noProof/>
          </w:rPr>
          <w:t>Overview</w:t>
        </w:r>
        <w:r w:rsidR="00F4767B">
          <w:rPr>
            <w:noProof/>
            <w:webHidden/>
          </w:rPr>
          <w:tab/>
        </w:r>
        <w:r w:rsidR="00614E0A">
          <w:rPr>
            <w:noProof/>
            <w:webHidden/>
          </w:rPr>
          <w:fldChar w:fldCharType="begin"/>
        </w:r>
        <w:r w:rsidR="00F4767B">
          <w:rPr>
            <w:noProof/>
            <w:webHidden/>
          </w:rPr>
          <w:instrText xml:space="preserve"> PAGEREF _Toc302386977 \h </w:instrText>
        </w:r>
        <w:r w:rsidR="00614E0A">
          <w:rPr>
            <w:noProof/>
            <w:webHidden/>
          </w:rPr>
        </w:r>
        <w:r w:rsidR="00614E0A">
          <w:rPr>
            <w:noProof/>
            <w:webHidden/>
          </w:rPr>
          <w:fldChar w:fldCharType="separate"/>
        </w:r>
        <w:r w:rsidR="00BC58B5">
          <w:rPr>
            <w:noProof/>
            <w:webHidden/>
          </w:rPr>
          <w:t>12</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78" w:history="1">
        <w:r w:rsidR="00F4767B" w:rsidRPr="00E66147">
          <w:rPr>
            <w:rStyle w:val="Hyperlink"/>
            <w:rFonts w:eastAsia="Calibri"/>
            <w:noProof/>
          </w:rPr>
          <w:t>Project formulation</w:t>
        </w:r>
        <w:r w:rsidR="00F4767B">
          <w:rPr>
            <w:noProof/>
            <w:webHidden/>
          </w:rPr>
          <w:tab/>
        </w:r>
        <w:r w:rsidR="00614E0A">
          <w:rPr>
            <w:noProof/>
            <w:webHidden/>
          </w:rPr>
          <w:fldChar w:fldCharType="begin"/>
        </w:r>
        <w:r w:rsidR="00F4767B">
          <w:rPr>
            <w:noProof/>
            <w:webHidden/>
          </w:rPr>
          <w:instrText xml:space="preserve"> PAGEREF _Toc302386978 \h </w:instrText>
        </w:r>
        <w:r w:rsidR="00614E0A">
          <w:rPr>
            <w:noProof/>
            <w:webHidden/>
          </w:rPr>
        </w:r>
        <w:r w:rsidR="00614E0A">
          <w:rPr>
            <w:noProof/>
            <w:webHidden/>
          </w:rPr>
          <w:fldChar w:fldCharType="separate"/>
        </w:r>
        <w:r w:rsidR="00BC58B5">
          <w:rPr>
            <w:noProof/>
            <w:webHidden/>
          </w:rPr>
          <w:t>13</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79" w:history="1">
        <w:r w:rsidR="00F4767B" w:rsidRPr="00E66147">
          <w:rPr>
            <w:rStyle w:val="Hyperlink"/>
            <w:rFonts w:eastAsia="Calibri"/>
            <w:noProof/>
          </w:rPr>
          <w:t>Implementation</w:t>
        </w:r>
        <w:r w:rsidR="00F4767B">
          <w:rPr>
            <w:noProof/>
            <w:webHidden/>
          </w:rPr>
          <w:tab/>
        </w:r>
        <w:r w:rsidR="00614E0A">
          <w:rPr>
            <w:noProof/>
            <w:webHidden/>
          </w:rPr>
          <w:fldChar w:fldCharType="begin"/>
        </w:r>
        <w:r w:rsidR="00F4767B">
          <w:rPr>
            <w:noProof/>
            <w:webHidden/>
          </w:rPr>
          <w:instrText xml:space="preserve"> PAGEREF _Toc302386979 \h </w:instrText>
        </w:r>
        <w:r w:rsidR="00614E0A">
          <w:rPr>
            <w:noProof/>
            <w:webHidden/>
          </w:rPr>
        </w:r>
        <w:r w:rsidR="00614E0A">
          <w:rPr>
            <w:noProof/>
            <w:webHidden/>
          </w:rPr>
          <w:fldChar w:fldCharType="separate"/>
        </w:r>
        <w:r w:rsidR="00BC58B5">
          <w:rPr>
            <w:noProof/>
            <w:webHidden/>
          </w:rPr>
          <w:t>14</w:t>
        </w:r>
        <w:r w:rsidR="00614E0A">
          <w:rPr>
            <w:noProof/>
            <w:webHidden/>
          </w:rPr>
          <w:fldChar w:fldCharType="end"/>
        </w:r>
      </w:hyperlink>
    </w:p>
    <w:p w:rsidR="00F4767B" w:rsidRDefault="00A8627B">
      <w:pPr>
        <w:pStyle w:val="TOC1"/>
        <w:tabs>
          <w:tab w:val="right" w:leader="dot" w:pos="8630"/>
        </w:tabs>
        <w:rPr>
          <w:rFonts w:asciiTheme="minorHAnsi" w:eastAsiaTheme="minorEastAsia" w:hAnsiTheme="minorHAnsi" w:cstheme="minorBidi"/>
          <w:b w:val="0"/>
          <w:bCs w:val="0"/>
          <w:caps w:val="0"/>
          <w:noProof/>
          <w:color w:val="auto"/>
          <w:sz w:val="22"/>
          <w:szCs w:val="22"/>
        </w:rPr>
      </w:pPr>
      <w:hyperlink w:anchor="_Toc302386980" w:history="1">
        <w:r w:rsidR="00F4767B" w:rsidRPr="00E66147">
          <w:rPr>
            <w:rStyle w:val="Hyperlink"/>
            <w:noProof/>
          </w:rPr>
          <w:t>C FINDINGS</w:t>
        </w:r>
        <w:r w:rsidR="00F4767B">
          <w:rPr>
            <w:noProof/>
            <w:webHidden/>
          </w:rPr>
          <w:tab/>
        </w:r>
        <w:r w:rsidR="00614E0A">
          <w:rPr>
            <w:noProof/>
            <w:webHidden/>
          </w:rPr>
          <w:fldChar w:fldCharType="begin"/>
        </w:r>
        <w:r w:rsidR="00F4767B">
          <w:rPr>
            <w:noProof/>
            <w:webHidden/>
          </w:rPr>
          <w:instrText xml:space="preserve"> PAGEREF _Toc302386980 \h </w:instrText>
        </w:r>
        <w:r w:rsidR="00614E0A">
          <w:rPr>
            <w:noProof/>
            <w:webHidden/>
          </w:rPr>
        </w:r>
        <w:r w:rsidR="00614E0A">
          <w:rPr>
            <w:noProof/>
            <w:webHidden/>
          </w:rPr>
          <w:fldChar w:fldCharType="separate"/>
        </w:r>
        <w:r w:rsidR="00BC58B5">
          <w:rPr>
            <w:noProof/>
            <w:webHidden/>
          </w:rPr>
          <w:t>16</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81" w:history="1">
        <w:r w:rsidR="00F4767B" w:rsidRPr="00E66147">
          <w:rPr>
            <w:rStyle w:val="Hyperlink"/>
            <w:noProof/>
          </w:rPr>
          <w:t>Outcome Level Findings</w:t>
        </w:r>
        <w:r w:rsidR="00F4767B">
          <w:rPr>
            <w:noProof/>
            <w:webHidden/>
          </w:rPr>
          <w:tab/>
        </w:r>
        <w:r w:rsidR="00614E0A">
          <w:rPr>
            <w:noProof/>
            <w:webHidden/>
          </w:rPr>
          <w:fldChar w:fldCharType="begin"/>
        </w:r>
        <w:r w:rsidR="00F4767B">
          <w:rPr>
            <w:noProof/>
            <w:webHidden/>
          </w:rPr>
          <w:instrText xml:space="preserve"> PAGEREF _Toc302386981 \h </w:instrText>
        </w:r>
        <w:r w:rsidR="00614E0A">
          <w:rPr>
            <w:noProof/>
            <w:webHidden/>
          </w:rPr>
        </w:r>
        <w:r w:rsidR="00614E0A">
          <w:rPr>
            <w:noProof/>
            <w:webHidden/>
          </w:rPr>
          <w:fldChar w:fldCharType="separate"/>
        </w:r>
        <w:r w:rsidR="00BC58B5">
          <w:rPr>
            <w:noProof/>
            <w:webHidden/>
          </w:rPr>
          <w:t>16</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82" w:history="1">
        <w:r w:rsidR="00F4767B" w:rsidRPr="00E66147">
          <w:rPr>
            <w:rStyle w:val="Hyperlink"/>
            <w:noProof/>
          </w:rPr>
          <w:t>Output Level Findings</w:t>
        </w:r>
        <w:r w:rsidR="00F4767B">
          <w:rPr>
            <w:noProof/>
            <w:webHidden/>
          </w:rPr>
          <w:tab/>
        </w:r>
        <w:r w:rsidR="00614E0A">
          <w:rPr>
            <w:noProof/>
            <w:webHidden/>
          </w:rPr>
          <w:fldChar w:fldCharType="begin"/>
        </w:r>
        <w:r w:rsidR="00F4767B">
          <w:rPr>
            <w:noProof/>
            <w:webHidden/>
          </w:rPr>
          <w:instrText xml:space="preserve"> PAGEREF _Toc302386982 \h </w:instrText>
        </w:r>
        <w:r w:rsidR="00614E0A">
          <w:rPr>
            <w:noProof/>
            <w:webHidden/>
          </w:rPr>
        </w:r>
        <w:r w:rsidR="00614E0A">
          <w:rPr>
            <w:noProof/>
            <w:webHidden/>
          </w:rPr>
          <w:fldChar w:fldCharType="separate"/>
        </w:r>
        <w:r w:rsidR="00BC58B5">
          <w:rPr>
            <w:noProof/>
            <w:webHidden/>
          </w:rPr>
          <w:t>18</w:t>
        </w:r>
        <w:r w:rsidR="00614E0A">
          <w:rPr>
            <w:noProof/>
            <w:webHidden/>
          </w:rPr>
          <w:fldChar w:fldCharType="end"/>
        </w:r>
      </w:hyperlink>
    </w:p>
    <w:p w:rsidR="00F4767B" w:rsidRDefault="00A8627B">
      <w:pPr>
        <w:pStyle w:val="TOC1"/>
        <w:tabs>
          <w:tab w:val="right" w:leader="dot" w:pos="8630"/>
        </w:tabs>
        <w:rPr>
          <w:rFonts w:asciiTheme="minorHAnsi" w:eastAsiaTheme="minorEastAsia" w:hAnsiTheme="minorHAnsi" w:cstheme="minorBidi"/>
          <w:b w:val="0"/>
          <w:bCs w:val="0"/>
          <w:caps w:val="0"/>
          <w:noProof/>
          <w:color w:val="auto"/>
          <w:sz w:val="22"/>
          <w:szCs w:val="22"/>
        </w:rPr>
      </w:pPr>
      <w:hyperlink w:anchor="_Toc302386983" w:history="1">
        <w:r w:rsidR="00F4767B" w:rsidRPr="00E66147">
          <w:rPr>
            <w:rStyle w:val="Hyperlink"/>
            <w:noProof/>
          </w:rPr>
          <w:t>D  Issues and Conclusions</w:t>
        </w:r>
        <w:r w:rsidR="00F4767B">
          <w:rPr>
            <w:noProof/>
            <w:webHidden/>
          </w:rPr>
          <w:tab/>
        </w:r>
        <w:r w:rsidR="00614E0A">
          <w:rPr>
            <w:noProof/>
            <w:webHidden/>
          </w:rPr>
          <w:fldChar w:fldCharType="begin"/>
        </w:r>
        <w:r w:rsidR="00F4767B">
          <w:rPr>
            <w:noProof/>
            <w:webHidden/>
          </w:rPr>
          <w:instrText xml:space="preserve"> PAGEREF _Toc302386983 \h </w:instrText>
        </w:r>
        <w:r w:rsidR="00614E0A">
          <w:rPr>
            <w:noProof/>
            <w:webHidden/>
          </w:rPr>
        </w:r>
        <w:r w:rsidR="00614E0A">
          <w:rPr>
            <w:noProof/>
            <w:webHidden/>
          </w:rPr>
          <w:fldChar w:fldCharType="separate"/>
        </w:r>
        <w:r w:rsidR="00BC58B5">
          <w:rPr>
            <w:noProof/>
            <w:webHidden/>
          </w:rPr>
          <w:t>29</w:t>
        </w:r>
        <w:r w:rsidR="00614E0A">
          <w:rPr>
            <w:noProof/>
            <w:webHidden/>
          </w:rPr>
          <w:fldChar w:fldCharType="end"/>
        </w:r>
      </w:hyperlink>
    </w:p>
    <w:p w:rsidR="00F4767B" w:rsidRDefault="00A8627B">
      <w:pPr>
        <w:pStyle w:val="TOC1"/>
        <w:tabs>
          <w:tab w:val="right" w:leader="dot" w:pos="8630"/>
        </w:tabs>
        <w:rPr>
          <w:rFonts w:asciiTheme="minorHAnsi" w:eastAsiaTheme="minorEastAsia" w:hAnsiTheme="minorHAnsi" w:cstheme="minorBidi"/>
          <w:b w:val="0"/>
          <w:bCs w:val="0"/>
          <w:caps w:val="0"/>
          <w:noProof/>
          <w:color w:val="auto"/>
          <w:sz w:val="22"/>
          <w:szCs w:val="22"/>
        </w:rPr>
      </w:pPr>
      <w:hyperlink w:anchor="_Toc302386984" w:history="1">
        <w:r w:rsidR="00F4767B" w:rsidRPr="00E66147">
          <w:rPr>
            <w:rStyle w:val="Hyperlink"/>
            <w:noProof/>
          </w:rPr>
          <w:t>E  Recommendations</w:t>
        </w:r>
        <w:r w:rsidR="00F4767B">
          <w:rPr>
            <w:noProof/>
            <w:webHidden/>
          </w:rPr>
          <w:tab/>
        </w:r>
        <w:r w:rsidR="00614E0A">
          <w:rPr>
            <w:noProof/>
            <w:webHidden/>
          </w:rPr>
          <w:fldChar w:fldCharType="begin"/>
        </w:r>
        <w:r w:rsidR="00F4767B">
          <w:rPr>
            <w:noProof/>
            <w:webHidden/>
          </w:rPr>
          <w:instrText xml:space="preserve"> PAGEREF _Toc302386984 \h </w:instrText>
        </w:r>
        <w:r w:rsidR="00614E0A">
          <w:rPr>
            <w:noProof/>
            <w:webHidden/>
          </w:rPr>
        </w:r>
        <w:r w:rsidR="00614E0A">
          <w:rPr>
            <w:noProof/>
            <w:webHidden/>
          </w:rPr>
          <w:fldChar w:fldCharType="separate"/>
        </w:r>
        <w:r w:rsidR="00BC58B5">
          <w:rPr>
            <w:noProof/>
            <w:webHidden/>
          </w:rPr>
          <w:t>35</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85" w:history="1">
        <w:r w:rsidR="00F4767B" w:rsidRPr="00E66147">
          <w:rPr>
            <w:rStyle w:val="Hyperlink"/>
            <w:noProof/>
          </w:rPr>
          <w:t>Outcome Level Recommendations</w:t>
        </w:r>
        <w:r w:rsidR="00F4767B">
          <w:rPr>
            <w:noProof/>
            <w:webHidden/>
          </w:rPr>
          <w:tab/>
        </w:r>
        <w:r w:rsidR="00614E0A">
          <w:rPr>
            <w:noProof/>
            <w:webHidden/>
          </w:rPr>
          <w:fldChar w:fldCharType="begin"/>
        </w:r>
        <w:r w:rsidR="00F4767B">
          <w:rPr>
            <w:noProof/>
            <w:webHidden/>
          </w:rPr>
          <w:instrText xml:space="preserve"> PAGEREF _Toc302386985 \h </w:instrText>
        </w:r>
        <w:r w:rsidR="00614E0A">
          <w:rPr>
            <w:noProof/>
            <w:webHidden/>
          </w:rPr>
        </w:r>
        <w:r w:rsidR="00614E0A">
          <w:rPr>
            <w:noProof/>
            <w:webHidden/>
          </w:rPr>
          <w:fldChar w:fldCharType="separate"/>
        </w:r>
        <w:r w:rsidR="00BC58B5">
          <w:rPr>
            <w:noProof/>
            <w:webHidden/>
          </w:rPr>
          <w:t>35</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86" w:history="1">
        <w:r w:rsidR="00F4767B" w:rsidRPr="00E66147">
          <w:rPr>
            <w:rStyle w:val="Hyperlink"/>
            <w:noProof/>
          </w:rPr>
          <w:t>Output Level Recommendations</w:t>
        </w:r>
        <w:r w:rsidR="00F4767B">
          <w:rPr>
            <w:noProof/>
            <w:webHidden/>
          </w:rPr>
          <w:tab/>
        </w:r>
        <w:r w:rsidR="00614E0A">
          <w:rPr>
            <w:noProof/>
            <w:webHidden/>
          </w:rPr>
          <w:fldChar w:fldCharType="begin"/>
        </w:r>
        <w:r w:rsidR="00F4767B">
          <w:rPr>
            <w:noProof/>
            <w:webHidden/>
          </w:rPr>
          <w:instrText xml:space="preserve"> PAGEREF _Toc302386986 \h </w:instrText>
        </w:r>
        <w:r w:rsidR="00614E0A">
          <w:rPr>
            <w:noProof/>
            <w:webHidden/>
          </w:rPr>
        </w:r>
        <w:r w:rsidR="00614E0A">
          <w:rPr>
            <w:noProof/>
            <w:webHidden/>
          </w:rPr>
          <w:fldChar w:fldCharType="separate"/>
        </w:r>
        <w:r w:rsidR="00BC58B5">
          <w:rPr>
            <w:noProof/>
            <w:webHidden/>
          </w:rPr>
          <w:t>37</w:t>
        </w:r>
        <w:r w:rsidR="00614E0A">
          <w:rPr>
            <w:noProof/>
            <w:webHidden/>
          </w:rPr>
          <w:fldChar w:fldCharType="end"/>
        </w:r>
      </w:hyperlink>
    </w:p>
    <w:p w:rsidR="00F4767B" w:rsidRDefault="00A8627B">
      <w:pPr>
        <w:pStyle w:val="TOC3"/>
        <w:tabs>
          <w:tab w:val="right" w:leader="dot" w:pos="8630"/>
        </w:tabs>
        <w:rPr>
          <w:rFonts w:asciiTheme="minorHAnsi" w:eastAsiaTheme="minorEastAsia" w:hAnsiTheme="minorHAnsi" w:cstheme="minorBidi"/>
          <w:i w:val="0"/>
          <w:iCs w:val="0"/>
          <w:noProof/>
          <w:color w:val="auto"/>
          <w:sz w:val="22"/>
          <w:szCs w:val="22"/>
        </w:rPr>
      </w:pPr>
      <w:hyperlink w:anchor="_Toc302386987" w:history="1">
        <w:r w:rsidR="00F4767B" w:rsidRPr="00E66147">
          <w:rPr>
            <w:rStyle w:val="Hyperlink"/>
            <w:noProof/>
          </w:rPr>
          <w:t>Policy Recommendations</w:t>
        </w:r>
        <w:r w:rsidR="00F4767B">
          <w:rPr>
            <w:noProof/>
            <w:webHidden/>
          </w:rPr>
          <w:tab/>
        </w:r>
        <w:r w:rsidR="00614E0A">
          <w:rPr>
            <w:noProof/>
            <w:webHidden/>
          </w:rPr>
          <w:fldChar w:fldCharType="begin"/>
        </w:r>
        <w:r w:rsidR="00F4767B">
          <w:rPr>
            <w:noProof/>
            <w:webHidden/>
          </w:rPr>
          <w:instrText xml:space="preserve"> PAGEREF _Toc302386987 \h </w:instrText>
        </w:r>
        <w:r w:rsidR="00614E0A">
          <w:rPr>
            <w:noProof/>
            <w:webHidden/>
          </w:rPr>
        </w:r>
        <w:r w:rsidR="00614E0A">
          <w:rPr>
            <w:noProof/>
            <w:webHidden/>
          </w:rPr>
          <w:fldChar w:fldCharType="separate"/>
        </w:r>
        <w:r w:rsidR="00BC58B5">
          <w:rPr>
            <w:noProof/>
            <w:webHidden/>
          </w:rPr>
          <w:t>37</w:t>
        </w:r>
        <w:r w:rsidR="00614E0A">
          <w:rPr>
            <w:noProof/>
            <w:webHidden/>
          </w:rPr>
          <w:fldChar w:fldCharType="end"/>
        </w:r>
      </w:hyperlink>
    </w:p>
    <w:p w:rsidR="00F4767B" w:rsidRDefault="00A8627B">
      <w:pPr>
        <w:pStyle w:val="TOC3"/>
        <w:tabs>
          <w:tab w:val="right" w:leader="dot" w:pos="8630"/>
        </w:tabs>
        <w:rPr>
          <w:rFonts w:asciiTheme="minorHAnsi" w:eastAsiaTheme="minorEastAsia" w:hAnsiTheme="minorHAnsi" w:cstheme="minorBidi"/>
          <w:i w:val="0"/>
          <w:iCs w:val="0"/>
          <w:noProof/>
          <w:color w:val="auto"/>
          <w:sz w:val="22"/>
          <w:szCs w:val="22"/>
        </w:rPr>
      </w:pPr>
      <w:hyperlink w:anchor="_Toc302386988" w:history="1">
        <w:r w:rsidR="00F4767B" w:rsidRPr="00E66147">
          <w:rPr>
            <w:rStyle w:val="Hyperlink"/>
            <w:noProof/>
          </w:rPr>
          <w:t>Institutional Reform Recommendations</w:t>
        </w:r>
        <w:r w:rsidR="00F4767B">
          <w:rPr>
            <w:noProof/>
            <w:webHidden/>
          </w:rPr>
          <w:tab/>
        </w:r>
        <w:r w:rsidR="00614E0A">
          <w:rPr>
            <w:noProof/>
            <w:webHidden/>
          </w:rPr>
          <w:fldChar w:fldCharType="begin"/>
        </w:r>
        <w:r w:rsidR="00F4767B">
          <w:rPr>
            <w:noProof/>
            <w:webHidden/>
          </w:rPr>
          <w:instrText xml:space="preserve"> PAGEREF _Toc302386988 \h </w:instrText>
        </w:r>
        <w:r w:rsidR="00614E0A">
          <w:rPr>
            <w:noProof/>
            <w:webHidden/>
          </w:rPr>
        </w:r>
        <w:r w:rsidR="00614E0A">
          <w:rPr>
            <w:noProof/>
            <w:webHidden/>
          </w:rPr>
          <w:fldChar w:fldCharType="separate"/>
        </w:r>
        <w:r w:rsidR="00BC58B5">
          <w:rPr>
            <w:noProof/>
            <w:webHidden/>
          </w:rPr>
          <w:t>38</w:t>
        </w:r>
        <w:r w:rsidR="00614E0A">
          <w:rPr>
            <w:noProof/>
            <w:webHidden/>
          </w:rPr>
          <w:fldChar w:fldCharType="end"/>
        </w:r>
      </w:hyperlink>
    </w:p>
    <w:p w:rsidR="00F4767B" w:rsidRDefault="00A8627B">
      <w:pPr>
        <w:pStyle w:val="TOC3"/>
        <w:tabs>
          <w:tab w:val="right" w:leader="dot" w:pos="8630"/>
        </w:tabs>
        <w:rPr>
          <w:rFonts w:asciiTheme="minorHAnsi" w:eastAsiaTheme="minorEastAsia" w:hAnsiTheme="minorHAnsi" w:cstheme="minorBidi"/>
          <w:i w:val="0"/>
          <w:iCs w:val="0"/>
          <w:noProof/>
          <w:color w:val="auto"/>
          <w:sz w:val="22"/>
          <w:szCs w:val="22"/>
        </w:rPr>
      </w:pPr>
      <w:hyperlink w:anchor="_Toc302386989" w:history="1">
        <w:r w:rsidR="00F4767B" w:rsidRPr="00E66147">
          <w:rPr>
            <w:rStyle w:val="Hyperlink"/>
            <w:noProof/>
          </w:rPr>
          <w:t>Capacity Building Recommendations</w:t>
        </w:r>
        <w:r w:rsidR="00F4767B">
          <w:rPr>
            <w:noProof/>
            <w:webHidden/>
          </w:rPr>
          <w:tab/>
        </w:r>
        <w:r w:rsidR="00614E0A">
          <w:rPr>
            <w:noProof/>
            <w:webHidden/>
          </w:rPr>
          <w:fldChar w:fldCharType="begin"/>
        </w:r>
        <w:r w:rsidR="00F4767B">
          <w:rPr>
            <w:noProof/>
            <w:webHidden/>
          </w:rPr>
          <w:instrText xml:space="preserve"> PAGEREF _Toc302386989 \h </w:instrText>
        </w:r>
        <w:r w:rsidR="00614E0A">
          <w:rPr>
            <w:noProof/>
            <w:webHidden/>
          </w:rPr>
        </w:r>
        <w:r w:rsidR="00614E0A">
          <w:rPr>
            <w:noProof/>
            <w:webHidden/>
          </w:rPr>
          <w:fldChar w:fldCharType="separate"/>
        </w:r>
        <w:r w:rsidR="00BC58B5">
          <w:rPr>
            <w:noProof/>
            <w:webHidden/>
          </w:rPr>
          <w:t>42</w:t>
        </w:r>
        <w:r w:rsidR="00614E0A">
          <w:rPr>
            <w:noProof/>
            <w:webHidden/>
          </w:rPr>
          <w:fldChar w:fldCharType="end"/>
        </w:r>
      </w:hyperlink>
    </w:p>
    <w:p w:rsidR="00F4767B" w:rsidRDefault="00A8627B">
      <w:pPr>
        <w:pStyle w:val="TOC3"/>
        <w:tabs>
          <w:tab w:val="right" w:leader="dot" w:pos="8630"/>
        </w:tabs>
        <w:rPr>
          <w:rFonts w:asciiTheme="minorHAnsi" w:eastAsiaTheme="minorEastAsia" w:hAnsiTheme="minorHAnsi" w:cstheme="minorBidi"/>
          <w:i w:val="0"/>
          <w:iCs w:val="0"/>
          <w:noProof/>
          <w:color w:val="auto"/>
          <w:sz w:val="22"/>
          <w:szCs w:val="22"/>
        </w:rPr>
      </w:pPr>
      <w:hyperlink w:anchor="_Toc302386990" w:history="1">
        <w:r w:rsidR="00F4767B" w:rsidRPr="00E66147">
          <w:rPr>
            <w:rStyle w:val="Hyperlink"/>
            <w:noProof/>
          </w:rPr>
          <w:t>Programme Management Recommendations</w:t>
        </w:r>
        <w:r w:rsidR="00F4767B">
          <w:rPr>
            <w:noProof/>
            <w:webHidden/>
          </w:rPr>
          <w:tab/>
        </w:r>
        <w:r w:rsidR="00614E0A">
          <w:rPr>
            <w:noProof/>
            <w:webHidden/>
          </w:rPr>
          <w:fldChar w:fldCharType="begin"/>
        </w:r>
        <w:r w:rsidR="00F4767B">
          <w:rPr>
            <w:noProof/>
            <w:webHidden/>
          </w:rPr>
          <w:instrText xml:space="preserve"> PAGEREF _Toc302386990 \h </w:instrText>
        </w:r>
        <w:r w:rsidR="00614E0A">
          <w:rPr>
            <w:noProof/>
            <w:webHidden/>
          </w:rPr>
        </w:r>
        <w:r w:rsidR="00614E0A">
          <w:rPr>
            <w:noProof/>
            <w:webHidden/>
          </w:rPr>
          <w:fldChar w:fldCharType="separate"/>
        </w:r>
        <w:r w:rsidR="00BC58B5">
          <w:rPr>
            <w:noProof/>
            <w:webHidden/>
          </w:rPr>
          <w:t>46</w:t>
        </w:r>
        <w:r w:rsidR="00614E0A">
          <w:rPr>
            <w:noProof/>
            <w:webHidden/>
          </w:rPr>
          <w:fldChar w:fldCharType="end"/>
        </w:r>
      </w:hyperlink>
    </w:p>
    <w:p w:rsidR="00F4767B" w:rsidRDefault="00A8627B">
      <w:pPr>
        <w:pStyle w:val="TOC1"/>
        <w:tabs>
          <w:tab w:val="right" w:leader="dot" w:pos="8630"/>
        </w:tabs>
        <w:rPr>
          <w:rFonts w:asciiTheme="minorHAnsi" w:eastAsiaTheme="minorEastAsia" w:hAnsiTheme="minorHAnsi" w:cstheme="minorBidi"/>
          <w:b w:val="0"/>
          <w:bCs w:val="0"/>
          <w:caps w:val="0"/>
          <w:noProof/>
          <w:color w:val="auto"/>
          <w:sz w:val="22"/>
          <w:szCs w:val="22"/>
        </w:rPr>
      </w:pPr>
      <w:hyperlink w:anchor="_Toc302386991" w:history="1">
        <w:r w:rsidR="00F4767B" w:rsidRPr="00E66147">
          <w:rPr>
            <w:rStyle w:val="Hyperlink"/>
            <w:noProof/>
          </w:rPr>
          <w:t>F   Principles of Local Governance</w:t>
        </w:r>
        <w:r w:rsidR="00F4767B">
          <w:rPr>
            <w:noProof/>
            <w:webHidden/>
          </w:rPr>
          <w:tab/>
        </w:r>
        <w:r w:rsidR="00614E0A">
          <w:rPr>
            <w:noProof/>
            <w:webHidden/>
          </w:rPr>
          <w:fldChar w:fldCharType="begin"/>
        </w:r>
        <w:r w:rsidR="00F4767B">
          <w:rPr>
            <w:noProof/>
            <w:webHidden/>
          </w:rPr>
          <w:instrText xml:space="preserve"> PAGEREF _Toc302386991 \h </w:instrText>
        </w:r>
        <w:r w:rsidR="00614E0A">
          <w:rPr>
            <w:noProof/>
            <w:webHidden/>
          </w:rPr>
        </w:r>
        <w:r w:rsidR="00614E0A">
          <w:rPr>
            <w:noProof/>
            <w:webHidden/>
          </w:rPr>
          <w:fldChar w:fldCharType="separate"/>
        </w:r>
        <w:r w:rsidR="00BC58B5">
          <w:rPr>
            <w:noProof/>
            <w:webHidden/>
          </w:rPr>
          <w:t>48</w:t>
        </w:r>
        <w:r w:rsidR="00614E0A">
          <w:rPr>
            <w:noProof/>
            <w:webHidden/>
          </w:rPr>
          <w:fldChar w:fldCharType="end"/>
        </w:r>
      </w:hyperlink>
    </w:p>
    <w:p w:rsidR="00F4767B" w:rsidRDefault="00A8627B">
      <w:pPr>
        <w:pStyle w:val="TOC1"/>
        <w:tabs>
          <w:tab w:val="right" w:leader="dot" w:pos="8630"/>
        </w:tabs>
        <w:rPr>
          <w:rFonts w:asciiTheme="minorHAnsi" w:eastAsiaTheme="minorEastAsia" w:hAnsiTheme="minorHAnsi" w:cstheme="minorBidi"/>
          <w:b w:val="0"/>
          <w:bCs w:val="0"/>
          <w:caps w:val="0"/>
          <w:noProof/>
          <w:color w:val="auto"/>
          <w:sz w:val="22"/>
          <w:szCs w:val="22"/>
        </w:rPr>
      </w:pPr>
      <w:hyperlink w:anchor="_Toc302386992" w:history="1">
        <w:r w:rsidR="00F4767B" w:rsidRPr="00E66147">
          <w:rPr>
            <w:rStyle w:val="Hyperlink"/>
            <w:noProof/>
          </w:rPr>
          <w:t>Report annexes</w:t>
        </w:r>
        <w:r w:rsidR="00F4767B">
          <w:rPr>
            <w:noProof/>
            <w:webHidden/>
          </w:rPr>
          <w:tab/>
        </w:r>
        <w:r w:rsidR="00614E0A">
          <w:rPr>
            <w:noProof/>
            <w:webHidden/>
          </w:rPr>
          <w:fldChar w:fldCharType="begin"/>
        </w:r>
        <w:r w:rsidR="00F4767B">
          <w:rPr>
            <w:noProof/>
            <w:webHidden/>
          </w:rPr>
          <w:instrText xml:space="preserve"> PAGEREF _Toc302386992 \h </w:instrText>
        </w:r>
        <w:r w:rsidR="00614E0A">
          <w:rPr>
            <w:noProof/>
            <w:webHidden/>
          </w:rPr>
        </w:r>
        <w:r w:rsidR="00614E0A">
          <w:rPr>
            <w:noProof/>
            <w:webHidden/>
          </w:rPr>
          <w:fldChar w:fldCharType="separate"/>
        </w:r>
        <w:r w:rsidR="00BC58B5">
          <w:rPr>
            <w:noProof/>
            <w:webHidden/>
          </w:rPr>
          <w:t>54</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93" w:history="1">
        <w:r w:rsidR="00F4767B" w:rsidRPr="00E66147">
          <w:rPr>
            <w:rStyle w:val="Hyperlink"/>
            <w:noProof/>
          </w:rPr>
          <w:t>Annex 1: Terms of Reference (edited)</w:t>
        </w:r>
        <w:r w:rsidR="00F4767B">
          <w:rPr>
            <w:noProof/>
            <w:webHidden/>
          </w:rPr>
          <w:tab/>
        </w:r>
        <w:r w:rsidR="00614E0A">
          <w:rPr>
            <w:noProof/>
            <w:webHidden/>
          </w:rPr>
          <w:fldChar w:fldCharType="begin"/>
        </w:r>
        <w:r w:rsidR="00F4767B">
          <w:rPr>
            <w:noProof/>
            <w:webHidden/>
          </w:rPr>
          <w:instrText xml:space="preserve"> PAGEREF _Toc302386993 \h </w:instrText>
        </w:r>
        <w:r w:rsidR="00614E0A">
          <w:rPr>
            <w:noProof/>
            <w:webHidden/>
          </w:rPr>
        </w:r>
        <w:r w:rsidR="00614E0A">
          <w:rPr>
            <w:noProof/>
            <w:webHidden/>
          </w:rPr>
          <w:fldChar w:fldCharType="separate"/>
        </w:r>
        <w:r w:rsidR="00BC58B5">
          <w:rPr>
            <w:noProof/>
            <w:webHidden/>
          </w:rPr>
          <w:t>54</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94" w:history="1">
        <w:r w:rsidR="00F4767B" w:rsidRPr="00E66147">
          <w:rPr>
            <w:rStyle w:val="Hyperlink"/>
            <w:noProof/>
          </w:rPr>
          <w:t>Annex 2   Mission Agenda</w:t>
        </w:r>
        <w:r w:rsidR="00F4767B">
          <w:rPr>
            <w:noProof/>
            <w:webHidden/>
          </w:rPr>
          <w:tab/>
        </w:r>
        <w:r w:rsidR="00614E0A">
          <w:rPr>
            <w:noProof/>
            <w:webHidden/>
          </w:rPr>
          <w:fldChar w:fldCharType="begin"/>
        </w:r>
        <w:r w:rsidR="00F4767B">
          <w:rPr>
            <w:noProof/>
            <w:webHidden/>
          </w:rPr>
          <w:instrText xml:space="preserve"> PAGEREF _Toc302386994 \h </w:instrText>
        </w:r>
        <w:r w:rsidR="00614E0A">
          <w:rPr>
            <w:noProof/>
            <w:webHidden/>
          </w:rPr>
        </w:r>
        <w:r w:rsidR="00614E0A">
          <w:rPr>
            <w:noProof/>
            <w:webHidden/>
          </w:rPr>
          <w:fldChar w:fldCharType="separate"/>
        </w:r>
        <w:r w:rsidR="00BC58B5">
          <w:rPr>
            <w:noProof/>
            <w:webHidden/>
          </w:rPr>
          <w:t>58</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95" w:history="1">
        <w:r w:rsidR="00F4767B" w:rsidRPr="00E66147">
          <w:rPr>
            <w:rStyle w:val="Hyperlink"/>
            <w:noProof/>
          </w:rPr>
          <w:t>Annex 3   Local Government in the Philippines</w:t>
        </w:r>
        <w:r w:rsidR="00F4767B">
          <w:rPr>
            <w:noProof/>
            <w:webHidden/>
          </w:rPr>
          <w:tab/>
        </w:r>
        <w:r w:rsidR="00614E0A">
          <w:rPr>
            <w:noProof/>
            <w:webHidden/>
          </w:rPr>
          <w:fldChar w:fldCharType="begin"/>
        </w:r>
        <w:r w:rsidR="00F4767B">
          <w:rPr>
            <w:noProof/>
            <w:webHidden/>
          </w:rPr>
          <w:instrText xml:space="preserve"> PAGEREF _Toc302386995 \h </w:instrText>
        </w:r>
        <w:r w:rsidR="00614E0A">
          <w:rPr>
            <w:noProof/>
            <w:webHidden/>
          </w:rPr>
        </w:r>
        <w:r w:rsidR="00614E0A">
          <w:rPr>
            <w:noProof/>
            <w:webHidden/>
          </w:rPr>
          <w:fldChar w:fldCharType="separate"/>
        </w:r>
        <w:r w:rsidR="00BC58B5">
          <w:rPr>
            <w:noProof/>
            <w:webHidden/>
          </w:rPr>
          <w:t>62</w:t>
        </w:r>
        <w:r w:rsidR="00614E0A">
          <w:rPr>
            <w:noProof/>
            <w:webHidden/>
          </w:rPr>
          <w:fldChar w:fldCharType="end"/>
        </w:r>
      </w:hyperlink>
    </w:p>
    <w:p w:rsidR="00F4767B" w:rsidRDefault="00A8627B">
      <w:pPr>
        <w:pStyle w:val="TOC2"/>
        <w:tabs>
          <w:tab w:val="right" w:leader="dot" w:pos="8630"/>
        </w:tabs>
        <w:rPr>
          <w:rFonts w:asciiTheme="minorHAnsi" w:eastAsiaTheme="minorEastAsia" w:hAnsiTheme="minorHAnsi" w:cstheme="minorBidi"/>
          <w:smallCaps w:val="0"/>
          <w:noProof/>
          <w:color w:val="auto"/>
          <w:sz w:val="22"/>
          <w:szCs w:val="22"/>
        </w:rPr>
      </w:pPr>
      <w:hyperlink w:anchor="_Toc302386996" w:history="1">
        <w:r w:rsidR="00F4767B" w:rsidRPr="00E66147">
          <w:rPr>
            <w:rStyle w:val="Hyperlink"/>
            <w:noProof/>
          </w:rPr>
          <w:t>Annex 4 Response to UNDP comments on first draft</w:t>
        </w:r>
        <w:r w:rsidR="00F4767B">
          <w:rPr>
            <w:noProof/>
            <w:webHidden/>
          </w:rPr>
          <w:tab/>
        </w:r>
        <w:r w:rsidR="00614E0A">
          <w:rPr>
            <w:noProof/>
            <w:webHidden/>
          </w:rPr>
          <w:fldChar w:fldCharType="begin"/>
        </w:r>
        <w:r w:rsidR="00F4767B">
          <w:rPr>
            <w:noProof/>
            <w:webHidden/>
          </w:rPr>
          <w:instrText xml:space="preserve"> PAGEREF _Toc302386996 \h </w:instrText>
        </w:r>
        <w:r w:rsidR="00614E0A">
          <w:rPr>
            <w:noProof/>
            <w:webHidden/>
          </w:rPr>
        </w:r>
        <w:r w:rsidR="00614E0A">
          <w:rPr>
            <w:noProof/>
            <w:webHidden/>
          </w:rPr>
          <w:fldChar w:fldCharType="separate"/>
        </w:r>
        <w:r w:rsidR="00BC58B5">
          <w:rPr>
            <w:noProof/>
            <w:webHidden/>
          </w:rPr>
          <w:t>66</w:t>
        </w:r>
        <w:r w:rsidR="00614E0A">
          <w:rPr>
            <w:noProof/>
            <w:webHidden/>
          </w:rPr>
          <w:fldChar w:fldCharType="end"/>
        </w:r>
      </w:hyperlink>
    </w:p>
    <w:p w:rsidR="007969D9" w:rsidRDefault="00614E0A">
      <w:r>
        <w:fldChar w:fldCharType="end"/>
      </w:r>
    </w:p>
    <w:p w:rsidR="00786804" w:rsidRPr="00C83615" w:rsidRDefault="006C7DD5" w:rsidP="0062529A">
      <w:pPr>
        <w:pStyle w:val="Heading1"/>
      </w:pPr>
      <w:r>
        <w:br w:type="page"/>
      </w:r>
      <w:bookmarkStart w:id="6" w:name="_Toc214196698"/>
      <w:bookmarkStart w:id="7" w:name="_Toc300432366"/>
      <w:bookmarkStart w:id="8" w:name="_Toc300433967"/>
      <w:bookmarkStart w:id="9" w:name="_Toc300434975"/>
      <w:bookmarkStart w:id="10" w:name="_Toc302386966"/>
      <w:r w:rsidR="00786804" w:rsidRPr="00C83615">
        <w:lastRenderedPageBreak/>
        <w:t>List of Acronyms</w:t>
      </w:r>
      <w:bookmarkEnd w:id="6"/>
      <w:bookmarkEnd w:id="7"/>
      <w:bookmarkEnd w:id="8"/>
      <w:bookmarkEnd w:id="9"/>
      <w:bookmarkEnd w:id="10"/>
    </w:p>
    <w:p w:rsidR="006A7305" w:rsidRPr="00C83615" w:rsidRDefault="006A7305" w:rsidP="006876C6"/>
    <w:p w:rsidR="004E0705" w:rsidRPr="005B3597" w:rsidRDefault="004E0705" w:rsidP="004E0705">
      <w:pPr>
        <w:pStyle w:val="report"/>
        <w:tabs>
          <w:tab w:val="left" w:pos="1908"/>
        </w:tabs>
        <w:spacing w:line="240" w:lineRule="auto"/>
        <w:ind w:left="547"/>
        <w:rPr>
          <w:rFonts w:ascii="Times New Roman" w:hAnsi="Times New Roman" w:cs="Times New Roman"/>
          <w:bCs/>
          <w:sz w:val="24"/>
          <w:lang w:val="en-GB"/>
        </w:rPr>
      </w:pPr>
      <w:r>
        <w:rPr>
          <w:rFonts w:ascii="Times New Roman" w:hAnsi="Times New Roman" w:cs="Times New Roman"/>
          <w:sz w:val="24"/>
        </w:rPr>
        <w:t>AWP</w:t>
      </w:r>
      <w:r w:rsidRPr="00353ED1">
        <w:rPr>
          <w:rFonts w:ascii="Times New Roman" w:hAnsi="Times New Roman" w:cs="Times New Roman"/>
          <w:sz w:val="24"/>
        </w:rPr>
        <w:tab/>
      </w:r>
      <w:r w:rsidRPr="005B3597">
        <w:rPr>
          <w:rFonts w:ascii="Times New Roman" w:hAnsi="Times New Roman" w:cs="Times New Roman"/>
          <w:bCs/>
          <w:sz w:val="24"/>
          <w:lang w:val="en-GB"/>
        </w:rPr>
        <w:t xml:space="preserve">Annual Work Plan </w:t>
      </w:r>
    </w:p>
    <w:p w:rsidR="003C2443" w:rsidRDefault="003C2443"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CPAP</w:t>
      </w:r>
      <w:r>
        <w:rPr>
          <w:rFonts w:ascii="Times New Roman" w:hAnsi="Times New Roman" w:cs="Times New Roman"/>
          <w:sz w:val="24"/>
        </w:rPr>
        <w:tab/>
        <w:t>Country Programme Action Plan</w:t>
      </w:r>
    </w:p>
    <w:p w:rsidR="00EC01E8" w:rsidRDefault="00EC01E8"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CYM</w:t>
      </w:r>
      <w:r>
        <w:rPr>
          <w:rFonts w:ascii="Times New Roman" w:hAnsi="Times New Roman" w:cs="Times New Roman"/>
          <w:sz w:val="24"/>
        </w:rPr>
        <w:tab/>
        <w:t>Community Youth Mapping</w:t>
      </w:r>
    </w:p>
    <w:p w:rsidR="004E0705" w:rsidRPr="00064DCF" w:rsidRDefault="004E0705" w:rsidP="004E0705">
      <w:pPr>
        <w:pStyle w:val="report"/>
        <w:tabs>
          <w:tab w:val="left" w:pos="1908"/>
        </w:tabs>
        <w:spacing w:line="240" w:lineRule="auto"/>
        <w:ind w:left="547" w:right="44"/>
        <w:rPr>
          <w:rFonts w:ascii="Times New Roman" w:hAnsi="Times New Roman" w:cs="Times New Roman"/>
          <w:sz w:val="24"/>
          <w:lang w:val="en-GB"/>
        </w:rPr>
      </w:pPr>
      <w:r>
        <w:rPr>
          <w:rFonts w:ascii="Times New Roman" w:hAnsi="Times New Roman" w:cs="Times New Roman"/>
          <w:sz w:val="24"/>
        </w:rPr>
        <w:t>DSU</w:t>
      </w:r>
      <w:r>
        <w:rPr>
          <w:rFonts w:ascii="Times New Roman" w:hAnsi="Times New Roman" w:cs="Times New Roman"/>
          <w:sz w:val="24"/>
        </w:rPr>
        <w:tab/>
      </w:r>
      <w:r w:rsidR="00FA65B8">
        <w:rPr>
          <w:rFonts w:ascii="Times New Roman" w:hAnsi="Times New Roman" w:cs="Times New Roman"/>
          <w:sz w:val="24"/>
          <w:lang w:val="en-GB"/>
        </w:rPr>
        <w:t>Decentralisation</w:t>
      </w:r>
      <w:r>
        <w:rPr>
          <w:rFonts w:ascii="Times New Roman" w:hAnsi="Times New Roman" w:cs="Times New Roman"/>
          <w:sz w:val="24"/>
          <w:lang w:val="en-GB"/>
        </w:rPr>
        <w:t xml:space="preserve"> Support Unit</w:t>
      </w:r>
    </w:p>
    <w:p w:rsidR="004E0705" w:rsidRPr="00353ED1" w:rsidRDefault="004E0705" w:rsidP="004E0705">
      <w:pPr>
        <w:pStyle w:val="report"/>
        <w:tabs>
          <w:tab w:val="left" w:pos="1908"/>
        </w:tabs>
        <w:spacing w:line="240" w:lineRule="auto"/>
        <w:ind w:left="547" w:right="44"/>
        <w:rPr>
          <w:rFonts w:ascii="Times New Roman" w:hAnsi="Times New Roman" w:cs="Times New Roman"/>
          <w:sz w:val="24"/>
        </w:rPr>
      </w:pPr>
      <w:r w:rsidRPr="00353ED1">
        <w:rPr>
          <w:rFonts w:ascii="Times New Roman" w:hAnsi="Times New Roman" w:cs="Times New Roman"/>
          <w:sz w:val="24"/>
        </w:rPr>
        <w:t>GOE</w:t>
      </w:r>
      <w:r w:rsidRPr="00353ED1">
        <w:rPr>
          <w:rFonts w:ascii="Times New Roman" w:hAnsi="Times New Roman" w:cs="Times New Roman"/>
          <w:sz w:val="24"/>
        </w:rPr>
        <w:tab/>
        <w:t>Government of Egypt</w:t>
      </w:r>
    </w:p>
    <w:p w:rsidR="004E0705" w:rsidRDefault="004E0705"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EDN</w:t>
      </w:r>
      <w:r>
        <w:rPr>
          <w:rFonts w:ascii="Times New Roman" w:hAnsi="Times New Roman" w:cs="Times New Roman"/>
          <w:sz w:val="24"/>
        </w:rPr>
        <w:tab/>
        <w:t xml:space="preserve">Egypt </w:t>
      </w:r>
      <w:r w:rsidR="00FA65B8">
        <w:rPr>
          <w:rFonts w:ascii="Times New Roman" w:hAnsi="Times New Roman" w:cs="Times New Roman"/>
          <w:sz w:val="24"/>
        </w:rPr>
        <w:t>Decentralisation</w:t>
      </w:r>
      <w:r>
        <w:rPr>
          <w:rFonts w:ascii="Times New Roman" w:hAnsi="Times New Roman" w:cs="Times New Roman"/>
          <w:sz w:val="24"/>
        </w:rPr>
        <w:t xml:space="preserve"> Network</w:t>
      </w:r>
    </w:p>
    <w:p w:rsidR="00EC01E8" w:rsidRDefault="00EC01E8"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GAEB</w:t>
      </w:r>
      <w:r>
        <w:rPr>
          <w:rFonts w:ascii="Times New Roman" w:hAnsi="Times New Roman" w:cs="Times New Roman"/>
          <w:sz w:val="24"/>
        </w:rPr>
        <w:tab/>
        <w:t>General Authority for Educational Buildings</w:t>
      </w:r>
    </w:p>
    <w:p w:rsidR="004E0705" w:rsidRPr="00353ED1" w:rsidRDefault="004E0705"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GHDR</w:t>
      </w:r>
      <w:r w:rsidRPr="00353ED1">
        <w:rPr>
          <w:rFonts w:ascii="Times New Roman" w:hAnsi="Times New Roman" w:cs="Times New Roman"/>
          <w:sz w:val="24"/>
        </w:rPr>
        <w:tab/>
      </w:r>
      <w:r>
        <w:rPr>
          <w:rFonts w:ascii="Times New Roman" w:hAnsi="Times New Roman" w:cs="Times New Roman"/>
          <w:sz w:val="24"/>
        </w:rPr>
        <w:t>Governorates Human Development Report</w:t>
      </w:r>
    </w:p>
    <w:p w:rsidR="004E0705" w:rsidRDefault="004E0705"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EDI</w:t>
      </w:r>
      <w:r>
        <w:rPr>
          <w:rFonts w:ascii="Times New Roman" w:hAnsi="Times New Roman" w:cs="Times New Roman"/>
          <w:sz w:val="24"/>
        </w:rPr>
        <w:tab/>
        <w:t xml:space="preserve">Egyptian </w:t>
      </w:r>
      <w:r w:rsidR="00FA65B8">
        <w:rPr>
          <w:rFonts w:ascii="Times New Roman" w:hAnsi="Times New Roman" w:cs="Times New Roman"/>
          <w:sz w:val="24"/>
        </w:rPr>
        <w:t>Decentralisation</w:t>
      </w:r>
      <w:r>
        <w:rPr>
          <w:rFonts w:ascii="Times New Roman" w:hAnsi="Times New Roman" w:cs="Times New Roman"/>
          <w:sz w:val="24"/>
        </w:rPr>
        <w:t xml:space="preserve"> Initiative</w:t>
      </w:r>
    </w:p>
    <w:p w:rsidR="00EC01E8" w:rsidRDefault="00EC01E8" w:rsidP="004E0705">
      <w:pPr>
        <w:pStyle w:val="report"/>
        <w:tabs>
          <w:tab w:val="left" w:pos="1908"/>
        </w:tabs>
        <w:spacing w:line="240" w:lineRule="auto"/>
        <w:ind w:left="547" w:right="44"/>
        <w:rPr>
          <w:rFonts w:ascii="Times New Roman" w:hAnsi="Times New Roman" w:cs="Times New Roman"/>
          <w:bCs/>
          <w:sz w:val="24"/>
        </w:rPr>
      </w:pPr>
      <w:r>
        <w:rPr>
          <w:rFonts w:ascii="Times New Roman" w:hAnsi="Times New Roman" w:cs="Times New Roman"/>
          <w:bCs/>
          <w:sz w:val="24"/>
        </w:rPr>
        <w:t>EDN</w:t>
      </w:r>
      <w:r>
        <w:rPr>
          <w:rFonts w:ascii="Times New Roman" w:hAnsi="Times New Roman" w:cs="Times New Roman"/>
          <w:bCs/>
          <w:sz w:val="24"/>
        </w:rPr>
        <w:tab/>
        <w:t xml:space="preserve">Egyptian </w:t>
      </w:r>
      <w:r w:rsidR="00FA65B8">
        <w:rPr>
          <w:rFonts w:ascii="Times New Roman" w:hAnsi="Times New Roman" w:cs="Times New Roman"/>
          <w:bCs/>
          <w:sz w:val="24"/>
        </w:rPr>
        <w:t>Decentralisation</w:t>
      </w:r>
      <w:r>
        <w:rPr>
          <w:rFonts w:ascii="Times New Roman" w:hAnsi="Times New Roman" w:cs="Times New Roman"/>
          <w:bCs/>
          <w:sz w:val="24"/>
        </w:rPr>
        <w:t xml:space="preserve"> Network</w:t>
      </w:r>
    </w:p>
    <w:p w:rsidR="00EC01E8" w:rsidRDefault="00EC01E8" w:rsidP="004E0705">
      <w:pPr>
        <w:pStyle w:val="report"/>
        <w:tabs>
          <w:tab w:val="left" w:pos="1908"/>
        </w:tabs>
        <w:spacing w:line="240" w:lineRule="auto"/>
        <w:ind w:left="547" w:right="44"/>
        <w:rPr>
          <w:rFonts w:ascii="Times New Roman" w:hAnsi="Times New Roman" w:cs="Times New Roman"/>
          <w:bCs/>
          <w:sz w:val="24"/>
        </w:rPr>
      </w:pPr>
      <w:r>
        <w:rPr>
          <w:rFonts w:ascii="Times New Roman" w:hAnsi="Times New Roman" w:cs="Times New Roman"/>
          <w:bCs/>
          <w:sz w:val="24"/>
        </w:rPr>
        <w:t>LDO</w:t>
      </w:r>
      <w:r>
        <w:rPr>
          <w:rFonts w:ascii="Times New Roman" w:hAnsi="Times New Roman" w:cs="Times New Roman"/>
          <w:bCs/>
          <w:sz w:val="24"/>
        </w:rPr>
        <w:tab/>
        <w:t>Local Development Observatory</w:t>
      </w:r>
    </w:p>
    <w:p w:rsidR="00EC01E8" w:rsidRDefault="00EC01E8" w:rsidP="004E0705">
      <w:pPr>
        <w:pStyle w:val="report"/>
        <w:tabs>
          <w:tab w:val="left" w:pos="1908"/>
        </w:tabs>
        <w:spacing w:line="240" w:lineRule="auto"/>
        <w:ind w:left="547" w:right="44"/>
        <w:rPr>
          <w:rFonts w:ascii="Times New Roman" w:hAnsi="Times New Roman" w:cs="Times New Roman"/>
          <w:bCs/>
          <w:sz w:val="24"/>
        </w:rPr>
      </w:pPr>
      <w:r>
        <w:rPr>
          <w:rFonts w:ascii="Times New Roman" w:hAnsi="Times New Roman" w:cs="Times New Roman"/>
          <w:bCs/>
          <w:sz w:val="24"/>
        </w:rPr>
        <w:t>LEC</w:t>
      </w:r>
      <w:r>
        <w:rPr>
          <w:rFonts w:ascii="Times New Roman" w:hAnsi="Times New Roman" w:cs="Times New Roman"/>
          <w:bCs/>
          <w:sz w:val="24"/>
        </w:rPr>
        <w:tab/>
        <w:t>Local Executive Council</w:t>
      </w:r>
    </w:p>
    <w:p w:rsidR="004E0705" w:rsidRPr="00353ED1" w:rsidRDefault="004E0705" w:rsidP="004E0705">
      <w:pPr>
        <w:pStyle w:val="report"/>
        <w:tabs>
          <w:tab w:val="left" w:pos="1908"/>
        </w:tabs>
        <w:spacing w:line="240" w:lineRule="auto"/>
        <w:ind w:left="547" w:right="44"/>
        <w:rPr>
          <w:rFonts w:ascii="Times New Roman" w:hAnsi="Times New Roman" w:cs="Times New Roman"/>
          <w:bCs/>
          <w:sz w:val="24"/>
        </w:rPr>
      </w:pPr>
      <w:r>
        <w:rPr>
          <w:rFonts w:ascii="Times New Roman" w:hAnsi="Times New Roman" w:cs="Times New Roman"/>
          <w:bCs/>
          <w:sz w:val="24"/>
        </w:rPr>
        <w:t>LPC</w:t>
      </w:r>
      <w:r w:rsidRPr="00353ED1">
        <w:rPr>
          <w:rFonts w:ascii="Times New Roman" w:hAnsi="Times New Roman" w:cs="Times New Roman"/>
          <w:bCs/>
          <w:sz w:val="24"/>
        </w:rPr>
        <w:tab/>
      </w:r>
      <w:r>
        <w:rPr>
          <w:rFonts w:ascii="Times New Roman" w:hAnsi="Times New Roman" w:cs="Times New Roman"/>
          <w:bCs/>
          <w:sz w:val="24"/>
        </w:rPr>
        <w:t>Local Popular Council</w:t>
      </w:r>
    </w:p>
    <w:p w:rsidR="004E0705" w:rsidRPr="00353ED1" w:rsidRDefault="00EC01E8" w:rsidP="004E0705">
      <w:pPr>
        <w:pStyle w:val="report"/>
        <w:tabs>
          <w:tab w:val="left" w:pos="1908"/>
        </w:tabs>
        <w:spacing w:line="240" w:lineRule="auto"/>
        <w:ind w:left="547" w:right="44"/>
        <w:rPr>
          <w:rFonts w:ascii="Times New Roman" w:hAnsi="Times New Roman" w:cs="Times New Roman"/>
          <w:bCs/>
          <w:sz w:val="24"/>
        </w:rPr>
      </w:pPr>
      <w:r>
        <w:rPr>
          <w:rFonts w:ascii="Times New Roman" w:hAnsi="Times New Roman" w:cs="Times New Roman"/>
          <w:bCs/>
          <w:sz w:val="24"/>
        </w:rPr>
        <w:t>Mo</w:t>
      </w:r>
      <w:r w:rsidR="004E0705">
        <w:rPr>
          <w:rFonts w:ascii="Times New Roman" w:hAnsi="Times New Roman" w:cs="Times New Roman"/>
          <w:bCs/>
          <w:sz w:val="24"/>
        </w:rPr>
        <w:t>AD</w:t>
      </w:r>
      <w:r w:rsidR="004E0705" w:rsidRPr="00353ED1">
        <w:rPr>
          <w:rFonts w:ascii="Times New Roman" w:hAnsi="Times New Roman" w:cs="Times New Roman"/>
          <w:bCs/>
          <w:sz w:val="24"/>
        </w:rPr>
        <w:tab/>
      </w:r>
      <w:r w:rsidR="004E0705" w:rsidRPr="009845D8">
        <w:rPr>
          <w:rFonts w:ascii="Times New Roman" w:hAnsi="Times New Roman" w:cs="Times New Roman"/>
          <w:sz w:val="24"/>
        </w:rPr>
        <w:t>Ministry of State for Administrative Development</w:t>
      </w:r>
    </w:p>
    <w:p w:rsidR="004E0705" w:rsidRPr="009845D8" w:rsidRDefault="004E0705"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bCs/>
          <w:sz w:val="24"/>
        </w:rPr>
        <w:t>MOF</w:t>
      </w:r>
      <w:r>
        <w:rPr>
          <w:rFonts w:ascii="Times New Roman" w:hAnsi="Times New Roman" w:cs="Times New Roman"/>
          <w:bCs/>
          <w:sz w:val="24"/>
        </w:rPr>
        <w:tab/>
      </w:r>
      <w:r>
        <w:rPr>
          <w:rFonts w:ascii="Times New Roman" w:hAnsi="Times New Roman" w:cs="Times New Roman"/>
          <w:sz w:val="24"/>
        </w:rPr>
        <w:t>Ministry of Finance</w:t>
      </w:r>
    </w:p>
    <w:p w:rsidR="004E0705" w:rsidRPr="00353ED1" w:rsidRDefault="00F13025"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M</w:t>
      </w:r>
      <w:r w:rsidR="004E0705" w:rsidRPr="00353ED1">
        <w:rPr>
          <w:rFonts w:ascii="Times New Roman" w:hAnsi="Times New Roman" w:cs="Times New Roman"/>
          <w:sz w:val="24"/>
        </w:rPr>
        <w:t>LD</w:t>
      </w:r>
      <w:r w:rsidR="004E0705" w:rsidRPr="00353ED1">
        <w:rPr>
          <w:rFonts w:ascii="Times New Roman" w:hAnsi="Times New Roman" w:cs="Times New Roman"/>
          <w:sz w:val="24"/>
        </w:rPr>
        <w:tab/>
        <w:t>Ministry of Local Development</w:t>
      </w:r>
    </w:p>
    <w:p w:rsidR="004E0705" w:rsidRPr="00353ED1" w:rsidRDefault="004E0705" w:rsidP="004E0705">
      <w:pPr>
        <w:pStyle w:val="report"/>
        <w:tabs>
          <w:tab w:val="left" w:pos="1908"/>
        </w:tabs>
        <w:spacing w:line="240" w:lineRule="auto"/>
        <w:ind w:left="547" w:right="44"/>
        <w:rPr>
          <w:rFonts w:ascii="Times New Roman" w:hAnsi="Times New Roman" w:cs="Times New Roman"/>
          <w:bCs/>
          <w:sz w:val="24"/>
        </w:rPr>
      </w:pPr>
      <w:r w:rsidRPr="00353ED1">
        <w:rPr>
          <w:rFonts w:ascii="Times New Roman" w:hAnsi="Times New Roman" w:cs="Times New Roman"/>
          <w:bCs/>
          <w:sz w:val="24"/>
        </w:rPr>
        <w:t>MOP</w:t>
      </w:r>
      <w:r w:rsidRPr="00353ED1">
        <w:rPr>
          <w:rFonts w:ascii="Times New Roman" w:hAnsi="Times New Roman" w:cs="Times New Roman"/>
          <w:bCs/>
          <w:sz w:val="24"/>
        </w:rPr>
        <w:tab/>
        <w:t>Ministry of Planning</w:t>
      </w:r>
    </w:p>
    <w:p w:rsidR="004E0705" w:rsidRPr="00353ED1" w:rsidRDefault="004E0705" w:rsidP="004E0705">
      <w:pPr>
        <w:pStyle w:val="report"/>
        <w:tabs>
          <w:tab w:val="left" w:pos="1908"/>
        </w:tabs>
        <w:spacing w:line="240" w:lineRule="auto"/>
        <w:ind w:left="547" w:right="44"/>
        <w:rPr>
          <w:rFonts w:ascii="Times New Roman" w:hAnsi="Times New Roman" w:cs="Times New Roman"/>
          <w:bCs/>
          <w:sz w:val="24"/>
        </w:rPr>
      </w:pPr>
      <w:r>
        <w:rPr>
          <w:rFonts w:ascii="Times New Roman" w:hAnsi="Times New Roman" w:cs="Times New Roman"/>
          <w:bCs/>
          <w:sz w:val="24"/>
        </w:rPr>
        <w:t>MISR</w:t>
      </w:r>
      <w:r w:rsidRPr="00353ED1">
        <w:rPr>
          <w:rFonts w:ascii="Times New Roman" w:hAnsi="Times New Roman" w:cs="Times New Roman"/>
          <w:bCs/>
          <w:sz w:val="24"/>
        </w:rPr>
        <w:tab/>
      </w:r>
      <w:r>
        <w:rPr>
          <w:rFonts w:ascii="Times New Roman" w:hAnsi="Times New Roman" w:cs="Times New Roman"/>
          <w:bCs/>
          <w:sz w:val="24"/>
        </w:rPr>
        <w:t>Municipal Initiative for Strategic Development</w:t>
      </w:r>
    </w:p>
    <w:p w:rsidR="00EC01E8" w:rsidRDefault="00EC01E8" w:rsidP="004E0705">
      <w:pPr>
        <w:tabs>
          <w:tab w:val="left" w:pos="1908"/>
        </w:tabs>
        <w:spacing w:after="0"/>
        <w:ind w:left="547" w:right="44"/>
        <w:rPr>
          <w:rFonts w:ascii="Times New Roman" w:hAnsi="Times New Roman" w:cs="Times New Roman"/>
        </w:rPr>
      </w:pPr>
      <w:r>
        <w:rPr>
          <w:rFonts w:ascii="Times New Roman" w:hAnsi="Times New Roman" w:cs="Times New Roman"/>
        </w:rPr>
        <w:t>MTR</w:t>
      </w:r>
      <w:r>
        <w:rPr>
          <w:rFonts w:ascii="Times New Roman" w:hAnsi="Times New Roman" w:cs="Times New Roman"/>
        </w:rPr>
        <w:tab/>
        <w:t>Mid-Term Review</w:t>
      </w:r>
    </w:p>
    <w:p w:rsidR="00EC01E8" w:rsidRDefault="00EC01E8" w:rsidP="004E0705">
      <w:pPr>
        <w:tabs>
          <w:tab w:val="left" w:pos="1908"/>
        </w:tabs>
        <w:spacing w:after="0"/>
        <w:ind w:left="547" w:right="44"/>
        <w:rPr>
          <w:rFonts w:ascii="Times New Roman" w:hAnsi="Times New Roman" w:cs="Times New Roman"/>
        </w:rPr>
      </w:pPr>
      <w:r>
        <w:rPr>
          <w:rFonts w:ascii="Times New Roman" w:hAnsi="Times New Roman" w:cs="Times New Roman"/>
        </w:rPr>
        <w:t>NGO</w:t>
      </w:r>
      <w:r>
        <w:rPr>
          <w:rFonts w:ascii="Times New Roman" w:hAnsi="Times New Roman" w:cs="Times New Roman"/>
        </w:rPr>
        <w:tab/>
        <w:t>Non-Governmental Organization</w:t>
      </w:r>
    </w:p>
    <w:p w:rsidR="004E0705" w:rsidRDefault="004E0705" w:rsidP="004E0705">
      <w:pPr>
        <w:tabs>
          <w:tab w:val="left" w:pos="1908"/>
        </w:tabs>
        <w:spacing w:after="0"/>
        <w:ind w:left="547" w:right="44"/>
      </w:pPr>
      <w:r>
        <w:rPr>
          <w:rFonts w:ascii="Times New Roman" w:hAnsi="Times New Roman" w:cs="Times New Roman"/>
        </w:rPr>
        <w:t>NDP</w:t>
      </w:r>
      <w:r>
        <w:rPr>
          <w:rFonts w:ascii="Times New Roman" w:hAnsi="Times New Roman" w:cs="Times New Roman"/>
        </w:rPr>
        <w:tab/>
      </w:r>
      <w:r>
        <w:t>National Democratic Party</w:t>
      </w:r>
    </w:p>
    <w:p w:rsidR="004E0705" w:rsidRDefault="004E0705" w:rsidP="004E0705">
      <w:pPr>
        <w:tabs>
          <w:tab w:val="left" w:pos="1908"/>
        </w:tabs>
        <w:spacing w:after="0"/>
        <w:ind w:left="547" w:right="44"/>
      </w:pPr>
      <w:r>
        <w:rPr>
          <w:rFonts w:ascii="Times New Roman" w:hAnsi="Times New Roman" w:cs="Times New Roman"/>
        </w:rPr>
        <w:t>NDS</w:t>
      </w:r>
      <w:r>
        <w:rPr>
          <w:rFonts w:ascii="Times New Roman" w:hAnsi="Times New Roman" w:cs="Times New Roman"/>
        </w:rPr>
        <w:tab/>
      </w:r>
      <w:r>
        <w:t xml:space="preserve">National </w:t>
      </w:r>
      <w:r w:rsidR="00FA65B8">
        <w:t>Decentralisation</w:t>
      </w:r>
      <w:r>
        <w:t xml:space="preserve"> Strategy</w:t>
      </w:r>
    </w:p>
    <w:p w:rsidR="00EC01E8" w:rsidRDefault="00EC01E8"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NLDIN</w:t>
      </w:r>
      <w:r>
        <w:rPr>
          <w:rFonts w:ascii="Times New Roman" w:hAnsi="Times New Roman" w:cs="Times New Roman"/>
          <w:sz w:val="24"/>
        </w:rPr>
        <w:tab/>
        <w:t>National Local Development Information Network</w:t>
      </w:r>
    </w:p>
    <w:p w:rsidR="004E0705" w:rsidRPr="00353ED1" w:rsidRDefault="004E0705" w:rsidP="004E0705">
      <w:pPr>
        <w:pStyle w:val="report"/>
        <w:tabs>
          <w:tab w:val="left" w:pos="1908"/>
        </w:tabs>
        <w:spacing w:line="240" w:lineRule="auto"/>
        <w:ind w:left="547" w:right="44"/>
        <w:rPr>
          <w:rFonts w:ascii="Times New Roman" w:hAnsi="Times New Roman" w:cs="Times New Roman"/>
          <w:sz w:val="24"/>
        </w:rPr>
      </w:pPr>
      <w:r w:rsidRPr="00353ED1">
        <w:rPr>
          <w:rFonts w:ascii="Times New Roman" w:hAnsi="Times New Roman" w:cs="Times New Roman"/>
          <w:sz w:val="24"/>
        </w:rPr>
        <w:t>NPD</w:t>
      </w:r>
      <w:r w:rsidRPr="00353ED1">
        <w:rPr>
          <w:rFonts w:ascii="Times New Roman" w:hAnsi="Times New Roman" w:cs="Times New Roman"/>
          <w:sz w:val="24"/>
        </w:rPr>
        <w:tab/>
        <w:t>National Project Director</w:t>
      </w:r>
    </w:p>
    <w:p w:rsidR="00EC01E8" w:rsidRDefault="00EC01E8"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PRINCE2</w:t>
      </w:r>
      <w:r>
        <w:rPr>
          <w:rFonts w:ascii="Times New Roman" w:hAnsi="Times New Roman" w:cs="Times New Roman"/>
          <w:sz w:val="24"/>
        </w:rPr>
        <w:tab/>
        <w:t>Projects in Controlled Environments</w:t>
      </w:r>
    </w:p>
    <w:p w:rsidR="00F13025" w:rsidRDefault="00F13025"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SCC</w:t>
      </w:r>
      <w:r>
        <w:rPr>
          <w:rFonts w:ascii="Times New Roman" w:hAnsi="Times New Roman" w:cs="Times New Roman"/>
          <w:sz w:val="24"/>
        </w:rPr>
        <w:tab/>
        <w:t>Social Contract Centre</w:t>
      </w:r>
    </w:p>
    <w:p w:rsidR="00EC01E8" w:rsidRDefault="00EC01E8" w:rsidP="004E0705">
      <w:pPr>
        <w:pStyle w:val="report"/>
        <w:tabs>
          <w:tab w:val="left" w:pos="1908"/>
        </w:tabs>
        <w:spacing w:line="240" w:lineRule="auto"/>
        <w:ind w:left="547" w:right="44"/>
        <w:rPr>
          <w:rFonts w:ascii="Times New Roman" w:hAnsi="Times New Roman" w:cs="Times New Roman"/>
          <w:sz w:val="24"/>
        </w:rPr>
      </w:pPr>
      <w:r>
        <w:rPr>
          <w:rFonts w:ascii="Times New Roman" w:hAnsi="Times New Roman" w:cs="Times New Roman"/>
          <w:sz w:val="24"/>
        </w:rPr>
        <w:t>SOW</w:t>
      </w:r>
      <w:r>
        <w:rPr>
          <w:rFonts w:ascii="Times New Roman" w:hAnsi="Times New Roman" w:cs="Times New Roman"/>
          <w:sz w:val="24"/>
        </w:rPr>
        <w:tab/>
        <w:t>Scope of Work</w:t>
      </w:r>
    </w:p>
    <w:p w:rsidR="004E0705" w:rsidRPr="00353ED1" w:rsidRDefault="004E0705" w:rsidP="004E0705">
      <w:pPr>
        <w:pStyle w:val="report"/>
        <w:tabs>
          <w:tab w:val="left" w:pos="1908"/>
        </w:tabs>
        <w:spacing w:line="240" w:lineRule="auto"/>
        <w:ind w:left="547" w:right="44"/>
        <w:rPr>
          <w:rFonts w:ascii="Times New Roman" w:hAnsi="Times New Roman" w:cs="Times New Roman"/>
          <w:sz w:val="24"/>
        </w:rPr>
      </w:pPr>
      <w:r w:rsidRPr="00353ED1">
        <w:rPr>
          <w:rFonts w:ascii="Times New Roman" w:hAnsi="Times New Roman" w:cs="Times New Roman"/>
          <w:sz w:val="24"/>
        </w:rPr>
        <w:t>TOR</w:t>
      </w:r>
      <w:r w:rsidRPr="00353ED1">
        <w:rPr>
          <w:rFonts w:ascii="Times New Roman" w:hAnsi="Times New Roman" w:cs="Times New Roman"/>
          <w:sz w:val="24"/>
        </w:rPr>
        <w:tab/>
        <w:t>Terms of Reference</w:t>
      </w:r>
    </w:p>
    <w:p w:rsidR="003C2443" w:rsidRDefault="00E114E4" w:rsidP="00E114E4">
      <w:pPr>
        <w:pStyle w:val="report"/>
        <w:tabs>
          <w:tab w:val="left" w:pos="1908"/>
        </w:tabs>
        <w:spacing w:line="240" w:lineRule="auto"/>
        <w:ind w:left="1905" w:right="44" w:hanging="1905"/>
        <w:rPr>
          <w:rFonts w:ascii="Times New Roman" w:hAnsi="Times New Roman" w:cs="Times New Roman"/>
          <w:sz w:val="24"/>
          <w:lang w:val="en-GB"/>
        </w:rPr>
      </w:pPr>
      <w:r>
        <w:rPr>
          <w:rFonts w:ascii="Times New Roman" w:hAnsi="Times New Roman" w:cs="Times New Roman"/>
          <w:sz w:val="24"/>
          <w:lang w:val="en-GB"/>
        </w:rPr>
        <w:t xml:space="preserve">         </w:t>
      </w:r>
      <w:r w:rsidR="003C2443">
        <w:rPr>
          <w:rFonts w:ascii="Times New Roman" w:hAnsi="Times New Roman" w:cs="Times New Roman"/>
          <w:sz w:val="24"/>
          <w:lang w:val="en-GB"/>
        </w:rPr>
        <w:t xml:space="preserve">TS-MLD </w:t>
      </w:r>
      <w:r w:rsidR="003C2443">
        <w:rPr>
          <w:rFonts w:ascii="Times New Roman" w:hAnsi="Times New Roman" w:cs="Times New Roman"/>
          <w:sz w:val="24"/>
          <w:lang w:val="en-GB"/>
        </w:rPr>
        <w:tab/>
        <w:t xml:space="preserve">Technical Support to the Ministry of Local Development for Local </w:t>
      </w:r>
      <w:r>
        <w:rPr>
          <w:rFonts w:ascii="Times New Roman" w:hAnsi="Times New Roman" w:cs="Times New Roman"/>
          <w:sz w:val="24"/>
          <w:lang w:val="en-GB"/>
        </w:rPr>
        <w:t xml:space="preserve">      </w:t>
      </w:r>
      <w:r w:rsidR="003C2443">
        <w:rPr>
          <w:rFonts w:ascii="Times New Roman" w:hAnsi="Times New Roman" w:cs="Times New Roman"/>
          <w:sz w:val="24"/>
          <w:lang w:val="en-GB"/>
        </w:rPr>
        <w:t>Development</w:t>
      </w:r>
    </w:p>
    <w:p w:rsidR="004E0705" w:rsidRPr="00353ED1" w:rsidRDefault="004E0705" w:rsidP="004E0705">
      <w:pPr>
        <w:pStyle w:val="report"/>
        <w:tabs>
          <w:tab w:val="left" w:pos="1908"/>
        </w:tabs>
        <w:spacing w:line="240" w:lineRule="auto"/>
        <w:ind w:left="547" w:right="44"/>
        <w:rPr>
          <w:rFonts w:ascii="Times New Roman" w:hAnsi="Times New Roman" w:cs="Times New Roman"/>
          <w:sz w:val="24"/>
        </w:rPr>
      </w:pPr>
      <w:r w:rsidRPr="007C16ED">
        <w:rPr>
          <w:rFonts w:ascii="Times New Roman" w:hAnsi="Times New Roman" w:cs="Times New Roman"/>
          <w:sz w:val="24"/>
          <w:lang w:val="en-GB"/>
        </w:rPr>
        <w:t>T</w:t>
      </w:r>
      <w:r>
        <w:rPr>
          <w:rFonts w:ascii="Times New Roman" w:hAnsi="Times New Roman" w:cs="Times New Roman"/>
          <w:sz w:val="24"/>
          <w:lang w:val="en-GB"/>
        </w:rPr>
        <w:t>S</w:t>
      </w:r>
      <w:r w:rsidRPr="007C16ED">
        <w:rPr>
          <w:rFonts w:ascii="Times New Roman" w:hAnsi="Times New Roman" w:cs="Times New Roman"/>
          <w:sz w:val="24"/>
          <w:lang w:val="en-GB"/>
        </w:rPr>
        <w:t>U</w:t>
      </w:r>
      <w:r w:rsidRPr="00353ED1">
        <w:rPr>
          <w:rFonts w:ascii="Times New Roman" w:hAnsi="Times New Roman" w:cs="Times New Roman"/>
          <w:sz w:val="24"/>
        </w:rPr>
        <w:tab/>
      </w:r>
      <w:r w:rsidRPr="007C16ED">
        <w:rPr>
          <w:rFonts w:ascii="Times New Roman" w:hAnsi="Times New Roman" w:cs="Times New Roman"/>
          <w:sz w:val="24"/>
          <w:lang w:val="en-GB"/>
        </w:rPr>
        <w:t>Technical Support Unit</w:t>
      </w:r>
    </w:p>
    <w:p w:rsidR="00EC01E8" w:rsidRDefault="00EC01E8" w:rsidP="004E0705">
      <w:pPr>
        <w:tabs>
          <w:tab w:val="left" w:pos="1908"/>
        </w:tabs>
        <w:spacing w:after="0"/>
        <w:ind w:left="547" w:right="44"/>
        <w:rPr>
          <w:rFonts w:ascii="Times New Roman" w:hAnsi="Times New Roman" w:cs="Times New Roman"/>
        </w:rPr>
      </w:pPr>
      <w:r>
        <w:rPr>
          <w:rFonts w:ascii="Times New Roman" w:hAnsi="Times New Roman" w:cs="Times New Roman"/>
        </w:rPr>
        <w:t>UNCDF</w:t>
      </w:r>
      <w:r>
        <w:rPr>
          <w:rFonts w:ascii="Times New Roman" w:hAnsi="Times New Roman" w:cs="Times New Roman"/>
        </w:rPr>
        <w:tab/>
        <w:t>United National Capital Development Fund</w:t>
      </w:r>
    </w:p>
    <w:p w:rsidR="004E0705" w:rsidRPr="00353ED1" w:rsidRDefault="004E0705" w:rsidP="004E0705">
      <w:pPr>
        <w:tabs>
          <w:tab w:val="left" w:pos="1908"/>
        </w:tabs>
        <w:spacing w:after="0"/>
        <w:ind w:left="547" w:right="44"/>
      </w:pPr>
      <w:r>
        <w:rPr>
          <w:rFonts w:ascii="Times New Roman" w:hAnsi="Times New Roman" w:cs="Times New Roman"/>
        </w:rPr>
        <w:t>UNDAF</w:t>
      </w:r>
      <w:r w:rsidRPr="00353ED1">
        <w:rPr>
          <w:rFonts w:ascii="Times New Roman" w:hAnsi="Times New Roman" w:cs="Times New Roman"/>
        </w:rPr>
        <w:tab/>
      </w:r>
      <w:r w:rsidRPr="00E114E4">
        <w:rPr>
          <w:rFonts w:ascii="Times New Roman" w:hAnsi="Times New Roman" w:cs="Times New Roman"/>
        </w:rPr>
        <w:t>United Nations Development Assistance Framework</w:t>
      </w:r>
    </w:p>
    <w:p w:rsidR="004E0705" w:rsidRPr="00353ED1" w:rsidRDefault="004E0705" w:rsidP="004E0705">
      <w:pPr>
        <w:pStyle w:val="report"/>
        <w:tabs>
          <w:tab w:val="left" w:pos="1908"/>
        </w:tabs>
        <w:spacing w:line="240" w:lineRule="auto"/>
        <w:ind w:left="547" w:right="44"/>
        <w:rPr>
          <w:rFonts w:ascii="Times New Roman" w:hAnsi="Times New Roman" w:cs="Times New Roman"/>
          <w:bCs/>
          <w:sz w:val="24"/>
        </w:rPr>
      </w:pPr>
      <w:r w:rsidRPr="00353ED1">
        <w:rPr>
          <w:rFonts w:ascii="Times New Roman" w:hAnsi="Times New Roman" w:cs="Times New Roman"/>
          <w:bCs/>
          <w:sz w:val="24"/>
        </w:rPr>
        <w:t>UNDP</w:t>
      </w:r>
      <w:r w:rsidRPr="00353ED1">
        <w:rPr>
          <w:rFonts w:ascii="Times New Roman" w:hAnsi="Times New Roman" w:cs="Times New Roman"/>
          <w:bCs/>
          <w:sz w:val="24"/>
        </w:rPr>
        <w:tab/>
        <w:t xml:space="preserve">United Nations Development </w:t>
      </w:r>
      <w:r w:rsidR="008C2456">
        <w:rPr>
          <w:rFonts w:ascii="Times New Roman" w:hAnsi="Times New Roman" w:cs="Times New Roman"/>
          <w:bCs/>
          <w:sz w:val="24"/>
        </w:rPr>
        <w:t>Programme</w:t>
      </w:r>
    </w:p>
    <w:p w:rsidR="004E0705" w:rsidRDefault="004E0705" w:rsidP="004E0705">
      <w:pPr>
        <w:pStyle w:val="report"/>
        <w:tabs>
          <w:tab w:val="left" w:pos="1908"/>
        </w:tabs>
        <w:spacing w:line="240" w:lineRule="auto"/>
        <w:ind w:left="547" w:right="44"/>
        <w:rPr>
          <w:rFonts w:ascii="Times New Roman" w:hAnsi="Times New Roman" w:cs="Times New Roman"/>
          <w:bCs/>
          <w:sz w:val="24"/>
        </w:rPr>
      </w:pPr>
      <w:r>
        <w:rPr>
          <w:rFonts w:ascii="Times New Roman" w:hAnsi="Times New Roman" w:cs="Times New Roman"/>
          <w:bCs/>
          <w:sz w:val="24"/>
        </w:rPr>
        <w:t>USAID</w:t>
      </w:r>
      <w:r w:rsidRPr="00353ED1">
        <w:rPr>
          <w:rFonts w:ascii="Times New Roman" w:hAnsi="Times New Roman" w:cs="Times New Roman"/>
          <w:bCs/>
          <w:sz w:val="24"/>
        </w:rPr>
        <w:tab/>
      </w:r>
      <w:r>
        <w:rPr>
          <w:rFonts w:ascii="Times New Roman" w:hAnsi="Times New Roman" w:cs="Times New Roman"/>
          <w:bCs/>
          <w:sz w:val="24"/>
        </w:rPr>
        <w:t>United States Agency for International Development</w:t>
      </w:r>
    </w:p>
    <w:p w:rsidR="00EC01E8" w:rsidRPr="00353ED1" w:rsidRDefault="00EC01E8" w:rsidP="004E0705">
      <w:pPr>
        <w:pStyle w:val="report"/>
        <w:tabs>
          <w:tab w:val="left" w:pos="1908"/>
        </w:tabs>
        <w:spacing w:line="240" w:lineRule="auto"/>
        <w:ind w:left="547" w:right="44"/>
        <w:rPr>
          <w:rFonts w:ascii="Times New Roman" w:hAnsi="Times New Roman" w:cs="Times New Roman"/>
          <w:bCs/>
          <w:sz w:val="24"/>
        </w:rPr>
      </w:pPr>
      <w:r>
        <w:rPr>
          <w:rFonts w:ascii="Times New Roman" w:hAnsi="Times New Roman" w:cs="Times New Roman"/>
          <w:bCs/>
          <w:sz w:val="24"/>
        </w:rPr>
        <w:t>YDCA</w:t>
      </w:r>
      <w:r>
        <w:rPr>
          <w:rFonts w:ascii="Times New Roman" w:hAnsi="Times New Roman" w:cs="Times New Roman"/>
          <w:bCs/>
          <w:sz w:val="24"/>
        </w:rPr>
        <w:tab/>
        <w:t>Youth Developing Communities Association</w:t>
      </w:r>
    </w:p>
    <w:p w:rsidR="00521EB4" w:rsidRPr="0062529A" w:rsidRDefault="006A7305" w:rsidP="00EC01E8">
      <w:pPr>
        <w:pStyle w:val="Heading1"/>
        <w:ind w:firstLine="907"/>
      </w:pPr>
      <w:r w:rsidRPr="00C83615">
        <w:br w:type="page"/>
      </w:r>
      <w:bookmarkStart w:id="11" w:name="_Toc300432367"/>
      <w:bookmarkStart w:id="12" w:name="_Toc300433968"/>
      <w:bookmarkStart w:id="13" w:name="_Toc300434976"/>
      <w:bookmarkStart w:id="14" w:name="_Toc302386967"/>
      <w:r w:rsidR="00521EB4" w:rsidRPr="0062529A">
        <w:lastRenderedPageBreak/>
        <w:t>Executive Summary</w:t>
      </w:r>
      <w:bookmarkEnd w:id="11"/>
      <w:bookmarkEnd w:id="12"/>
      <w:bookmarkEnd w:id="13"/>
      <w:bookmarkEnd w:id="14"/>
    </w:p>
    <w:p w:rsidR="00C9089F" w:rsidRDefault="00C9089F" w:rsidP="0062529A">
      <w:pPr>
        <w:pStyle w:val="Heading2"/>
      </w:pPr>
      <w:bookmarkStart w:id="15" w:name="_Toc302386968"/>
      <w:bookmarkStart w:id="16" w:name="_Toc300432369"/>
      <w:r>
        <w:t>Introduction</w:t>
      </w:r>
      <w:bookmarkEnd w:id="15"/>
    </w:p>
    <w:p w:rsidR="00C9089F" w:rsidRDefault="00C9089F" w:rsidP="00F73ABF">
      <w:r>
        <w:t xml:space="preserve">This report provides the results of a mid-term review (MTR) of the UNDP Technical Assistance to the Ministry of Local Development </w:t>
      </w:r>
      <w:r w:rsidR="00F73ABF">
        <w:t xml:space="preserve">(TS-MLD) </w:t>
      </w:r>
      <w:r>
        <w:t xml:space="preserve">stretching over the period 2007-2011 and involving $4.7 million in UNDP and Netherlands resources.  The MTR was commissioned by the UNDP Egypt and is intended to inform that office, project donors and other interested stakeholders on the results achieved during the project to date, provide suggestions on possible changes in the structure and approach going forward, as well as contribute to UNDP organizational learning on promoting </w:t>
      </w:r>
      <w:r w:rsidR="00FA65B8">
        <w:t>decentralisation</w:t>
      </w:r>
      <w:r>
        <w:t xml:space="preserve"> and citizen </w:t>
      </w:r>
      <w:bookmarkStart w:id="17" w:name="_Toc300433970"/>
      <w:bookmarkStart w:id="18" w:name="_Toc300434978"/>
      <w:r>
        <w:t>empowerment globally.</w:t>
      </w:r>
    </w:p>
    <w:p w:rsidR="00C9089F" w:rsidRDefault="00F73ABF" w:rsidP="00C9089F">
      <w:r>
        <w:t xml:space="preserve">The </w:t>
      </w:r>
      <w:r w:rsidR="00A220F9">
        <w:t>MTR</w:t>
      </w:r>
      <w:r>
        <w:t xml:space="preserve"> was framed by the measurement framework for the TS-MLD project document as well as the UNDP Egypt Country Programme and the UN Development Assist</w:t>
      </w:r>
      <w:r w:rsidR="00A220F9">
        <w:t>ance Framework (UNDAF) 2007-2011</w:t>
      </w:r>
      <w:r>
        <w:t>.  All of these documents have been formally approved by the Government of Egypt.  Appendix 1 contains the Terms of Reference for this MTR and, as such, provides the scope and focus of this review.  Evaluation methods included extensive documentation review, as well as a 10-</w:t>
      </w:r>
      <w:r w:rsidR="00A220F9">
        <w:t xml:space="preserve">day in-country mission involving </w:t>
      </w:r>
      <w:r>
        <w:t>in-person interviews, focus sessions and site visits to two Governorates where TS-MLD had concentrated its efforts over this period.  The methodology and analytical processes were appropriate to the nature of the project, providing as much rigor and validity through triangulation (of both sources and methods) that was possible</w:t>
      </w:r>
      <w:r w:rsidR="00DD2E6F">
        <w:t xml:space="preserve"> for a single</w:t>
      </w:r>
      <w:r w:rsidR="00A220F9">
        <w:t>,</w:t>
      </w:r>
      <w:r w:rsidR="00DD2E6F">
        <w:t xml:space="preserve"> non-Arabic speaking reviewer</w:t>
      </w:r>
      <w:r>
        <w:t>.</w:t>
      </w:r>
    </w:p>
    <w:p w:rsidR="00DD2E6F" w:rsidRDefault="006171B3" w:rsidP="0062529A">
      <w:pPr>
        <w:pStyle w:val="Heading2"/>
      </w:pPr>
      <w:bookmarkStart w:id="19" w:name="_Toc302386969"/>
      <w:r>
        <w:t>Background</w:t>
      </w:r>
      <w:bookmarkEnd w:id="19"/>
    </w:p>
    <w:p w:rsidR="00C9089F" w:rsidRDefault="006171B3" w:rsidP="00C9089F">
      <w:r w:rsidRPr="008C5F4B">
        <w:t xml:space="preserve">TS-MLD is fully embedded in the overall UN </w:t>
      </w:r>
      <w:r w:rsidR="008C2456">
        <w:t>programme</w:t>
      </w:r>
      <w:r w:rsidRPr="008C5F4B">
        <w:t xml:space="preserve"> for Egypt.  The guiding</w:t>
      </w:r>
      <w:r>
        <w:t xml:space="preserve"> documents are the UN Development Action Framework (UNDAF) and the UNDP Country Programme Action Plan (CPAP) 2007-2011.</w:t>
      </w:r>
      <w:r w:rsidR="00D013F0">
        <w:t xml:space="preserve"> </w:t>
      </w:r>
      <w:r w:rsidR="00DD2E6F">
        <w:t xml:space="preserve">The UNDP Egypt Country Programme contains a specific objective related to </w:t>
      </w:r>
      <w:r>
        <w:t xml:space="preserve">the formulation of </w:t>
      </w:r>
      <w:r w:rsidR="00FA65B8">
        <w:t>decentralisation</w:t>
      </w:r>
      <w:r w:rsidR="00C30EDF">
        <w:t xml:space="preserve"> policies</w:t>
      </w:r>
      <w:r>
        <w:t xml:space="preserve"> to improve the capacity of local institutions to plan and manage service delivery.</w:t>
      </w:r>
      <w:r w:rsidR="00777D46">
        <w:t xml:space="preserve">  </w:t>
      </w:r>
      <w:r w:rsidR="00DD2E6F">
        <w:t xml:space="preserve">TS-MLD </w:t>
      </w:r>
      <w:r w:rsidR="00924189">
        <w:t>focused its attention precisely on the achievement of that objective.</w:t>
      </w:r>
    </w:p>
    <w:p w:rsidR="00DD2E6F" w:rsidRDefault="00DD2E6F" w:rsidP="00C9089F">
      <w:r>
        <w:t xml:space="preserve">The Egyptian socio-political context changed significantly during the life of the project.  </w:t>
      </w:r>
      <w:r w:rsidR="00045486">
        <w:t>Nevertheless,</w:t>
      </w:r>
      <w:r w:rsidR="00777D46">
        <w:t xml:space="preserve"> </w:t>
      </w:r>
      <w:r w:rsidR="00045486">
        <w:t xml:space="preserve">it </w:t>
      </w:r>
      <w:r w:rsidR="00FF4C79">
        <w:t xml:space="preserve">continues to </w:t>
      </w:r>
      <w:r>
        <w:t>suffer from c</w:t>
      </w:r>
      <w:r w:rsidR="00C6146E">
        <w:t xml:space="preserve">onsiderable social disparities, </w:t>
      </w:r>
      <w:r>
        <w:t xml:space="preserve">reflected in its   ranking </w:t>
      </w:r>
      <w:r w:rsidR="00045486">
        <w:t>101 (out of 169</w:t>
      </w:r>
      <w:r>
        <w:t>) in the</w:t>
      </w:r>
      <w:r w:rsidR="00045486">
        <w:t xml:space="preserve"> 2010 Human Development Report</w:t>
      </w:r>
      <w:r>
        <w:t xml:space="preserve">.  </w:t>
      </w:r>
      <w:r w:rsidR="00045486">
        <w:t>The on-</w:t>
      </w:r>
      <w:r>
        <w:t xml:space="preserve">going peoples’ agitation against the government </w:t>
      </w:r>
      <w:r w:rsidR="00FF4C79">
        <w:t xml:space="preserve">had a major impact on </w:t>
      </w:r>
      <w:r w:rsidR="00C6146E">
        <w:t xml:space="preserve">governance model of the country, significantly </w:t>
      </w:r>
      <w:r w:rsidR="00FF4C79">
        <w:t xml:space="preserve">the </w:t>
      </w:r>
      <w:r w:rsidR="00C6146E">
        <w:t xml:space="preserve">ability </w:t>
      </w:r>
      <w:r w:rsidR="00FF4C79">
        <w:t xml:space="preserve">of TS-MLD </w:t>
      </w:r>
      <w:r w:rsidR="00C6146E">
        <w:t>to</w:t>
      </w:r>
      <w:r w:rsidR="00FF4C79">
        <w:t xml:space="preserve"> complet</w:t>
      </w:r>
      <w:r w:rsidR="00C6146E">
        <w:t xml:space="preserve">e its work on </w:t>
      </w:r>
      <w:r w:rsidR="00FA65B8">
        <w:t>decentralisation</w:t>
      </w:r>
      <w:r w:rsidR="00C6146E">
        <w:t xml:space="preserve"> policy, but has not yet had an impact on the economy or human development.</w:t>
      </w:r>
    </w:p>
    <w:p w:rsidR="00DD2E6F" w:rsidRDefault="00C6146E" w:rsidP="0062529A">
      <w:pPr>
        <w:pStyle w:val="Heading2"/>
      </w:pPr>
      <w:bookmarkStart w:id="20" w:name="_Toc302386970"/>
      <w:r>
        <w:lastRenderedPageBreak/>
        <w:t xml:space="preserve">Performance of the </w:t>
      </w:r>
      <w:r w:rsidR="00DD2E6F">
        <w:t xml:space="preserve">TS-MLD </w:t>
      </w:r>
      <w:r>
        <w:t>project</w:t>
      </w:r>
      <w:bookmarkEnd w:id="20"/>
    </w:p>
    <w:p w:rsidR="00DD2E6F" w:rsidRDefault="00DD2E6F" w:rsidP="00C9089F">
      <w:r>
        <w:t xml:space="preserve">TSMLD was examined from </w:t>
      </w:r>
      <w:r w:rsidR="00A4206D">
        <w:t xml:space="preserve">the perspective of its project document and specifically on the achievement of its stated outputs:  </w:t>
      </w:r>
    </w:p>
    <w:p w:rsidR="00A4206D" w:rsidRDefault="00A4206D" w:rsidP="00C9089F">
      <w:r w:rsidRPr="00131C2C">
        <w:rPr>
          <w:b/>
        </w:rPr>
        <w:t>Relevance</w:t>
      </w:r>
      <w:r w:rsidR="00C6146E">
        <w:t xml:space="preserve">:  TS-MLD objectives were judged as highly </w:t>
      </w:r>
      <w:r>
        <w:t>relevant to the needs and priorities of Egypt and were found to be well aligned with UNDP’s corporate development priorities as well as the priorities of other key development agencies in Egypt.</w:t>
      </w:r>
    </w:p>
    <w:p w:rsidR="0033693D" w:rsidRPr="0033693D" w:rsidRDefault="0033693D" w:rsidP="0033693D">
      <w:r w:rsidRPr="0033693D">
        <w:t xml:space="preserve">Over the project period, TS-MLD made notable contributions to enhance government capabilities to implement the National </w:t>
      </w:r>
      <w:r w:rsidR="00FA65B8">
        <w:t>Decentralisation</w:t>
      </w:r>
      <w:r w:rsidRPr="0033693D">
        <w:t xml:space="preserve"> Strategy.  The overarching goals of TS-MLD espoused an integrated multi-sectoral approach and made valued and recognizable contributions, most notably in strengthening the institutional capacities of local councils and in national policy development.  </w:t>
      </w:r>
    </w:p>
    <w:p w:rsidR="0033693D" w:rsidRDefault="00A4206D" w:rsidP="00C9089F">
      <w:r w:rsidRPr="00131C2C">
        <w:rPr>
          <w:b/>
        </w:rPr>
        <w:t>Effectiveness</w:t>
      </w:r>
      <w:r>
        <w:t xml:space="preserve">:  </w:t>
      </w:r>
      <w:r w:rsidR="0033693D" w:rsidRPr="0033693D">
        <w:t xml:space="preserve">The National </w:t>
      </w:r>
      <w:r w:rsidR="00FA65B8">
        <w:t>Decentralisation</w:t>
      </w:r>
      <w:r w:rsidR="0033693D" w:rsidRPr="0033693D">
        <w:t xml:space="preserve"> Strategy was a bold and innovative approach focusing on institutional and systems changes, with explicit attention to policy advocacy and capacity building.</w:t>
      </w:r>
      <w:r w:rsidR="0033693D">
        <w:t xml:space="preserve">  The level of national development resources earmarked for use by local administrations has now reached nearly four billion Egyptian pounds, from a base of almost zero at the start of the project.</w:t>
      </w:r>
    </w:p>
    <w:p w:rsidR="00131C2C" w:rsidRDefault="00A4206D" w:rsidP="00C9089F">
      <w:r>
        <w:t xml:space="preserve">TS-MLD made notable contributions to enhance local and national government capabilities to implement the National </w:t>
      </w:r>
      <w:r w:rsidR="00FA65B8">
        <w:t>Decentralisation</w:t>
      </w:r>
      <w:r>
        <w:t xml:space="preserve"> Policy, including valued and recognizable contributions to strengthening the institutional capabilities of Local Councils.  However, TS-MLD missed opportunities </w:t>
      </w:r>
      <w:r w:rsidR="00131C2C">
        <w:t xml:space="preserve">to learn from the experimental fiscal </w:t>
      </w:r>
      <w:r w:rsidR="00FA65B8">
        <w:t>decentralisation</w:t>
      </w:r>
      <w:r w:rsidR="00131C2C">
        <w:t xml:space="preserve"> approach, notably due to a lack of </w:t>
      </w:r>
      <w:r w:rsidR="00C6146E">
        <w:t xml:space="preserve">impact assessment </w:t>
      </w:r>
      <w:r w:rsidR="00131C2C">
        <w:t xml:space="preserve">and some faulty assumptions in </w:t>
      </w:r>
      <w:r w:rsidR="008C2456">
        <w:t>programme</w:t>
      </w:r>
      <w:r w:rsidR="00131C2C">
        <w:t xml:space="preserve"> design, specifically related to </w:t>
      </w:r>
      <w:r w:rsidR="00C6146E">
        <w:t xml:space="preserve">neglecting </w:t>
      </w:r>
      <w:r w:rsidR="00131C2C">
        <w:t>the role of citizens in a decentralized context.  The MTR also found UNDP’s appro</w:t>
      </w:r>
      <w:r w:rsidR="00C6146E">
        <w:t>ach to project management to have been constrained</w:t>
      </w:r>
      <w:r w:rsidR="00131C2C">
        <w:t xml:space="preserve"> by the dominance of national political actors in determining the direction and strategy of the project and by the absence of </w:t>
      </w:r>
      <w:r w:rsidR="00C6146E">
        <w:t xml:space="preserve">a </w:t>
      </w:r>
      <w:r w:rsidR="00131C2C">
        <w:t>systematic attention to resource mobilization.</w:t>
      </w:r>
    </w:p>
    <w:p w:rsidR="00C355A3" w:rsidRDefault="00131C2C" w:rsidP="00C9089F">
      <w:r w:rsidRPr="00740E02">
        <w:rPr>
          <w:b/>
        </w:rPr>
        <w:t>Sustainability</w:t>
      </w:r>
      <w:r>
        <w:t>:  As TS-MLD was designed as a policy design and experimentation project, its sustainability is tied to the acceptance and validity of its policy efforts.  The events of January 2011</w:t>
      </w:r>
      <w:r w:rsidR="00C6146E">
        <w:t xml:space="preserve"> have opened a much wider range of possible policy options</w:t>
      </w:r>
      <w:r w:rsidR="00C355A3">
        <w:t xml:space="preserve">.  The suitability of the technical assumptions of </w:t>
      </w:r>
      <w:r w:rsidR="00C30EDF">
        <w:t>an</w:t>
      </w:r>
      <w:r w:rsidR="00C355A3">
        <w:t xml:space="preserve"> acceptable decentralized governance framework will need to be tested once the new Parliament is in place and any Constitutional reforms have been approved.</w:t>
      </w:r>
    </w:p>
    <w:p w:rsidR="00131C2C" w:rsidRDefault="00740E02" w:rsidP="00C9089F">
      <w:r>
        <w:t xml:space="preserve">While capacity building was central to the project, the absence of a common understanding, clear strategy and systematic approach to </w:t>
      </w:r>
      <w:r w:rsidR="00C355A3">
        <w:t xml:space="preserve">building </w:t>
      </w:r>
      <w:r>
        <w:t xml:space="preserve">citizen </w:t>
      </w:r>
      <w:r w:rsidR="00C355A3">
        <w:t>capacity to engage directly</w:t>
      </w:r>
      <w:r>
        <w:t xml:space="preserve"> in planning and implementation oversight process</w:t>
      </w:r>
      <w:r w:rsidR="00C355A3">
        <w:t>es</w:t>
      </w:r>
      <w:r>
        <w:t xml:space="preserve"> seriously undermined the utility of the </w:t>
      </w:r>
      <w:r w:rsidR="00C355A3">
        <w:t xml:space="preserve">techno-bureaucratic </w:t>
      </w:r>
      <w:r>
        <w:t>approach employed</w:t>
      </w:r>
      <w:r w:rsidR="00C355A3">
        <w:t xml:space="preserve">, especially in </w:t>
      </w:r>
      <w:r w:rsidR="00C355A3">
        <w:lastRenderedPageBreak/>
        <w:t>light of</w:t>
      </w:r>
      <w:r>
        <w:t xml:space="preserve"> the current changed context of Egypt</w:t>
      </w:r>
      <w:r w:rsidR="00777D46">
        <w:t xml:space="preserve"> from that of a neo-pharonic dictatorship to a nascent democracy</w:t>
      </w:r>
      <w:r>
        <w:t>.</w:t>
      </w:r>
      <w:r w:rsidR="00F948D3">
        <w:t xml:space="preserve">  The continued resistance of the project staff to active citizen involvement in their own development, based on the comments on the first draft of this report, presents a serious challenge to the proposition that the UNDP can take the lead in fostering a new political economic framework at the local level.</w:t>
      </w:r>
    </w:p>
    <w:p w:rsidR="00CF01A7" w:rsidRDefault="00CF01A7" w:rsidP="00CF01A7">
      <w:r>
        <w:t xml:space="preserve">The initiation by MLD of the national development information management system has great future value in providing a common empirical basis for citizen-government development dialogue. </w:t>
      </w:r>
      <w:r w:rsidR="00F948D3">
        <w:t>The reviewer cannot stress enough the importance of this initiative…and the necessity of creating open access to this information base to all citizens of the country.  This measure could serve to radically alter the long-standing bureaucratic monopoly of information, and therefore power, in Egyptian society.</w:t>
      </w:r>
    </w:p>
    <w:p w:rsidR="00C355A3" w:rsidRPr="00C355A3" w:rsidRDefault="00740E02" w:rsidP="00C355A3">
      <w:r w:rsidRPr="00C355A3">
        <w:rPr>
          <w:b/>
        </w:rPr>
        <w:t>Efficiency</w:t>
      </w:r>
      <w:r w:rsidR="00C355A3">
        <w:t xml:space="preserve">: </w:t>
      </w:r>
      <w:r w:rsidR="00C355A3" w:rsidRPr="00C355A3">
        <w:t xml:space="preserve">TS-MLD had one </w:t>
      </w:r>
      <w:r w:rsidR="00F948D3">
        <w:t xml:space="preserve">external </w:t>
      </w:r>
      <w:r w:rsidR="00C355A3" w:rsidRPr="00C355A3">
        <w:t xml:space="preserve">donor, the Government of the Netherlands.  The relationship with the donor partner can be described as ‘adequate’.  Unfortunately, the initial funding agreement with the Netherlands has run out and the donor is currently reducing its development exposure in Egypt due </w:t>
      </w:r>
      <w:r w:rsidR="00352536">
        <w:t>to their internal decision</w:t>
      </w:r>
      <w:r w:rsidR="00C355A3" w:rsidRPr="00C355A3">
        <w:t xml:space="preserve"> that</w:t>
      </w:r>
      <w:r w:rsidR="00352536">
        <w:t>,</w:t>
      </w:r>
      <w:r w:rsidR="00C355A3" w:rsidRPr="00C355A3">
        <w:t xml:space="preserve"> as Egypt is a middle-income country</w:t>
      </w:r>
      <w:r w:rsidR="00352536">
        <w:t>, Netherlands</w:t>
      </w:r>
      <w:r w:rsidR="00C355A3" w:rsidRPr="00C355A3">
        <w:t xml:space="preserve"> should place its attention elsewhere.</w:t>
      </w:r>
    </w:p>
    <w:p w:rsidR="003C135B" w:rsidRPr="00C9089F" w:rsidRDefault="0033693D" w:rsidP="003C135B">
      <w:r>
        <w:t>Nevertheless, t</w:t>
      </w:r>
      <w:r w:rsidR="003C135B">
        <w:t xml:space="preserve">he partnership arrangement established with other agencies, particularly USAID, has been exemplary </w:t>
      </w:r>
      <w:r w:rsidR="00C355A3">
        <w:t xml:space="preserve">in its approach to leveraging UNDP’s funding </w:t>
      </w:r>
      <w:r w:rsidR="003C135B">
        <w:t xml:space="preserve">with </w:t>
      </w:r>
      <w:r w:rsidR="00C355A3">
        <w:t>substantial national and international resources.  UNDP should seek to ensure that a similar collaborative arrangement can be established under the new governance arrangements.</w:t>
      </w:r>
    </w:p>
    <w:p w:rsidR="00523238" w:rsidRDefault="00523238" w:rsidP="0062529A">
      <w:pPr>
        <w:pStyle w:val="Heading2"/>
      </w:pPr>
      <w:bookmarkStart w:id="21" w:name="_Toc302386971"/>
      <w:r>
        <w:t>Recommendations</w:t>
      </w:r>
      <w:bookmarkEnd w:id="21"/>
    </w:p>
    <w:p w:rsidR="00740E02" w:rsidRDefault="0033693D" w:rsidP="00C9089F">
      <w:r w:rsidRPr="0033693D">
        <w:t xml:space="preserve">The MTR revealed some issues for UNDP to address as it plans its next country </w:t>
      </w:r>
      <w:r w:rsidR="008C2456">
        <w:t>programme</w:t>
      </w:r>
      <w:r w:rsidRPr="0033693D">
        <w:t xml:space="preserve"> and some lessons that could inform future programming.</w:t>
      </w:r>
    </w:p>
    <w:p w:rsidR="0029769C" w:rsidRDefault="0029769C" w:rsidP="00C9089F">
      <w:r>
        <w:t>The following recommendations are presented to provide direction for UNDP Egypt going forward:</w:t>
      </w:r>
    </w:p>
    <w:p w:rsidR="00C05A68" w:rsidRDefault="0029769C" w:rsidP="00C9089F">
      <w:r>
        <w:t>1</w:t>
      </w:r>
      <w:r w:rsidR="00757C2D">
        <w:tab/>
      </w:r>
      <w:r>
        <w:t xml:space="preserve"> The UNDP Egypt should articulate a clear theory of change for the next country </w:t>
      </w:r>
      <w:r w:rsidR="008C2456">
        <w:t>programme</w:t>
      </w:r>
      <w:r w:rsidR="00352536">
        <w:t xml:space="preserve"> </w:t>
      </w:r>
      <w:r w:rsidR="00757C2D">
        <w:t>that</w:t>
      </w:r>
      <w:r w:rsidR="00523238">
        <w:t xml:space="preserve"> emphasizes a specifically participatory approach to people’s empowerment within the context of decentralized governance.  </w:t>
      </w:r>
      <w:r w:rsidR="00B85E8E">
        <w:t>The review</w:t>
      </w:r>
      <w:r w:rsidR="00352536">
        <w:t>er</w:t>
      </w:r>
      <w:r w:rsidR="00B85E8E">
        <w:t xml:space="preserve"> recommend</w:t>
      </w:r>
      <w:r w:rsidR="00352536">
        <w:t>s</w:t>
      </w:r>
      <w:r w:rsidR="00B85E8E">
        <w:t xml:space="preserve"> that UNDP </w:t>
      </w:r>
      <w:r w:rsidR="00352536">
        <w:t xml:space="preserve">should not </w:t>
      </w:r>
      <w:r w:rsidR="00B85E8E" w:rsidRPr="00B85E8E">
        <w:t xml:space="preserve">continue to address local development </w:t>
      </w:r>
      <w:r w:rsidR="00352536">
        <w:t xml:space="preserve">primarily </w:t>
      </w:r>
      <w:r w:rsidR="00B85E8E" w:rsidRPr="00B85E8E">
        <w:t>through</w:t>
      </w:r>
      <w:r w:rsidR="00352536">
        <w:t xml:space="preserve"> </w:t>
      </w:r>
      <w:r w:rsidR="00B85E8E" w:rsidRPr="00B85E8E">
        <w:t xml:space="preserve">a </w:t>
      </w:r>
      <w:r w:rsidR="00B85E8E">
        <w:t xml:space="preserve">techno-bureaucratic </w:t>
      </w:r>
      <w:r w:rsidR="00B85E8E" w:rsidRPr="00B85E8E">
        <w:t>planning-oriented development lens</w:t>
      </w:r>
      <w:r w:rsidR="00B85E8E">
        <w:t>,</w:t>
      </w:r>
      <w:r w:rsidR="00B85E8E" w:rsidRPr="00B85E8E">
        <w:t xml:space="preserve"> which is part and parcel of a </w:t>
      </w:r>
      <w:r w:rsidR="00BA3FFF">
        <w:t>dirigist</w:t>
      </w:r>
      <w:r w:rsidR="00B85E8E" w:rsidRPr="00B85E8E">
        <w:t xml:space="preserve"> model of development, more consistent with the aims of the previous regime.</w:t>
      </w:r>
    </w:p>
    <w:p w:rsidR="000D55FE" w:rsidRDefault="00C05A68" w:rsidP="00C9089F">
      <w:r>
        <w:t>2</w:t>
      </w:r>
      <w:r w:rsidR="00757C2D">
        <w:tab/>
      </w:r>
      <w:r w:rsidR="000D55FE" w:rsidRPr="000D55FE">
        <w:t xml:space="preserve">In clarifying its </w:t>
      </w:r>
      <w:r w:rsidR="008C2456">
        <w:t>programme</w:t>
      </w:r>
      <w:r w:rsidR="00352536">
        <w:t xml:space="preserve"> </w:t>
      </w:r>
      <w:r w:rsidR="00B85E8E">
        <w:t>theory and future roles in Egypt</w:t>
      </w:r>
      <w:r w:rsidR="000D55FE" w:rsidRPr="000D55FE">
        <w:t>, the UNDP should increase its efforts to more systematically leverage resources for citizen empowerment.</w:t>
      </w:r>
      <w:r w:rsidR="00CF01A7">
        <w:t xml:space="preserve">  </w:t>
      </w:r>
      <w:r w:rsidR="00CF01A7">
        <w:lastRenderedPageBreak/>
        <w:t xml:space="preserve">Constituting the Egyptian </w:t>
      </w:r>
      <w:r w:rsidR="00FA65B8">
        <w:t>Decentralisation</w:t>
      </w:r>
      <w:r w:rsidR="00CF01A7">
        <w:t xml:space="preserve"> Network, outside the MLD, would be a good start at expanding the concept of local governance.</w:t>
      </w:r>
    </w:p>
    <w:p w:rsidR="0029769C" w:rsidRDefault="000D55FE" w:rsidP="00C9089F">
      <w:r>
        <w:t xml:space="preserve">3 </w:t>
      </w:r>
      <w:r w:rsidR="00757C2D">
        <w:tab/>
      </w:r>
      <w:r w:rsidR="00C05A68">
        <w:t xml:space="preserve">In its </w:t>
      </w:r>
      <w:r>
        <w:t>upcoming policy work, TS-MLD s</w:t>
      </w:r>
      <w:r w:rsidR="00C05A68">
        <w:t xml:space="preserve">hould </w:t>
      </w:r>
      <w:r>
        <w:t>focus its attention on establishing a political</w:t>
      </w:r>
      <w:r w:rsidR="00C22115">
        <w:t>,</w:t>
      </w:r>
      <w:r>
        <w:t xml:space="preserve"> rather than a strictly technical</w:t>
      </w:r>
      <w:r w:rsidR="00C22115">
        <w:t xml:space="preserve">, </w:t>
      </w:r>
      <w:r>
        <w:t xml:space="preserve">strategy for </w:t>
      </w:r>
      <w:r w:rsidR="00FA65B8">
        <w:t>decentralisation</w:t>
      </w:r>
      <w:r>
        <w:t xml:space="preserve"> advocacy</w:t>
      </w:r>
      <w:r w:rsidR="00C22115">
        <w:t>, particularly during the constitutional reform period</w:t>
      </w:r>
      <w:r>
        <w:t>.  This would include</w:t>
      </w:r>
      <w:r w:rsidR="00C05A68">
        <w:t xml:space="preserve"> identification of risks and m</w:t>
      </w:r>
      <w:r>
        <w:t>itigation strategies to affect policy reform</w:t>
      </w:r>
      <w:r w:rsidR="00C05A68">
        <w:t xml:space="preserve"> and more </w:t>
      </w:r>
      <w:r>
        <w:t xml:space="preserve">participatory </w:t>
      </w:r>
      <w:r w:rsidR="00C05A68">
        <w:t>approaches to capacity development</w:t>
      </w:r>
      <w:r w:rsidR="0029769C">
        <w:t>.</w:t>
      </w:r>
    </w:p>
    <w:p w:rsidR="00C05A68" w:rsidRDefault="00C05A68" w:rsidP="00C9089F">
      <w:r>
        <w:t>4</w:t>
      </w:r>
      <w:r>
        <w:tab/>
        <w:t xml:space="preserve">The </w:t>
      </w:r>
      <w:r w:rsidR="000D55FE">
        <w:t xml:space="preserve">TS-MLD technical resources </w:t>
      </w:r>
      <w:r>
        <w:t xml:space="preserve">should </w:t>
      </w:r>
      <w:r w:rsidR="000D55FE">
        <w:t>be marshaled to develop a c</w:t>
      </w:r>
      <w:r>
        <w:t xml:space="preserve">lear results framework </w:t>
      </w:r>
      <w:r w:rsidR="000D55FE">
        <w:t>for the use of the MLD local development</w:t>
      </w:r>
      <w:r w:rsidR="00777D46">
        <w:t xml:space="preserve"> program funds</w:t>
      </w:r>
      <w:r w:rsidR="000D55FE">
        <w:t xml:space="preserve">, coupled with the </w:t>
      </w:r>
      <w:r>
        <w:t xml:space="preserve"> monitoring system</w:t>
      </w:r>
      <w:r w:rsidR="00777D46">
        <w:t xml:space="preserve"> that is currently being designed</w:t>
      </w:r>
      <w:r w:rsidR="000D55FE">
        <w:t>,</w:t>
      </w:r>
      <w:r w:rsidR="00777D46">
        <w:t xml:space="preserve"> </w:t>
      </w:r>
      <w:r w:rsidR="000D55FE">
        <w:t xml:space="preserve">in order </w:t>
      </w:r>
      <w:r>
        <w:t xml:space="preserve">to track and report its </w:t>
      </w:r>
      <w:r w:rsidR="000D55FE">
        <w:t xml:space="preserve">impact </w:t>
      </w:r>
      <w:r>
        <w:t xml:space="preserve">in </w:t>
      </w:r>
      <w:r w:rsidR="000D55FE">
        <w:t xml:space="preserve">fostering </w:t>
      </w:r>
      <w:r w:rsidR="000D55FE" w:rsidRPr="000D55FE">
        <w:t>meaningful</w:t>
      </w:r>
      <w:r w:rsidR="000D55FE">
        <w:t xml:space="preserve"> change in the lives of the poor and marginalized, particularly employing a gender sensitive lens.</w:t>
      </w:r>
    </w:p>
    <w:p w:rsidR="0029769C" w:rsidRDefault="00C22115" w:rsidP="00C9089F">
      <w:r>
        <w:t>5</w:t>
      </w:r>
      <w:r w:rsidR="00CF01A7">
        <w:tab/>
        <w:t>UNDP should fully support the MLD national development information management system by making international expertise available to turn it into a fully geo-referenced system</w:t>
      </w:r>
      <w:r w:rsidR="00352536">
        <w:t xml:space="preserve"> using ‘cloud computing technology’ to facilitate open access to all of the stored information by all citizens</w:t>
      </w:r>
      <w:r w:rsidR="00CF01A7">
        <w:t>.</w:t>
      </w:r>
    </w:p>
    <w:p w:rsidR="0062529A" w:rsidRDefault="0062529A" w:rsidP="00C9089F">
      <w:r>
        <w:t>6</w:t>
      </w:r>
      <w:r>
        <w:tab/>
        <w:t xml:space="preserve">UNDP should </w:t>
      </w:r>
      <w:r w:rsidR="00352536">
        <w:t xml:space="preserve">move quickly to </w:t>
      </w:r>
      <w:r>
        <w:t>constitute a formal, high-level Pro</w:t>
      </w:r>
      <w:r w:rsidR="00352536">
        <w:t>ject Board as the sole decision-</w:t>
      </w:r>
      <w:r>
        <w:t>making body on matters related to project strategy</w:t>
      </w:r>
      <w:r w:rsidR="006222B0">
        <w:t>,</w:t>
      </w:r>
      <w:r>
        <w:t xml:space="preserve"> re-design and resource allocation. </w:t>
      </w:r>
    </w:p>
    <w:p w:rsidR="006222B0" w:rsidRDefault="006222B0">
      <w:pPr>
        <w:autoSpaceDE/>
        <w:autoSpaceDN/>
        <w:adjustRightInd/>
        <w:spacing w:after="0"/>
        <w:rPr>
          <w:rFonts w:ascii="Arial" w:eastAsia="Calibri" w:hAnsi="Arial" w:cs="Times New Roman"/>
          <w:b/>
          <w:color w:val="auto"/>
          <w:sz w:val="32"/>
        </w:rPr>
      </w:pPr>
      <w:bookmarkStart w:id="22" w:name="_Toc302386972"/>
      <w:r>
        <w:br w:type="page"/>
      </w:r>
    </w:p>
    <w:p w:rsidR="00D95D9F" w:rsidRPr="0062529A" w:rsidRDefault="0062529A" w:rsidP="0062529A">
      <w:pPr>
        <w:pStyle w:val="Heading1"/>
      </w:pPr>
      <w:r>
        <w:lastRenderedPageBreak/>
        <w:t>A</w:t>
      </w:r>
      <w:r>
        <w:tab/>
      </w:r>
      <w:r w:rsidR="00270005" w:rsidRPr="0062529A">
        <w:t>Introduction</w:t>
      </w:r>
      <w:bookmarkEnd w:id="16"/>
      <w:bookmarkEnd w:id="17"/>
      <w:bookmarkEnd w:id="18"/>
      <w:bookmarkEnd w:id="22"/>
    </w:p>
    <w:p w:rsidR="00184143" w:rsidRPr="006876C6" w:rsidRDefault="00E37986" w:rsidP="00034F2B">
      <w:r w:rsidRPr="00C83615">
        <w:t>The</w:t>
      </w:r>
      <w:r w:rsidR="00034F2B">
        <w:t xml:space="preserve"> project document for</w:t>
      </w:r>
      <w:r w:rsidRPr="00C83615">
        <w:t xml:space="preserve"> UNDP</w:t>
      </w:r>
      <w:r w:rsidR="00352536">
        <w:t xml:space="preserve"> </w:t>
      </w:r>
      <w:r w:rsidRPr="00C83615">
        <w:t xml:space="preserve">Technical </w:t>
      </w:r>
      <w:r w:rsidR="00006BF0">
        <w:t>Support</w:t>
      </w:r>
      <w:r w:rsidRPr="00C83615">
        <w:t xml:space="preserve"> to the Ministry of Local Development for Local Development</w:t>
      </w:r>
      <w:r w:rsidR="003C7865" w:rsidRPr="00C83615">
        <w:t xml:space="preserve"> (</w:t>
      </w:r>
      <w:r w:rsidR="00006BF0">
        <w:t>TS-MLD</w:t>
      </w:r>
      <w:r w:rsidR="003C7865" w:rsidRPr="00C83615">
        <w:t>)</w:t>
      </w:r>
      <w:r w:rsidR="002E1C4F">
        <w:t xml:space="preserve"> in Egypt</w:t>
      </w:r>
      <w:r w:rsidR="00034F2B">
        <w:t xml:space="preserve"> was signed by the Ministry of Local Development, the Ministry of Foreign Affairs and UNDP in </w:t>
      </w:r>
      <w:r w:rsidR="00B31EC2" w:rsidRPr="00B31EC2">
        <w:t>August 2007.  TS-MLD was designed to address the issue of local development from a national</w:t>
      </w:r>
      <w:r w:rsidR="00184143" w:rsidRPr="00C83615">
        <w:t xml:space="preserve"> perspectiv</w:t>
      </w:r>
      <w:r w:rsidR="00DC0182">
        <w:t>e, growing out of the three</w:t>
      </w:r>
      <w:r w:rsidR="004F7CF4">
        <w:t>-</w:t>
      </w:r>
      <w:r w:rsidR="00DC0182">
        <w:t xml:space="preserve">year experience of the predecessor UNDP project Municipal Infrastructure for </w:t>
      </w:r>
      <w:r w:rsidR="007969D9">
        <w:t>Strategic Revitalization (MISR)</w:t>
      </w:r>
      <w:r w:rsidR="00DC0182">
        <w:t xml:space="preserve"> that focused on introducing </w:t>
      </w:r>
      <w:r w:rsidR="00DC0182" w:rsidRPr="006876C6">
        <w:t>participatory planning methods in poor districts of Egypt.</w:t>
      </w:r>
    </w:p>
    <w:p w:rsidR="00E37986" w:rsidRPr="00C83615" w:rsidRDefault="003C7865" w:rsidP="006876C6">
      <w:r w:rsidRPr="00C83615">
        <w:t>The Netherlands Ministry of International Development agreed to co-finan</w:t>
      </w:r>
      <w:r w:rsidR="00184143" w:rsidRPr="00C83615">
        <w:t>ce the project (</w:t>
      </w:r>
      <w:r w:rsidR="00006BF0">
        <w:t>i.e.</w:t>
      </w:r>
      <w:r w:rsidR="004F7CF4">
        <w:t xml:space="preserve"> </w:t>
      </w:r>
      <w:r w:rsidR="00184143" w:rsidRPr="00C83615">
        <w:t>MISR</w:t>
      </w:r>
      <w:r w:rsidR="00006BF0">
        <w:t>,</w:t>
      </w:r>
      <w:r w:rsidR="00184143" w:rsidRPr="00C83615">
        <w:t xml:space="preserve"> initially) beginning in July 2006.  A no-cost extension was agreed in July 2010 enabling UNDP to </w:t>
      </w:r>
      <w:r w:rsidR="004064D8">
        <w:t xml:space="preserve">completely </w:t>
      </w:r>
      <w:r w:rsidR="00184143" w:rsidRPr="00C83615">
        <w:t xml:space="preserve">utilize the Netherlands funds </w:t>
      </w:r>
      <w:r w:rsidR="004064D8">
        <w:t>by</w:t>
      </w:r>
      <w:r w:rsidR="00184143" w:rsidRPr="00C83615">
        <w:t xml:space="preserve"> the end of December 2010.</w:t>
      </w:r>
    </w:p>
    <w:p w:rsidR="009E39E0" w:rsidRPr="00C83615" w:rsidRDefault="009E39E0" w:rsidP="006876C6">
      <w:r w:rsidRPr="00C83615">
        <w:t xml:space="preserve">The </w:t>
      </w:r>
      <w:r w:rsidR="00B43DE5" w:rsidRPr="00C83615">
        <w:t>review</w:t>
      </w:r>
      <w:r w:rsidRPr="00C83615">
        <w:t xml:space="preserve"> was conducted for two reasons.  First, the agreement between the Netherlands Minister for Development Cooperation and UNDP required an external </w:t>
      </w:r>
      <w:r w:rsidR="00B43DE5" w:rsidRPr="00C83615">
        <w:t>review</w:t>
      </w:r>
      <w:r w:rsidRPr="00C83615">
        <w:t xml:space="preserve"> at the end of project or, in this case, the complete utilization of the Netherlands grant.  Second, the Egyptian people’s movement</w:t>
      </w:r>
      <w:r w:rsidR="00F8717E">
        <w:t>,</w:t>
      </w:r>
      <w:r w:rsidRPr="00C83615">
        <w:t xml:space="preserve"> beginning in January 2011</w:t>
      </w:r>
      <w:r w:rsidR="00F8717E">
        <w:t>,</w:t>
      </w:r>
      <w:r w:rsidRPr="00C83615">
        <w:t xml:space="preserve"> created a sea change in the nature of governance in Egypt.  As the </w:t>
      </w:r>
      <w:r w:rsidR="00006BF0">
        <w:t>TS-MLD</w:t>
      </w:r>
      <w:r w:rsidR="00851F52">
        <w:t xml:space="preserve"> </w:t>
      </w:r>
      <w:r w:rsidR="00F8717E">
        <w:t xml:space="preserve">strategy </w:t>
      </w:r>
      <w:r w:rsidRPr="00C83615">
        <w:t xml:space="preserve">had been designed and </w:t>
      </w:r>
      <w:r w:rsidR="00DC0182">
        <w:t>overseen</w:t>
      </w:r>
      <w:r w:rsidRPr="00C83615">
        <w:t xml:space="preserve"> by the National Democratic Party</w:t>
      </w:r>
      <w:r w:rsidR="00DC0182">
        <w:t xml:space="preserve"> (NDP) Policy Secretariat</w:t>
      </w:r>
      <w:r w:rsidRPr="00C83615">
        <w:t xml:space="preserve">, which has now been dissolved, it was considered prudent to reflect on </w:t>
      </w:r>
      <w:r w:rsidR="00DE0797" w:rsidRPr="00C83615">
        <w:t>whether the existing project continues to be ‘fit for the purpose’ of facilitating a decentralized governance environment that is productive and meaningful citizen engagement</w:t>
      </w:r>
      <w:r w:rsidR="00DC0182">
        <w:t xml:space="preserve"> in</w:t>
      </w:r>
      <w:r w:rsidR="00F8717E">
        <w:t xml:space="preserve"> governance and </w:t>
      </w:r>
      <w:r w:rsidR="00DC0182">
        <w:t>development</w:t>
      </w:r>
      <w:r w:rsidR="00DE0797" w:rsidRPr="00C83615">
        <w:t xml:space="preserve">. </w:t>
      </w:r>
    </w:p>
    <w:p w:rsidR="00DC0182" w:rsidRPr="00DC0182" w:rsidRDefault="00DC0182" w:rsidP="006876C6">
      <w:r w:rsidRPr="00DC0182">
        <w:t>The Egyptian People’s Movement, beginning in January 2011, poses an important challenge to both the governance and the socioeconomic development of the nation.  Compared to previous changes in government</w:t>
      </w:r>
      <w:r w:rsidR="00851F52">
        <w:t xml:space="preserve"> over the many millennia of Egypt’s history</w:t>
      </w:r>
      <w:r w:rsidRPr="00DC0182">
        <w:t xml:space="preserve">, the current movement is the first to be dominated by the ‘man in the street’.  Some of the </w:t>
      </w:r>
      <w:r w:rsidR="00F8717E">
        <w:t>demands</w:t>
      </w:r>
      <w:r w:rsidR="00297101">
        <w:t xml:space="preserve"> being</w:t>
      </w:r>
      <w:r w:rsidR="00F8717E">
        <w:t xml:space="preserve"> put forth</w:t>
      </w:r>
      <w:r w:rsidRPr="00DC0182">
        <w:t xml:space="preserve"> are unprecedented and their influence will echo </w:t>
      </w:r>
      <w:r w:rsidR="00297101">
        <w:t xml:space="preserve">in the political arena </w:t>
      </w:r>
      <w:r w:rsidRPr="00DC0182">
        <w:t>for many years to come.  Clearly, one of the important issues that will eventually be affected by this movement is the structure</w:t>
      </w:r>
      <w:r w:rsidR="00851F52">
        <w:t>, roles and functions</w:t>
      </w:r>
      <w:r w:rsidRPr="00DC0182">
        <w:t xml:space="preserve"> of Egyptian governance at the sub-national level.</w:t>
      </w:r>
    </w:p>
    <w:p w:rsidR="00DC0182" w:rsidRPr="00DC0182" w:rsidRDefault="00DC0182" w:rsidP="006876C6">
      <w:r w:rsidRPr="00DC0182">
        <w:t xml:space="preserve">UNDP initiated this mid-term review of </w:t>
      </w:r>
      <w:r>
        <w:t>TS-MLD</w:t>
      </w:r>
      <w:r w:rsidRPr="00DC0182">
        <w:t xml:space="preserve"> in July 2011.  This review, combined with other recent technical missions from the UNCDF and the UNDP Oslo Governance Centre, is designed to provide ideas to the Government of Egypt on the appropriate ways and means to design a new approach to local governance and local development.</w:t>
      </w:r>
    </w:p>
    <w:p w:rsidR="00DC0182" w:rsidRPr="00DC0182" w:rsidRDefault="00DC0182" w:rsidP="006876C6">
      <w:r w:rsidRPr="00DC0182">
        <w:t>At a time of significant change in a country like Egypt that has suffered under the weight of dictatorial regime</w:t>
      </w:r>
      <w:r w:rsidR="00F8717E">
        <w:t>s</w:t>
      </w:r>
      <w:r w:rsidRPr="00DC0182">
        <w:t xml:space="preserve"> for </w:t>
      </w:r>
      <w:r w:rsidR="00F8717E">
        <w:t xml:space="preserve">nearly </w:t>
      </w:r>
      <w:r w:rsidRPr="00DC0182">
        <w:t xml:space="preserve">all of its historical existence, this Review </w:t>
      </w:r>
      <w:r>
        <w:t xml:space="preserve">of a policy project </w:t>
      </w:r>
      <w:r w:rsidRPr="00DC0182">
        <w:t xml:space="preserve">may seem far removed from the cutting edge of development concerns, where the poor of the country are struggling to improve their lives and gain a sense of security </w:t>
      </w:r>
      <w:r w:rsidRPr="00DC0182">
        <w:lastRenderedPageBreak/>
        <w:t>that their ancestors never knew.  However, nothing could be further from the truth.  The orientation and implementation of a project designed to support the structure and functioning of local authorities can have a significant catalytic effect on the lives of the poor.  This reviewer is pleased to have had an opportunity to look into the operations of this project and to provide some measure of advice on how it might be modified to assist in re-directing Egyptian local governance in the future.</w:t>
      </w:r>
    </w:p>
    <w:p w:rsidR="00DE0797" w:rsidRPr="00C83615" w:rsidRDefault="00DE0797" w:rsidP="006876C6">
      <w:r w:rsidRPr="00C83615">
        <w:t xml:space="preserve">The primary </w:t>
      </w:r>
      <w:r w:rsidR="002E1C4F" w:rsidRPr="00C83615">
        <w:t>audience of the review is</w:t>
      </w:r>
      <w:r w:rsidRPr="00C83615">
        <w:t xml:space="preserve"> the Netherlands Embassy to Egypt, the UNDP, the Ministry of Local Development and the Egyptian civil society as represented </w:t>
      </w:r>
      <w:r w:rsidR="00297101">
        <w:t xml:space="preserve">presently </w:t>
      </w:r>
      <w:r w:rsidR="00851F52">
        <w:t xml:space="preserve">in UNDP programmatic dialogs </w:t>
      </w:r>
      <w:r w:rsidR="00297101">
        <w:t>by</w:t>
      </w:r>
      <w:r w:rsidRPr="00C83615">
        <w:t xml:space="preserve"> the Social Contract Centre</w:t>
      </w:r>
      <w:r w:rsidR="00352536">
        <w:t xml:space="preserve"> (SCC)</w:t>
      </w:r>
      <w:r w:rsidR="00352536">
        <w:rPr>
          <w:rStyle w:val="FootnoteReference"/>
        </w:rPr>
        <w:footnoteReference w:id="1"/>
      </w:r>
      <w:r w:rsidRPr="00C83615">
        <w:t>.</w:t>
      </w:r>
    </w:p>
    <w:p w:rsidR="00DE0797" w:rsidRPr="00C83615" w:rsidRDefault="00DE0797" w:rsidP="006876C6">
      <w:pPr>
        <w:rPr>
          <w:rFonts w:eastAsia="Calibri"/>
        </w:rPr>
      </w:pPr>
      <w:r w:rsidRPr="00C83615">
        <w:t xml:space="preserve">The Review Mission was guided by a Terms of Reference (see Annex 1) that gave </w:t>
      </w:r>
      <w:r w:rsidR="00184143" w:rsidRPr="00C83615">
        <w:t xml:space="preserve">specific guidance to </w:t>
      </w:r>
      <w:r w:rsidRPr="00C83615">
        <w:rPr>
          <w:rFonts w:eastAsia="Calibri"/>
        </w:rPr>
        <w:t xml:space="preserve">analyze the achievements of the project against its original objectives while providing donors, government and project partners with an independent review of project outputs achieved so far and impact on the </w:t>
      </w:r>
      <w:r w:rsidR="00FA65B8">
        <w:rPr>
          <w:rFonts w:eastAsia="Calibri"/>
        </w:rPr>
        <w:t>decentralisation</w:t>
      </w:r>
      <w:r w:rsidRPr="00C83615">
        <w:rPr>
          <w:rFonts w:eastAsia="Calibri"/>
        </w:rPr>
        <w:t xml:space="preserve"> process.  </w:t>
      </w:r>
      <w:r w:rsidR="00184143" w:rsidRPr="00C83615">
        <w:rPr>
          <w:rFonts w:eastAsia="Calibri"/>
        </w:rPr>
        <w:t xml:space="preserve">Further, </w:t>
      </w:r>
      <w:r w:rsidR="00C30EDF" w:rsidRPr="00C83615">
        <w:rPr>
          <w:rFonts w:eastAsia="Calibri"/>
        </w:rPr>
        <w:t>the Mission</w:t>
      </w:r>
      <w:r w:rsidR="00184143" w:rsidRPr="00C83615">
        <w:rPr>
          <w:rFonts w:eastAsia="Calibri"/>
        </w:rPr>
        <w:t xml:space="preserve"> was expected to</w:t>
      </w:r>
      <w:r w:rsidRPr="00C83615">
        <w:rPr>
          <w:rFonts w:eastAsia="Calibri"/>
        </w:rPr>
        <w:t xml:space="preserve"> review strategic, procedural, technical, and managerial aspects and consider issues of effectiveness, efficiency, relevance, impact and sustainability.  </w:t>
      </w:r>
      <w:r w:rsidR="00184143" w:rsidRPr="00C83615">
        <w:rPr>
          <w:rFonts w:eastAsia="Calibri"/>
        </w:rPr>
        <w:t>In addition, t</w:t>
      </w:r>
      <w:r w:rsidRPr="00C83615">
        <w:rPr>
          <w:rFonts w:eastAsia="Calibri"/>
        </w:rPr>
        <w:t xml:space="preserve">he </w:t>
      </w:r>
      <w:r w:rsidR="00184143" w:rsidRPr="00C83615">
        <w:rPr>
          <w:rFonts w:eastAsia="Calibri"/>
        </w:rPr>
        <w:t>Mission was asked to</w:t>
      </w:r>
      <w:r w:rsidRPr="00C83615">
        <w:rPr>
          <w:rFonts w:eastAsia="Calibri"/>
        </w:rPr>
        <w:t xml:space="preserve"> identify factors that have facilitated and/or impeded the achievement of objectives and should result in recommendations and lessons learned that will help in re-orienting and re-prioritizing project activities and managerial arrangements as needed.</w:t>
      </w:r>
    </w:p>
    <w:p w:rsidR="00DE0797" w:rsidRPr="00C83615" w:rsidRDefault="00DE0797" w:rsidP="006876C6">
      <w:pPr>
        <w:rPr>
          <w:rFonts w:eastAsia="Calibri"/>
          <w:b/>
        </w:rPr>
      </w:pPr>
      <w:r w:rsidRPr="00C83615">
        <w:rPr>
          <w:rFonts w:eastAsia="Calibri"/>
        </w:rPr>
        <w:t xml:space="preserve">The scope of the </w:t>
      </w:r>
      <w:r w:rsidR="00B43DE5" w:rsidRPr="00C83615">
        <w:rPr>
          <w:rFonts w:eastAsia="Calibri"/>
        </w:rPr>
        <w:t>review covers</w:t>
      </w:r>
      <w:r w:rsidR="00851F52">
        <w:rPr>
          <w:rFonts w:eastAsia="Calibri"/>
        </w:rPr>
        <w:t xml:space="preserve"> </w:t>
      </w:r>
      <w:r w:rsidR="00B43DE5" w:rsidRPr="00C83615">
        <w:rPr>
          <w:rFonts w:eastAsia="Calibri"/>
        </w:rPr>
        <w:t xml:space="preserve">all </w:t>
      </w:r>
      <w:r w:rsidR="00851F52">
        <w:rPr>
          <w:rFonts w:eastAsia="Calibri"/>
        </w:rPr>
        <w:t xml:space="preserve">major </w:t>
      </w:r>
      <w:r w:rsidR="00B43DE5" w:rsidRPr="00C83615">
        <w:rPr>
          <w:rFonts w:eastAsia="Calibri"/>
        </w:rPr>
        <w:t xml:space="preserve">aspects of </w:t>
      </w:r>
      <w:r w:rsidR="00006BF0">
        <w:rPr>
          <w:rFonts w:eastAsia="Calibri"/>
        </w:rPr>
        <w:t>TS-MLD</w:t>
      </w:r>
      <w:r w:rsidRPr="00C83615">
        <w:rPr>
          <w:rFonts w:eastAsia="Calibri"/>
        </w:rPr>
        <w:t xml:space="preserve"> activities </w:t>
      </w:r>
      <w:r w:rsidR="00B43DE5" w:rsidRPr="00C83615">
        <w:rPr>
          <w:rFonts w:eastAsia="Calibri"/>
        </w:rPr>
        <w:t xml:space="preserve">implemented with financing </w:t>
      </w:r>
      <w:r w:rsidR="00DC0182">
        <w:rPr>
          <w:rFonts w:eastAsia="Calibri"/>
        </w:rPr>
        <w:t xml:space="preserve">from the Netherlands and Government of Egypt (GoE) </w:t>
      </w:r>
      <w:r w:rsidR="00B43DE5" w:rsidRPr="00C83615">
        <w:rPr>
          <w:rFonts w:eastAsia="Calibri"/>
        </w:rPr>
        <w:t xml:space="preserve">channeled through the UNDP between August </w:t>
      </w:r>
      <w:r w:rsidRPr="00C83615">
        <w:rPr>
          <w:rFonts w:eastAsia="Calibri"/>
        </w:rPr>
        <w:t xml:space="preserve">2007 </w:t>
      </w:r>
      <w:r w:rsidR="00B43DE5" w:rsidRPr="00C83615">
        <w:rPr>
          <w:rFonts w:eastAsia="Calibri"/>
        </w:rPr>
        <w:t>until 2011</w:t>
      </w:r>
      <w:r w:rsidRPr="00C83615">
        <w:rPr>
          <w:rFonts w:eastAsia="Calibri"/>
        </w:rPr>
        <w:t xml:space="preserve"> as well</w:t>
      </w:r>
      <w:r w:rsidR="00B43DE5" w:rsidRPr="00C83615">
        <w:rPr>
          <w:rFonts w:eastAsia="Calibri"/>
        </w:rPr>
        <w:t xml:space="preserve"> as achieved activities in 2011.</w:t>
      </w:r>
    </w:p>
    <w:p w:rsidR="00DE0797" w:rsidRPr="00F8717E" w:rsidRDefault="00DE0797" w:rsidP="006876C6">
      <w:pPr>
        <w:rPr>
          <w:rFonts w:eastAsia="Calibri"/>
        </w:rPr>
      </w:pPr>
      <w:r w:rsidRPr="00F8717E">
        <w:rPr>
          <w:rFonts w:eastAsia="Calibri"/>
        </w:rPr>
        <w:t xml:space="preserve">The </w:t>
      </w:r>
      <w:r w:rsidR="00B43DE5" w:rsidRPr="00F8717E">
        <w:rPr>
          <w:rFonts w:eastAsia="Calibri"/>
        </w:rPr>
        <w:t>review</w:t>
      </w:r>
      <w:r w:rsidRPr="00F8717E">
        <w:rPr>
          <w:rFonts w:eastAsia="Calibri"/>
        </w:rPr>
        <w:t xml:space="preserve"> cover</w:t>
      </w:r>
      <w:r w:rsidR="00B43DE5" w:rsidRPr="00F8717E">
        <w:rPr>
          <w:rFonts w:eastAsia="Calibri"/>
        </w:rPr>
        <w:t>s</w:t>
      </w:r>
      <w:r w:rsidRPr="00F8717E">
        <w:rPr>
          <w:rFonts w:eastAsia="Calibri"/>
        </w:rPr>
        <w:t xml:space="preserve"> the contribution of </w:t>
      </w:r>
      <w:r w:rsidR="00006BF0" w:rsidRPr="00F8717E">
        <w:rPr>
          <w:rFonts w:eastAsia="Calibri"/>
        </w:rPr>
        <w:t>TS-MLD</w:t>
      </w:r>
      <w:r w:rsidRPr="00F8717E">
        <w:rPr>
          <w:rFonts w:eastAsia="Calibri"/>
        </w:rPr>
        <w:t xml:space="preserve"> to the following </w:t>
      </w:r>
      <w:r w:rsidR="00B43DE5" w:rsidRPr="00F8717E">
        <w:rPr>
          <w:rFonts w:eastAsia="Calibri"/>
        </w:rPr>
        <w:t xml:space="preserve">formal project </w:t>
      </w:r>
      <w:r w:rsidRPr="00F8717E">
        <w:rPr>
          <w:rFonts w:eastAsia="Calibri"/>
        </w:rPr>
        <w:t>outputs:</w:t>
      </w:r>
    </w:p>
    <w:p w:rsidR="00DE0797" w:rsidRPr="007969D9" w:rsidRDefault="00DE0797" w:rsidP="007969D9">
      <w:pPr>
        <w:numPr>
          <w:ilvl w:val="0"/>
          <w:numId w:val="46"/>
        </w:numPr>
        <w:rPr>
          <w:rFonts w:eastAsia="Calibri"/>
          <w:b/>
        </w:rPr>
      </w:pPr>
      <w:r w:rsidRPr="007969D9">
        <w:rPr>
          <w:rFonts w:eastAsia="Calibri"/>
          <w:b/>
        </w:rPr>
        <w:t>Coordinate and guide the development and modification of the policy and legal environment for the local authority system.</w:t>
      </w:r>
    </w:p>
    <w:p w:rsidR="00DE0797" w:rsidRPr="007969D9" w:rsidRDefault="002E1C4F" w:rsidP="007969D9">
      <w:pPr>
        <w:numPr>
          <w:ilvl w:val="0"/>
          <w:numId w:val="46"/>
        </w:numPr>
        <w:rPr>
          <w:rFonts w:eastAsia="Calibri"/>
          <w:b/>
        </w:rPr>
      </w:pPr>
      <w:r>
        <w:rPr>
          <w:rFonts w:eastAsia="Calibri"/>
          <w:b/>
        </w:rPr>
        <w:t>Restructuring of M</w:t>
      </w:r>
      <w:r w:rsidR="00DE0797" w:rsidRPr="007969D9">
        <w:rPr>
          <w:rFonts w:eastAsia="Calibri"/>
          <w:b/>
        </w:rPr>
        <w:t>LD to strengthen its own capacity a</w:t>
      </w:r>
      <w:r w:rsidR="007969D9">
        <w:rPr>
          <w:rFonts w:eastAsia="Calibri"/>
          <w:b/>
        </w:rPr>
        <w:t>s the central agency for State’</w:t>
      </w:r>
      <w:r w:rsidR="00DE0797" w:rsidRPr="007969D9">
        <w:rPr>
          <w:rFonts w:eastAsia="Calibri"/>
          <w:b/>
        </w:rPr>
        <w:t>s support and supervision of the sub-national authorities’ system.</w:t>
      </w:r>
    </w:p>
    <w:p w:rsidR="00DE0797" w:rsidRPr="007969D9" w:rsidRDefault="00DE0797" w:rsidP="007969D9">
      <w:pPr>
        <w:numPr>
          <w:ilvl w:val="0"/>
          <w:numId w:val="46"/>
        </w:numPr>
        <w:rPr>
          <w:rFonts w:eastAsia="Calibri"/>
          <w:b/>
        </w:rPr>
      </w:pPr>
      <w:r w:rsidRPr="007969D9">
        <w:rPr>
          <w:rFonts w:eastAsia="Calibri"/>
          <w:b/>
        </w:rPr>
        <w:t xml:space="preserve">Guide the capacity development of local authorities on administrative and public expenditure and asset management skills </w:t>
      </w:r>
    </w:p>
    <w:p w:rsidR="00B43DE5" w:rsidRPr="00F8717E" w:rsidRDefault="00B43DE5" w:rsidP="006876C6">
      <w:pPr>
        <w:rPr>
          <w:rFonts w:eastAsia="Calibri"/>
        </w:rPr>
      </w:pPr>
      <w:r w:rsidRPr="00F8717E">
        <w:rPr>
          <w:rFonts w:eastAsia="Calibri"/>
        </w:rPr>
        <w:t xml:space="preserve">The review also covers the contribution of </w:t>
      </w:r>
      <w:r w:rsidR="00006BF0" w:rsidRPr="00F8717E">
        <w:rPr>
          <w:rFonts w:eastAsia="Calibri"/>
        </w:rPr>
        <w:t>TS-MLD</w:t>
      </w:r>
      <w:r w:rsidRPr="00F8717E">
        <w:rPr>
          <w:rFonts w:eastAsia="Calibri"/>
        </w:rPr>
        <w:t xml:space="preserve"> to the 2007 - 2011 Country </w:t>
      </w:r>
      <w:r w:rsidR="008C2456">
        <w:rPr>
          <w:rFonts w:eastAsia="Calibri"/>
        </w:rPr>
        <w:t>Programme</w:t>
      </w:r>
      <w:r w:rsidRPr="00F8717E">
        <w:rPr>
          <w:rFonts w:eastAsia="Calibri"/>
        </w:rPr>
        <w:t xml:space="preserve"> Action Plan Outcome 4: “</w:t>
      </w:r>
      <w:r w:rsidR="00FA65B8">
        <w:rPr>
          <w:rFonts w:eastAsia="Calibri"/>
        </w:rPr>
        <w:t>Decentralisation</w:t>
      </w:r>
      <w:r w:rsidRPr="00F8717E">
        <w:rPr>
          <w:rFonts w:eastAsia="Calibri"/>
        </w:rPr>
        <w:t xml:space="preserve"> policies formulated/reformed, </w:t>
      </w:r>
      <w:r w:rsidRPr="00F8717E">
        <w:rPr>
          <w:rFonts w:eastAsia="Calibri"/>
        </w:rPr>
        <w:lastRenderedPageBreak/>
        <w:t xml:space="preserve">adopted &amp; implemented with improved capacity of institutions at the local level in participatory planning, resource management &amp; service delivery”. </w:t>
      </w:r>
    </w:p>
    <w:p w:rsidR="00DE0797" w:rsidRPr="00F8717E" w:rsidRDefault="00DC0182" w:rsidP="006876C6">
      <w:pPr>
        <w:rPr>
          <w:rFonts w:eastAsia="Calibri"/>
        </w:rPr>
      </w:pPr>
      <w:r w:rsidRPr="00F8717E">
        <w:rPr>
          <w:rFonts w:eastAsia="Calibri"/>
        </w:rPr>
        <w:t>A key value of the review will be to provide an objective perspective on how the project might be re-oriented to provide the best assistance to the new national government as it takes shape.</w:t>
      </w:r>
    </w:p>
    <w:p w:rsidR="00521EB4" w:rsidRPr="00D4700E" w:rsidRDefault="00B43DE5" w:rsidP="00D4700E">
      <w:pPr>
        <w:pStyle w:val="Heading2"/>
      </w:pPr>
      <w:bookmarkStart w:id="23" w:name="_Toc300432370"/>
      <w:bookmarkStart w:id="24" w:name="_Toc300433971"/>
      <w:bookmarkStart w:id="25" w:name="_Toc300434979"/>
      <w:bookmarkStart w:id="26" w:name="_Toc302386973"/>
      <w:r w:rsidRPr="00D4700E">
        <w:t>Review</w:t>
      </w:r>
      <w:r w:rsidR="00521EB4" w:rsidRPr="00D4700E">
        <w:t xml:space="preserve"> criteria</w:t>
      </w:r>
      <w:bookmarkEnd w:id="23"/>
      <w:bookmarkEnd w:id="24"/>
      <w:bookmarkEnd w:id="25"/>
      <w:bookmarkEnd w:id="26"/>
    </w:p>
    <w:p w:rsidR="002E1AEF" w:rsidRPr="00C83615" w:rsidRDefault="002E1AEF" w:rsidP="006876C6">
      <w:r w:rsidRPr="00C83615">
        <w:t xml:space="preserve">Following the Egyptian People’s Movement beginning in early 2011, UNDP decided to review its support to </w:t>
      </w:r>
      <w:r w:rsidR="00FA65B8">
        <w:t>decentralisation</w:t>
      </w:r>
      <w:r w:rsidRPr="00C83615">
        <w:t xml:space="preserve"> through the </w:t>
      </w:r>
      <w:r w:rsidR="00006BF0">
        <w:t>TS-MLD</w:t>
      </w:r>
      <w:r w:rsidRPr="00C83615">
        <w:t xml:space="preserve">.  UNDP made the case that progress to </w:t>
      </w:r>
      <w:r w:rsidR="002015BD" w:rsidRPr="00C83615">
        <w:t>outcome</w:t>
      </w:r>
      <w:r w:rsidRPr="00C83615">
        <w:t xml:space="preserve"> and outputs should not be reviewed to the 2011 targets in the current AWP since these the recent political turmoil had put a serious constraint on progress toward deliverables.</w:t>
      </w:r>
    </w:p>
    <w:p w:rsidR="00636DB1" w:rsidRPr="00636DB1" w:rsidRDefault="00636DB1" w:rsidP="006876C6">
      <w:r w:rsidRPr="00636DB1">
        <w:t xml:space="preserve">The review </w:t>
      </w:r>
      <w:r>
        <w:t>was</w:t>
      </w:r>
      <w:r w:rsidRPr="00636DB1">
        <w:t xml:space="preserve"> undertaken to provide a formative assessment of the project to date with the </w:t>
      </w:r>
      <w:r>
        <w:t xml:space="preserve">primary purpose to ensure that the valuable technical products generated and the ongoing </w:t>
      </w:r>
      <w:r w:rsidR="008C2456">
        <w:t>programme</w:t>
      </w:r>
      <w:r>
        <w:t xml:space="preserve">s can be effectively utilized by the new national leadership to devise an appropriate system of </w:t>
      </w:r>
      <w:r w:rsidR="00B60984">
        <w:t>inclusiv</w:t>
      </w:r>
      <w:r w:rsidR="00851F52">
        <w:t xml:space="preserve">e, democratic local </w:t>
      </w:r>
      <w:r>
        <w:t>governance that will provide the framework for local development that generates meaningful benefits for the poor and marginalize members of society.</w:t>
      </w:r>
    </w:p>
    <w:p w:rsidR="002E1AEF" w:rsidRPr="00C83615" w:rsidRDefault="002E1AEF" w:rsidP="006876C6">
      <w:pPr>
        <w:rPr>
          <w:rFonts w:eastAsia="Calibri"/>
        </w:rPr>
      </w:pPr>
      <w:r w:rsidRPr="00C83615">
        <w:rPr>
          <w:rFonts w:eastAsia="Calibri"/>
        </w:rPr>
        <w:t>The UNDP asked specifically that the review consider two main factors when assessing the results of the project”</w:t>
      </w:r>
      <w:r w:rsidR="00DC0182">
        <w:rPr>
          <w:rFonts w:eastAsia="Calibri"/>
        </w:rPr>
        <w:t>:</w:t>
      </w:r>
    </w:p>
    <w:p w:rsidR="002E1AEF" w:rsidRPr="00C83615" w:rsidRDefault="00D4700E" w:rsidP="006876C6">
      <w:pPr>
        <w:rPr>
          <w:rFonts w:eastAsia="Calibri"/>
        </w:rPr>
      </w:pPr>
      <w:r>
        <w:rPr>
          <w:rFonts w:eastAsia="Calibri"/>
        </w:rPr>
        <w:tab/>
      </w:r>
      <w:r w:rsidR="002E1AEF" w:rsidRPr="00C83615">
        <w:rPr>
          <w:rFonts w:eastAsia="Calibri"/>
        </w:rPr>
        <w:t xml:space="preserve">How did the project influence the </w:t>
      </w:r>
      <w:r w:rsidR="00FA65B8">
        <w:rPr>
          <w:rFonts w:eastAsia="Calibri"/>
        </w:rPr>
        <w:t>decentralisation</w:t>
      </w:r>
      <w:r w:rsidR="002E1AEF" w:rsidRPr="00C83615">
        <w:rPr>
          <w:rFonts w:eastAsia="Calibri"/>
        </w:rPr>
        <w:t xml:space="preserve"> policy </w:t>
      </w:r>
      <w:r w:rsidR="00C30EDF" w:rsidRPr="00C83615">
        <w:rPr>
          <w:rFonts w:eastAsia="Calibri"/>
        </w:rPr>
        <w:t>process?</w:t>
      </w:r>
    </w:p>
    <w:p w:rsidR="002E1AEF" w:rsidRPr="00C83615" w:rsidRDefault="00D4700E" w:rsidP="006876C6">
      <w:pPr>
        <w:rPr>
          <w:rFonts w:eastAsia="Calibri"/>
        </w:rPr>
      </w:pPr>
      <w:r>
        <w:rPr>
          <w:rFonts w:eastAsia="Calibri"/>
        </w:rPr>
        <w:tab/>
      </w:r>
      <w:r w:rsidR="002E1AEF" w:rsidRPr="00C83615">
        <w:rPr>
          <w:rFonts w:eastAsia="Calibri"/>
        </w:rPr>
        <w:t xml:space="preserve">How can UNDP assist in improving the process in the </w:t>
      </w:r>
      <w:r w:rsidR="00C30EDF" w:rsidRPr="00C83615">
        <w:rPr>
          <w:rFonts w:eastAsia="Calibri"/>
        </w:rPr>
        <w:t>future?</w:t>
      </w:r>
    </w:p>
    <w:p w:rsidR="000C1686" w:rsidRPr="00D4700E" w:rsidRDefault="00B43DE5" w:rsidP="00D4700E">
      <w:pPr>
        <w:pStyle w:val="Heading2"/>
      </w:pPr>
      <w:bookmarkStart w:id="27" w:name="_Toc300432371"/>
      <w:bookmarkStart w:id="28" w:name="_Toc300433972"/>
      <w:bookmarkStart w:id="29" w:name="_Toc300434980"/>
      <w:bookmarkStart w:id="30" w:name="_Toc302386974"/>
      <w:r w:rsidRPr="00D4700E">
        <w:t>Review</w:t>
      </w:r>
      <w:r w:rsidR="000C1686" w:rsidRPr="00D4700E">
        <w:t xml:space="preserve"> Process</w:t>
      </w:r>
      <w:bookmarkEnd w:id="27"/>
      <w:bookmarkEnd w:id="28"/>
      <w:bookmarkEnd w:id="29"/>
      <w:bookmarkEnd w:id="30"/>
    </w:p>
    <w:p w:rsidR="00DE0797" w:rsidRPr="00C83615" w:rsidRDefault="00DE0797" w:rsidP="006876C6">
      <w:r w:rsidRPr="00C83615">
        <w:t>The review mission consisted of a week reviewing documents at home base, two weeks in country conducting interviews in Cairo, Fayoum and Ismailia, and a week at home base writing up the full report.</w:t>
      </w:r>
    </w:p>
    <w:p w:rsidR="000C1686" w:rsidRPr="00C83615" w:rsidRDefault="000C1686" w:rsidP="006876C6">
      <w:r w:rsidRPr="00C83615">
        <w:t xml:space="preserve">The mission was requested to prepare an Inception Report with guide questions that matched the core </w:t>
      </w:r>
      <w:r w:rsidR="00B43DE5" w:rsidRPr="00C83615">
        <w:t>Review</w:t>
      </w:r>
      <w:r w:rsidRPr="00C83615">
        <w:t xml:space="preserve"> Elements of the TOR for this MTR.  The mission followed those questions throughout and structured an Aide Memoire to capture Preliminary Findings and Recommendations associated with each of these question.</w:t>
      </w:r>
    </w:p>
    <w:p w:rsidR="000C1686" w:rsidRPr="00C83615" w:rsidRDefault="000C1686" w:rsidP="006876C6">
      <w:r w:rsidRPr="00C83615">
        <w:t>The Aide Memoire was sub</w:t>
      </w:r>
      <w:r w:rsidR="00F8717E">
        <w:t>mitted to UNDP for comment on 23</w:t>
      </w:r>
      <w:r w:rsidRPr="00C83615">
        <w:t xml:space="preserve"> July 2011.  </w:t>
      </w:r>
      <w:r w:rsidR="00F8717E">
        <w:t>C</w:t>
      </w:r>
      <w:r w:rsidRPr="00C83615">
        <w:t>omments were received</w:t>
      </w:r>
      <w:r w:rsidR="00F8717E">
        <w:t xml:space="preserve"> on 1 August. T</w:t>
      </w:r>
      <w:r w:rsidRPr="00C83615">
        <w:t>his report has elaborated on the general findings outlined in the AM</w:t>
      </w:r>
      <w:r w:rsidR="00F8717E">
        <w:t>, taking these comments into consideration.</w:t>
      </w:r>
      <w:r w:rsidRPr="00C83615">
        <w:t xml:space="preserve">  This report reviews the progress to the </w:t>
      </w:r>
      <w:r w:rsidR="00006BF0">
        <w:t>TS-MLD</w:t>
      </w:r>
      <w:r w:rsidRPr="00C83615">
        <w:t xml:space="preserve"> project document outcome and outputs, and outlines key </w:t>
      </w:r>
      <w:r w:rsidR="00F8717E">
        <w:t xml:space="preserve">conclusions </w:t>
      </w:r>
      <w:r w:rsidR="00F8717E">
        <w:lastRenderedPageBreak/>
        <w:t>and recommendations resulting from the analysis of the findings.  It also outlines</w:t>
      </w:r>
      <w:r w:rsidRPr="00C83615">
        <w:t xml:space="preserve"> some </w:t>
      </w:r>
      <w:r w:rsidR="00F8717E">
        <w:t xml:space="preserve">ideas on </w:t>
      </w:r>
      <w:r w:rsidRPr="00C83615">
        <w:t>future UNDP suppo</w:t>
      </w:r>
      <w:r w:rsidR="00F8717E">
        <w:t>rt to local governance in Egypt.</w:t>
      </w:r>
    </w:p>
    <w:p w:rsidR="000C1686" w:rsidRPr="00C83615" w:rsidRDefault="000C1686" w:rsidP="006876C6">
      <w:r w:rsidRPr="00C83615">
        <w:t>The TOR specified that the review mission would include an Egyptian expert as part of the team.  Unfortunately, this was not possible and the international consultant carried out the mission on his own</w:t>
      </w:r>
      <w:r w:rsidR="00F8717E">
        <w:t>, which imposed a serious constraint on his</w:t>
      </w:r>
      <w:r w:rsidR="00082A42">
        <w:t xml:space="preserve"> </w:t>
      </w:r>
      <w:r w:rsidR="00F8717E">
        <w:t>ability to review documents in Arabic, cover a</w:t>
      </w:r>
      <w:r w:rsidR="00297101">
        <w:t>ll aspects in sufficient detail</w:t>
      </w:r>
      <w:r w:rsidR="00F8717E">
        <w:t>.  The lack of a national colleague seriously limited the Reviewer</w:t>
      </w:r>
      <w:r w:rsidR="00297101">
        <w:t>’</w:t>
      </w:r>
      <w:r w:rsidR="00F8717E">
        <w:t xml:space="preserve">s ability to place TS-MLD </w:t>
      </w:r>
      <w:r w:rsidR="00297101">
        <w:t>with</w:t>
      </w:r>
      <w:r w:rsidR="00F8717E">
        <w:t xml:space="preserve">in the current </w:t>
      </w:r>
      <w:r w:rsidR="00297101">
        <w:t>political</w:t>
      </w:r>
      <w:r w:rsidR="00CC57D8">
        <w:t xml:space="preserve"> </w:t>
      </w:r>
      <w:r w:rsidR="00297101">
        <w:t>context</w:t>
      </w:r>
      <w:r w:rsidR="00F8717E">
        <w:t>.</w:t>
      </w:r>
      <w:r w:rsidR="00CC57D8">
        <w:t xml:space="preserve">  </w:t>
      </w:r>
      <w:r w:rsidR="00CC57D8" w:rsidRPr="00CC57D8">
        <w:t>However, there is no question that the Reviewer was able to recommend a future direction for the project that is more in keeping with a democratic polity.</w:t>
      </w:r>
      <w:r w:rsidR="00C13915">
        <w:t xml:space="preserve">   As will be noted below, serious concerns are raised regarding the continuation of the project staff’s </w:t>
      </w:r>
      <w:r w:rsidR="00B60984">
        <w:t>adherence</w:t>
      </w:r>
      <w:r w:rsidR="00C13915">
        <w:t xml:space="preserve"> to a techno-bureaucratic approach to local governance, sugge</w:t>
      </w:r>
      <w:r w:rsidR="00082A42">
        <w:t>sting that citizen</w:t>
      </w:r>
      <w:r w:rsidR="00C13915">
        <w:t xml:space="preserve"> empowerment should wait for civil service empowerment.</w:t>
      </w:r>
    </w:p>
    <w:p w:rsidR="000C1686" w:rsidRPr="00C83615" w:rsidRDefault="00DC0182" w:rsidP="006876C6">
      <w:r w:rsidRPr="00DC0182">
        <w:rPr>
          <w:rFonts w:cs="Wingdings"/>
        </w:rPr>
        <w:t>The</w:t>
      </w:r>
      <w:r w:rsidR="00C13915">
        <w:rPr>
          <w:rFonts w:cs="Wingdings"/>
        </w:rPr>
        <w:t xml:space="preserve"> key r</w:t>
      </w:r>
      <w:r w:rsidR="00B43DE5" w:rsidRPr="00DC0182">
        <w:t>eview</w:t>
      </w:r>
      <w:r w:rsidR="000C1686" w:rsidRPr="00DC0182">
        <w:t xml:space="preserve"> questions </w:t>
      </w:r>
      <w:r>
        <w:t xml:space="preserve">that guided the collection of data and the content of the report </w:t>
      </w:r>
      <w:r w:rsidR="000C1686" w:rsidRPr="00DC0182">
        <w:t xml:space="preserve">define the information </w:t>
      </w:r>
      <w:r>
        <w:t>are as follows:</w:t>
      </w:r>
    </w:p>
    <w:p w:rsidR="00691647" w:rsidRPr="00D4700E" w:rsidRDefault="00691647" w:rsidP="007969D9">
      <w:pPr>
        <w:spacing w:after="0"/>
        <w:rPr>
          <w:sz w:val="20"/>
          <w:szCs w:val="20"/>
        </w:rPr>
      </w:pPr>
      <w:r w:rsidRPr="00D4700E">
        <w:rPr>
          <w:sz w:val="20"/>
          <w:szCs w:val="20"/>
        </w:rPr>
        <w:t>1</w:t>
      </w:r>
      <w:r w:rsidRPr="00D4700E">
        <w:rPr>
          <w:sz w:val="20"/>
          <w:szCs w:val="20"/>
        </w:rPr>
        <w:tab/>
        <w:t>In what ways has the MLD/</w:t>
      </w:r>
      <w:r w:rsidR="00006BF0" w:rsidRPr="00D4700E">
        <w:rPr>
          <w:sz w:val="20"/>
          <w:szCs w:val="20"/>
        </w:rPr>
        <w:t>TS-MLD</w:t>
      </w:r>
      <w:r w:rsidRPr="00D4700E">
        <w:rPr>
          <w:sz w:val="20"/>
          <w:szCs w:val="20"/>
        </w:rPr>
        <w:t xml:space="preserve"> project contributed to the UNDP CPAP </w:t>
      </w:r>
      <w:r w:rsidR="00FA65B8">
        <w:rPr>
          <w:sz w:val="20"/>
          <w:szCs w:val="20"/>
        </w:rPr>
        <w:t>Decentralisation</w:t>
      </w:r>
      <w:r w:rsidRPr="00D4700E">
        <w:rPr>
          <w:sz w:val="20"/>
          <w:szCs w:val="20"/>
        </w:rPr>
        <w:t xml:space="preserve"> Outcome 4?</w:t>
      </w:r>
    </w:p>
    <w:p w:rsidR="00D4700E" w:rsidRPr="00D4700E" w:rsidRDefault="00D4700E" w:rsidP="007969D9">
      <w:pPr>
        <w:spacing w:after="0"/>
        <w:rPr>
          <w:sz w:val="20"/>
          <w:szCs w:val="20"/>
        </w:rPr>
      </w:pPr>
      <w:r w:rsidRPr="00D4700E">
        <w:rPr>
          <w:sz w:val="20"/>
          <w:szCs w:val="20"/>
        </w:rPr>
        <w:t>A</w:t>
      </w:r>
      <w:r w:rsidRPr="00D4700E">
        <w:rPr>
          <w:sz w:val="20"/>
          <w:szCs w:val="20"/>
        </w:rPr>
        <w:tab/>
        <w:t>Review Element 1:  Policy</w:t>
      </w:r>
    </w:p>
    <w:p w:rsidR="00691647" w:rsidRPr="00D4700E" w:rsidRDefault="00691647" w:rsidP="007969D9">
      <w:pPr>
        <w:spacing w:after="0"/>
        <w:rPr>
          <w:sz w:val="20"/>
          <w:szCs w:val="20"/>
        </w:rPr>
      </w:pPr>
      <w:r w:rsidRPr="00D4700E">
        <w:rPr>
          <w:sz w:val="20"/>
          <w:szCs w:val="20"/>
        </w:rPr>
        <w:t>2</w:t>
      </w:r>
      <w:r w:rsidRPr="00D4700E">
        <w:rPr>
          <w:sz w:val="20"/>
          <w:szCs w:val="20"/>
        </w:rPr>
        <w:tab/>
        <w:t xml:space="preserve">How has </w:t>
      </w:r>
      <w:r w:rsidR="00006BF0" w:rsidRPr="00D4700E">
        <w:rPr>
          <w:sz w:val="20"/>
          <w:szCs w:val="20"/>
        </w:rPr>
        <w:t>TS-MLD</w:t>
      </w:r>
      <w:r w:rsidRPr="00D4700E">
        <w:rPr>
          <w:sz w:val="20"/>
          <w:szCs w:val="20"/>
        </w:rPr>
        <w:t xml:space="preserve"> contributed to the debate and discourse over </w:t>
      </w:r>
      <w:r w:rsidR="00FA65B8">
        <w:rPr>
          <w:sz w:val="20"/>
          <w:szCs w:val="20"/>
        </w:rPr>
        <w:t>decentralisation</w:t>
      </w:r>
      <w:r w:rsidRPr="00D4700E">
        <w:rPr>
          <w:sz w:val="20"/>
          <w:szCs w:val="20"/>
        </w:rPr>
        <w:t xml:space="preserve">/local governance issues in Egypt? </w:t>
      </w:r>
    </w:p>
    <w:p w:rsidR="00691647" w:rsidRPr="00D4700E" w:rsidRDefault="00691647" w:rsidP="007969D9">
      <w:pPr>
        <w:spacing w:after="0"/>
        <w:rPr>
          <w:sz w:val="20"/>
          <w:szCs w:val="20"/>
        </w:rPr>
      </w:pPr>
      <w:r w:rsidRPr="00D4700E">
        <w:rPr>
          <w:sz w:val="20"/>
          <w:szCs w:val="20"/>
        </w:rPr>
        <w:t>3</w:t>
      </w:r>
      <w:r w:rsidRPr="00D4700E">
        <w:rPr>
          <w:sz w:val="20"/>
          <w:szCs w:val="20"/>
        </w:rPr>
        <w:tab/>
        <w:t>How has the recent people’s revolution impacted the work of the project and its future direction?</w:t>
      </w:r>
    </w:p>
    <w:p w:rsidR="002C7EF8" w:rsidRPr="00D4700E" w:rsidRDefault="00691647" w:rsidP="007969D9">
      <w:pPr>
        <w:spacing w:after="0"/>
        <w:rPr>
          <w:sz w:val="20"/>
          <w:szCs w:val="20"/>
        </w:rPr>
      </w:pPr>
      <w:r w:rsidRPr="00D4700E">
        <w:rPr>
          <w:sz w:val="20"/>
          <w:szCs w:val="20"/>
        </w:rPr>
        <w:t xml:space="preserve">B.  </w:t>
      </w:r>
      <w:r w:rsidR="00B43DE5" w:rsidRPr="00D4700E">
        <w:rPr>
          <w:sz w:val="20"/>
          <w:szCs w:val="20"/>
        </w:rPr>
        <w:t>Review</w:t>
      </w:r>
      <w:r w:rsidRPr="00D4700E">
        <w:rPr>
          <w:sz w:val="20"/>
          <w:szCs w:val="20"/>
        </w:rPr>
        <w:t xml:space="preserve"> Element 2:  Institutional support</w:t>
      </w:r>
    </w:p>
    <w:p w:rsidR="00691647" w:rsidRPr="00D4700E" w:rsidRDefault="00691647" w:rsidP="007969D9">
      <w:pPr>
        <w:spacing w:after="0"/>
        <w:rPr>
          <w:sz w:val="20"/>
          <w:szCs w:val="20"/>
        </w:rPr>
      </w:pPr>
      <w:r w:rsidRPr="00D4700E">
        <w:rPr>
          <w:sz w:val="20"/>
          <w:szCs w:val="20"/>
        </w:rPr>
        <w:t>4</w:t>
      </w:r>
      <w:r w:rsidRPr="00D4700E">
        <w:rPr>
          <w:sz w:val="20"/>
          <w:szCs w:val="20"/>
        </w:rPr>
        <w:tab/>
        <w:t xml:space="preserve">In what ways have </w:t>
      </w:r>
      <w:r w:rsidR="00006BF0" w:rsidRPr="00D4700E">
        <w:rPr>
          <w:sz w:val="20"/>
          <w:szCs w:val="20"/>
        </w:rPr>
        <w:t>TS-MLD</w:t>
      </w:r>
      <w:r w:rsidRPr="00D4700E">
        <w:rPr>
          <w:sz w:val="20"/>
          <w:szCs w:val="20"/>
        </w:rPr>
        <w:t xml:space="preserve"> activities contributed to more effective central management of local governance in Egypt, and what modifications, if any, are recommended to ensure a more coherent focus in the remaining period? </w:t>
      </w:r>
    </w:p>
    <w:p w:rsidR="00691647" w:rsidRPr="00D4700E" w:rsidRDefault="00691647" w:rsidP="007969D9">
      <w:pPr>
        <w:spacing w:after="0"/>
        <w:rPr>
          <w:sz w:val="20"/>
          <w:szCs w:val="20"/>
        </w:rPr>
      </w:pPr>
      <w:r w:rsidRPr="00D4700E">
        <w:rPr>
          <w:sz w:val="20"/>
          <w:szCs w:val="20"/>
        </w:rPr>
        <w:t>5</w:t>
      </w:r>
      <w:r w:rsidRPr="00D4700E">
        <w:rPr>
          <w:sz w:val="20"/>
          <w:szCs w:val="20"/>
        </w:rPr>
        <w:tab/>
        <w:t xml:space="preserve">In what ways have </w:t>
      </w:r>
      <w:r w:rsidR="00006BF0" w:rsidRPr="00D4700E">
        <w:rPr>
          <w:sz w:val="20"/>
          <w:szCs w:val="20"/>
        </w:rPr>
        <w:t>TS-MLD</w:t>
      </w:r>
      <w:r w:rsidRPr="00D4700E">
        <w:rPr>
          <w:sz w:val="20"/>
          <w:szCs w:val="20"/>
        </w:rPr>
        <w:t xml:space="preserve"> activities contributed to more effective local governance in Egypt, and what modifications, if any, are recommended to ensure a more coherent focus in the remaining period? </w:t>
      </w:r>
    </w:p>
    <w:p w:rsidR="00691647" w:rsidRPr="00D4700E" w:rsidRDefault="00691647" w:rsidP="007969D9">
      <w:pPr>
        <w:spacing w:after="0"/>
        <w:rPr>
          <w:sz w:val="20"/>
          <w:szCs w:val="20"/>
        </w:rPr>
      </w:pPr>
      <w:r w:rsidRPr="00D4700E">
        <w:rPr>
          <w:sz w:val="20"/>
          <w:szCs w:val="20"/>
        </w:rPr>
        <w:t xml:space="preserve"> 6</w:t>
      </w:r>
      <w:r w:rsidRPr="00D4700E">
        <w:rPr>
          <w:sz w:val="20"/>
          <w:szCs w:val="20"/>
        </w:rPr>
        <w:tab/>
        <w:t>How has information management been developed in support of decentralized governance?</w:t>
      </w:r>
    </w:p>
    <w:p w:rsidR="00691647" w:rsidRPr="00D4700E" w:rsidRDefault="00691647" w:rsidP="007969D9">
      <w:pPr>
        <w:spacing w:after="0"/>
        <w:rPr>
          <w:sz w:val="20"/>
          <w:szCs w:val="20"/>
        </w:rPr>
      </w:pPr>
      <w:r w:rsidRPr="00D4700E">
        <w:rPr>
          <w:sz w:val="20"/>
          <w:szCs w:val="20"/>
        </w:rPr>
        <w:t>C</w:t>
      </w:r>
      <w:r w:rsidRPr="00D4700E">
        <w:rPr>
          <w:sz w:val="20"/>
          <w:szCs w:val="20"/>
        </w:rPr>
        <w:tab/>
      </w:r>
      <w:r w:rsidR="00B43DE5" w:rsidRPr="00D4700E">
        <w:rPr>
          <w:sz w:val="20"/>
          <w:szCs w:val="20"/>
        </w:rPr>
        <w:t>Review</w:t>
      </w:r>
      <w:r w:rsidRPr="00D4700E">
        <w:rPr>
          <w:sz w:val="20"/>
          <w:szCs w:val="20"/>
        </w:rPr>
        <w:t xml:space="preserve"> Element 3:  Capacity Building</w:t>
      </w:r>
    </w:p>
    <w:p w:rsidR="00691647" w:rsidRPr="00D4700E" w:rsidRDefault="00691647" w:rsidP="007969D9">
      <w:pPr>
        <w:spacing w:after="0"/>
        <w:rPr>
          <w:sz w:val="20"/>
          <w:szCs w:val="20"/>
        </w:rPr>
      </w:pPr>
      <w:r w:rsidRPr="00D4700E">
        <w:rPr>
          <w:sz w:val="20"/>
          <w:szCs w:val="20"/>
        </w:rPr>
        <w:t>7</w:t>
      </w:r>
      <w:r w:rsidRPr="00D4700E">
        <w:rPr>
          <w:sz w:val="20"/>
          <w:szCs w:val="20"/>
        </w:rPr>
        <w:tab/>
        <w:t xml:space="preserve">How have </w:t>
      </w:r>
      <w:r w:rsidR="00006BF0" w:rsidRPr="00D4700E">
        <w:rPr>
          <w:sz w:val="20"/>
          <w:szCs w:val="20"/>
        </w:rPr>
        <w:t>TS-MLD</w:t>
      </w:r>
      <w:r w:rsidRPr="00D4700E">
        <w:rPr>
          <w:sz w:val="20"/>
          <w:szCs w:val="20"/>
        </w:rPr>
        <w:t xml:space="preserve"> activities supported attention being given to the development of credible methodologies for citizen engagement in local governance processes - including for M&amp;E – and ultimately contribute to a robust process of community development and engagement initiatives.   </w:t>
      </w:r>
    </w:p>
    <w:p w:rsidR="00691647" w:rsidRPr="00D4700E" w:rsidRDefault="00691647" w:rsidP="007969D9">
      <w:pPr>
        <w:spacing w:after="0"/>
        <w:rPr>
          <w:sz w:val="20"/>
          <w:szCs w:val="20"/>
        </w:rPr>
      </w:pPr>
      <w:r w:rsidRPr="00D4700E">
        <w:rPr>
          <w:sz w:val="20"/>
          <w:szCs w:val="20"/>
        </w:rPr>
        <w:t>8</w:t>
      </w:r>
      <w:r w:rsidRPr="00D4700E">
        <w:rPr>
          <w:sz w:val="20"/>
          <w:szCs w:val="20"/>
        </w:rPr>
        <w:tab/>
        <w:t xml:space="preserve">How has </w:t>
      </w:r>
      <w:r w:rsidR="00006BF0" w:rsidRPr="00D4700E">
        <w:rPr>
          <w:sz w:val="20"/>
          <w:szCs w:val="20"/>
        </w:rPr>
        <w:t>TS-MLD</w:t>
      </w:r>
      <w:r w:rsidRPr="00D4700E">
        <w:rPr>
          <w:sz w:val="20"/>
          <w:szCs w:val="20"/>
        </w:rPr>
        <w:t xml:space="preserve"> supported the Governorates, Districts and other players to have a positive influence on policy and institutional reforms, incorporating key principles of citizen </w:t>
      </w:r>
      <w:r w:rsidR="00C30EDF" w:rsidRPr="00D4700E">
        <w:rPr>
          <w:sz w:val="20"/>
          <w:szCs w:val="20"/>
        </w:rPr>
        <w:t>engagement?</w:t>
      </w:r>
    </w:p>
    <w:p w:rsidR="00691647" w:rsidRPr="00D4700E" w:rsidRDefault="00691647" w:rsidP="007969D9">
      <w:pPr>
        <w:spacing w:after="0"/>
        <w:rPr>
          <w:sz w:val="20"/>
          <w:szCs w:val="20"/>
        </w:rPr>
      </w:pPr>
      <w:r w:rsidRPr="00D4700E">
        <w:rPr>
          <w:sz w:val="20"/>
          <w:szCs w:val="20"/>
        </w:rPr>
        <w:t>9</w:t>
      </w:r>
      <w:r w:rsidRPr="00D4700E">
        <w:rPr>
          <w:sz w:val="20"/>
          <w:szCs w:val="20"/>
        </w:rPr>
        <w:tab/>
        <w:t xml:space="preserve">In what ways have </w:t>
      </w:r>
      <w:r w:rsidR="00006BF0" w:rsidRPr="00D4700E">
        <w:rPr>
          <w:sz w:val="20"/>
          <w:szCs w:val="20"/>
        </w:rPr>
        <w:t>TS-MLD</w:t>
      </w:r>
      <w:r w:rsidRPr="00D4700E">
        <w:rPr>
          <w:sz w:val="20"/>
          <w:szCs w:val="20"/>
        </w:rPr>
        <w:t xml:space="preserve"> activities influenced the activities of civil society groups, and contributed to their thinking and planning?</w:t>
      </w:r>
    </w:p>
    <w:p w:rsidR="00691647" w:rsidRPr="00D4700E" w:rsidRDefault="00691647" w:rsidP="007969D9">
      <w:pPr>
        <w:spacing w:after="0"/>
        <w:rPr>
          <w:sz w:val="20"/>
          <w:szCs w:val="20"/>
        </w:rPr>
      </w:pPr>
      <w:r w:rsidRPr="00D4700E">
        <w:rPr>
          <w:sz w:val="20"/>
          <w:szCs w:val="20"/>
        </w:rPr>
        <w:t>10</w:t>
      </w:r>
      <w:r w:rsidRPr="00D4700E">
        <w:rPr>
          <w:sz w:val="20"/>
          <w:szCs w:val="20"/>
        </w:rPr>
        <w:tab/>
        <w:t xml:space="preserve">What kind of ‘fit’ have </w:t>
      </w:r>
      <w:r w:rsidR="00006BF0" w:rsidRPr="00D4700E">
        <w:rPr>
          <w:sz w:val="20"/>
          <w:szCs w:val="20"/>
        </w:rPr>
        <w:t>TS-MLD</w:t>
      </w:r>
      <w:r w:rsidRPr="00D4700E">
        <w:rPr>
          <w:sz w:val="20"/>
          <w:szCs w:val="20"/>
        </w:rPr>
        <w:t xml:space="preserve"> activities achieved within the broader coalition working on </w:t>
      </w:r>
      <w:r w:rsidR="00FA65B8">
        <w:rPr>
          <w:sz w:val="20"/>
          <w:szCs w:val="20"/>
        </w:rPr>
        <w:t>decentralisation</w:t>
      </w:r>
      <w:r w:rsidRPr="00D4700E">
        <w:rPr>
          <w:sz w:val="20"/>
          <w:szCs w:val="20"/>
        </w:rPr>
        <w:t xml:space="preserve"> and citizen engagement agenda in Egypt (other civil society and donor programmes)?</w:t>
      </w:r>
    </w:p>
    <w:p w:rsidR="00691647" w:rsidRPr="00D4700E" w:rsidRDefault="00691647" w:rsidP="007969D9">
      <w:pPr>
        <w:spacing w:after="0"/>
        <w:rPr>
          <w:sz w:val="20"/>
          <w:szCs w:val="20"/>
        </w:rPr>
      </w:pPr>
      <w:r w:rsidRPr="00D4700E">
        <w:rPr>
          <w:sz w:val="20"/>
          <w:szCs w:val="20"/>
        </w:rPr>
        <w:t>11</w:t>
      </w:r>
      <w:r w:rsidRPr="00D4700E">
        <w:rPr>
          <w:sz w:val="20"/>
          <w:szCs w:val="20"/>
        </w:rPr>
        <w:tab/>
        <w:t xml:space="preserve">How do the governance arrangements (e.g. administrative and financial oversight by UNDP), UNDP and the Project Board facilitate or hinder the effectiveness of </w:t>
      </w:r>
      <w:r w:rsidR="00006BF0" w:rsidRPr="00D4700E">
        <w:rPr>
          <w:sz w:val="20"/>
          <w:szCs w:val="20"/>
        </w:rPr>
        <w:t>TS-MLD</w:t>
      </w:r>
      <w:r w:rsidRPr="00D4700E">
        <w:rPr>
          <w:sz w:val="20"/>
          <w:szCs w:val="20"/>
        </w:rPr>
        <w:t xml:space="preserve"> activities?  </w:t>
      </w:r>
    </w:p>
    <w:p w:rsidR="00B43DE5" w:rsidRPr="00D4700E" w:rsidRDefault="00B43DE5" w:rsidP="007969D9">
      <w:pPr>
        <w:spacing w:after="0"/>
        <w:rPr>
          <w:sz w:val="20"/>
          <w:szCs w:val="20"/>
        </w:rPr>
      </w:pPr>
      <w:r w:rsidRPr="00D4700E">
        <w:rPr>
          <w:sz w:val="20"/>
          <w:szCs w:val="20"/>
        </w:rPr>
        <w:t>Evaluation Element F:  Future Programme Design</w:t>
      </w:r>
    </w:p>
    <w:p w:rsidR="00B43DE5" w:rsidRPr="00D4700E" w:rsidRDefault="00B43DE5" w:rsidP="007969D9">
      <w:pPr>
        <w:spacing w:after="0"/>
        <w:rPr>
          <w:sz w:val="20"/>
          <w:szCs w:val="20"/>
        </w:rPr>
      </w:pPr>
      <w:r w:rsidRPr="00D4700E">
        <w:rPr>
          <w:sz w:val="20"/>
          <w:szCs w:val="20"/>
        </w:rPr>
        <w:t>12 What elements of the project could contribute to the formation of a model for the decentralized governance in the future and what elements might need to be strengthened or modified?</w:t>
      </w:r>
    </w:p>
    <w:p w:rsidR="00FC1C85" w:rsidRPr="00C83615" w:rsidRDefault="00FC1C85" w:rsidP="006876C6"/>
    <w:p w:rsidR="000C1686" w:rsidRPr="00DC0182" w:rsidRDefault="000C1686" w:rsidP="006876C6">
      <w:pPr>
        <w:pStyle w:val="Heading2"/>
      </w:pPr>
      <w:bookmarkStart w:id="31" w:name="_Toc300432372"/>
      <w:bookmarkStart w:id="32" w:name="_Toc300433973"/>
      <w:bookmarkStart w:id="33" w:name="_Toc300434981"/>
      <w:bookmarkStart w:id="34" w:name="_Toc302386975"/>
      <w:r w:rsidRPr="00DC0182">
        <w:lastRenderedPageBreak/>
        <w:t>Structure of the report</w:t>
      </w:r>
      <w:bookmarkEnd w:id="31"/>
      <w:bookmarkEnd w:id="32"/>
      <w:bookmarkEnd w:id="33"/>
      <w:bookmarkEnd w:id="34"/>
    </w:p>
    <w:p w:rsidR="00DC0182" w:rsidRPr="00F8717E" w:rsidRDefault="00DC0182" w:rsidP="006876C6">
      <w:r w:rsidRPr="00F8717E">
        <w:t xml:space="preserve">The report is structured to </w:t>
      </w:r>
      <w:r w:rsidR="00C30EDF" w:rsidRPr="00F8717E">
        <w:t>provide:</w:t>
      </w:r>
    </w:p>
    <w:p w:rsidR="00DC0182" w:rsidRPr="006C7DD5" w:rsidRDefault="00DC0182" w:rsidP="006C7DD5">
      <w:pPr>
        <w:spacing w:after="0"/>
        <w:ind w:left="720"/>
        <w:rPr>
          <w:b/>
        </w:rPr>
      </w:pPr>
      <w:r w:rsidRPr="006C7DD5">
        <w:rPr>
          <w:b/>
        </w:rPr>
        <w:t>The project and its development context</w:t>
      </w:r>
    </w:p>
    <w:p w:rsidR="000C1686" w:rsidRPr="006C7DD5" w:rsidRDefault="000C1686" w:rsidP="006C7DD5">
      <w:pPr>
        <w:spacing w:after="0"/>
        <w:ind w:left="720"/>
        <w:rPr>
          <w:b/>
        </w:rPr>
      </w:pPr>
      <w:r w:rsidRPr="006C7DD5">
        <w:rPr>
          <w:b/>
        </w:rPr>
        <w:t>Findings</w:t>
      </w:r>
      <w:r w:rsidR="00DC0182" w:rsidRPr="006C7DD5">
        <w:rPr>
          <w:b/>
        </w:rPr>
        <w:t xml:space="preserve"> of the review</w:t>
      </w:r>
    </w:p>
    <w:p w:rsidR="000C1686" w:rsidRPr="006C7DD5" w:rsidRDefault="00DC0182" w:rsidP="006C7DD5">
      <w:pPr>
        <w:spacing w:after="0"/>
        <w:ind w:left="720"/>
        <w:rPr>
          <w:b/>
        </w:rPr>
      </w:pPr>
      <w:r w:rsidRPr="006C7DD5">
        <w:rPr>
          <w:b/>
        </w:rPr>
        <w:t xml:space="preserve">Issues and </w:t>
      </w:r>
      <w:r w:rsidR="000C1686" w:rsidRPr="006C7DD5">
        <w:rPr>
          <w:b/>
        </w:rPr>
        <w:t>Conclusions</w:t>
      </w:r>
      <w:r w:rsidRPr="006C7DD5">
        <w:rPr>
          <w:b/>
        </w:rPr>
        <w:t xml:space="preserve"> drawn from the analysis</w:t>
      </w:r>
    </w:p>
    <w:p w:rsidR="000C1686" w:rsidRPr="006C7DD5" w:rsidRDefault="000C1686" w:rsidP="006C7DD5">
      <w:pPr>
        <w:spacing w:after="0"/>
        <w:ind w:left="720"/>
        <w:rPr>
          <w:b/>
        </w:rPr>
      </w:pPr>
      <w:r w:rsidRPr="006C7DD5">
        <w:rPr>
          <w:b/>
        </w:rPr>
        <w:t>Recommendations</w:t>
      </w:r>
      <w:r w:rsidR="00DC0182" w:rsidRPr="006C7DD5">
        <w:rPr>
          <w:b/>
        </w:rPr>
        <w:t xml:space="preserve"> for the future</w:t>
      </w:r>
    </w:p>
    <w:p w:rsidR="00FC1C85" w:rsidRPr="00C83615" w:rsidRDefault="006876C6" w:rsidP="0062529A">
      <w:pPr>
        <w:pStyle w:val="Heading1"/>
        <w:rPr>
          <w:rFonts w:ascii="Calibri" w:hAnsi="Calibri"/>
        </w:rPr>
      </w:pPr>
      <w:bookmarkStart w:id="35" w:name="_Toc300432373"/>
      <w:bookmarkStart w:id="36" w:name="_Toc300433974"/>
      <w:bookmarkStart w:id="37" w:name="_Toc300434982"/>
      <w:bookmarkStart w:id="38" w:name="_Toc302386976"/>
      <w:r>
        <w:t xml:space="preserve">B </w:t>
      </w:r>
      <w:r w:rsidR="00FC1C85" w:rsidRPr="00C83615">
        <w:t xml:space="preserve">The project and </w:t>
      </w:r>
      <w:r w:rsidR="00FC1C85" w:rsidRPr="00B0309B">
        <w:t xml:space="preserve">its development </w:t>
      </w:r>
      <w:r w:rsidR="00FC1C85" w:rsidRPr="00C83615">
        <w:t>context</w:t>
      </w:r>
      <w:bookmarkEnd w:id="35"/>
      <w:bookmarkEnd w:id="36"/>
      <w:bookmarkEnd w:id="37"/>
      <w:bookmarkEnd w:id="38"/>
    </w:p>
    <w:p w:rsidR="00636DB1" w:rsidRPr="00636DB1" w:rsidRDefault="00636DB1" w:rsidP="006876C6">
      <w:pPr>
        <w:pStyle w:val="Heading2"/>
      </w:pPr>
      <w:bookmarkStart w:id="39" w:name="_Toc300432374"/>
      <w:bookmarkStart w:id="40" w:name="_Toc300433975"/>
      <w:bookmarkStart w:id="41" w:name="_Toc300434983"/>
      <w:bookmarkStart w:id="42" w:name="_Toc302386977"/>
      <w:r>
        <w:t>Overview</w:t>
      </w:r>
      <w:bookmarkEnd w:id="39"/>
      <w:bookmarkEnd w:id="40"/>
      <w:bookmarkEnd w:id="41"/>
      <w:bookmarkEnd w:id="42"/>
    </w:p>
    <w:p w:rsidR="00521EB4" w:rsidRPr="00C83615" w:rsidRDefault="00FA65B8" w:rsidP="006876C6">
      <w:pPr>
        <w:rPr>
          <w:rFonts w:cs="ACaslon-Bold"/>
          <w:b/>
          <w:bCs/>
        </w:rPr>
      </w:pPr>
      <w:r>
        <w:t>Decentralisation</w:t>
      </w:r>
      <w:r w:rsidR="00A613C9">
        <w:t xml:space="preserve"> was taken up as a major policy initiative by the GoE beginning in 2007.  The TS-MLD</w:t>
      </w:r>
      <w:r w:rsidR="00F8717E">
        <w:t xml:space="preserve"> has</w:t>
      </w:r>
      <w:r w:rsidR="00A613C9">
        <w:t xml:space="preserve"> played a constructive role in that process, and became the major vehicle for channeling technical expertise into the NDP beginning in June 2009.</w:t>
      </w:r>
    </w:p>
    <w:p w:rsidR="00521EB4" w:rsidRPr="00A613C9" w:rsidRDefault="008D5643" w:rsidP="006876C6">
      <w:r>
        <w:t>T</w:t>
      </w:r>
      <w:r w:rsidR="00DC0182">
        <w:t>he TS-MLD began as a participatory planning project in Upper Egypt.  The shift in focus to the national level came in 2007</w:t>
      </w:r>
      <w:r w:rsidR="002F74E1">
        <w:t xml:space="preserve"> at a time when all donor-driven local development projects were asked by the GoE to shift their focus to the national policy </w:t>
      </w:r>
      <w:r w:rsidR="00C30EDF">
        <w:t>level</w:t>
      </w:r>
      <w:r w:rsidR="00C30EDF">
        <w:rPr>
          <w:rFonts w:cs="Wingdings"/>
          <w:color w:val="98B8FE"/>
        </w:rPr>
        <w:t>.</w:t>
      </w:r>
      <w:r w:rsidR="00C30EDF">
        <w:rPr>
          <w:rFonts w:cs="Wingdings"/>
        </w:rPr>
        <w:t xml:space="preserve"> The</w:t>
      </w:r>
      <w:r w:rsidR="00A613C9">
        <w:rPr>
          <w:rFonts w:cs="Wingdings"/>
        </w:rPr>
        <w:t xml:space="preserve"> project </w:t>
      </w:r>
      <w:r>
        <w:rPr>
          <w:rFonts w:cs="Wingdings"/>
        </w:rPr>
        <w:t>is</w:t>
      </w:r>
      <w:r w:rsidR="00A613C9">
        <w:rPr>
          <w:rFonts w:cs="Wingdings"/>
        </w:rPr>
        <w:t xml:space="preserve"> now </w:t>
      </w:r>
      <w:r>
        <w:rPr>
          <w:rFonts w:cs="Wingdings"/>
        </w:rPr>
        <w:t>embarking on</w:t>
      </w:r>
      <w:r w:rsidR="00A613C9">
        <w:rPr>
          <w:rFonts w:cs="Wingdings"/>
        </w:rPr>
        <w:t xml:space="preserve"> a new, potentially more satisfying, phase following the collapse of the Mubarak regime.</w:t>
      </w:r>
    </w:p>
    <w:p w:rsidR="002E1AEF" w:rsidRPr="00C83615" w:rsidRDefault="00DC0182" w:rsidP="007A42C4">
      <w:r>
        <w:t xml:space="preserve">The key partners involved in the management of the project are the Ministry of Local Development, </w:t>
      </w:r>
      <w:r w:rsidR="007A42C4">
        <w:t>Governorates,</w:t>
      </w:r>
      <w:r>
        <w:t xml:space="preserve"> UNDP and the Netherlands Embassy.  Closely associated organizations include:  USAID, World Bank, Ministry of Finance and the Ministry of Education.</w:t>
      </w:r>
    </w:p>
    <w:p w:rsidR="002E1AEF" w:rsidRPr="00C83615" w:rsidRDefault="002F74E1" w:rsidP="00C370E6">
      <w:r>
        <w:t xml:space="preserve">The Netherlands Government provided a grant of </w:t>
      </w:r>
      <w:r w:rsidR="00297101">
        <w:t>$2.5 million</w:t>
      </w:r>
      <w:r>
        <w:t xml:space="preserve"> for a 30 month period, later extended to 36 months.</w:t>
      </w:r>
      <w:r w:rsidR="00A74997">
        <w:t xml:space="preserve">  The UNDP contributed</w:t>
      </w:r>
      <w:r w:rsidR="00297101">
        <w:t xml:space="preserve"> $</w:t>
      </w:r>
      <w:r w:rsidR="00C30EDF">
        <w:t>2,200,000 and</w:t>
      </w:r>
      <w:r w:rsidR="00A74997">
        <w:t xml:space="preserve"> the GoE contributed</w:t>
      </w:r>
      <w:r w:rsidR="00297101">
        <w:t xml:space="preserve"> 32 million Egyptian pounds.</w:t>
      </w:r>
    </w:p>
    <w:p w:rsidR="002E1AEF" w:rsidRPr="00C83615" w:rsidRDefault="00A74997" w:rsidP="006876C6">
      <w:r>
        <w:t xml:space="preserve">The key political/institutional factor that structured the context for the project was the </w:t>
      </w:r>
      <w:r w:rsidR="00297101">
        <w:t>corpor</w:t>
      </w:r>
      <w:r w:rsidR="006C2DD4">
        <w:t>at</w:t>
      </w:r>
      <w:r w:rsidR="00297101">
        <w:t>ist</w:t>
      </w:r>
      <w:r>
        <w:t xml:space="preserve"> regime of General Mubarak and its insidious influence, through the NDP Policy Secretariat, on all aspects of life in Egypt.  TS-MLD </w:t>
      </w:r>
      <w:r w:rsidR="00A613C9">
        <w:t xml:space="preserve">(together with </w:t>
      </w:r>
      <w:r w:rsidR="004064D8">
        <w:t xml:space="preserve">the </w:t>
      </w:r>
      <w:r w:rsidR="00A613C9">
        <w:t xml:space="preserve">associated </w:t>
      </w:r>
      <w:r w:rsidR="004064D8">
        <w:t xml:space="preserve">EDI </w:t>
      </w:r>
      <w:r w:rsidR="00A613C9">
        <w:t xml:space="preserve">project funded by USAID) </w:t>
      </w:r>
      <w:r>
        <w:t xml:space="preserve">was created to </w:t>
      </w:r>
      <w:r w:rsidR="004064D8">
        <w:t>assist</w:t>
      </w:r>
      <w:r>
        <w:t xml:space="preserve"> a process of delegating powers and resources to lower rungs of the regime to provide a measure of direct benefit of the people, particularly those in poorer parts of the country.</w:t>
      </w:r>
      <w:r w:rsidR="00A613C9">
        <w:t xml:space="preserve">  The strategy and operations of TS-MLD were </w:t>
      </w:r>
      <w:r w:rsidR="004064D8">
        <w:t>set</w:t>
      </w:r>
      <w:r w:rsidR="00A613C9">
        <w:t xml:space="preserve"> by the NDP Policy Secretariat, headed by Gamal Mubarak.  This close relationship meant that all aspects of the project were viewed through a </w:t>
      </w:r>
      <w:r w:rsidR="004064D8">
        <w:t xml:space="preserve">particular </w:t>
      </w:r>
      <w:r w:rsidR="00A613C9">
        <w:t xml:space="preserve">political lens, but it also meant that, when political approval was granted, the process could move very fast.  Of course now that the association with the NDP has been lost </w:t>
      </w:r>
      <w:r w:rsidR="00A613C9">
        <w:lastRenderedPageBreak/>
        <w:t xml:space="preserve">following the people’s movement, the TS-MLD must seek to </w:t>
      </w:r>
      <w:r w:rsidR="00C06A65">
        <w:t xml:space="preserve">sustain an </w:t>
      </w:r>
      <w:r w:rsidR="00A613C9">
        <w:t>align</w:t>
      </w:r>
      <w:r w:rsidR="00C06A65">
        <w:t xml:space="preserve">ment with </w:t>
      </w:r>
      <w:r w:rsidR="00A613C9">
        <w:t xml:space="preserve">  </w:t>
      </w:r>
      <w:r w:rsidR="00C06A65">
        <w:t xml:space="preserve">an evolving democratic </w:t>
      </w:r>
      <w:r w:rsidR="00A613C9">
        <w:t xml:space="preserve">political </w:t>
      </w:r>
      <w:r w:rsidR="006222B0">
        <w:t>economy in</w:t>
      </w:r>
      <w:r w:rsidR="00A613C9">
        <w:t xml:space="preserve"> order to remain effective.</w:t>
      </w:r>
    </w:p>
    <w:p w:rsidR="00A613C9" w:rsidRDefault="00636DB1" w:rsidP="00C370E6">
      <w:r>
        <w:t xml:space="preserve">A major </w:t>
      </w:r>
      <w:r w:rsidR="00A613C9">
        <w:t>limitation</w:t>
      </w:r>
      <w:r>
        <w:t xml:space="preserve"> of TS-MLD was that </w:t>
      </w:r>
      <w:r w:rsidR="00A53385">
        <w:t>the Government</w:t>
      </w:r>
      <w:r w:rsidR="00082A42">
        <w:t xml:space="preserve"> </w:t>
      </w:r>
      <w:r>
        <w:t>di</w:t>
      </w:r>
      <w:r w:rsidR="00A53385">
        <w:t xml:space="preserve">d not allow for any orientation </w:t>
      </w:r>
      <w:r>
        <w:t xml:space="preserve">towards incorporating civil society into the deliberative process either at the national nor the local level.  </w:t>
      </w:r>
      <w:r w:rsidR="008D5643">
        <w:t>A</w:t>
      </w:r>
      <w:r>
        <w:t>t one point</w:t>
      </w:r>
      <w:r w:rsidR="008D5643">
        <w:t xml:space="preserve">, </w:t>
      </w:r>
      <w:r w:rsidR="00A53385">
        <w:t>the advisor</w:t>
      </w:r>
      <w:r w:rsidR="00704B5D">
        <w:t xml:space="preserve"> to the </w:t>
      </w:r>
      <w:r w:rsidR="008C2456">
        <w:t>MLD</w:t>
      </w:r>
      <w:r w:rsidR="00704B5D">
        <w:t xml:space="preserve"> proposed</w:t>
      </w:r>
      <w:r w:rsidR="008D5643">
        <w:t xml:space="preserve"> that a form of</w:t>
      </w:r>
      <w:r>
        <w:t xml:space="preserve"> NGO participat</w:t>
      </w:r>
      <w:r w:rsidR="00A53385">
        <w:t>ion might play a useful purpose</w:t>
      </w:r>
      <w:r>
        <w:t>.</w:t>
      </w:r>
      <w:r w:rsidR="00034F2B">
        <w:t xml:space="preserve"> However, UNDP and the Government could not find an agreeable conceptual framework and decided to postpone this activity. </w:t>
      </w:r>
    </w:p>
    <w:p w:rsidR="00636DB1" w:rsidRPr="00C83615" w:rsidRDefault="00636DB1" w:rsidP="006876C6">
      <w:r>
        <w:t xml:space="preserve">Now that the NDP is no longer setting the directions of TS-MLD, a major shift in its focus </w:t>
      </w:r>
      <w:r w:rsidR="00C06A65">
        <w:t xml:space="preserve">could </w:t>
      </w:r>
      <w:r w:rsidR="006222B0">
        <w:t>be expected</w:t>
      </w:r>
      <w:r w:rsidR="004064D8">
        <w:t xml:space="preserve"> </w:t>
      </w:r>
      <w:r w:rsidR="008D5643">
        <w:t xml:space="preserve">away from attempts to engineer the creation of a structured, </w:t>
      </w:r>
      <w:r w:rsidR="00BA3FFF">
        <w:t>dirigist</w:t>
      </w:r>
      <w:r w:rsidR="008D5643">
        <w:t xml:space="preserve"> form of local governance </w:t>
      </w:r>
      <w:r w:rsidR="004064D8">
        <w:t xml:space="preserve">and </w:t>
      </w:r>
      <w:r w:rsidR="008D5643">
        <w:t xml:space="preserve">towards facilitating </w:t>
      </w:r>
      <w:r>
        <w:t xml:space="preserve">ways and means for civil society to </w:t>
      </w:r>
      <w:r w:rsidR="006C2DD4">
        <w:t>emerge as a</w:t>
      </w:r>
      <w:r w:rsidR="00C06A65">
        <w:t xml:space="preserve"> </w:t>
      </w:r>
      <w:r w:rsidR="008D5643">
        <w:t>sufficiently</w:t>
      </w:r>
      <w:r>
        <w:t xml:space="preserve"> empowered </w:t>
      </w:r>
      <w:r w:rsidR="006C2DD4">
        <w:t xml:space="preserve">force with the capacity </w:t>
      </w:r>
      <w:r>
        <w:t xml:space="preserve">to influence the </w:t>
      </w:r>
      <w:r w:rsidR="004064D8">
        <w:t>quality</w:t>
      </w:r>
      <w:r>
        <w:t xml:space="preserve"> of local development in their localities.</w:t>
      </w:r>
    </w:p>
    <w:p w:rsidR="00FC1C85" w:rsidRPr="00DA6EBC" w:rsidRDefault="00FC1C85" w:rsidP="006876C6">
      <w:pPr>
        <w:pStyle w:val="Heading2"/>
        <w:rPr>
          <w:rFonts w:eastAsia="Calibri"/>
        </w:rPr>
      </w:pPr>
      <w:bookmarkStart w:id="43" w:name="_Toc300432375"/>
      <w:bookmarkStart w:id="44" w:name="_Toc300433976"/>
      <w:bookmarkStart w:id="45" w:name="_Toc300434984"/>
      <w:bookmarkStart w:id="46" w:name="_Toc302386978"/>
      <w:r w:rsidRPr="00DA6EBC">
        <w:rPr>
          <w:rFonts w:eastAsia="Calibri"/>
        </w:rPr>
        <w:t>Project formulation</w:t>
      </w:r>
      <w:bookmarkEnd w:id="43"/>
      <w:bookmarkEnd w:id="44"/>
      <w:bookmarkEnd w:id="45"/>
      <w:bookmarkEnd w:id="46"/>
    </w:p>
    <w:p w:rsidR="009A799C" w:rsidRPr="00931907" w:rsidRDefault="008D5643" w:rsidP="00C370E6">
      <w:r>
        <w:t>TS-MLD</w:t>
      </w:r>
      <w:r w:rsidR="00082A42">
        <w:t xml:space="preserve"> </w:t>
      </w:r>
      <w:r w:rsidR="00FA7FAA">
        <w:t>emerged</w:t>
      </w:r>
      <w:r w:rsidR="00907662">
        <w:t xml:space="preserve"> from a substantive</w:t>
      </w:r>
      <w:r w:rsidR="006A7305" w:rsidRPr="00C83615">
        <w:t xml:space="preserve"> revision of the Municipal </w:t>
      </w:r>
      <w:r w:rsidR="00C370E6">
        <w:t>Initiatives</w:t>
      </w:r>
      <w:r w:rsidR="00082A42">
        <w:t xml:space="preserve"> </w:t>
      </w:r>
      <w:r w:rsidR="006A7305" w:rsidRPr="00C83615">
        <w:t xml:space="preserve">for Strategic </w:t>
      </w:r>
      <w:r w:rsidR="00034F2B">
        <w:t xml:space="preserve">  Recovery </w:t>
      </w:r>
      <w:r w:rsidR="00AA258F">
        <w:t>(</w:t>
      </w:r>
      <w:r w:rsidR="006A7305" w:rsidRPr="00C83615">
        <w:t xml:space="preserve">MISR) </w:t>
      </w:r>
      <w:r w:rsidR="00FA7FAA">
        <w:t xml:space="preserve">project </w:t>
      </w:r>
      <w:r w:rsidR="006A7305" w:rsidRPr="00C83615">
        <w:t xml:space="preserve">that was established in 2004 to introduce participatory planning </w:t>
      </w:r>
      <w:r w:rsidR="00FA7FAA">
        <w:t>of small projects</w:t>
      </w:r>
      <w:r w:rsidR="006A7305" w:rsidRPr="00C83615">
        <w:t xml:space="preserve"> in the most impoverished </w:t>
      </w:r>
      <w:r w:rsidR="000F4F27">
        <w:t>district</w:t>
      </w:r>
      <w:r w:rsidR="00FA7FAA">
        <w:t>s</w:t>
      </w:r>
      <w:r w:rsidR="006A7305" w:rsidRPr="00C83615">
        <w:t xml:space="preserve"> of the country.  </w:t>
      </w:r>
      <w:r w:rsidR="0037683B">
        <w:t>M</w:t>
      </w:r>
      <w:r w:rsidR="00752A87" w:rsidRPr="00931907">
        <w:t xml:space="preserve">ISR </w:t>
      </w:r>
      <w:r w:rsidR="00FA7FAA">
        <w:t>was</w:t>
      </w:r>
      <w:r w:rsidR="00DA6EBC">
        <w:t xml:space="preserve"> signed in </w:t>
      </w:r>
      <w:r w:rsidR="002E1C4F">
        <w:t>mid-2004</w:t>
      </w:r>
      <w:r w:rsidR="00DA6EBC">
        <w:t xml:space="preserve"> as a result of a dialogue on </w:t>
      </w:r>
      <w:r w:rsidR="00FA65B8">
        <w:t>decentralisation</w:t>
      </w:r>
      <w:r w:rsidR="00DA6EBC">
        <w:t xml:space="preserve"> initiated by UNDP with the GoE in 2003 as a part of the preparations for the 2004 Egyptian Human Development Report</w:t>
      </w:r>
      <w:r w:rsidR="0037683B">
        <w:t xml:space="preserve">, that used </w:t>
      </w:r>
      <w:r w:rsidR="00FA65B8">
        <w:t>decentralisation</w:t>
      </w:r>
      <w:r w:rsidR="0037683B">
        <w:t xml:space="preserve"> as its core issue</w:t>
      </w:r>
      <w:r w:rsidR="00A716D0">
        <w:t xml:space="preserve"> and th</w:t>
      </w:r>
      <w:r w:rsidR="00C370E6">
        <w:t xml:space="preserve">e dialogues resulting from the Governorate </w:t>
      </w:r>
      <w:r w:rsidR="00A716D0">
        <w:t>H</w:t>
      </w:r>
      <w:r w:rsidR="00C370E6">
        <w:t xml:space="preserve">uman </w:t>
      </w:r>
      <w:r w:rsidR="00A716D0">
        <w:t>D</w:t>
      </w:r>
      <w:r w:rsidR="00C370E6">
        <w:t xml:space="preserve">evelopment </w:t>
      </w:r>
      <w:r w:rsidR="00A716D0">
        <w:t>R</w:t>
      </w:r>
      <w:r w:rsidR="00C370E6">
        <w:t>eport</w:t>
      </w:r>
      <w:r w:rsidR="00AA258F">
        <w:t xml:space="preserve"> 2003 </w:t>
      </w:r>
      <w:r w:rsidR="00A716D0">
        <w:t>whereby Governorates and</w:t>
      </w:r>
      <w:r w:rsidR="00C370E6">
        <w:t xml:space="preserve"> sub-national structures</w:t>
      </w:r>
      <w:r w:rsidR="00082A42">
        <w:t xml:space="preserve"> </w:t>
      </w:r>
      <w:r w:rsidR="00C370E6">
        <w:t>(</w:t>
      </w:r>
      <w:r w:rsidR="00A716D0">
        <w:t>municipalities</w:t>
      </w:r>
      <w:r w:rsidR="00C370E6">
        <w:t>)</w:t>
      </w:r>
      <w:r w:rsidR="00A716D0">
        <w:t xml:space="preserve"> were ranked for the first time reflecting regional disparities</w:t>
      </w:r>
      <w:r w:rsidR="00DA6EBC">
        <w:t xml:space="preserve">.  MISR </w:t>
      </w:r>
      <w:r w:rsidR="00752A87" w:rsidRPr="00931907">
        <w:t>operated from 2004 until 2007</w:t>
      </w:r>
      <w:r w:rsidR="000F4F27">
        <w:t xml:space="preserve"> with the</w:t>
      </w:r>
      <w:r w:rsidR="00752A87" w:rsidRPr="00931907">
        <w:t xml:space="preserve"> primary objective</w:t>
      </w:r>
      <w:r w:rsidR="009A799C" w:rsidRPr="00931907">
        <w:t xml:space="preserve"> to improve </w:t>
      </w:r>
      <w:r w:rsidR="0037683B">
        <w:t xml:space="preserve">the </w:t>
      </w:r>
      <w:r w:rsidR="009A799C" w:rsidRPr="00931907">
        <w:t xml:space="preserve">quality of life </w:t>
      </w:r>
      <w:r w:rsidR="00931907">
        <w:t xml:space="preserve">in Upper Egypt </w:t>
      </w:r>
      <w:r w:rsidR="009A799C" w:rsidRPr="00931907">
        <w:t>through an integrated approach to address poverty by</w:t>
      </w:r>
      <w:r w:rsidR="00752A87" w:rsidRPr="00931907">
        <w:t xml:space="preserve"> build</w:t>
      </w:r>
      <w:r w:rsidR="009A799C" w:rsidRPr="00931907">
        <w:t>ing</w:t>
      </w:r>
      <w:r w:rsidR="00752A87" w:rsidRPr="00931907">
        <w:t xml:space="preserve"> participatory planning capabilities </w:t>
      </w:r>
      <w:r w:rsidR="009A799C" w:rsidRPr="00931907">
        <w:t xml:space="preserve">and implement priority projects </w:t>
      </w:r>
      <w:r w:rsidR="00752A87" w:rsidRPr="00931907">
        <w:t xml:space="preserve">in the poorest </w:t>
      </w:r>
      <w:r w:rsidR="000F4F27">
        <w:t>district</w:t>
      </w:r>
      <w:r w:rsidR="00752A87" w:rsidRPr="00931907">
        <w:t xml:space="preserve"> and villages of the country.  </w:t>
      </w:r>
      <w:r w:rsidR="009A799C" w:rsidRPr="00931907">
        <w:t>MISR covered over 1000 poor rural communities, inhabited by approximately 15 million people, located in 46 districts within 10 governorates: Beni Suef, Fayoum, Minya, As</w:t>
      </w:r>
      <w:r w:rsidR="006222B0">
        <w:t>y</w:t>
      </w:r>
      <w:r w:rsidR="009A799C" w:rsidRPr="00931907">
        <w:t xml:space="preserve">out, Sohag, Luxor, Qena, Red Sea, North Sinai and Matrouh. </w:t>
      </w:r>
    </w:p>
    <w:p w:rsidR="00752A87" w:rsidRPr="00C83615" w:rsidRDefault="000F4F27" w:rsidP="003E7588">
      <w:r>
        <w:t xml:space="preserve">During its three years of operation, </w:t>
      </w:r>
      <w:r w:rsidR="00C83615" w:rsidRPr="00C83615">
        <w:t xml:space="preserve">UNDP attempted to align </w:t>
      </w:r>
      <w:r>
        <w:t xml:space="preserve">the </w:t>
      </w:r>
      <w:r w:rsidR="00C83615" w:rsidRPr="00C83615">
        <w:t xml:space="preserve">MISR </w:t>
      </w:r>
      <w:r>
        <w:t xml:space="preserve">field initiatives </w:t>
      </w:r>
      <w:r w:rsidR="00C83615" w:rsidRPr="00C83615">
        <w:t xml:space="preserve">with </w:t>
      </w:r>
      <w:r>
        <w:t>the priorities</w:t>
      </w:r>
      <w:r w:rsidR="00C83615" w:rsidRPr="00C83615">
        <w:t xml:space="preserve"> of local </w:t>
      </w:r>
      <w:r w:rsidR="00330ABA" w:rsidRPr="00C83615">
        <w:t>authorities.  However, those initiatives were not always in keeping with the interests of national authorities</w:t>
      </w:r>
      <w:r w:rsidR="00C83615" w:rsidRPr="00C83615">
        <w:t xml:space="preserve">. </w:t>
      </w:r>
      <w:r w:rsidR="00523D34">
        <w:t>Thus, plans were prepared, sometimes by external consultants,</w:t>
      </w:r>
      <w:r w:rsidR="00082A42">
        <w:t xml:space="preserve"> </w:t>
      </w:r>
      <w:r w:rsidR="00523D34">
        <w:t xml:space="preserve">that could not be funded as there was no devolved source of funds for local authorities to use independently.  </w:t>
      </w:r>
      <w:r w:rsidR="00C83615">
        <w:t>This design flaw made it almost impossible for MISR to influence national policy in the manner that had been expected.</w:t>
      </w:r>
      <w:r w:rsidR="00C83615" w:rsidRPr="00C83615">
        <w:t xml:space="preserve"> In particular, after the Ministry of Planning</w:t>
      </w:r>
      <w:r w:rsidR="004064D8">
        <w:t xml:space="preserve"> and</w:t>
      </w:r>
      <w:r w:rsidR="00C83615" w:rsidRPr="00C83615">
        <w:t xml:space="preserve"> Local Development (the home ministry for MISR) split into its component parts, the relationship</w:t>
      </w:r>
      <w:r w:rsidR="003E7588">
        <w:t xml:space="preserve"> became more challenging</w:t>
      </w:r>
      <w:r w:rsidR="00523D34">
        <w:t>.</w:t>
      </w:r>
    </w:p>
    <w:p w:rsidR="00704B5D" w:rsidRPr="00523D34" w:rsidRDefault="00523D34" w:rsidP="00704B5D">
      <w:pPr>
        <w:pStyle w:val="CommentText"/>
        <w:rPr>
          <w:rFonts w:ascii="Calibri" w:hAnsi="Calibri" w:cs="ACaslon-Regular"/>
          <w:color w:val="000000"/>
          <w:sz w:val="24"/>
          <w:szCs w:val="24"/>
        </w:rPr>
      </w:pPr>
      <w:r>
        <w:rPr>
          <w:rFonts w:ascii="Calibri" w:hAnsi="Calibri" w:cs="ACaslon-Regular"/>
          <w:color w:val="000000"/>
          <w:sz w:val="24"/>
          <w:szCs w:val="24"/>
        </w:rPr>
        <w:lastRenderedPageBreak/>
        <w:t xml:space="preserve">As a result of </w:t>
      </w:r>
      <w:r w:rsidRPr="00523D34">
        <w:rPr>
          <w:rFonts w:ascii="Calibri" w:hAnsi="Calibri" w:cs="ACaslon-Regular"/>
          <w:color w:val="000000"/>
          <w:sz w:val="24"/>
          <w:szCs w:val="24"/>
        </w:rPr>
        <w:t xml:space="preserve">the ongoing dialogue with the government to adopt a more structured approach to </w:t>
      </w:r>
      <w:r w:rsidR="00FA65B8">
        <w:rPr>
          <w:rFonts w:ascii="Calibri" w:hAnsi="Calibri" w:cs="ACaslon-Regular"/>
          <w:color w:val="000000"/>
          <w:sz w:val="24"/>
          <w:szCs w:val="24"/>
        </w:rPr>
        <w:t>decentralisation</w:t>
      </w:r>
      <w:r>
        <w:rPr>
          <w:rFonts w:ascii="Calibri" w:hAnsi="Calibri" w:cs="ACaslon-Regular"/>
          <w:color w:val="000000"/>
          <w:sz w:val="24"/>
          <w:szCs w:val="24"/>
        </w:rPr>
        <w:t>, a substantive</w:t>
      </w:r>
      <w:r w:rsidR="0037683B" w:rsidRPr="00523D34">
        <w:rPr>
          <w:rFonts w:ascii="Calibri" w:hAnsi="Calibri" w:cs="ACaslon-Regular"/>
          <w:color w:val="000000"/>
          <w:sz w:val="24"/>
          <w:szCs w:val="24"/>
        </w:rPr>
        <w:t xml:space="preserve"> project revision shifted MISR to a more national perspective geared to establish a formal </w:t>
      </w:r>
      <w:r w:rsidR="00FA65B8">
        <w:rPr>
          <w:rFonts w:ascii="Calibri" w:hAnsi="Calibri" w:cs="ACaslon-Regular"/>
          <w:color w:val="000000"/>
          <w:sz w:val="24"/>
          <w:szCs w:val="24"/>
        </w:rPr>
        <w:t>decentralisation</w:t>
      </w:r>
      <w:r w:rsidR="0037683B" w:rsidRPr="00523D34">
        <w:rPr>
          <w:rFonts w:ascii="Calibri" w:hAnsi="Calibri" w:cs="ACaslon-Regular"/>
          <w:color w:val="000000"/>
          <w:sz w:val="24"/>
          <w:szCs w:val="24"/>
        </w:rPr>
        <w:t xml:space="preserve"> policy and legal</w:t>
      </w:r>
      <w:r w:rsidR="006222B0">
        <w:rPr>
          <w:rFonts w:ascii="Calibri" w:hAnsi="Calibri" w:cs="ACaslon-Regular"/>
          <w:color w:val="000000"/>
          <w:sz w:val="24"/>
          <w:szCs w:val="24"/>
        </w:rPr>
        <w:t xml:space="preserve"> </w:t>
      </w:r>
      <w:r w:rsidR="0037683B" w:rsidRPr="00523D34">
        <w:rPr>
          <w:rFonts w:ascii="Calibri" w:hAnsi="Calibri" w:cs="ACaslon-Regular"/>
          <w:color w:val="000000"/>
          <w:sz w:val="24"/>
          <w:szCs w:val="24"/>
        </w:rPr>
        <w:t>framework, restructure the Ministry of Local Development (MLD) and local authorities and direct local capacity building in Egypt.</w:t>
      </w:r>
    </w:p>
    <w:p w:rsidR="00DB22D9" w:rsidRDefault="00DB22D9" w:rsidP="00A716D0"/>
    <w:p w:rsidR="00FC1C85" w:rsidRPr="00DA6EBC" w:rsidRDefault="00FC1C85" w:rsidP="006876C6">
      <w:pPr>
        <w:pStyle w:val="Heading2"/>
        <w:rPr>
          <w:rFonts w:eastAsia="Calibri"/>
        </w:rPr>
      </w:pPr>
      <w:bookmarkStart w:id="47" w:name="_Toc300432376"/>
      <w:bookmarkStart w:id="48" w:name="_Toc300433977"/>
      <w:bookmarkStart w:id="49" w:name="_Toc300434985"/>
      <w:bookmarkStart w:id="50" w:name="_Toc302386979"/>
      <w:r w:rsidRPr="00DA6EBC">
        <w:rPr>
          <w:rFonts w:eastAsia="Calibri"/>
        </w:rPr>
        <w:t>Implementation</w:t>
      </w:r>
      <w:bookmarkEnd w:id="47"/>
      <w:bookmarkEnd w:id="48"/>
      <w:bookmarkEnd w:id="49"/>
      <w:bookmarkEnd w:id="50"/>
    </w:p>
    <w:p w:rsidR="00523D34" w:rsidRDefault="000F4F27" w:rsidP="008C5F4B">
      <w:r>
        <w:t>T</w:t>
      </w:r>
      <w:r w:rsidRPr="00C83615">
        <w:t xml:space="preserve">he </w:t>
      </w:r>
      <w:r>
        <w:t>Netherlands</w:t>
      </w:r>
      <w:r w:rsidRPr="00C83615">
        <w:t xml:space="preserve"> government </w:t>
      </w:r>
      <w:r>
        <w:t xml:space="preserve">began funding MISR in 2006 with $2.5 million </w:t>
      </w:r>
      <w:r w:rsidRPr="00C83615">
        <w:t xml:space="preserve">and </w:t>
      </w:r>
      <w:r w:rsidR="00006BF0">
        <w:t xml:space="preserve">the project revision of MISR, rather than creating a new project, </w:t>
      </w:r>
      <w:r>
        <w:t xml:space="preserve">enabled </w:t>
      </w:r>
      <w:r w:rsidRPr="00C83615">
        <w:t xml:space="preserve">UNDP </w:t>
      </w:r>
      <w:r>
        <w:t xml:space="preserve">to continue to use these funds for </w:t>
      </w:r>
      <w:r w:rsidR="00006BF0">
        <w:t>TS-MLD</w:t>
      </w:r>
      <w:r>
        <w:t xml:space="preserve"> until </w:t>
      </w:r>
      <w:r w:rsidR="008D5643">
        <w:t>they were fully utilized in December 2010</w:t>
      </w:r>
      <w:r>
        <w:t xml:space="preserve">.  Despite this international assistance, </w:t>
      </w:r>
      <w:r w:rsidRPr="00C83615">
        <w:t xml:space="preserve">the Government of Egypt </w:t>
      </w:r>
      <w:r w:rsidR="008D5643">
        <w:t>became</w:t>
      </w:r>
      <w:r w:rsidRPr="00C83615">
        <w:t xml:space="preserve"> the principal donor </w:t>
      </w:r>
      <w:r>
        <w:t xml:space="preserve">to both MISR and </w:t>
      </w:r>
      <w:r w:rsidR="00006BF0">
        <w:t>TS-MLD</w:t>
      </w:r>
      <w:r>
        <w:t xml:space="preserve"> and is currently the only </w:t>
      </w:r>
      <w:r w:rsidRPr="00C83615">
        <w:t xml:space="preserve">funder </w:t>
      </w:r>
      <w:r w:rsidR="00765DA1">
        <w:t xml:space="preserve">(other than UNDP) </w:t>
      </w:r>
      <w:r w:rsidRPr="00C83615">
        <w:t xml:space="preserve">of the programme. </w:t>
      </w:r>
      <w:r>
        <w:t xml:space="preserve">Both the Netherlands and GoE </w:t>
      </w:r>
      <w:r w:rsidRPr="00C83615">
        <w:t xml:space="preserve">Funds for </w:t>
      </w:r>
      <w:r w:rsidR="00006BF0">
        <w:t>TS-MLD</w:t>
      </w:r>
      <w:r w:rsidRPr="00C83615">
        <w:t xml:space="preserve"> are disbursed to UNDP which provides oversight to the programme. </w:t>
      </w:r>
    </w:p>
    <w:p w:rsidR="008D5643" w:rsidRDefault="00B11734" w:rsidP="008C5F4B">
      <w:r w:rsidRPr="00C83615">
        <w:t xml:space="preserve">In </w:t>
      </w:r>
      <w:r>
        <w:t>early</w:t>
      </w:r>
      <w:r w:rsidR="000F4F27" w:rsidRPr="00C83615">
        <w:t xml:space="preserve"> 2007, the GoE made a </w:t>
      </w:r>
      <w:r w:rsidR="00330ABA" w:rsidRPr="00C83615">
        <w:t xml:space="preserve">decision to </w:t>
      </w:r>
      <w:r w:rsidR="00902BAB">
        <w:t xml:space="preserve">require </w:t>
      </w:r>
      <w:r w:rsidR="00330ABA">
        <w:t xml:space="preserve">a revision </w:t>
      </w:r>
      <w:r w:rsidR="008D5643" w:rsidRPr="00330ABA">
        <w:t xml:space="preserve">in </w:t>
      </w:r>
      <w:r w:rsidR="000F4F27" w:rsidRPr="00330ABA">
        <w:t xml:space="preserve">all donor-funded local development </w:t>
      </w:r>
      <w:r w:rsidRPr="00330ABA">
        <w:t>planning-</w:t>
      </w:r>
      <w:r w:rsidR="000F4F27" w:rsidRPr="00330ABA">
        <w:t xml:space="preserve">type projects, particularly those operating with funds from USAID, World Bank, UNDP. This </w:t>
      </w:r>
      <w:r w:rsidR="000F4F27" w:rsidRPr="00C83615">
        <w:t xml:space="preserve">included MISR.  </w:t>
      </w:r>
      <w:r w:rsidR="000F4F27" w:rsidRPr="00C83615">
        <w:rPr>
          <w:rStyle w:val="yiv550243633812400612-01062011"/>
          <w:rFonts w:cs="Arial"/>
        </w:rPr>
        <w:t xml:space="preserve">It was decided that MISR would be substantially revised in order take a slower more cautious approach towards national </w:t>
      </w:r>
      <w:r w:rsidR="00FA65B8">
        <w:rPr>
          <w:rStyle w:val="yiv550243633812400612-01062011"/>
          <w:rFonts w:cs="Arial"/>
        </w:rPr>
        <w:t>decentralisation</w:t>
      </w:r>
      <w:r w:rsidR="000F4F27" w:rsidRPr="00C83615">
        <w:rPr>
          <w:rStyle w:val="yiv550243633812400612-01062011"/>
          <w:rFonts w:cs="Arial"/>
        </w:rPr>
        <w:t xml:space="preserve"> policy rather than directly engaging with the citizenry in planning and project implementation.  </w:t>
      </w:r>
      <w:r w:rsidR="000F4F27">
        <w:rPr>
          <w:rStyle w:val="yiv550243633812400612-01062011"/>
          <w:rFonts w:cs="Arial"/>
        </w:rPr>
        <w:t xml:space="preserve">The USAID Egyptian </w:t>
      </w:r>
      <w:r w:rsidR="00FA65B8">
        <w:rPr>
          <w:rStyle w:val="yiv550243633812400612-01062011"/>
          <w:rFonts w:cs="Arial"/>
        </w:rPr>
        <w:t>Decentralisation</w:t>
      </w:r>
      <w:r w:rsidR="000F4F27">
        <w:rPr>
          <w:rStyle w:val="yiv550243633812400612-01062011"/>
          <w:rFonts w:cs="Arial"/>
        </w:rPr>
        <w:t xml:space="preserve"> Initiative (EDI) and the </w:t>
      </w:r>
      <w:r w:rsidR="000F4F27">
        <w:t xml:space="preserve">World Bank $200 million Upper Egypt </w:t>
      </w:r>
      <w:r w:rsidR="008C2456">
        <w:t>programme</w:t>
      </w:r>
      <w:r w:rsidR="000F4F27">
        <w:t xml:space="preserve"> were also required to be re-aligned with the </w:t>
      </w:r>
      <w:r w:rsidR="00FA65B8">
        <w:t>Decentralisation</w:t>
      </w:r>
      <w:r w:rsidR="000F4F27">
        <w:t xml:space="preserve"> Strategy</w:t>
      </w:r>
      <w:r w:rsidR="00A77012">
        <w:t>.</w:t>
      </w:r>
      <w:r w:rsidR="00082A42">
        <w:t xml:space="preserve"> </w:t>
      </w:r>
      <w:r w:rsidR="00523D34">
        <w:t xml:space="preserve">This decision to re-centralize projects designed to foster a decentralized approach to local development was unfortunate because the central government lost the ability to learn from lessons generated through the implementation of locally designed experiments.  Thus, </w:t>
      </w:r>
      <w:r w:rsidR="00FA65B8">
        <w:t>decentralisation</w:t>
      </w:r>
      <w:r w:rsidR="00523D34">
        <w:t xml:space="preserve"> pol</w:t>
      </w:r>
      <w:r w:rsidR="007964A1">
        <w:t>icy design became a politically-</w:t>
      </w:r>
      <w:r w:rsidR="00523D34">
        <w:t>driven</w:t>
      </w:r>
      <w:r w:rsidR="007964A1">
        <w:t>,</w:t>
      </w:r>
      <w:r w:rsidR="00082A42">
        <w:t xml:space="preserve"> </w:t>
      </w:r>
      <w:r w:rsidR="007964A1" w:rsidRPr="007964A1">
        <w:t xml:space="preserve">techno-bureaucratic </w:t>
      </w:r>
      <w:r w:rsidR="00523D34">
        <w:t xml:space="preserve">exercise engaged in by only a few articulate, urbanite academics, politicians and donor agency staff rather than a learning process involving all </w:t>
      </w:r>
      <w:r w:rsidR="00082A42">
        <w:t xml:space="preserve">critical </w:t>
      </w:r>
      <w:r w:rsidR="00523D34">
        <w:t xml:space="preserve">stakeholders.  In hindsight, this move by the </w:t>
      </w:r>
      <w:r w:rsidR="007964A1">
        <w:t>centre</w:t>
      </w:r>
      <w:r w:rsidR="00523D34">
        <w:t xml:space="preserve"> to neglect the experienc</w:t>
      </w:r>
      <w:r w:rsidR="007964A1">
        <w:t>es of the periphery (in this and</w:t>
      </w:r>
      <w:r w:rsidR="00523D34">
        <w:t xml:space="preserve"> many other instances) served to undermine its credibility among the people.</w:t>
      </w:r>
    </w:p>
    <w:p w:rsidR="00A77012" w:rsidRDefault="00B11734" w:rsidP="008C5F4B">
      <w:r>
        <w:t>A few months</w:t>
      </w:r>
      <w:r w:rsidR="00B54A0E">
        <w:t xml:space="preserve"> after the signing of the new project document in August 2007, the GoE issued a </w:t>
      </w:r>
      <w:r w:rsidR="00FA65B8">
        <w:t>Decentralisation</w:t>
      </w:r>
      <w:r w:rsidR="00B54A0E">
        <w:t xml:space="preserve"> Strategy paper that coincided with a Constitutional amendment package that included a new article on </w:t>
      </w:r>
      <w:r w:rsidR="00FA65B8">
        <w:t>decentralisation</w:t>
      </w:r>
      <w:r w:rsidR="00B54A0E">
        <w:t>.</w:t>
      </w:r>
      <w:r w:rsidR="00A77012">
        <w:t xml:space="preserve"> In addition, for the first time in history, the Egyptian Five-Year Plan included a chapter of Governorate, District and Village development.</w:t>
      </w:r>
    </w:p>
    <w:p w:rsidR="006862E2" w:rsidRDefault="006862E2" w:rsidP="006376FC">
      <w:r>
        <w:t xml:space="preserve">In June of 2008, USAID and the GoE signed a Project Implementation Letter (PIL) authorizing </w:t>
      </w:r>
      <w:r w:rsidR="000F4F27">
        <w:t xml:space="preserve">its </w:t>
      </w:r>
      <w:r>
        <w:t xml:space="preserve">funds to be used directly to fund certain aspects of the technical assistance and operation of the GoE </w:t>
      </w:r>
      <w:r w:rsidR="00FA65B8">
        <w:t>decentralisation</w:t>
      </w:r>
      <w:r>
        <w:t xml:space="preserve"> design work.  The unit created was </w:t>
      </w:r>
      <w:r>
        <w:lastRenderedPageBreak/>
        <w:t xml:space="preserve">known as the </w:t>
      </w:r>
      <w:r w:rsidR="00FA65B8">
        <w:t>Decentralisation</w:t>
      </w:r>
      <w:r w:rsidR="00B54A0E">
        <w:t xml:space="preserve"> Technical Office</w:t>
      </w:r>
      <w:r>
        <w:t xml:space="preserve"> (DTO)</w:t>
      </w:r>
      <w:r w:rsidR="00082A42">
        <w:t xml:space="preserve"> </w:t>
      </w:r>
      <w:r w:rsidR="000F4F27" w:rsidRPr="00C83615">
        <w:rPr>
          <w:rStyle w:val="yiv550243633812400612-01062011"/>
          <w:rFonts w:cs="Arial"/>
        </w:rPr>
        <w:t>with Ms. Lobna Abdel Latif</w:t>
      </w:r>
      <w:r w:rsidR="00360CEB">
        <w:rPr>
          <w:rStyle w:val="yiv550243633812400612-01062011"/>
          <w:rFonts w:cs="Arial"/>
        </w:rPr>
        <w:t xml:space="preserve">, a highly </w:t>
      </w:r>
      <w:r w:rsidR="00A77012">
        <w:rPr>
          <w:rStyle w:val="yiv550243633812400612-01062011"/>
          <w:rFonts w:cs="Arial"/>
        </w:rPr>
        <w:t>influential</w:t>
      </w:r>
      <w:r w:rsidR="00360CEB">
        <w:rPr>
          <w:rStyle w:val="yiv550243633812400612-01062011"/>
          <w:rFonts w:cs="Arial"/>
        </w:rPr>
        <w:t xml:space="preserve"> member of the </w:t>
      </w:r>
      <w:r w:rsidR="00523D34">
        <w:rPr>
          <w:rStyle w:val="yiv550243633812400612-01062011"/>
          <w:rFonts w:cs="Arial"/>
        </w:rPr>
        <w:t>National Democratic Party (NDP)</w:t>
      </w:r>
      <w:r w:rsidR="00360CEB">
        <w:rPr>
          <w:rStyle w:val="yiv550243633812400612-01062011"/>
          <w:rFonts w:cs="Arial"/>
        </w:rPr>
        <w:t xml:space="preserve"> Policy Secretariat,</w:t>
      </w:r>
      <w:r w:rsidR="00082A42">
        <w:rPr>
          <w:rStyle w:val="yiv550243633812400612-01062011"/>
          <w:rFonts w:cs="Arial"/>
        </w:rPr>
        <w:t xml:space="preserve"> </w:t>
      </w:r>
      <w:r w:rsidR="00902BAB">
        <w:rPr>
          <w:rStyle w:val="yiv550243633812400612-01062011"/>
          <w:rFonts w:cs="Arial"/>
        </w:rPr>
        <w:t xml:space="preserve">was placed </w:t>
      </w:r>
      <w:r w:rsidR="000F4F27" w:rsidRPr="00C83615">
        <w:rPr>
          <w:rStyle w:val="yiv550243633812400612-01062011"/>
          <w:rFonts w:cs="Arial"/>
        </w:rPr>
        <w:t xml:space="preserve">as the </w:t>
      </w:r>
      <w:r w:rsidR="00902BAB">
        <w:rPr>
          <w:rStyle w:val="yiv550243633812400612-01062011"/>
          <w:rFonts w:cs="Arial"/>
        </w:rPr>
        <w:t xml:space="preserve">advisor to the Minister of Local Development in order to facilitate a direct </w:t>
      </w:r>
      <w:r w:rsidR="00252E58">
        <w:rPr>
          <w:rStyle w:val="yiv550243633812400612-01062011"/>
          <w:rFonts w:cs="Arial"/>
        </w:rPr>
        <w:t>political</w:t>
      </w:r>
      <w:r w:rsidR="00082A42">
        <w:rPr>
          <w:rStyle w:val="yiv550243633812400612-01062011"/>
          <w:rFonts w:cs="Arial"/>
        </w:rPr>
        <w:t xml:space="preserve"> </w:t>
      </w:r>
      <w:r w:rsidR="00252E58">
        <w:rPr>
          <w:rStyle w:val="yiv550243633812400612-01062011"/>
          <w:rFonts w:cs="Arial"/>
        </w:rPr>
        <w:t>link to the NDP</w:t>
      </w:r>
      <w:r>
        <w:t>.</w:t>
      </w:r>
      <w:r w:rsidR="00082A42">
        <w:t xml:space="preserve">  </w:t>
      </w:r>
      <w:r>
        <w:t>The DTO focus</w:t>
      </w:r>
      <w:r w:rsidR="00A77012">
        <w:t>ed</w:t>
      </w:r>
      <w:r>
        <w:t xml:space="preserve"> on creating a </w:t>
      </w:r>
      <w:r w:rsidR="00FA65B8">
        <w:t>decentralisation</w:t>
      </w:r>
      <w:r>
        <w:t xml:space="preserve"> strategy, a local administration law, and enabling environment of other laws and aligning donors to support </w:t>
      </w:r>
      <w:r w:rsidR="00FA65B8">
        <w:t>decentralisation</w:t>
      </w:r>
      <w:r>
        <w:t xml:space="preserve">.  The implementation during the one year of DTO operation was described by USAID </w:t>
      </w:r>
      <w:r w:rsidR="00082A42">
        <w:t xml:space="preserve">operatives </w:t>
      </w:r>
      <w:r>
        <w:t xml:space="preserve">as consisting of ‘hesitant steps’ towards </w:t>
      </w:r>
      <w:r w:rsidR="00FA65B8">
        <w:t>decentralisation</w:t>
      </w:r>
      <w:r>
        <w:t>.</w:t>
      </w:r>
    </w:p>
    <w:p w:rsidR="0087519D" w:rsidRDefault="006862E2" w:rsidP="008C5F4B">
      <w:r>
        <w:t xml:space="preserve">In early 2009, a ‘serious funding agreement gap’ between the two governments led to the cancellation of all </w:t>
      </w:r>
      <w:r w:rsidR="00264DBC">
        <w:t>USG</w:t>
      </w:r>
      <w:r>
        <w:t xml:space="preserve"> government-to-government Implementation Letters (IL) with the Egyptian Government, including the one with MLD for the DTO.  The UNDP was requested to step in to cover the operational gap </w:t>
      </w:r>
      <w:r w:rsidR="00902BAB">
        <w:t>left by the departure of the USAID.  T</w:t>
      </w:r>
      <w:r>
        <w:t xml:space="preserve">he </w:t>
      </w:r>
      <w:r w:rsidR="00FA65B8">
        <w:t>Decentralisation</w:t>
      </w:r>
      <w:r w:rsidR="00330ABA">
        <w:t xml:space="preserve"> Support Unit (DSU)</w:t>
      </w:r>
      <w:r w:rsidR="00264DBC">
        <w:t xml:space="preserve">, attached to the Ministry of Local Development, was formed </w:t>
      </w:r>
      <w:r w:rsidR="00E326B0">
        <w:t xml:space="preserve">under TS-MLD </w:t>
      </w:r>
      <w:r w:rsidR="00264DBC">
        <w:t>in June 2009</w:t>
      </w:r>
      <w:r w:rsidR="00902BAB">
        <w:t xml:space="preserve"> to continue the technical work that had been initiated under the DTO</w:t>
      </w:r>
      <w:r w:rsidR="00264DBC">
        <w:t xml:space="preserve">.  </w:t>
      </w:r>
    </w:p>
    <w:p w:rsidR="00DB22D9" w:rsidRPr="00C83615" w:rsidRDefault="0087519D" w:rsidP="00A716D0">
      <w:r w:rsidRPr="00C83615">
        <w:t>The</w:t>
      </w:r>
      <w:r>
        <w:t xml:space="preserve"> Ministry of Local Development </w:t>
      </w:r>
      <w:r w:rsidRPr="00C83615">
        <w:t xml:space="preserve">has been the executing agency for the </w:t>
      </w:r>
      <w:r>
        <w:t>MISR/</w:t>
      </w:r>
      <w:r w:rsidR="00006BF0">
        <w:t>TS-MLD</w:t>
      </w:r>
      <w:r>
        <w:t xml:space="preserve"> and t</w:t>
      </w:r>
      <w:r w:rsidRPr="00C83615">
        <w:t xml:space="preserve">he current Minister of MLD is the </w:t>
      </w:r>
      <w:r w:rsidR="00A716D0">
        <w:t>project signatory</w:t>
      </w:r>
      <w:r w:rsidR="00900611">
        <w:t>, which is impleme</w:t>
      </w:r>
      <w:r w:rsidR="00A716D0">
        <w:t xml:space="preserve">nted by the </w:t>
      </w:r>
      <w:r w:rsidR="00E326B0">
        <w:t xml:space="preserve">DSU </w:t>
      </w:r>
      <w:r w:rsidR="00A716D0">
        <w:t>project implementation</w:t>
      </w:r>
      <w:r w:rsidR="00900611">
        <w:t xml:space="preserve"> unit</w:t>
      </w:r>
      <w:r w:rsidR="00E326B0">
        <w:t xml:space="preserve">. </w:t>
      </w:r>
      <w:r w:rsidR="00DB22D9">
        <w:t xml:space="preserve">In 2010, the GoE contributed EP32 million to TS-MLD to finance the roll out of </w:t>
      </w:r>
      <w:r w:rsidR="00E326B0">
        <w:t>a</w:t>
      </w:r>
      <w:r w:rsidR="00DB22D9">
        <w:t xml:space="preserve"> local development database system</w:t>
      </w:r>
      <w:r w:rsidR="00E326B0">
        <w:t xml:space="preserve"> managed by MLD</w:t>
      </w:r>
      <w:r w:rsidR="00DB22D9">
        <w:t>.</w:t>
      </w:r>
    </w:p>
    <w:p w:rsidR="00264DBC" w:rsidRDefault="00264DBC" w:rsidP="008C5F4B">
      <w:r>
        <w:t xml:space="preserve">After its reorientation away from </w:t>
      </w:r>
      <w:r w:rsidR="00A77012">
        <w:t xml:space="preserve">the </w:t>
      </w:r>
      <w:r w:rsidR="00E326B0">
        <w:t>DTO</w:t>
      </w:r>
      <w:r>
        <w:t>, t</w:t>
      </w:r>
      <w:r w:rsidR="006862E2">
        <w:t xml:space="preserve">he USAID continued to support </w:t>
      </w:r>
      <w:r w:rsidR="00E326B0">
        <w:t>its</w:t>
      </w:r>
      <w:r w:rsidR="006862E2">
        <w:t xml:space="preserve"> Egyptian </w:t>
      </w:r>
      <w:r w:rsidR="00FA65B8">
        <w:t>Decentralisation</w:t>
      </w:r>
      <w:r w:rsidR="006862E2">
        <w:t xml:space="preserve"> Initiative (EDI) </w:t>
      </w:r>
      <w:r w:rsidR="00E326B0">
        <w:t xml:space="preserve">project </w:t>
      </w:r>
      <w:r>
        <w:t xml:space="preserve">to work on </w:t>
      </w:r>
      <w:r w:rsidR="00FA65B8">
        <w:t>decentralisation</w:t>
      </w:r>
      <w:r>
        <w:t xml:space="preserve"> policy </w:t>
      </w:r>
      <w:r w:rsidR="006862E2">
        <w:t xml:space="preserve">and, according to </w:t>
      </w:r>
      <w:r>
        <w:t>USAID</w:t>
      </w:r>
      <w:r w:rsidR="006862E2">
        <w:t xml:space="preserve"> sources, the DSU made good use of </w:t>
      </w:r>
      <w:r>
        <w:t xml:space="preserve">both </w:t>
      </w:r>
      <w:r w:rsidR="006862E2">
        <w:t>the UN and USG assistance.  In particular, EDI credited the UNDP with having a more e</w:t>
      </w:r>
      <w:r w:rsidR="00BB3EA2">
        <w:t>fficient procurement system than</w:t>
      </w:r>
      <w:r w:rsidR="006862E2">
        <w:t xml:space="preserve"> USAID and, thus, hardware was obtained through the UNDP assistance while EDI concentrated on the software.  The EDI also prepared the original design for the Local Development Observatory (LDO) and prepared the software for the World Bank Performance Measurement System.  (The EDI was to be completed in March 2011, but has been extended until October and may be further extended until June 2012.)</w:t>
      </w:r>
    </w:p>
    <w:p w:rsidR="00264DBC" w:rsidRDefault="00DB22D9" w:rsidP="008C5F4B">
      <w:r>
        <w:t>From the time of its inception,</w:t>
      </w:r>
      <w:r w:rsidR="00264DBC">
        <w:t xml:space="preserve"> DSU</w:t>
      </w:r>
      <w:r>
        <w:t xml:space="preserve"> served as</w:t>
      </w:r>
      <w:r w:rsidR="00264DBC">
        <w:t xml:space="preserve"> the primary voice of the Egyptian Government on </w:t>
      </w:r>
      <w:r w:rsidR="00902BAB">
        <w:t xml:space="preserve">general </w:t>
      </w:r>
      <w:r w:rsidR="00FA65B8">
        <w:t>decentralisation</w:t>
      </w:r>
      <w:r w:rsidR="00264DBC">
        <w:t xml:space="preserve"> matters</w:t>
      </w:r>
      <w:r w:rsidR="00902BAB">
        <w:t xml:space="preserve"> (The Ministry of Finance continued to manage fiscal </w:t>
      </w:r>
      <w:r w:rsidR="00FA65B8">
        <w:t>decentralisation</w:t>
      </w:r>
      <w:r w:rsidR="00902BAB">
        <w:t xml:space="preserve"> and the Ministry of Education managed its own </w:t>
      </w:r>
      <w:r w:rsidR="00FA65B8">
        <w:t>decentralisation</w:t>
      </w:r>
      <w:r w:rsidR="00902BAB">
        <w:t xml:space="preserve"> process).  The NDP </w:t>
      </w:r>
      <w:r w:rsidR="00FA65B8">
        <w:t>Decentralisation</w:t>
      </w:r>
      <w:r w:rsidR="00902BAB">
        <w:t xml:space="preserve"> Policy papers were prepared using DSU technical inputs, among others.  This relationship ended when t</w:t>
      </w:r>
      <w:r w:rsidR="00264DBC">
        <w:t xml:space="preserve">he Egyptian people’s movement demanded the elimination of the </w:t>
      </w:r>
      <w:r w:rsidR="00252E58">
        <w:t>NDP</w:t>
      </w:r>
      <w:r w:rsidR="00264DBC">
        <w:t xml:space="preserve"> and </w:t>
      </w:r>
      <w:r w:rsidR="004064D8">
        <w:t>its entire</w:t>
      </w:r>
      <w:r w:rsidR="00264DBC">
        <w:t xml:space="preserve"> links to government.  </w:t>
      </w:r>
      <w:r w:rsidR="004064D8">
        <w:t>T</w:t>
      </w:r>
      <w:r w:rsidR="00264DBC">
        <w:t xml:space="preserve">he DSU </w:t>
      </w:r>
      <w:r>
        <w:t>has</w:t>
      </w:r>
      <w:r w:rsidR="00264DBC">
        <w:t xml:space="preserve"> continued to operate as a technical unit of the MLD and all of the associated donor activities continue to work</w:t>
      </w:r>
      <w:r w:rsidR="00A77012">
        <w:t xml:space="preserve"> in close collaboration with t</w:t>
      </w:r>
      <w:r w:rsidR="00252E58">
        <w:t>echnical dialogues, tra</w:t>
      </w:r>
      <w:r w:rsidR="00A77012">
        <w:t>inings and database development.</w:t>
      </w:r>
      <w:r w:rsidR="004064D8">
        <w:t xml:space="preserve">  The UNDP has structured a new Scope of Work for TS-MLD that will attempt to keep the DSU fully involved in critical nation</w:t>
      </w:r>
      <w:r w:rsidR="00330ABA">
        <w:t>al</w:t>
      </w:r>
      <w:r w:rsidR="004064D8">
        <w:t xml:space="preserve"> dialogues, enabling it to continue to </w:t>
      </w:r>
      <w:r w:rsidR="00DC698C">
        <w:t>press the local development/</w:t>
      </w:r>
      <w:r w:rsidR="00FA65B8">
        <w:t>decentralisation</w:t>
      </w:r>
      <w:r w:rsidR="00DC698C">
        <w:t xml:space="preserve"> </w:t>
      </w:r>
      <w:r w:rsidR="00DC698C">
        <w:lastRenderedPageBreak/>
        <w:t>agenda.</w:t>
      </w:r>
      <w:r w:rsidR="00C06A65">
        <w:t xml:space="preserve">  This should be reviewed by the newly constituted Project Board as soon as possible.</w:t>
      </w:r>
    </w:p>
    <w:p w:rsidR="00523D34" w:rsidRDefault="00523D34" w:rsidP="008C5F4B">
      <w:r>
        <w:t>TS-MLD</w:t>
      </w:r>
      <w:r w:rsidRPr="00C83615">
        <w:t xml:space="preserve"> is </w:t>
      </w:r>
      <w:r>
        <w:t xml:space="preserve">currently implemented by the </w:t>
      </w:r>
      <w:r w:rsidR="00FA65B8">
        <w:t>Decentralisation</w:t>
      </w:r>
      <w:r>
        <w:t xml:space="preserve"> Support Unit (DSU) that was created in the MLD.  </w:t>
      </w:r>
      <w:r w:rsidR="006222B0">
        <w:t>T</w:t>
      </w:r>
      <w:r>
        <w:t>he staff dealing with policy and legal support</w:t>
      </w:r>
      <w:r w:rsidR="00082A42">
        <w:t xml:space="preserve"> </w:t>
      </w:r>
      <w:r>
        <w:t xml:space="preserve">are directly managed by the DSU while the staff dealing with information management and institutional restructuring within Information Technology department, report directly to the Minister, but receive funds and report to UNDP through the DSU.  </w:t>
      </w:r>
    </w:p>
    <w:p w:rsidR="00FC1C85" w:rsidRPr="00C83615" w:rsidRDefault="006876C6" w:rsidP="0062529A">
      <w:pPr>
        <w:pStyle w:val="Heading1"/>
      </w:pPr>
      <w:bookmarkStart w:id="51" w:name="_Toc300432377"/>
      <w:bookmarkStart w:id="52" w:name="_Toc300433978"/>
      <w:bookmarkStart w:id="53" w:name="_Toc300434986"/>
      <w:bookmarkStart w:id="54" w:name="_Toc302386980"/>
      <w:r>
        <w:t xml:space="preserve">C </w:t>
      </w:r>
      <w:r w:rsidR="00104810">
        <w:t>FINDINGS</w:t>
      </w:r>
      <w:bookmarkEnd w:id="51"/>
      <w:bookmarkEnd w:id="52"/>
      <w:bookmarkEnd w:id="53"/>
      <w:bookmarkEnd w:id="54"/>
    </w:p>
    <w:p w:rsidR="00FC1C85" w:rsidRPr="00E65282" w:rsidRDefault="00CD2E47" w:rsidP="00E65282">
      <w:pPr>
        <w:pStyle w:val="Heading2"/>
      </w:pPr>
      <w:bookmarkStart w:id="55" w:name="_Toc300432378"/>
      <w:bookmarkStart w:id="56" w:name="_Toc300433979"/>
      <w:bookmarkStart w:id="57" w:name="_Toc300434987"/>
      <w:bookmarkStart w:id="58" w:name="_Toc302386981"/>
      <w:r w:rsidRPr="00E65282">
        <w:t xml:space="preserve">Outcome Level </w:t>
      </w:r>
      <w:r w:rsidR="00104810" w:rsidRPr="00E65282">
        <w:t>Findings</w:t>
      </w:r>
      <w:bookmarkEnd w:id="55"/>
      <w:bookmarkEnd w:id="56"/>
      <w:bookmarkEnd w:id="57"/>
      <w:bookmarkEnd w:id="58"/>
    </w:p>
    <w:p w:rsidR="0087519D" w:rsidRPr="00C83615" w:rsidRDefault="009E48F3" w:rsidP="008C5F4B">
      <w:r w:rsidRPr="008C5F4B">
        <w:t xml:space="preserve">TS-MLD is fully embedded in the overall UN </w:t>
      </w:r>
      <w:r w:rsidR="008C2456">
        <w:t>programme</w:t>
      </w:r>
      <w:r w:rsidRPr="008C5F4B">
        <w:t xml:space="preserve"> for Egypt.  The guiding</w:t>
      </w:r>
      <w:r>
        <w:t xml:space="preserve"> documents are the UN Development Action Framework (UNDAF) and the UNDP Country Programme Action Plan (CPAP) 2007-2011.  </w:t>
      </w:r>
      <w:r w:rsidR="0087519D" w:rsidRPr="00C83615">
        <w:t xml:space="preserve">The UNDAF </w:t>
      </w:r>
      <w:r>
        <w:t>states</w:t>
      </w:r>
      <w:r w:rsidR="0087519D" w:rsidRPr="00C83615">
        <w:t xml:space="preserve"> its Outcome 3 </w:t>
      </w:r>
      <w:r>
        <w:t>as</w:t>
      </w:r>
      <w:r w:rsidR="0087519D" w:rsidRPr="00C83615">
        <w:t xml:space="preserve">: Regional Human Development Disparities are reduced, including reducing the Gender Gap, and Environmental Sustainability Improved.  The associated UNDP CPAP Goal 2 on Fostering Democratic Governance has an Expected Outcome of: 4) </w:t>
      </w:r>
      <w:r w:rsidR="00FA65B8">
        <w:t>Decentralisation</w:t>
      </w:r>
      <w:r w:rsidR="0087519D" w:rsidRPr="00C83615">
        <w:t xml:space="preserve"> policies formulated/reformed, adopted and impl</w:t>
      </w:r>
      <w:r>
        <w:t>emented with improved capacity o</w:t>
      </w:r>
      <w:r w:rsidR="0087519D" w:rsidRPr="00C83615">
        <w:t>f institutions at the local level in participatory planning, resource management and service delivery.</w:t>
      </w:r>
    </w:p>
    <w:p w:rsidR="0087519D" w:rsidRPr="00CD2E47" w:rsidRDefault="0087519D" w:rsidP="008C5F4B">
      <w:r w:rsidRPr="00CD2E47">
        <w:t xml:space="preserve">The current UNDP CPAP reads:  UNDP will promote the formulation and adoption of </w:t>
      </w:r>
      <w:r w:rsidR="00FA65B8">
        <w:t>decentralisation</w:t>
      </w:r>
      <w:r w:rsidRPr="00CD2E47">
        <w:t xml:space="preserve"> as a policy package for service delivery, empowerment of the citizenry and building local institutional capabilities.  Additionally, UNDP will continue to advocate for the empowerment of women to enable them to contribute to political, economic and social development and attain their rights</w:t>
      </w:r>
      <w:r w:rsidR="00082A42">
        <w:t>.</w:t>
      </w:r>
    </w:p>
    <w:p w:rsidR="0087519D" w:rsidRDefault="0087519D" w:rsidP="008C5F4B">
      <w:r w:rsidRPr="00C83615">
        <w:t xml:space="preserve">The CPAP fully envisioned the MLD operating as the primary coordination unit responsible for the design and implementation of a strategy to decentralize aspects of public service planning and implementation. The key partners envisioned were USAID, World Bank, Netherlands and Canada.  </w:t>
      </w:r>
      <w:r>
        <w:t>U</w:t>
      </w:r>
      <w:r w:rsidRPr="00C83615">
        <w:t>NHABITAT was foreseen as a collaborating partner focusing on settlement planning and slum upgrading.</w:t>
      </w:r>
    </w:p>
    <w:p w:rsidR="0087519D" w:rsidRDefault="0087519D" w:rsidP="008C5F4B">
      <w:r>
        <w:t xml:space="preserve">From the beginning, the UNDP </w:t>
      </w:r>
      <w:r w:rsidR="00AF79D5">
        <w:t>recognized</w:t>
      </w:r>
      <w:r>
        <w:t xml:space="preserve"> that support to </w:t>
      </w:r>
      <w:r w:rsidR="00FA65B8">
        <w:t>decentralisation</w:t>
      </w:r>
      <w:r>
        <w:t xml:space="preserve"> in Egypt would be a catalytic initiative that had ‘high r</w:t>
      </w:r>
      <w:r w:rsidR="00FA7FAA">
        <w:t>isks with possibly</w:t>
      </w:r>
      <w:r w:rsidR="009E48F3">
        <w:t xml:space="preserve"> high returns</w:t>
      </w:r>
      <w:r>
        <w:t>, but with no guarantees</w:t>
      </w:r>
      <w:r w:rsidR="009E48F3">
        <w:t>’</w:t>
      </w:r>
      <w:r>
        <w:t xml:space="preserve">.  It is clear that if UNDP had not elected to modify MISR to match the NDP central agenda, and had </w:t>
      </w:r>
      <w:r w:rsidR="00AF79D5">
        <w:t xml:space="preserve">chosen </w:t>
      </w:r>
      <w:r w:rsidR="009E48F3">
        <w:t xml:space="preserve">instead </w:t>
      </w:r>
      <w:r w:rsidR="00FA7FAA">
        <w:t>to close</w:t>
      </w:r>
      <w:r>
        <w:t xml:space="preserve"> the project, the state of thinking on local administration </w:t>
      </w:r>
      <w:r w:rsidR="00B11734">
        <w:t>w</w:t>
      </w:r>
      <w:r>
        <w:t>ould conceivably be much less well articulated than it is at present.  The policy papers prepared by the NDP in 2007, 2008 and 2009</w:t>
      </w:r>
      <w:r w:rsidR="00FA7FAA">
        <w:t>, with assistance from national and international technical advisors attached to TS-MLD</w:t>
      </w:r>
      <w:r>
        <w:t xml:space="preserve"> lead to </w:t>
      </w:r>
      <w:r>
        <w:lastRenderedPageBreak/>
        <w:t xml:space="preserve">the 2007 amendments in local administration articles of the constitution and led </w:t>
      </w:r>
      <w:r w:rsidR="00C30EDF">
        <w:t>to the</w:t>
      </w:r>
      <w:r w:rsidR="00A77012">
        <w:t xml:space="preserve"> subsequent </w:t>
      </w:r>
      <w:r>
        <w:t>Prime Minister’s decree of July 2009</w:t>
      </w:r>
      <w:r w:rsidR="00B11734">
        <w:t xml:space="preserve"> creating the MLD</w:t>
      </w:r>
      <w:r w:rsidR="008072D3">
        <w:t xml:space="preserve"> Local Development </w:t>
      </w:r>
      <w:r w:rsidR="008C2456">
        <w:t>Programme</w:t>
      </w:r>
      <w:r w:rsidR="008072D3">
        <w:t>.</w:t>
      </w:r>
    </w:p>
    <w:p w:rsidR="00B11734" w:rsidRDefault="0087519D" w:rsidP="00DB2FDE">
      <w:r w:rsidRPr="00C83615">
        <w:t xml:space="preserve">Despite operating within a </w:t>
      </w:r>
      <w:r w:rsidR="006C2DD4">
        <w:t>highly</w:t>
      </w:r>
      <w:r w:rsidRPr="00C83615">
        <w:t xml:space="preserve"> centralized national policy environment, the</w:t>
      </w:r>
      <w:r w:rsidR="00D81069">
        <w:t xml:space="preserve"> </w:t>
      </w:r>
      <w:r w:rsidR="00006BF0">
        <w:t>TS-MLD</w:t>
      </w:r>
      <w:r w:rsidR="00D81069">
        <w:t xml:space="preserve"> </w:t>
      </w:r>
      <w:r>
        <w:t>remained</w:t>
      </w:r>
      <w:r w:rsidR="00D81069">
        <w:t xml:space="preserve"> </w:t>
      </w:r>
      <w:r w:rsidR="009E48F3">
        <w:t xml:space="preserve">essentially </w:t>
      </w:r>
      <w:r w:rsidRPr="00C83615">
        <w:t>on track</w:t>
      </w:r>
      <w:r w:rsidR="00D81069">
        <w:t xml:space="preserve"> </w:t>
      </w:r>
      <w:r w:rsidRPr="00C83615">
        <w:t xml:space="preserve">to establish a modified local civil service structure, </w:t>
      </w:r>
      <w:r w:rsidR="00A77012">
        <w:t>delegated</w:t>
      </w:r>
      <w:r w:rsidRPr="00C83615">
        <w:t xml:space="preserve"> budget allocation mechanisms and local planning methods.   </w:t>
      </w:r>
      <w:r w:rsidR="00B11734">
        <w:t xml:space="preserve">It is clear that TS-MLD worked, as it was intended, to be a vehicle for putting </w:t>
      </w:r>
      <w:r w:rsidR="00FA65B8">
        <w:t>decentralisation</w:t>
      </w:r>
      <w:r w:rsidR="00B11734">
        <w:t xml:space="preserve"> on the map of the executive branch by spreading the idea (and technical underpinning) of </w:t>
      </w:r>
      <w:r w:rsidR="00FA65B8">
        <w:t>decentralisation</w:t>
      </w:r>
      <w:r w:rsidR="00B11734">
        <w:t>. However, progress was ‘slow moving’ and the results that were envisioned have been characterized as ‘not enabling’.</w:t>
      </w:r>
      <w:r w:rsidR="00D81069">
        <w:t xml:space="preserve">  </w:t>
      </w:r>
      <w:r w:rsidR="005A57D8">
        <w:t xml:space="preserve">Nevertheless, by </w:t>
      </w:r>
      <w:r w:rsidR="001C5F18">
        <w:t>fiscal year 2009/</w:t>
      </w:r>
      <w:r w:rsidR="006376FC">
        <w:t xml:space="preserve">2010 </w:t>
      </w:r>
      <w:r w:rsidR="005A57D8">
        <w:t xml:space="preserve">the regime had delegated the implementation of </w:t>
      </w:r>
      <w:r w:rsidR="00DB2FDE">
        <w:t>nearly 4</w:t>
      </w:r>
      <w:r w:rsidR="001C5F18">
        <w:t xml:space="preserve"> billion Egyptian pounds</w:t>
      </w:r>
      <w:r w:rsidR="00D81069">
        <w:t xml:space="preserve"> </w:t>
      </w:r>
      <w:r w:rsidR="005A57D8">
        <w:t>to the Governorates,</w:t>
      </w:r>
      <w:r w:rsidR="00DB2FDE">
        <w:t xml:space="preserve"> according to a newly developed funding formula, as </w:t>
      </w:r>
      <w:r w:rsidR="00C30EDF">
        <w:t>follows:</w:t>
      </w:r>
      <w:r w:rsidR="00DB2FDE">
        <w:t xml:space="preserve"> LE 2.1 billion in the local development sector, LE 800 million in housing, LE 800 in education</w:t>
      </w:r>
      <w:r w:rsidR="005A57D8">
        <w:t xml:space="preserve"> A </w:t>
      </w:r>
      <w:r w:rsidR="00FA7FAA">
        <w:t>bill</w:t>
      </w:r>
      <w:r w:rsidR="005A57D8">
        <w:t xml:space="preserve"> had been drafted to revise the authority relationships at the local level</w:t>
      </w:r>
      <w:r w:rsidR="00FA7FAA">
        <w:t xml:space="preserve"> for presentation to Parliament, but the January movement halted that option</w:t>
      </w:r>
      <w:r w:rsidR="00A77012">
        <w:t xml:space="preserve"> for the time being</w:t>
      </w:r>
      <w:r w:rsidR="00FA7FAA">
        <w:t>.</w:t>
      </w:r>
    </w:p>
    <w:p w:rsidR="008072D3" w:rsidRPr="00C83615" w:rsidRDefault="008072D3" w:rsidP="008C5F4B">
      <w:r>
        <w:t xml:space="preserve">The fiscal </w:t>
      </w:r>
      <w:r w:rsidR="00FA65B8">
        <w:t>decentralisation</w:t>
      </w:r>
      <w:r>
        <w:t xml:space="preserve"> aspects of the strategy represent the greatest achievement to date.  The fact that significant amounts of money were disbursed to local authorities and the use of these funds was accounted back to the satisfaction of the central government is a major accomplishment that will greatly assist in underpinning the next push for further devolution of authority.</w:t>
      </w:r>
    </w:p>
    <w:p w:rsidR="0087519D" w:rsidRPr="00C83615" w:rsidRDefault="0087519D" w:rsidP="008C5F4B">
      <w:r w:rsidRPr="00C83615">
        <w:t xml:space="preserve">However, aside from a form of participatory planning through </w:t>
      </w:r>
      <w:r w:rsidR="00A77012">
        <w:t>‘</w:t>
      </w:r>
      <w:r w:rsidRPr="00C83615">
        <w:t>elected</w:t>
      </w:r>
      <w:r w:rsidR="00A77012">
        <w:t>’</w:t>
      </w:r>
      <w:r w:rsidRPr="00C83615">
        <w:t xml:space="preserve"> Local Popular Councils</w:t>
      </w:r>
      <w:r w:rsidR="00D81069">
        <w:t xml:space="preserve"> </w:t>
      </w:r>
      <w:r w:rsidR="00330ABA" w:rsidRPr="00C83615">
        <w:t xml:space="preserve">the </w:t>
      </w:r>
      <w:r w:rsidR="00330ABA">
        <w:t>TS-MLD</w:t>
      </w:r>
      <w:r w:rsidR="00330ABA" w:rsidRPr="00C83615">
        <w:t xml:space="preserve"> never seriously embraced the concept of enhancing the space for direct citizen engagement with the Government to improve the equity and quality of public service delivery.</w:t>
      </w:r>
      <w:r w:rsidR="00330ABA">
        <w:t xml:space="preserve">  Instead, the argument was made </w:t>
      </w:r>
      <w:r w:rsidR="007F4400">
        <w:t xml:space="preserve">by DSU staff </w:t>
      </w:r>
      <w:r w:rsidR="00330ABA">
        <w:t xml:space="preserve">that there was no need to directly engage the public because the locally elected councils had the responsibility to represent the people.  </w:t>
      </w:r>
      <w:r w:rsidR="008072D3">
        <w:t xml:space="preserve">This </w:t>
      </w:r>
      <w:r w:rsidR="00FA7FAA">
        <w:t>was, and remains, the</w:t>
      </w:r>
      <w:r w:rsidR="008072D3">
        <w:t xml:space="preserve"> greatest </w:t>
      </w:r>
      <w:r w:rsidR="00FA7FAA">
        <w:t>lacuna of the design, direction and implementation of TS-MLD</w:t>
      </w:r>
      <w:r w:rsidR="008072D3">
        <w:t xml:space="preserve">.  </w:t>
      </w:r>
    </w:p>
    <w:p w:rsidR="00330ABA" w:rsidRPr="00C83615" w:rsidRDefault="0087519D" w:rsidP="00330ABA">
      <w:r w:rsidRPr="00C83615">
        <w:t xml:space="preserve">In addition to the </w:t>
      </w:r>
      <w:r w:rsidR="00006BF0">
        <w:t>TS-MLD</w:t>
      </w:r>
      <w:r w:rsidRPr="00C83615">
        <w:t>, a number of other projects in the UNDP Country Programme address othe</w:t>
      </w:r>
      <w:r w:rsidR="00330ABA">
        <w:t>r aspects of local development</w:t>
      </w:r>
      <w:r w:rsidR="00330ABA" w:rsidRPr="00C83615">
        <w:t xml:space="preserve">. </w:t>
      </w:r>
      <w:r w:rsidR="00330ABA">
        <w:t xml:space="preserve">The relationship between these projects and the </w:t>
      </w:r>
      <w:r w:rsidR="00FA65B8">
        <w:t>decentralisation</w:t>
      </w:r>
      <w:r w:rsidR="00330ABA">
        <w:t xml:space="preserve"> policy being developed by GoE</w:t>
      </w:r>
      <w:r w:rsidR="00D81069">
        <w:t xml:space="preserve"> </w:t>
      </w:r>
      <w:r w:rsidR="00704B5D">
        <w:t>was not fully assessed by this review, but</w:t>
      </w:r>
      <w:r w:rsidR="00330ABA">
        <w:t xml:space="preserve"> may require a special review</w:t>
      </w:r>
      <w:r w:rsidR="00704B5D">
        <w:t xml:space="preserve"> in order to ensure there are no inherent policy contradictions contained in project that were designed prior to the 2011 movement</w:t>
      </w:r>
      <w:r w:rsidR="00330ABA">
        <w:t>.</w:t>
      </w:r>
    </w:p>
    <w:p w:rsidR="00E114E4" w:rsidRDefault="00F31F54" w:rsidP="00E114E4">
      <w:r w:rsidRPr="00C83615">
        <w:t xml:space="preserve">The </w:t>
      </w:r>
      <w:r>
        <w:t>TS-MLD</w:t>
      </w:r>
      <w:r w:rsidRPr="00C83615">
        <w:t xml:space="preserve"> represents a global best practice model for inter-agency (and multi-donor) collaboration towards a common governance objective. </w:t>
      </w:r>
      <w:r w:rsidR="002E1C4F" w:rsidRPr="00C83615">
        <w:t>T</w:t>
      </w:r>
      <w:r w:rsidR="002E1C4F">
        <w:t>he Advisor</w:t>
      </w:r>
      <w:r w:rsidR="005A271F">
        <w:t xml:space="preserve"> to the Minister of Local D</w:t>
      </w:r>
      <w:r w:rsidR="00DB2FDE">
        <w:t xml:space="preserve">evelopment </w:t>
      </w:r>
      <w:r w:rsidR="007F4400">
        <w:t>i</w:t>
      </w:r>
      <w:r w:rsidR="00F27DA5" w:rsidRPr="00C83615">
        <w:t xml:space="preserve">n charge of the </w:t>
      </w:r>
      <w:r w:rsidR="00F27DA5">
        <w:t>TS-MLD</w:t>
      </w:r>
      <w:r w:rsidR="00F27DA5" w:rsidRPr="00C83615">
        <w:t xml:space="preserve"> clearly knew how to focus donor interests</w:t>
      </w:r>
      <w:r w:rsidR="007F4400">
        <w:t xml:space="preserve"> on matters that were of greatest importance to the national leadership</w:t>
      </w:r>
      <w:r w:rsidR="00F27DA5" w:rsidRPr="00C83615">
        <w:t xml:space="preserve">. </w:t>
      </w:r>
      <w:r w:rsidR="002255C3">
        <w:t xml:space="preserve">Unfortunately, the full </w:t>
      </w:r>
      <w:r w:rsidR="002E1C4F">
        <w:t>gamut of those interests was</w:t>
      </w:r>
      <w:r w:rsidR="002255C3">
        <w:t xml:space="preserve"> not fully shared by the majority of the people in Egypt, causing</w:t>
      </w:r>
      <w:r w:rsidR="006222B0">
        <w:t xml:space="preserve"> </w:t>
      </w:r>
      <w:r w:rsidR="005A271F">
        <w:t>many</w:t>
      </w:r>
      <w:r w:rsidR="002255C3">
        <w:t xml:space="preserve"> of the national leadership to end up in jail.  Nevertheless, s</w:t>
      </w:r>
      <w:r w:rsidR="00F27DA5" w:rsidRPr="00C83615">
        <w:t xml:space="preserve">ix </w:t>
      </w:r>
      <w:r w:rsidR="00F27DA5" w:rsidRPr="00C83615">
        <w:lastRenderedPageBreak/>
        <w:t xml:space="preserve">months after </w:t>
      </w:r>
      <w:r w:rsidR="002255C3">
        <w:t>the Advisor</w:t>
      </w:r>
      <w:r w:rsidR="00F27DA5" w:rsidRPr="00C83615">
        <w:t xml:space="preserve"> left</w:t>
      </w:r>
      <w:r w:rsidR="00A77012">
        <w:t xml:space="preserve"> office</w:t>
      </w:r>
      <w:r w:rsidR="00F27DA5" w:rsidRPr="00C83615">
        <w:t>, those collaborative relationships still operate with no perceived friction or disputes over policy niches</w:t>
      </w:r>
      <w:r w:rsidR="002255C3">
        <w:t xml:space="preserve"> among donor support agencies</w:t>
      </w:r>
      <w:r w:rsidR="00A77012">
        <w:t>.</w:t>
      </w:r>
      <w:r w:rsidR="002255C3">
        <w:t xml:space="preserve">  The D</w:t>
      </w:r>
      <w:r w:rsidR="00DC698C">
        <w:t>SU has remained in the midst of dialogues on the structure of the Egyptian government and the ways and means to improve public service delivery to the masses.</w:t>
      </w:r>
      <w:r w:rsidR="00C06A65">
        <w:t xml:space="preserve">  Moreover, the DSU recently re-launched negotiations with the European Commission to obtain </w:t>
      </w:r>
      <w:r w:rsidR="008F1C3B">
        <w:t xml:space="preserve">three million Euros for capacity building activities.  This apparently </w:t>
      </w:r>
      <w:r w:rsidR="00D81069">
        <w:t xml:space="preserve">is </w:t>
      </w:r>
      <w:r w:rsidR="008F1C3B">
        <w:t>being undertaken independently of the UNDP TS-MLD project.</w:t>
      </w:r>
    </w:p>
    <w:p w:rsidR="00CD2E47" w:rsidRPr="00104810" w:rsidRDefault="00104810" w:rsidP="00E65282">
      <w:pPr>
        <w:pStyle w:val="Heading2"/>
      </w:pPr>
      <w:bookmarkStart w:id="59" w:name="_Toc300432379"/>
      <w:bookmarkStart w:id="60" w:name="_Toc300433980"/>
      <w:bookmarkStart w:id="61" w:name="_Toc300434988"/>
      <w:bookmarkStart w:id="62" w:name="_Toc302386982"/>
      <w:r>
        <w:t>Output Level Findings</w:t>
      </w:r>
      <w:bookmarkEnd w:id="59"/>
      <w:bookmarkEnd w:id="60"/>
      <w:bookmarkEnd w:id="61"/>
      <w:bookmarkEnd w:id="62"/>
    </w:p>
    <w:p w:rsidR="001327EC" w:rsidRPr="00E65282" w:rsidRDefault="001327EC" w:rsidP="00E65282">
      <w:pPr>
        <w:rPr>
          <w:b/>
        </w:rPr>
      </w:pPr>
      <w:bookmarkStart w:id="63" w:name="_Toc300432380"/>
      <w:bookmarkStart w:id="64" w:name="_Toc300433981"/>
      <w:bookmarkStart w:id="65" w:name="_Toc300434989"/>
      <w:r w:rsidRPr="00E65282">
        <w:rPr>
          <w:b/>
        </w:rPr>
        <w:t>Policy</w:t>
      </w:r>
      <w:r w:rsidR="00430B5A" w:rsidRPr="00E65282">
        <w:rPr>
          <w:b/>
        </w:rPr>
        <w:t xml:space="preserve"> Output</w:t>
      </w:r>
      <w:r w:rsidR="00104810" w:rsidRPr="00E65282">
        <w:rPr>
          <w:b/>
        </w:rPr>
        <w:t xml:space="preserve"> Findings</w:t>
      </w:r>
      <w:bookmarkEnd w:id="63"/>
      <w:bookmarkEnd w:id="64"/>
      <w:bookmarkEnd w:id="65"/>
    </w:p>
    <w:p w:rsidR="00AD711B" w:rsidRPr="004572EF" w:rsidRDefault="00AD711B" w:rsidP="006876C6">
      <w:pPr>
        <w:rPr>
          <w:rFonts w:eastAsia="Calibri"/>
        </w:rPr>
      </w:pPr>
      <w:r w:rsidRPr="004572EF">
        <w:rPr>
          <w:u w:val="single"/>
        </w:rPr>
        <w:t>Policy Output Definition</w:t>
      </w:r>
      <w:r>
        <w:rPr>
          <w:b/>
        </w:rPr>
        <w:t xml:space="preserve">:  </w:t>
      </w:r>
      <w:r w:rsidRPr="004572EF">
        <w:rPr>
          <w:rFonts w:eastAsia="Calibri"/>
        </w:rPr>
        <w:t>Coordinate and guide the development and modification of the policy and legal environment for the local authority system.</w:t>
      </w:r>
    </w:p>
    <w:p w:rsidR="00691647" w:rsidRDefault="00006BF0" w:rsidP="006876C6">
      <w:r>
        <w:t>TS-MLD</w:t>
      </w:r>
      <w:r w:rsidR="00D81069">
        <w:t xml:space="preserve"> </w:t>
      </w:r>
      <w:r w:rsidR="007F4860">
        <w:t xml:space="preserve">played an important role in advancing the </w:t>
      </w:r>
      <w:r w:rsidR="00FA65B8">
        <w:t>decentralisation</w:t>
      </w:r>
      <w:r w:rsidR="007F4860">
        <w:t xml:space="preserve"> policy agenda.  </w:t>
      </w:r>
      <w:r w:rsidR="00A02A9F">
        <w:t>The DSU, fully supported by TS-MLD funds from June 2008 onwards,</w:t>
      </w:r>
      <w:r w:rsidR="00D81069">
        <w:t xml:space="preserve"> </w:t>
      </w:r>
      <w:r w:rsidR="00691647" w:rsidRPr="00C83615">
        <w:t xml:space="preserve">was used by the NDP </w:t>
      </w:r>
      <w:r w:rsidR="008B7876">
        <w:t xml:space="preserve">Policy Secretariat </w:t>
      </w:r>
      <w:r w:rsidR="00691647" w:rsidRPr="00C83615">
        <w:t xml:space="preserve">as </w:t>
      </w:r>
      <w:r w:rsidR="00581D0E">
        <w:t>its</w:t>
      </w:r>
      <w:r w:rsidR="00691647" w:rsidRPr="00C83615">
        <w:t xml:space="preserve"> prime tool for </w:t>
      </w:r>
      <w:r w:rsidR="00FA65B8">
        <w:t>decentralisation</w:t>
      </w:r>
      <w:r w:rsidR="00691647" w:rsidRPr="00C83615">
        <w:t xml:space="preserve"> policy advocacy among senior policy makers</w:t>
      </w:r>
      <w:r w:rsidR="00CD2E47">
        <w:t xml:space="preserve"> in the executive branch of government</w:t>
      </w:r>
      <w:r w:rsidR="00691647" w:rsidRPr="00C83615">
        <w:t>.</w:t>
      </w:r>
      <w:r w:rsidR="008F1C3B">
        <w:t xml:space="preserve">  Other national bureaucrats, local councilors and academicians were engaged in this process.  </w:t>
      </w:r>
      <w:r w:rsidR="00581D0E">
        <w:t>However</w:t>
      </w:r>
      <w:r w:rsidR="00CD2E47">
        <w:t xml:space="preserve">, interviewees remarked that neither the DTO nor the DSU </w:t>
      </w:r>
      <w:r w:rsidR="008F1C3B">
        <w:t xml:space="preserve">formally </w:t>
      </w:r>
      <w:r w:rsidR="00CD2E47">
        <w:t>targeted the legislative branch</w:t>
      </w:r>
      <w:r w:rsidR="00F55F03">
        <w:t xml:space="preserve"> to build its appreciation for </w:t>
      </w:r>
      <w:r w:rsidR="00FA65B8">
        <w:t>decentralisation</w:t>
      </w:r>
      <w:r w:rsidR="00CD2E47">
        <w:t>.</w:t>
      </w:r>
      <w:r w:rsidR="00D81069">
        <w:t xml:space="preserve">  </w:t>
      </w:r>
      <w:r w:rsidR="00691647" w:rsidRPr="00C83615">
        <w:t>The engagement of multiple donors</w:t>
      </w:r>
      <w:r w:rsidR="008B7876">
        <w:t xml:space="preserve"> (UNDP, USAID, World Bank, Netherlands, Canada</w:t>
      </w:r>
      <w:r w:rsidR="008F1C3B">
        <w:t xml:space="preserve"> </w:t>
      </w:r>
      <w:r w:rsidR="00A77012">
        <w:t>&amp; France</w:t>
      </w:r>
      <w:r w:rsidR="008B7876">
        <w:t>)</w:t>
      </w:r>
      <w:r w:rsidR="00691647" w:rsidRPr="00C83615">
        <w:t xml:space="preserve"> through a single GoE interface greatly enhan</w:t>
      </w:r>
      <w:r w:rsidR="00CD2E47">
        <w:t xml:space="preserve">ced the prospects of success.  </w:t>
      </w:r>
    </w:p>
    <w:p w:rsidR="00581D0E" w:rsidRDefault="00581D0E" w:rsidP="006876C6">
      <w:r>
        <w:t xml:space="preserve">The creation of the DSU changed the technical assistance focus of TS-MLD from the MLD to the whole </w:t>
      </w:r>
      <w:r w:rsidR="002863B3">
        <w:t xml:space="preserve">of </w:t>
      </w:r>
      <w:r>
        <w:t>government.  With Ms. Latif</w:t>
      </w:r>
      <w:r w:rsidR="00D81069">
        <w:t>,</w:t>
      </w:r>
      <w:r>
        <w:t xml:space="preserve"> as the </w:t>
      </w:r>
      <w:r w:rsidR="00A77012">
        <w:t xml:space="preserve">NDP </w:t>
      </w:r>
      <w:r>
        <w:t xml:space="preserve">National Coordinator for </w:t>
      </w:r>
      <w:r w:rsidR="00FA65B8">
        <w:t>Decentralisation</w:t>
      </w:r>
      <w:r>
        <w:t>, the DSU has access</w:t>
      </w:r>
      <w:r w:rsidR="00A77012">
        <w:t xml:space="preserve"> to</w:t>
      </w:r>
      <w:r>
        <w:t xml:space="preserve"> (but not always agreement from) all </w:t>
      </w:r>
      <w:r w:rsidR="00DC698C">
        <w:t xml:space="preserve">GoE  </w:t>
      </w:r>
      <w:r>
        <w:t xml:space="preserve">departments. </w:t>
      </w:r>
      <w:r w:rsidR="008F1C3B">
        <w:t xml:space="preserve"> This is only natural in any large political setting, either dictatorial or democratic, as there are typically many centers of power and influence.</w:t>
      </w:r>
      <w:r>
        <w:t xml:space="preserve"> The combined resources and expertise of UNDP and USAID were used effectively.</w:t>
      </w:r>
    </w:p>
    <w:p w:rsidR="00C32529" w:rsidRDefault="006761CA" w:rsidP="006876C6">
      <w:r>
        <w:t xml:space="preserve">The UNDP’s primary role </w:t>
      </w:r>
      <w:r w:rsidR="00581D0E">
        <w:t xml:space="preserve">in this process </w:t>
      </w:r>
      <w:r>
        <w:t>has been described</w:t>
      </w:r>
      <w:r w:rsidR="00581D0E">
        <w:t>, as it should be,</w:t>
      </w:r>
      <w:r>
        <w:t xml:space="preserve"> as a neutral facilitator and </w:t>
      </w:r>
      <w:r w:rsidR="00C32529">
        <w:t>convener</w:t>
      </w:r>
      <w:r>
        <w:t xml:space="preserve"> of the process</w:t>
      </w:r>
      <w:r w:rsidR="00C32529">
        <w:t xml:space="preserve"> among the international community</w:t>
      </w:r>
      <w:r>
        <w:t>.</w:t>
      </w:r>
      <w:r w:rsidR="00C32529">
        <w:t xml:space="preserve">  Within Government, it was the DSU that carried the weight.  </w:t>
      </w:r>
    </w:p>
    <w:p w:rsidR="00A02A9F" w:rsidRDefault="00A02A9F" w:rsidP="006876C6">
      <w:r>
        <w:t>However, t</w:t>
      </w:r>
      <w:r w:rsidRPr="00C83615">
        <w:t xml:space="preserve">he Egyptian people’s movement </w:t>
      </w:r>
      <w:r>
        <w:t xml:space="preserve">of 2011 </w:t>
      </w:r>
      <w:r w:rsidRPr="00C83615">
        <w:t xml:space="preserve">brought an end to the </w:t>
      </w:r>
      <w:r>
        <w:t xml:space="preserve">political tie to the </w:t>
      </w:r>
      <w:r w:rsidR="00A77012">
        <w:t xml:space="preserve">project’s </w:t>
      </w:r>
      <w:r>
        <w:t xml:space="preserve">technical </w:t>
      </w:r>
      <w:r w:rsidRPr="00C83615">
        <w:t xml:space="preserve">efforts when the regime fell in January.  The project </w:t>
      </w:r>
      <w:r>
        <w:t xml:space="preserve">staff </w:t>
      </w:r>
      <w:r w:rsidRPr="00C83615">
        <w:t xml:space="preserve">has continued to discuss these issues </w:t>
      </w:r>
      <w:r w:rsidR="00A77012">
        <w:t xml:space="preserve">widely </w:t>
      </w:r>
      <w:r w:rsidRPr="00C83615">
        <w:t>and to support dialogue withi</w:t>
      </w:r>
      <w:r>
        <w:t>n MLD and with other Ministries.  The funds allocated in the MLD</w:t>
      </w:r>
      <w:r w:rsidR="00D81069">
        <w:t xml:space="preserve"> </w:t>
      </w:r>
      <w:r w:rsidR="003C268C">
        <w:t xml:space="preserve">local development </w:t>
      </w:r>
      <w:r w:rsidR="008C2456">
        <w:t>programme</w:t>
      </w:r>
      <w:r>
        <w:t xml:space="preserve"> have been kept in the 2001-2012 budget (which is an indication of the unwillingness of the current leadership to pull back from the </w:t>
      </w:r>
      <w:r w:rsidR="00FA65B8">
        <w:t>decentralisation</w:t>
      </w:r>
      <w:r>
        <w:t xml:space="preserve"> agenda) and are currently being disbursed, </w:t>
      </w:r>
      <w:r w:rsidRPr="00C83615">
        <w:t xml:space="preserve">but the </w:t>
      </w:r>
      <w:r>
        <w:t xml:space="preserve">political </w:t>
      </w:r>
      <w:r w:rsidRPr="00C83615">
        <w:t xml:space="preserve">momentum </w:t>
      </w:r>
      <w:r>
        <w:t xml:space="preserve">for a major </w:t>
      </w:r>
      <w:r w:rsidR="00A77012">
        <w:t>change at the sub</w:t>
      </w:r>
      <w:r w:rsidR="00D81069">
        <w:t>-</w:t>
      </w:r>
      <w:r w:rsidR="00A77012">
        <w:t xml:space="preserve">national level </w:t>
      </w:r>
      <w:r w:rsidRPr="00C83615">
        <w:t xml:space="preserve">has been </w:t>
      </w:r>
      <w:r w:rsidR="00A77012">
        <w:t xml:space="preserve">‘put on the back burner’ </w:t>
      </w:r>
      <w:r w:rsidRPr="00C83615">
        <w:t>.</w:t>
      </w:r>
    </w:p>
    <w:p w:rsidR="002863B3" w:rsidRDefault="00A02A9F" w:rsidP="00B83DBB">
      <w:r>
        <w:lastRenderedPageBreak/>
        <w:t>Prior to the people’s movement</w:t>
      </w:r>
      <w:r w:rsidR="002255C3">
        <w:t xml:space="preserve"> of January 2011</w:t>
      </w:r>
      <w:r>
        <w:t xml:space="preserve">, the DSU was able to influence different ministries on </w:t>
      </w:r>
      <w:r w:rsidR="00FA65B8">
        <w:t>decentralisation</w:t>
      </w:r>
      <w:r>
        <w:t xml:space="preserve"> based </w:t>
      </w:r>
      <w:r w:rsidR="002C2D9B">
        <w:t xml:space="preserve">partly </w:t>
      </w:r>
      <w:r>
        <w:t xml:space="preserve">on its political links whereas the MLD has lacked that leveraging ability during the past months.  The MLD </w:t>
      </w:r>
      <w:r w:rsidR="002C2D9B">
        <w:t xml:space="preserve">also </w:t>
      </w:r>
      <w:r>
        <w:t xml:space="preserve">has serious institutional </w:t>
      </w:r>
      <w:r w:rsidR="00CB2BA8">
        <w:t>weaknesses</w:t>
      </w:r>
      <w:r w:rsidR="00D81069">
        <w:t xml:space="preserve"> </w:t>
      </w:r>
      <w:r w:rsidR="00A77012">
        <w:t>that limit</w:t>
      </w:r>
      <w:r>
        <w:t xml:space="preserve"> its ability to draft or advocate for a </w:t>
      </w:r>
      <w:r w:rsidR="00FA65B8">
        <w:t>decentralisation</w:t>
      </w:r>
      <w:r>
        <w:t xml:space="preserve"> strategy.  </w:t>
      </w:r>
      <w:r w:rsidR="00A77012">
        <w:t>Part of the reason for the continuing weakness, despite four years of technical assistance, is the lack of full integration of the DSU into the core functions of the MLD.  This lack of integration, in turn, stems from the unwillingness of MLD staff to consider undergoing the structural reforms that have been proposed by the DSU.</w:t>
      </w:r>
    </w:p>
    <w:p w:rsidR="003E1F13" w:rsidRDefault="00A02A9F" w:rsidP="006876C6">
      <w:r>
        <w:t xml:space="preserve">There are now many different forums in which the national debate on the future of Egypt, including its governance framework, is being discussed.  The DSU remains engaged in many of these dialogues.  The UNDP is supporting the Social Contract Centre (SCC) as the Secretariat for a major national dialogue, but the SCC reports that </w:t>
      </w:r>
      <w:r w:rsidR="00FA65B8">
        <w:t>decentralisation</w:t>
      </w:r>
      <w:r>
        <w:t xml:space="preserve"> per se is not high on the ag</w:t>
      </w:r>
      <w:r w:rsidR="006C2DD4">
        <w:t xml:space="preserve">enda. The USAID, using its EDI </w:t>
      </w:r>
      <w:r w:rsidR="00A77012">
        <w:t>platform</w:t>
      </w:r>
      <w:r>
        <w:t xml:space="preserve">, is convening a series of dialogues with various stakeholders to set a </w:t>
      </w:r>
      <w:r w:rsidR="00FA65B8">
        <w:t>decentralisation</w:t>
      </w:r>
      <w:r>
        <w:t xml:space="preserve"> agenda and to advocate for its inclusion in any constitutional modifications.  The EDI unit in the Ministry of Finance supports the Intergovernmental Unit, but </w:t>
      </w:r>
      <w:r w:rsidR="003E1F13">
        <w:t xml:space="preserve">the concept of fiscal </w:t>
      </w:r>
      <w:r w:rsidR="00FA65B8">
        <w:t>decentralisation</w:t>
      </w:r>
      <w:r>
        <w:t xml:space="preserve"> has met with serious resistance </w:t>
      </w:r>
      <w:r w:rsidR="00BB3EA2">
        <w:t>from</w:t>
      </w:r>
      <w:r w:rsidR="003E1F13">
        <w:t xml:space="preserve"> central agencies. </w:t>
      </w:r>
      <w:r w:rsidR="007F4400">
        <w:t xml:space="preserve">The Ministry of Education (repeated in Fayoum </w:t>
      </w:r>
      <w:r w:rsidR="00CB2BA8">
        <w:t>Governorate</w:t>
      </w:r>
      <w:r w:rsidR="007F4400">
        <w:t>)</w:t>
      </w:r>
      <w:r w:rsidR="00CB2BA8">
        <w:t xml:space="preserve"> reported that central agencies </w:t>
      </w:r>
      <w:r w:rsidR="003E1F13">
        <w:t>such as the General Authority for Education Buildings (GAEB) have used t</w:t>
      </w:r>
      <w:r w:rsidR="00D07B4C">
        <w:t>he</w:t>
      </w:r>
      <w:r w:rsidR="003E1F13">
        <w:t xml:space="preserve"> revolution as an excuse to pull back from </w:t>
      </w:r>
      <w:r w:rsidR="00FA65B8">
        <w:t>decentralisation</w:t>
      </w:r>
      <w:r w:rsidR="003E1F13">
        <w:t xml:space="preserve"> measures forced upon them in past years, arguing that </w:t>
      </w:r>
      <w:r w:rsidR="00FA65B8">
        <w:t>decentralisation</w:t>
      </w:r>
      <w:r w:rsidR="003E1F13">
        <w:t xml:space="preserve"> was a trick played on the people by the NDP.  In this way, GAEB was able to retain several hundred million </w:t>
      </w:r>
      <w:r w:rsidR="00536716">
        <w:t>pounds</w:t>
      </w:r>
      <w:r w:rsidR="003E1F13">
        <w:t xml:space="preserve"> in new school construction funds that were going to be allocated directly to Governorates in this year’s budget.</w:t>
      </w:r>
    </w:p>
    <w:p w:rsidR="00A34876" w:rsidRDefault="003E1F13" w:rsidP="006876C6">
      <w:r>
        <w:t>TS</w:t>
      </w:r>
      <w:r w:rsidR="00A77012">
        <w:t>-MLD</w:t>
      </w:r>
      <w:r w:rsidR="00691647" w:rsidRPr="00C83615">
        <w:t xml:space="preserve"> had little or no link with open civil society.  </w:t>
      </w:r>
      <w:r w:rsidR="00A34876">
        <w:t xml:space="preserve">The Local Peoples’ Councils (LPC) are clearly not seen as legitimate representatives of the people due to their perceived political bias in favor of NDP policies and corruption.  Prior to January 2011, the people acquiesced to their role, but an early demand of the movement was for their removal.  Following the revolution, some Governors </w:t>
      </w:r>
      <w:r w:rsidR="004572EF">
        <w:t>did involve</w:t>
      </w:r>
      <w:r w:rsidR="00A34876">
        <w:t xml:space="preserve"> the revolutionary youth in the oversight of the Loc</w:t>
      </w:r>
      <w:r>
        <w:t>al Development programs</w:t>
      </w:r>
      <w:r w:rsidR="004572EF">
        <w:t>, but this was, at most, an ad hoc measure.</w:t>
      </w:r>
    </w:p>
    <w:p w:rsidR="00A34876" w:rsidRDefault="009C1E6D" w:rsidP="006876C6">
      <w:r>
        <w:t xml:space="preserve">Several interviewees remarked that </w:t>
      </w:r>
      <w:r w:rsidR="00FA65B8">
        <w:t>decentralisation</w:t>
      </w:r>
      <w:r>
        <w:t xml:space="preserve"> is currently not high on the agenda of the national dialogue.  Others strongly disagreed.  The Reviewer did not have an opportunity during his exceedingly short time in the country to independently assess the situation.  However, one remark may clarify the case stating that the demand from political parties is for local decision maki</w:t>
      </w:r>
      <w:r w:rsidR="002C2D9B">
        <w:t>ng, but t</w:t>
      </w:r>
      <w:r>
        <w:t xml:space="preserve">his is not necessarily seen in the context of the </w:t>
      </w:r>
      <w:r w:rsidR="00FA65B8">
        <w:t>decentralisation</w:t>
      </w:r>
      <w:r>
        <w:t xml:space="preserve"> of the civil service.</w:t>
      </w:r>
      <w:r w:rsidR="00D81069">
        <w:t xml:space="preserve">  </w:t>
      </w:r>
      <w:r w:rsidR="002C2D9B">
        <w:t xml:space="preserve">Clarification of what </w:t>
      </w:r>
      <w:r w:rsidR="00FA65B8">
        <w:t>decentralisation</w:t>
      </w:r>
      <w:r w:rsidR="002C2D9B">
        <w:t xml:space="preserve"> is and how it can be used to shape a new relationship between the state and its citizens should be high on the DSU agenda in the coming months.</w:t>
      </w:r>
    </w:p>
    <w:p w:rsidR="00A34876" w:rsidRDefault="00660F33" w:rsidP="006876C6">
      <w:r w:rsidRPr="00A34876">
        <w:lastRenderedPageBreak/>
        <w:t xml:space="preserve">This </w:t>
      </w:r>
      <w:r w:rsidR="002255C3">
        <w:t>political upheaval initiated by the events of January 2011</w:t>
      </w:r>
      <w:r w:rsidR="002C2D9B">
        <w:t xml:space="preserve"> provides an opportunity </w:t>
      </w:r>
      <w:r w:rsidR="002255C3">
        <w:t xml:space="preserve">for UNDP and the DSU </w:t>
      </w:r>
      <w:r w:rsidRPr="00A34876">
        <w:t xml:space="preserve">to establish a new context for </w:t>
      </w:r>
      <w:r w:rsidR="00FA65B8">
        <w:t>decentralisation</w:t>
      </w:r>
      <w:r w:rsidR="008A5251" w:rsidRPr="00A34876">
        <w:t xml:space="preserve">.  The previous </w:t>
      </w:r>
      <w:r w:rsidR="008F1C3B">
        <w:t xml:space="preserve">Egyptian political economic </w:t>
      </w:r>
      <w:r w:rsidR="008A5251" w:rsidRPr="00A34876">
        <w:t xml:space="preserve">context, driven by the </w:t>
      </w:r>
      <w:r w:rsidR="006222B0">
        <w:t xml:space="preserve">Mubarak </w:t>
      </w:r>
      <w:r w:rsidR="006222B0" w:rsidRPr="00A34876">
        <w:t>regime</w:t>
      </w:r>
      <w:r w:rsidR="008A5251" w:rsidRPr="00A34876">
        <w:t>, was built on a set of corrupt values</w:t>
      </w:r>
      <w:r w:rsidR="008A5251">
        <w:t xml:space="preserve"> aimed at retaining control of the </w:t>
      </w:r>
      <w:r w:rsidR="007964A1">
        <w:t>centre</w:t>
      </w:r>
      <w:r w:rsidR="002255C3">
        <w:t xml:space="preserve"> for the benefit of its </w:t>
      </w:r>
      <w:r w:rsidR="00D81069">
        <w:t>close associates</w:t>
      </w:r>
      <w:r w:rsidR="008A5251" w:rsidRPr="00A34876">
        <w:t>.</w:t>
      </w:r>
      <w:r w:rsidR="008F1C3B">
        <w:t xml:space="preserve"> </w:t>
      </w:r>
      <w:r w:rsidR="007F4400">
        <w:t xml:space="preserve">This view is clearly substantiated by </w:t>
      </w:r>
      <w:r w:rsidR="008F1C3B">
        <w:t xml:space="preserve">the </w:t>
      </w:r>
      <w:r w:rsidR="007F4400">
        <w:t xml:space="preserve">groundswell of public disgust with the </w:t>
      </w:r>
      <w:r w:rsidR="006222B0">
        <w:t>regime’s ability</w:t>
      </w:r>
      <w:r w:rsidR="007F4400">
        <w:t xml:space="preserve"> to manipulate government policy for personal gain, which has forced the Government to disband the NDP </w:t>
      </w:r>
      <w:r w:rsidR="00E67882">
        <w:t xml:space="preserve">and </w:t>
      </w:r>
      <w:r w:rsidR="007F4400">
        <w:t xml:space="preserve">place the President and his son </w:t>
      </w:r>
      <w:r w:rsidR="00E67882">
        <w:t>on trial</w:t>
      </w:r>
      <w:r w:rsidR="007F4400">
        <w:t>.</w:t>
      </w:r>
      <w:r w:rsidR="00523D34">
        <w:rPr>
          <w:rStyle w:val="FootnoteReference"/>
        </w:rPr>
        <w:footnoteReference w:id="2"/>
      </w:r>
      <w:r w:rsidR="008F1C3B">
        <w:t xml:space="preserve">  </w:t>
      </w:r>
      <w:r w:rsidRPr="00A34876">
        <w:t>Although it will take many years to root out the influences of this nefarious regime, the TS-MLD</w:t>
      </w:r>
      <w:r w:rsidR="004572EF">
        <w:t xml:space="preserve"> can begin the process by </w:t>
      </w:r>
      <w:r w:rsidR="00A34876">
        <w:t>pressing the argument for a completely open, democratic approach to local governance</w:t>
      </w:r>
      <w:r w:rsidR="00A34876" w:rsidRPr="00A34876">
        <w:t>.</w:t>
      </w:r>
    </w:p>
    <w:p w:rsidR="00DD6C47" w:rsidRPr="00C83615" w:rsidRDefault="001F6B94" w:rsidP="006876C6">
      <w:r>
        <w:t>In August, 2009, prior to the establishment of the MLD fund, t</w:t>
      </w:r>
      <w:r w:rsidR="000E4E40">
        <w:t>hree meetings were held with all Governors to discuss the investment funds, and the Governors were given a week to respond, but none did so.  In addition, ad</w:t>
      </w:r>
      <w:r w:rsidR="00DD6C47">
        <w:t xml:space="preserve"> hoc meetings in the field were mentioned</w:t>
      </w:r>
      <w:r>
        <w:t xml:space="preserve">.  </w:t>
      </w:r>
      <w:r w:rsidR="003E1F13">
        <w:t>It was also noted that th</w:t>
      </w:r>
      <w:r w:rsidR="000E4E40">
        <w:t>re</w:t>
      </w:r>
      <w:r w:rsidR="00B60984">
        <w:t xml:space="preserve">e </w:t>
      </w:r>
      <w:r w:rsidR="003E1F13">
        <w:t xml:space="preserve">Governors are on the DSU Steering Committee, </w:t>
      </w:r>
      <w:r>
        <w:t>and the decentr</w:t>
      </w:r>
      <w:r w:rsidR="00D81069">
        <w:t>alization policy was discussed d</w:t>
      </w:r>
      <w:r>
        <w:t xml:space="preserve">uring the Governor’s Forums.  Following the January 2011 people’s movement, feedback on the decentralization policy was requested from all Governors and their response is being reviewed by the DSU staff. </w:t>
      </w:r>
      <w:r w:rsidR="003E1F13">
        <w:t xml:space="preserve">.  </w:t>
      </w:r>
      <w:r>
        <w:t xml:space="preserve">  </w:t>
      </w:r>
    </w:p>
    <w:p w:rsidR="00691647" w:rsidRPr="00E65282" w:rsidRDefault="00E053A5" w:rsidP="00E65282">
      <w:pPr>
        <w:rPr>
          <w:b/>
        </w:rPr>
      </w:pPr>
      <w:bookmarkStart w:id="66" w:name="_Toc300432381"/>
      <w:bookmarkStart w:id="67" w:name="_Toc300433982"/>
      <w:bookmarkStart w:id="68" w:name="_Toc300434990"/>
      <w:r w:rsidRPr="00E65282">
        <w:rPr>
          <w:b/>
        </w:rPr>
        <w:t>Institutional S</w:t>
      </w:r>
      <w:r w:rsidR="00691647" w:rsidRPr="00E65282">
        <w:rPr>
          <w:b/>
        </w:rPr>
        <w:t>upport</w:t>
      </w:r>
      <w:r w:rsidRPr="00E65282">
        <w:rPr>
          <w:b/>
        </w:rPr>
        <w:t xml:space="preserve"> Output</w:t>
      </w:r>
      <w:r w:rsidR="00104810" w:rsidRPr="00E65282">
        <w:rPr>
          <w:b/>
        </w:rPr>
        <w:t xml:space="preserve"> Findings</w:t>
      </w:r>
      <w:bookmarkEnd w:id="66"/>
      <w:bookmarkEnd w:id="67"/>
      <w:bookmarkEnd w:id="68"/>
    </w:p>
    <w:p w:rsidR="00E053A5" w:rsidRPr="004572EF" w:rsidRDefault="00430B5A" w:rsidP="006876C6">
      <w:r w:rsidRPr="004572EF">
        <w:rPr>
          <w:u w:val="single"/>
        </w:rPr>
        <w:t>Institutional Support Output Definition</w:t>
      </w:r>
      <w:r w:rsidRPr="00A34876">
        <w:t xml:space="preserve">:  </w:t>
      </w:r>
      <w:r w:rsidR="002E1C4F">
        <w:t>Restructuring of M</w:t>
      </w:r>
      <w:r w:rsidR="00E053A5" w:rsidRPr="004572EF">
        <w:t xml:space="preserve">LD to strengthen its own capacity as the central agency for State support and </w:t>
      </w:r>
      <w:r w:rsidR="001F6B94">
        <w:t>supervisi</w:t>
      </w:r>
      <w:r w:rsidR="001F6B94" w:rsidRPr="001F6B94">
        <w:t>on of the sub-national authorities’ system.</w:t>
      </w:r>
    </w:p>
    <w:p w:rsidR="008E307E" w:rsidRPr="008E307E" w:rsidRDefault="00B40AB6" w:rsidP="008C5F4B">
      <w:r>
        <w:t>A</w:t>
      </w:r>
      <w:r w:rsidR="00E053A5" w:rsidRPr="00E053A5">
        <w:t xml:space="preserve"> series of dialogs and assessments was carried out </w:t>
      </w:r>
      <w:r w:rsidR="00A34876">
        <w:t xml:space="preserve">in MLD </w:t>
      </w:r>
      <w:r w:rsidR="00E053A5" w:rsidRPr="00E053A5">
        <w:t xml:space="preserve">in the context of a full functional analysis culminating in a restructured organogram for the </w:t>
      </w:r>
      <w:r>
        <w:t>MLD</w:t>
      </w:r>
      <w:r w:rsidR="00E053A5" w:rsidRPr="00E053A5">
        <w:t xml:space="preserve"> along with revised job descriptions. </w:t>
      </w:r>
      <w:r>
        <w:t>DSU</w:t>
      </w:r>
      <w:r w:rsidR="008E307E" w:rsidRPr="008E307E">
        <w:t xml:space="preserve"> worked on this task in close collaboration with the Ministry of Administrative Development (MoAD) and the Central Agency for Organization and Administration (CAOA</w:t>
      </w:r>
      <w:r w:rsidR="008E307E">
        <w:t xml:space="preserve">). </w:t>
      </w:r>
      <w:r w:rsidR="00E053A5" w:rsidRPr="00E053A5">
        <w:t xml:space="preserve"> The resulting </w:t>
      </w:r>
      <w:r>
        <w:t>reform plan</w:t>
      </w:r>
      <w:r w:rsidR="00E053A5" w:rsidRPr="00E053A5">
        <w:t xml:space="preserve"> was cleared by the Minister of State for Administrative Reform and approved by the Minister of Local Development in December 2009.  </w:t>
      </w:r>
      <w:r w:rsidR="008E307E" w:rsidRPr="00E053A5">
        <w:t xml:space="preserve">However, it appears that the process </w:t>
      </w:r>
      <w:r w:rsidR="008E307E">
        <w:t>did</w:t>
      </w:r>
      <w:r w:rsidR="004572EF">
        <w:t xml:space="preserve"> not move</w:t>
      </w:r>
      <w:r w:rsidR="001F6B94">
        <w:t xml:space="preserve"> </w:t>
      </w:r>
      <w:r w:rsidR="008E307E" w:rsidRPr="00E053A5">
        <w:t>furth</w:t>
      </w:r>
      <w:r w:rsidR="008E307E">
        <w:t>er in the subsequent 1</w:t>
      </w:r>
      <w:r w:rsidR="00A34876">
        <w:t>2</w:t>
      </w:r>
      <w:r w:rsidR="008E307E">
        <w:t xml:space="preserve"> month</w:t>
      </w:r>
      <w:r w:rsidR="008E307E" w:rsidRPr="00E053A5">
        <w:t>s</w:t>
      </w:r>
      <w:r w:rsidR="00A34876">
        <w:t xml:space="preserve"> prior to the January 2011 movement</w:t>
      </w:r>
      <w:r w:rsidR="008E307E">
        <w:t xml:space="preserve"> because of </w:t>
      </w:r>
      <w:r w:rsidR="00A34876">
        <w:t xml:space="preserve">strong </w:t>
      </w:r>
      <w:r w:rsidR="008E307E">
        <w:t>resistance from MLD employees.  It is unclear whether the MLD employees had resolved their differences with the new arrangement prior to the January 2011 events, but it is reported that 32,000 field contractors</w:t>
      </w:r>
      <w:r w:rsidR="00BB3EA2">
        <w:t>,</w:t>
      </w:r>
      <w:r w:rsidR="008E307E">
        <w:t xml:space="preserve"> employed by MLD</w:t>
      </w:r>
      <w:r w:rsidR="00BB3EA2">
        <w:t>,</w:t>
      </w:r>
      <w:r w:rsidR="008E307E">
        <w:t xml:space="preserve"> have been promised permanent posts in the local authorities</w:t>
      </w:r>
      <w:r w:rsidR="004572EF">
        <w:t>.</w:t>
      </w:r>
    </w:p>
    <w:p w:rsidR="00A34876" w:rsidRDefault="00A34876" w:rsidP="006876C6">
      <w:r>
        <w:t xml:space="preserve">58% of all GoE employees work in local units. However, the senior </w:t>
      </w:r>
      <w:r w:rsidR="004572EF">
        <w:t>bureaucrats</w:t>
      </w:r>
      <w:r>
        <w:t xml:space="preserve"> of the Governorates, the departmental Under Secretaries and the Governorate Secretary </w:t>
      </w:r>
      <w:r>
        <w:lastRenderedPageBreak/>
        <w:t>General are ministerial staff.  This serious</w:t>
      </w:r>
      <w:r w:rsidR="00BB3EA2">
        <w:t>ly</w:t>
      </w:r>
      <w:r>
        <w:t xml:space="preserve"> undermines the integrity of the local service </w:t>
      </w:r>
      <w:r w:rsidR="00BB3EA2">
        <w:t>if</w:t>
      </w:r>
      <w:r>
        <w:t xml:space="preserve"> senior decision makers </w:t>
      </w:r>
      <w:r w:rsidR="00BB3EA2">
        <w:t>look outside the local unit to advance</w:t>
      </w:r>
      <w:r>
        <w:t xml:space="preserve"> t</w:t>
      </w:r>
      <w:r w:rsidR="00BB3EA2">
        <w:t>heir career</w:t>
      </w:r>
      <w:r>
        <w:t xml:space="preserve">.  Their orientation </w:t>
      </w:r>
      <w:r w:rsidR="00BB3EA2">
        <w:t>will always be</w:t>
      </w:r>
      <w:r>
        <w:t xml:space="preserve"> upwards to their ministry rather than downwards to the people of the area.</w:t>
      </w:r>
    </w:p>
    <w:p w:rsidR="00B40AB6" w:rsidRDefault="004572EF" w:rsidP="006876C6">
      <w:r>
        <w:t>To address this dilemma,</w:t>
      </w:r>
      <w:r w:rsidR="00451194">
        <w:t xml:space="preserve"> </w:t>
      </w:r>
      <w:r w:rsidR="00B40AB6">
        <w:t>DSU</w:t>
      </w:r>
      <w:r w:rsidR="001F6B94">
        <w:t xml:space="preserve"> </w:t>
      </w:r>
      <w:r w:rsidR="00B40AB6">
        <w:t>also supports</w:t>
      </w:r>
      <w:r w:rsidR="00B40AB6" w:rsidRPr="00C83615">
        <w:t xml:space="preserve"> efforts of the USAID/EDI project in its work on functional analysis of other ministries.</w:t>
      </w:r>
      <w:r w:rsidR="00B40AB6">
        <w:t xml:space="preserve">  However, despite four years of political focus on the elaboration of a </w:t>
      </w:r>
      <w:r w:rsidR="00FA65B8">
        <w:t>decentralisation</w:t>
      </w:r>
      <w:r w:rsidR="00B40AB6">
        <w:t xml:space="preserve"> strategy, </w:t>
      </w:r>
      <w:r w:rsidR="00CE7F7E">
        <w:t>institutional reform remains a difficult task to carry out, as illustrated by the MLD example above. T</w:t>
      </w:r>
      <w:r w:rsidR="00B40AB6">
        <w:t xml:space="preserve">he EDI team working on a functional analysis of five line ministries </w:t>
      </w:r>
      <w:r w:rsidR="00CE7F7E">
        <w:t>reports</w:t>
      </w:r>
      <w:r w:rsidR="00B40AB6">
        <w:t xml:space="preserve"> that all tiers of government have nearly the same roles and functions, eliminating any possible assessment of performance.</w:t>
      </w:r>
    </w:p>
    <w:p w:rsidR="00A34876" w:rsidRDefault="00E053A5" w:rsidP="006876C6">
      <w:r>
        <w:t>Nevertheless, despite the lack of reorganization, MLD was able to overc</w:t>
      </w:r>
      <w:r w:rsidR="00AA767F">
        <w:t>ome considerable resistance from the Ministry of Planning</w:t>
      </w:r>
      <w:r>
        <w:t xml:space="preserve"> to gain approval for a significant delegation of authority to Governors for the implementation of a</w:t>
      </w:r>
      <w:r w:rsidR="00B40AB6">
        <w:t xml:space="preserve"> massive</w:t>
      </w:r>
      <w:r>
        <w:t xml:space="preserve"> Local Development </w:t>
      </w:r>
      <w:r w:rsidR="008C2456">
        <w:t>Programme</w:t>
      </w:r>
      <w:r w:rsidR="00AA767F">
        <w:t xml:space="preserve">.  This represents a clear victory for the </w:t>
      </w:r>
      <w:r w:rsidR="00FA65B8">
        <w:t>decentralisation</w:t>
      </w:r>
      <w:r w:rsidR="00AA767F">
        <w:t xml:space="preserve"> advocates.  The delegated use of over one-half billion dollars </w:t>
      </w:r>
      <w:r w:rsidR="002A6D97">
        <w:t xml:space="preserve">annually </w:t>
      </w:r>
      <w:r w:rsidR="00AA767F">
        <w:t xml:space="preserve">by local authorities is not an insignificant amount.  </w:t>
      </w:r>
    </w:p>
    <w:p w:rsidR="007D2DA0" w:rsidRDefault="007D2DA0" w:rsidP="006876C6">
      <w:r>
        <w:t xml:space="preserve">A </w:t>
      </w:r>
      <w:r w:rsidR="001F6B94">
        <w:t>detailed</w:t>
      </w:r>
      <w:r>
        <w:t xml:space="preserve"> formula </w:t>
      </w:r>
      <w:r w:rsidR="001F6B94">
        <w:t xml:space="preserve">to breakdown the Governorate allocations so that all sub-units can benefit </w:t>
      </w:r>
      <w:r>
        <w:t xml:space="preserve">has been devised to prevent the over use of these funds by the urban </w:t>
      </w:r>
      <w:r w:rsidR="007964A1">
        <w:t>centre</w:t>
      </w:r>
      <w:r w:rsidR="00B72F00">
        <w:t xml:space="preserve">s.  Each Governorate is given a figure based on </w:t>
      </w:r>
      <w:r w:rsidR="002573D0">
        <w:t>a</w:t>
      </w:r>
      <w:r w:rsidR="00B72F00">
        <w:t xml:space="preserve"> development index </w:t>
      </w:r>
      <w:r w:rsidR="00E67882">
        <w:t>rating</w:t>
      </w:r>
      <w:r w:rsidR="00451194">
        <w:t xml:space="preserve">, area </w:t>
      </w:r>
      <w:r w:rsidR="00B72F00">
        <w:t>and population size.</w:t>
      </w:r>
      <w:r w:rsidR="00451194">
        <w:t xml:space="preserve">  </w:t>
      </w:r>
      <w:r>
        <w:t>They are instructed that each lower unit will receive a specified percentage of the total, based on type of unit and population.  In Fayoum, the allocation worked out to approximately $100,000 available for a typical major village.</w:t>
      </w:r>
    </w:p>
    <w:p w:rsidR="00CE7F7E" w:rsidRDefault="00CE7F7E" w:rsidP="006876C6">
      <w:r>
        <w:t xml:space="preserve">The MLD </w:t>
      </w:r>
      <w:r w:rsidR="008C2456">
        <w:t>programme</w:t>
      </w:r>
      <w:r>
        <w:t xml:space="preserve"> gives an indicative figure for </w:t>
      </w:r>
      <w:r w:rsidR="002573D0">
        <w:t xml:space="preserve">the amount allocated to a Governorate </w:t>
      </w:r>
      <w:r>
        <w:t xml:space="preserve">with special earmarks for Civil Defense and transportation.  There is some disagreement between the DSU and the Governorate </w:t>
      </w:r>
      <w:r w:rsidR="006222B0">
        <w:t>offices regarding</w:t>
      </w:r>
      <w:r w:rsidR="002573D0">
        <w:t xml:space="preserve"> the sub-unit allocations.  DSU/MLD argues that the fo</w:t>
      </w:r>
      <w:r w:rsidR="00451194">
        <w:t>r</w:t>
      </w:r>
      <w:r w:rsidR="002573D0">
        <w:t xml:space="preserve">mula should be strictly adhered to for equity reasons, while some Governorates complain that this leads to an excessive dispersion of the funds. </w:t>
      </w:r>
      <w:r>
        <w:t xml:space="preserve">.  The funding is strictly for investment purposes (national budget chapter 6) and there is no similar </w:t>
      </w:r>
      <w:r w:rsidR="006F50F2">
        <w:t xml:space="preserve">delegated </w:t>
      </w:r>
      <w:r>
        <w:t xml:space="preserve">allocation of maintenance or operational expenses (budget chapter 2) from the MLD that allows for any local deviation from the national budget line </w:t>
      </w:r>
      <w:r w:rsidR="006222B0">
        <w:t>earmarking</w:t>
      </w:r>
      <w:r>
        <w:t>.</w:t>
      </w:r>
    </w:p>
    <w:p w:rsidR="000342CA" w:rsidRDefault="007D2DA0" w:rsidP="006876C6">
      <w:r>
        <w:t>Although</w:t>
      </w:r>
      <w:r w:rsidRPr="00C83615">
        <w:t xml:space="preserve"> MLD </w:t>
      </w:r>
      <w:r>
        <w:t xml:space="preserve">Local Development </w:t>
      </w:r>
      <w:r w:rsidR="008C2456">
        <w:t>Programme</w:t>
      </w:r>
      <w:r w:rsidRPr="00C83615">
        <w:t xml:space="preserve"> represent a significant shift in resource allocation, </w:t>
      </w:r>
      <w:r w:rsidR="00DC7BD6">
        <w:t>even though</w:t>
      </w:r>
      <w:r w:rsidRPr="00C83615">
        <w:t xml:space="preserve"> Governorates and ci</w:t>
      </w:r>
      <w:r>
        <w:t>ties claim to be ready for more</w:t>
      </w:r>
      <w:r w:rsidR="000342CA">
        <w:t xml:space="preserve">, the emphasis </w:t>
      </w:r>
      <w:r>
        <w:t xml:space="preserve">(as reported) </w:t>
      </w:r>
      <w:r w:rsidR="000342CA">
        <w:t>to date within the MLD has been on the reporting of the expenditure of those funds rather than an assessment of the impact of the projects.  No reports were made available to the review</w:t>
      </w:r>
      <w:r>
        <w:t>er that indicated otherwise</w:t>
      </w:r>
      <w:r w:rsidR="00DC7BD6">
        <w:t xml:space="preserve">.  Three years after the initiation of the MLD program, </w:t>
      </w:r>
      <w:r w:rsidR="002573D0">
        <w:t xml:space="preserve">both the DSU M&amp;E unit and the Local Development Observatory (LDO) are preparing </w:t>
      </w:r>
      <w:r w:rsidR="00DC7BD6">
        <w:t xml:space="preserve">to test </w:t>
      </w:r>
      <w:r w:rsidR="002573D0">
        <w:t>indicators to assess the impact of the decentralization of the local development program</w:t>
      </w:r>
      <w:r>
        <w:t xml:space="preserve">. </w:t>
      </w:r>
    </w:p>
    <w:p w:rsidR="00AA767F" w:rsidRDefault="00AA767F" w:rsidP="006876C6">
      <w:r>
        <w:lastRenderedPageBreak/>
        <w:t>A</w:t>
      </w:r>
      <w:r w:rsidR="00DC7BD6">
        <w:t xml:space="preserve"> </w:t>
      </w:r>
      <w:r w:rsidR="000342CA">
        <w:t>second</w:t>
      </w:r>
      <w:r>
        <w:t xml:space="preserve"> lacuna in the delegation of </w:t>
      </w:r>
      <w:r w:rsidR="00B40AB6">
        <w:t xml:space="preserve">these </w:t>
      </w:r>
      <w:r>
        <w:t>resources for local investment is the</w:t>
      </w:r>
      <w:r w:rsidR="006F50F2">
        <w:t xml:space="preserve"> seeming</w:t>
      </w:r>
      <w:r>
        <w:t xml:space="preserve"> lack of a set percentage of the funds to be set aside for </w:t>
      </w:r>
      <w:r w:rsidR="00B40AB6">
        <w:t xml:space="preserve">operation or </w:t>
      </w:r>
      <w:r>
        <w:t>maintenance of existing or newly build infrastructure.  The maintenance of investment items must be incorporated into Chapt</w:t>
      </w:r>
      <w:r w:rsidR="00B40AB6">
        <w:t xml:space="preserve">er 6 of the budget </w:t>
      </w:r>
      <w:r>
        <w:t>while maintenance and operations of government buildings and equipment</w:t>
      </w:r>
      <w:r w:rsidR="006F50F2">
        <w:t xml:space="preserve"> (</w:t>
      </w:r>
      <w:r>
        <w:t>e.g. p</w:t>
      </w:r>
      <w:r w:rsidR="00B40AB6">
        <w:t>ublic buses or school buildings</w:t>
      </w:r>
      <w:r w:rsidR="006F50F2">
        <w:t>)</w:t>
      </w:r>
      <w:r>
        <w:t xml:space="preserve"> is included in Chapter 2.  There has been no delegation of authority for the use of Chapter 2 funds </w:t>
      </w:r>
      <w:r w:rsidR="000342CA">
        <w:t xml:space="preserve">by MLD </w:t>
      </w:r>
      <w:r>
        <w:t xml:space="preserve">to the Governorates or </w:t>
      </w:r>
      <w:r w:rsidR="000342CA">
        <w:t>lower units</w:t>
      </w:r>
      <w:r>
        <w:t xml:space="preserve">.  </w:t>
      </w:r>
      <w:r w:rsidR="00CD135A">
        <w:t>The Ministry determines the allocation and the Governorates are required to remain within the prescribed budget limits.</w:t>
      </w:r>
      <w:r w:rsidR="00DC7BD6">
        <w:t xml:space="preserve">  </w:t>
      </w:r>
      <w:r w:rsidR="00FA65B8">
        <w:t>Decentralisation</w:t>
      </w:r>
      <w:r w:rsidR="00B40AB6">
        <w:t xml:space="preserve">, as envisaged in the draft Local Administration Law, will require </w:t>
      </w:r>
      <w:r w:rsidR="000342CA">
        <w:t>access to investment, personnel and</w:t>
      </w:r>
      <w:r w:rsidR="002573D0">
        <w:t xml:space="preserve"> operations and maintenance</w:t>
      </w:r>
      <w:r w:rsidR="000342CA">
        <w:t xml:space="preserve"> funds that can be programmed according to local priorities.</w:t>
      </w:r>
    </w:p>
    <w:p w:rsidR="002765B8" w:rsidRDefault="000342CA" w:rsidP="006876C6">
      <w:r>
        <w:t xml:space="preserve">The entire arena of fiscal </w:t>
      </w:r>
      <w:r w:rsidR="00FA65B8">
        <w:t>decentralisation</w:t>
      </w:r>
      <w:r>
        <w:t xml:space="preserve"> is filled with contradictory positions.  A fiscal </w:t>
      </w:r>
      <w:r w:rsidR="00FA65B8">
        <w:t>decentralisation</w:t>
      </w:r>
      <w:r>
        <w:t xml:space="preserve"> strategy was formulated with the assistance of the IMF and a Permanent Committee of Fiscal </w:t>
      </w:r>
      <w:r w:rsidR="00FA65B8">
        <w:t>Decentralisation</w:t>
      </w:r>
      <w:r>
        <w:t xml:space="preserve"> has been established.  </w:t>
      </w:r>
      <w:r w:rsidR="002765B8">
        <w:t xml:space="preserve">On one hand, the Ministry of Finance centralized the real property tax in 2008.  This is a standard source of revenue for local governments around the world because there is nearly zero likelihood that a person owning a piece of </w:t>
      </w:r>
      <w:r w:rsidR="006F50F2">
        <w:t xml:space="preserve">immovable </w:t>
      </w:r>
      <w:r w:rsidR="002765B8">
        <w:t>property could be taxed more than once.</w:t>
      </w:r>
    </w:p>
    <w:p w:rsidR="000342CA" w:rsidRDefault="000342CA" w:rsidP="006876C6">
      <w:r>
        <w:t xml:space="preserve">On </w:t>
      </w:r>
      <w:r w:rsidR="002765B8">
        <w:t>the other</w:t>
      </w:r>
      <w:r>
        <w:t xml:space="preserve"> hand, the Ministry of Education has obtained agreement that schools may retain 80% of the fees they collect.  </w:t>
      </w:r>
      <w:r w:rsidR="002765B8">
        <w:t xml:space="preserve">This agreement resulted from several years of concentrated effort to establish a decentralized mindset within the Ministry.  This has resulted in the creation of a set of indicators to measure the impact of </w:t>
      </w:r>
      <w:r w:rsidR="00FA65B8">
        <w:t>decentralisation</w:t>
      </w:r>
      <w:r w:rsidR="002765B8">
        <w:t xml:space="preserve"> (primarily the product of the </w:t>
      </w:r>
      <w:r w:rsidR="006F50F2">
        <w:t xml:space="preserve">USAID </w:t>
      </w:r>
      <w:r w:rsidR="002765B8">
        <w:t>Gir</w:t>
      </w:r>
      <w:r w:rsidR="006F50F2">
        <w:t>ls Improved Learning Objectives (</w:t>
      </w:r>
      <w:r w:rsidR="002765B8">
        <w:t>GILO)</w:t>
      </w:r>
      <w:r w:rsidR="006F50F2">
        <w:t xml:space="preserve"> project</w:t>
      </w:r>
      <w:r w:rsidR="002765B8">
        <w:t>.  Even so, following the January movement, GAEB was able to muster sufficient resistance to prevent the delegation of any school building funds to Governorates.</w:t>
      </w:r>
    </w:p>
    <w:p w:rsidR="000342CA" w:rsidRDefault="00101D54" w:rsidP="006876C6">
      <w:r w:rsidRPr="00101D54">
        <w:t>At the local level,</w:t>
      </w:r>
      <w:r w:rsidR="00DC7BD6">
        <w:t xml:space="preserve"> </w:t>
      </w:r>
      <w:r w:rsidR="00006BF0">
        <w:t>TS-MLD</w:t>
      </w:r>
      <w:r w:rsidR="00691647" w:rsidRPr="00C83615">
        <w:t xml:space="preserve"> field units </w:t>
      </w:r>
      <w:r>
        <w:t xml:space="preserve">have </w:t>
      </w:r>
      <w:r w:rsidR="00691647" w:rsidRPr="00C83615">
        <w:t>exist</w:t>
      </w:r>
      <w:r>
        <w:t>ed</w:t>
      </w:r>
      <w:r w:rsidR="00691647" w:rsidRPr="00C83615">
        <w:t xml:space="preserve"> in 3 provinces</w:t>
      </w:r>
      <w:r w:rsidR="000342CA">
        <w:t xml:space="preserve"> (Fayoum, Ismailia and Lux</w:t>
      </w:r>
      <w:r>
        <w:t xml:space="preserve">or) for the past three years.  The field units visited (Fayoum and Ismailia) are small (2 people) and have their link with the Governorate Secretary General (chief of the bureaucracy).  They both appeared to be well regarded and supported with offices inside the Governor’s building.   </w:t>
      </w:r>
    </w:p>
    <w:p w:rsidR="007D2DA0" w:rsidRDefault="000342CA" w:rsidP="006876C6">
      <w:r>
        <w:t xml:space="preserve">These offices described the MLD Local Development </w:t>
      </w:r>
      <w:r w:rsidR="008C2456">
        <w:t>Programme</w:t>
      </w:r>
      <w:r>
        <w:t xml:space="preserve"> as a major advance in building local ownership for development.  </w:t>
      </w:r>
      <w:r w:rsidR="002E1C4F">
        <w:t>A team from the City of Ismailia echoed this remark, noting that they were completely able to handle the funds provided and are</w:t>
      </w:r>
      <w:r>
        <w:t xml:space="preserve"> ready to take on greater responsibilities.</w:t>
      </w:r>
      <w:r w:rsidR="00DC7BD6">
        <w:t xml:space="preserve">  </w:t>
      </w:r>
      <w:r w:rsidR="007D2DA0">
        <w:t xml:space="preserve">Remarks by </w:t>
      </w:r>
      <w:r w:rsidR="002C2D9B">
        <w:t>an</w:t>
      </w:r>
      <w:r w:rsidR="007D2DA0">
        <w:t xml:space="preserve"> x-LPC member (budget manager) in Fayoum indicated a mutually appreciative relationship</w:t>
      </w:r>
      <w:r w:rsidR="002C2D9B">
        <w:t xml:space="preserve"> with the bureaucracy and claimed</w:t>
      </w:r>
      <w:r w:rsidR="007D2DA0">
        <w:t xml:space="preserve"> that all funds were used well.</w:t>
      </w:r>
    </w:p>
    <w:p w:rsidR="007D2DA0" w:rsidRDefault="007D2DA0" w:rsidP="006876C6">
      <w:r>
        <w:t xml:space="preserve">The City of Ismailia reported significant benefits from the MLD local development programs.  First, people participate in planning and identifying needs at the village level.  These are sent up to the Hay and City from neighborhoods.  Funds are made available </w:t>
      </w:r>
      <w:r>
        <w:lastRenderedPageBreak/>
        <w:t>based on population size and the priority of the projects identified.  However, they complained that the requirements needing permission from Cairo are too many.</w:t>
      </w:r>
    </w:p>
    <w:p w:rsidR="007D2DA0" w:rsidRDefault="007D2DA0" w:rsidP="006876C6">
      <w:r>
        <w:t>The projects were monitored by the LPC, but now the people had told the city administration that they want to monitor their own projects.  Unfortunately, the city</w:t>
      </w:r>
      <w:r w:rsidR="00BB3EA2">
        <w:t>’s Own Source Revenue</w:t>
      </w:r>
      <w:r>
        <w:t xml:space="preserve"> is too small to be used for investment.</w:t>
      </w:r>
    </w:p>
    <w:p w:rsidR="004464CF" w:rsidRDefault="004464CF" w:rsidP="006876C6">
      <w:r>
        <w:t xml:space="preserve">Interestingly, in Education, it was reported in Fayoum that they receive both Chapter 2 and 6 allocations for use by schools.  However, particularly the Chapter 2 funds are </w:t>
      </w:r>
      <w:r w:rsidR="00101D54">
        <w:t>tightly</w:t>
      </w:r>
      <w:r>
        <w:t xml:space="preserve"> earmarked that (following the opening created by the January movement) school masters have started refusing to receive certain portions that are allocated for budget lines that they do not require.</w:t>
      </w:r>
    </w:p>
    <w:p w:rsidR="004464CF" w:rsidRDefault="004464CF" w:rsidP="006876C6">
      <w:r>
        <w:t>A major constraint</w:t>
      </w:r>
      <w:r w:rsidR="006F50F2">
        <w:t xml:space="preserve"> noted in the Governorates</w:t>
      </w:r>
      <w:r>
        <w:t xml:space="preserve"> is that the funds allocated in the ‘decentralized’ Local Development programs is only 10% of the investment total received </w:t>
      </w:r>
      <w:r w:rsidR="006F50F2">
        <w:t>in</w:t>
      </w:r>
      <w:r>
        <w:t xml:space="preserve"> a Governorate in a fiscal year.  This </w:t>
      </w:r>
      <w:r w:rsidR="007D2DA0">
        <w:t>potentially</w:t>
      </w:r>
      <w:r>
        <w:t xml:space="preserve"> undermine</w:t>
      </w:r>
      <w:r w:rsidR="007D2DA0">
        <w:t>s</w:t>
      </w:r>
      <w:r>
        <w:t xml:space="preserve"> the systemic value of the transfer because (1) the line departments are quite busy implementing the centrally mandated works and (2) the extent of the central works can overwhelm the marginal contribution of the locally planned activities.</w:t>
      </w:r>
    </w:p>
    <w:p w:rsidR="004464CF" w:rsidRDefault="00030B73" w:rsidP="006876C6">
      <w:r>
        <w:t>In both provinces</w:t>
      </w:r>
      <w:r w:rsidR="006F50F2">
        <w:t xml:space="preserve"> visited</w:t>
      </w:r>
      <w:r>
        <w:t xml:space="preserve">, the staff reported that the DSU office </w:t>
      </w:r>
      <w:r w:rsidR="007D2DA0">
        <w:t xml:space="preserve">appeared to </w:t>
      </w:r>
      <w:r>
        <w:t>perform</w:t>
      </w:r>
      <w:r w:rsidR="007D2DA0">
        <w:t xml:space="preserve"> a valued</w:t>
      </w:r>
      <w:r>
        <w:t xml:space="preserve"> function for the Governorate and the assistance should be continued.  However, 24 other Governorates operate the same Local Development Fund without DSU assistance.</w:t>
      </w:r>
      <w:r w:rsidR="00101D54">
        <w:t xml:space="preserve">  No comparison was made by the review mission reg</w:t>
      </w:r>
      <w:r w:rsidR="008C2456">
        <w:t xml:space="preserve">arding the varying quality of </w:t>
      </w:r>
      <w:r w:rsidR="00101D54">
        <w:t>implementation in the other Governorates</w:t>
      </w:r>
      <w:r w:rsidR="006F50F2">
        <w:t xml:space="preserve">, but the feeling expressed by the Governorate </w:t>
      </w:r>
      <w:r w:rsidR="007D2DA0">
        <w:t>t</w:t>
      </w:r>
      <w:r w:rsidR="006F50F2">
        <w:t xml:space="preserve">eams was that expansion </w:t>
      </w:r>
      <w:r w:rsidR="007D2DA0">
        <w:t xml:space="preserve">of similar teams into additional Governorates </w:t>
      </w:r>
      <w:r w:rsidR="006F50F2">
        <w:t>should take place</w:t>
      </w:r>
      <w:r w:rsidR="007D2DA0">
        <w:t xml:space="preserve"> as soon as possible</w:t>
      </w:r>
      <w:r w:rsidR="00101D54">
        <w:t>.</w:t>
      </w:r>
    </w:p>
    <w:p w:rsidR="00837322" w:rsidRDefault="00030B73" w:rsidP="006876C6">
      <w:r>
        <w:t>The DSU office</w:t>
      </w:r>
      <w:r w:rsidR="006F50F2">
        <w:t>s</w:t>
      </w:r>
      <w:r w:rsidR="007D2DA0">
        <w:t xml:space="preserve"> also assist</w:t>
      </w:r>
      <w:r>
        <w:t xml:space="preserve"> in the coordination of the work </w:t>
      </w:r>
      <w:r w:rsidR="00101D54">
        <w:t>by USAID/EDI</w:t>
      </w:r>
      <w:r>
        <w:t xml:space="preserve"> to carry out functional analysis in preparation for a restructuring of 5 line departments.</w:t>
      </w:r>
      <w:r w:rsidR="00DC7BD6">
        <w:t xml:space="preserve">  </w:t>
      </w:r>
      <w:r w:rsidR="00720E13">
        <w:t xml:space="preserve">In addition, they also serve as the local coordinator for the Ministry of Housing/UNHABITAT settlement planning efforts. </w:t>
      </w:r>
      <w:r w:rsidR="00837322">
        <w:t>UNHABITAT, operating as an integral partner agency within DSU and associated with the Ministry of Housing, is engaged in assisting the Ministry in the preparation of district level plans.  There have been over four thousand plans prepared for the villages of Egypt, but scarcely any have been implemented.  One of the critical bottlenecks is the confused legal relationships among the Ministry of Planning, the General Office of Physical Planning (GOPP), the MLD and the Ministry of Finance.  The UNHABITAT staff attached to DSU is attempting to unravel these dysfunctional realities.</w:t>
      </w:r>
    </w:p>
    <w:p w:rsidR="004A0262" w:rsidRDefault="004A0262" w:rsidP="006876C6">
      <w:r>
        <w:t xml:space="preserve">Unfortunately, one DSU field office characterized the GOPP effort as ‘making plans without people’.  The complaint </w:t>
      </w:r>
      <w:r w:rsidR="002C2D9B">
        <w:t>stated</w:t>
      </w:r>
      <w:r>
        <w:t xml:space="preserve"> that plans are </w:t>
      </w:r>
      <w:r w:rsidR="002C2D9B">
        <w:t xml:space="preserve">first </w:t>
      </w:r>
      <w:r>
        <w:t xml:space="preserve">prepared and </w:t>
      </w:r>
      <w:r w:rsidR="002C2D9B">
        <w:t xml:space="preserve">then </w:t>
      </w:r>
      <w:r>
        <w:t>presente</w:t>
      </w:r>
      <w:r w:rsidR="007D2DA0">
        <w:t xml:space="preserve">d </w:t>
      </w:r>
      <w:r w:rsidR="00BB3EA2">
        <w:t>by GOPP for approval by</w:t>
      </w:r>
      <w:r w:rsidR="007D2DA0">
        <w:t xml:space="preserve"> local authorities</w:t>
      </w:r>
      <w:r>
        <w:t xml:space="preserve">.  </w:t>
      </w:r>
    </w:p>
    <w:p w:rsidR="008C5F4B" w:rsidRDefault="008C5F4B" w:rsidP="006876C6">
      <w:pPr>
        <w:rPr>
          <w:u w:val="single"/>
        </w:rPr>
      </w:pPr>
    </w:p>
    <w:p w:rsidR="006F50F2" w:rsidRPr="008C5F4B" w:rsidRDefault="008C5F4B" w:rsidP="006876C6">
      <w:pPr>
        <w:rPr>
          <w:u w:val="single"/>
        </w:rPr>
      </w:pPr>
      <w:r w:rsidRPr="008C5F4B">
        <w:rPr>
          <w:u w:val="single"/>
        </w:rPr>
        <w:t>Information Technology</w:t>
      </w:r>
    </w:p>
    <w:p w:rsidR="006F50F2" w:rsidRDefault="00430B5A" w:rsidP="006876C6">
      <w:r>
        <w:t>In the modern world, access to information can become a major source of tension</w:t>
      </w:r>
      <w:r w:rsidR="00360CEB">
        <w:t xml:space="preserve"> because </w:t>
      </w:r>
      <w:r w:rsidR="006F50F2">
        <w:t>of its</w:t>
      </w:r>
      <w:r w:rsidR="00360CEB">
        <w:t xml:space="preserve"> power</w:t>
      </w:r>
      <w:r w:rsidR="006F50F2">
        <w:t xml:space="preserve"> potential</w:t>
      </w:r>
      <w:r w:rsidR="00360CEB">
        <w:t xml:space="preserve">.  The most </w:t>
      </w:r>
      <w:r w:rsidR="00DC7BD6">
        <w:t xml:space="preserve">potentially </w:t>
      </w:r>
      <w:r w:rsidR="00360CEB">
        <w:t xml:space="preserve">empowering institutional reform intervention of the entire TS-MLD encountered by the Review Mission is a national local development database that is currently being developed.  </w:t>
      </w:r>
      <w:r w:rsidR="00691647" w:rsidRPr="00C83615">
        <w:t xml:space="preserve">The IT </w:t>
      </w:r>
      <w:r w:rsidR="00101D54">
        <w:t>Departme</w:t>
      </w:r>
      <w:r w:rsidR="00360CEB">
        <w:t>nt of MLD has been working on a</w:t>
      </w:r>
      <w:r w:rsidR="00101D54">
        <w:t xml:space="preserve"> unique national database </w:t>
      </w:r>
      <w:r w:rsidR="00691647" w:rsidRPr="00C83615">
        <w:t xml:space="preserve">initiative </w:t>
      </w:r>
      <w:r w:rsidR="008E307E">
        <w:t>that will eventually cover all villages of the country.  The name of the initiative is</w:t>
      </w:r>
      <w:r w:rsidR="00DC7BD6">
        <w:t xml:space="preserve"> </w:t>
      </w:r>
      <w:r w:rsidR="00EF6A3C" w:rsidRPr="00EF6A3C">
        <w:t>National Local Development Information Network (NLDIN)</w:t>
      </w:r>
      <w:r w:rsidR="002C2D9B">
        <w:t>,</w:t>
      </w:r>
      <w:r w:rsidR="00EF6A3C">
        <w:t xml:space="preserve"> or</w:t>
      </w:r>
      <w:r w:rsidR="00DC7BD6">
        <w:t xml:space="preserve"> </w:t>
      </w:r>
      <w:r w:rsidR="00EF6A3C" w:rsidRPr="00EF6A3C">
        <w:rPr>
          <w:i/>
        </w:rPr>
        <w:t>Rabet</w:t>
      </w:r>
      <w:r w:rsidR="008E307E">
        <w:t xml:space="preserve">, which means ‘connectivity’ in Arabic.  The </w:t>
      </w:r>
      <w:r w:rsidR="008C2456">
        <w:t>programme</w:t>
      </w:r>
      <w:r w:rsidR="008E307E">
        <w:t xml:space="preserve"> is well named as a total of 1250 villages of Egypt have been linked to the internet with the assistance of the TS-MLD.  The MLD IT Department has worked for the past three years to expand a conceptual database originally conceived by the Prime Minister’s Information Decision Support </w:t>
      </w:r>
      <w:r w:rsidR="007964A1">
        <w:t>Centre</w:t>
      </w:r>
      <w:r w:rsidR="008E307E">
        <w:t xml:space="preserve"> (IDSC)</w:t>
      </w:r>
      <w:r w:rsidR="006F50F2">
        <w:t xml:space="preserve"> with support from the UNDP project, Enhancing Local Development and Governance Issues</w:t>
      </w:r>
      <w:r w:rsidR="008E307E">
        <w:t xml:space="preserve">.  A web-based application for the remote collection, storage, analysis and dissemination of a wide array of data sets is being piloted.  The application has been designed to provide open access to any registered user to enable wide dissemination and use of the data.  </w:t>
      </w:r>
    </w:p>
    <w:p w:rsidR="00691647" w:rsidRDefault="00360CEB" w:rsidP="006876C6">
      <w:r>
        <w:t xml:space="preserve">This system </w:t>
      </w:r>
      <w:r w:rsidR="00691647" w:rsidRPr="00C83615">
        <w:t>was incomple</w:t>
      </w:r>
      <w:r>
        <w:t>tely reviewed by the mission as</w:t>
      </w:r>
      <w:r w:rsidR="00691647" w:rsidRPr="00C83615">
        <w:t xml:space="preserve"> no attempt was made to assess its </w:t>
      </w:r>
      <w:r w:rsidR="006F50F2">
        <w:t xml:space="preserve">data </w:t>
      </w:r>
      <w:r w:rsidR="00691647" w:rsidRPr="00C83615">
        <w:t xml:space="preserve">structure or outputs.  </w:t>
      </w:r>
      <w:r>
        <w:t>This is partly due to the fact that the</w:t>
      </w:r>
      <w:r w:rsidR="003F5643">
        <w:t xml:space="preserve"> Reviewer is not an IT specialist and all data are in Arabic.  </w:t>
      </w:r>
      <w:r w:rsidR="00691647" w:rsidRPr="00C83615">
        <w:t xml:space="preserve">However, the approach </w:t>
      </w:r>
      <w:r w:rsidR="006F50F2" w:rsidRPr="00C83615">
        <w:t xml:space="preserve">described </w:t>
      </w:r>
      <w:r w:rsidR="00691647" w:rsidRPr="00C83615">
        <w:t xml:space="preserve">to establish a web-based interface for a national database built from the ground upwards is a sound idea and one that should facilitate citizen engagement with the public service delivery units of Government.  </w:t>
      </w:r>
    </w:p>
    <w:p w:rsidR="002C2D9B" w:rsidRDefault="002C2D9B" w:rsidP="002C2D9B">
      <w:r>
        <w:t xml:space="preserve">The idea has been floated to add a Geographic Information System (GIS) application to the system, but this has not advanced far. </w:t>
      </w:r>
      <w:r w:rsidRPr="00C83615">
        <w:t>This is a necessary step that can further reduce the gap in citizens’ knowledge of government activity, but a concern was expressed about allowing open access by citizens.</w:t>
      </w:r>
      <w:r>
        <w:t xml:space="preserve">  DSU has requested GIS technical assistance from UNDP.  At present there is a plan to purchase $1 million worth of map materials from the Geographic Information System </w:t>
      </w:r>
      <w:r w:rsidR="007964A1">
        <w:t>Centre</w:t>
      </w:r>
      <w:r>
        <w:t xml:space="preserve"> of the Central Agency for Public Mobilization and Statistics (CAPMAS).  The price given appears to be quite high, particularly for government to government data sharing.  </w:t>
      </w:r>
    </w:p>
    <w:p w:rsidR="00286B7A" w:rsidRDefault="007D2DA0" w:rsidP="006876C6">
      <w:r>
        <w:t>It was reported that the</w:t>
      </w:r>
      <w:r w:rsidR="00DC7BD6">
        <w:t xml:space="preserve"> </w:t>
      </w:r>
      <w:r w:rsidR="00360CEB">
        <w:t>understanding</w:t>
      </w:r>
      <w:r>
        <w:t xml:space="preserve"> of the potential for improved service delivery arising from </w:t>
      </w:r>
      <w:r w:rsidR="00286B7A">
        <w:t xml:space="preserve">a major reorientation </w:t>
      </w:r>
      <w:r w:rsidR="00360CEB">
        <w:t>towards democratized data</w:t>
      </w:r>
      <w:r w:rsidR="00286B7A">
        <w:t xml:space="preserve"> management came through the orientations received during the study tours to France and Poland.</w:t>
      </w:r>
      <w:r w:rsidR="00DC7BD6">
        <w:t xml:space="preserve">  </w:t>
      </w:r>
      <w:r>
        <w:t>However, a</w:t>
      </w:r>
      <w:r w:rsidR="00360CEB">
        <w:t xml:space="preserve">s mentioned, access to information can be contentious.  </w:t>
      </w:r>
      <w:r w:rsidR="00286B7A">
        <w:t>This innovati</w:t>
      </w:r>
      <w:r w:rsidR="00DC7BD6">
        <w:t>ve</w:t>
      </w:r>
      <w:r w:rsidR="006222B0">
        <w:t xml:space="preserve"> </w:t>
      </w:r>
      <w:r w:rsidR="00286B7A">
        <w:t xml:space="preserve">intervention faced serious opposition from within the DSU, </w:t>
      </w:r>
      <w:r w:rsidR="00360CEB">
        <w:t xml:space="preserve">and </w:t>
      </w:r>
      <w:r w:rsidR="00286B7A">
        <w:t xml:space="preserve">at times </w:t>
      </w:r>
      <w:r w:rsidR="00360CEB">
        <w:t xml:space="preserve">the activity was </w:t>
      </w:r>
      <w:r w:rsidR="00286B7A">
        <w:t>referred to as ‘empire building’</w:t>
      </w:r>
      <w:r w:rsidR="00360CEB">
        <w:t xml:space="preserve"> because of the, rightly perceived, power that the system could eventually unleash</w:t>
      </w:r>
      <w:r w:rsidR="00286B7A">
        <w:t xml:space="preserve">.  </w:t>
      </w:r>
      <w:r w:rsidR="002573D0">
        <w:t>According to DSU sources,</w:t>
      </w:r>
      <w:r w:rsidR="00360CEB">
        <w:t xml:space="preserve"> the</w:t>
      </w:r>
      <w:r w:rsidR="00286B7A">
        <w:t xml:space="preserve"> Minister supported the IT </w:t>
      </w:r>
      <w:r w:rsidR="00360CEB">
        <w:t>Department</w:t>
      </w:r>
      <w:r w:rsidR="00286B7A">
        <w:t xml:space="preserve"> and moved to </w:t>
      </w:r>
      <w:r w:rsidR="006222B0">
        <w:t>ensure the</w:t>
      </w:r>
      <w:r w:rsidR="00286B7A">
        <w:t xml:space="preserve"> unit </w:t>
      </w:r>
      <w:r w:rsidR="006222B0">
        <w:t>reported directly</w:t>
      </w:r>
      <w:r w:rsidR="00286B7A">
        <w:t xml:space="preserve"> </w:t>
      </w:r>
      <w:r w:rsidR="002573D0">
        <w:t>to</w:t>
      </w:r>
      <w:r w:rsidR="00286B7A">
        <w:t xml:space="preserve"> him.</w:t>
      </w:r>
    </w:p>
    <w:p w:rsidR="003F5643" w:rsidRPr="00C83615" w:rsidRDefault="003F5643" w:rsidP="006876C6"/>
    <w:p w:rsidR="00691647" w:rsidRPr="00E65282" w:rsidRDefault="00691647" w:rsidP="00E65282">
      <w:pPr>
        <w:rPr>
          <w:b/>
        </w:rPr>
      </w:pPr>
      <w:bookmarkStart w:id="69" w:name="_Toc300432382"/>
      <w:bookmarkStart w:id="70" w:name="_Toc300433983"/>
      <w:bookmarkStart w:id="71" w:name="_Toc300434991"/>
      <w:r w:rsidRPr="00E65282">
        <w:rPr>
          <w:b/>
        </w:rPr>
        <w:t>Capacity Building</w:t>
      </w:r>
      <w:r w:rsidR="00CE7F7E" w:rsidRPr="00E65282">
        <w:rPr>
          <w:b/>
        </w:rPr>
        <w:t xml:space="preserve"> Output</w:t>
      </w:r>
      <w:r w:rsidR="00104810" w:rsidRPr="00E65282">
        <w:rPr>
          <w:b/>
        </w:rPr>
        <w:t xml:space="preserve"> Findings</w:t>
      </w:r>
      <w:bookmarkEnd w:id="69"/>
      <w:bookmarkEnd w:id="70"/>
      <w:bookmarkEnd w:id="71"/>
    </w:p>
    <w:p w:rsidR="00DD6C47" w:rsidRDefault="00DD6C47" w:rsidP="006876C6">
      <w:pPr>
        <w:rPr>
          <w:rFonts w:eastAsia="Calibri"/>
        </w:rPr>
      </w:pPr>
      <w:r w:rsidRPr="007D2DA0">
        <w:rPr>
          <w:rFonts w:eastAsia="Calibri"/>
          <w:u w:val="single"/>
        </w:rPr>
        <w:t>Capacity Building Output Definition</w:t>
      </w:r>
      <w:r>
        <w:rPr>
          <w:rFonts w:eastAsia="Calibri"/>
        </w:rPr>
        <w:t xml:space="preserve">: </w:t>
      </w:r>
      <w:r w:rsidRPr="007D2DA0">
        <w:rPr>
          <w:rFonts w:eastAsia="Calibri"/>
        </w:rPr>
        <w:t>Guide the capacity development of local authorities on administrative and public expenditure and asset management skills</w:t>
      </w:r>
    </w:p>
    <w:p w:rsidR="00DD6C47" w:rsidRDefault="00DD6C47" w:rsidP="006876C6">
      <w:r>
        <w:t>Local Development Planning Training</w:t>
      </w:r>
    </w:p>
    <w:p w:rsidR="006F50F2" w:rsidRDefault="006F50F2" w:rsidP="006876C6">
      <w:r>
        <w:t xml:space="preserve">It seems clear that the MLD local development programs were created as part of a political agenda that seized the moment in 2007 when the </w:t>
      </w:r>
      <w:r w:rsidR="00FA65B8">
        <w:t>Decentralisation</w:t>
      </w:r>
      <w:r>
        <w:t xml:space="preserve"> Strategy was announced.  As the field offices described it, in the first year 2009/2010, the planning was ‘quick and dirty’.  People were told how much would be allocated for each </w:t>
      </w:r>
      <w:r w:rsidR="008C2456">
        <w:t>programme</w:t>
      </w:r>
      <w:r>
        <w:t xml:space="preserve"> at each level and then allowed to make plans. </w:t>
      </w:r>
      <w:r w:rsidR="007D2DA0">
        <w:t>Nevertheless, t</w:t>
      </w:r>
      <w:r>
        <w:t xml:space="preserve">he technical team associated with the DSU quickly got involved so that a planning manual was prepared and several thousand members of the Local Popular Councils (LPC) and the Local Executive Councils (LEC) were trained.  The technical team further refined this manual so that in the </w:t>
      </w:r>
      <w:r w:rsidR="002573D0">
        <w:t>second</w:t>
      </w:r>
      <w:r>
        <w:t xml:space="preserve"> year, a set of 13 manuals differentiated among the tasks of LPC and LEC at each </w:t>
      </w:r>
      <w:r w:rsidR="00C30EDF">
        <w:t>level</w:t>
      </w:r>
      <w:r>
        <w:t>, plus a separate manual fo</w:t>
      </w:r>
      <w:r w:rsidR="00DD6C47">
        <w:t xml:space="preserve">r monitoring, had been prepared.  </w:t>
      </w:r>
      <w:r w:rsidR="002E1C4F">
        <w:t>Training of Trainers</w:t>
      </w:r>
      <w:r w:rsidR="00DD6C47">
        <w:t xml:space="preserve"> were conducted at the MLD training </w:t>
      </w:r>
      <w:r w:rsidR="007964A1">
        <w:t>centre</w:t>
      </w:r>
      <w:r w:rsidR="00DD6C47">
        <w:t xml:space="preserve"> in Sakkara for over 1200 Governorate level trainers resulting in </w:t>
      </w:r>
      <w:r>
        <w:t>nearly 20,000 people trained</w:t>
      </w:r>
      <w:r w:rsidR="00DD6C47">
        <w:t>, including both Popular Council and Local Executive Council members</w:t>
      </w:r>
      <w:r>
        <w:t>.</w:t>
      </w:r>
    </w:p>
    <w:p w:rsidR="00DD6C47" w:rsidRDefault="00DD6C47" w:rsidP="006876C6">
      <w:r>
        <w:t xml:space="preserve">However, staff in the </w:t>
      </w:r>
      <w:r w:rsidRPr="00C83615">
        <w:t>Governorates complain</w:t>
      </w:r>
      <w:r w:rsidR="00BB3EA2">
        <w:t>ed</w:t>
      </w:r>
      <w:r w:rsidRPr="00C83615">
        <w:t xml:space="preserve"> that the Sak</w:t>
      </w:r>
      <w:r>
        <w:t>kar</w:t>
      </w:r>
      <w:r w:rsidR="00BB3EA2">
        <w:t>a training is academic.    There</w:t>
      </w:r>
      <w:r w:rsidR="00E03027">
        <w:t xml:space="preserve"> was a request</w:t>
      </w:r>
      <w:r w:rsidRPr="00C83615">
        <w:t xml:space="preserve"> for </w:t>
      </w:r>
      <w:r w:rsidR="00E03027">
        <w:t xml:space="preserve">the delivery of </w:t>
      </w:r>
      <w:r w:rsidRPr="00C83615">
        <w:t xml:space="preserve">more of practical skills. </w:t>
      </w:r>
    </w:p>
    <w:p w:rsidR="00DD6C47" w:rsidRPr="008C5F4B" w:rsidRDefault="00DD6C47" w:rsidP="006876C6">
      <w:pPr>
        <w:rPr>
          <w:u w:val="single"/>
        </w:rPr>
      </w:pPr>
      <w:r w:rsidRPr="008C5F4B">
        <w:rPr>
          <w:u w:val="single"/>
        </w:rPr>
        <w:t>Local Development Observatory</w:t>
      </w:r>
    </w:p>
    <w:p w:rsidR="007619FC" w:rsidRDefault="007D2DA0" w:rsidP="006876C6">
      <w:r>
        <w:t>A Local Development Observatory (LDO) was established in October 2010</w:t>
      </w:r>
      <w:r w:rsidR="007619FC">
        <w:t xml:space="preserve"> and is still in its conceptual stage</w:t>
      </w:r>
      <w:r>
        <w:t xml:space="preserve">.  The purpose of this DSU unit is to establish a regularized process to track the trends in local governance and the implementation of the MLD Local Development </w:t>
      </w:r>
      <w:r w:rsidR="008C2456">
        <w:t>Programme</w:t>
      </w:r>
      <w:r>
        <w:t xml:space="preserve">.  </w:t>
      </w:r>
      <w:r w:rsidR="00E03027">
        <w:t>The initial concept note for the LDO was apparently prepared by EDI.</w:t>
      </w:r>
    </w:p>
    <w:p w:rsidR="00691647" w:rsidRDefault="00691647" w:rsidP="006876C6">
      <w:r w:rsidRPr="00C83615">
        <w:t xml:space="preserve">The LDO acknowledged that a working relationship has been established with the MLD IT initiative </w:t>
      </w:r>
      <w:r w:rsidR="00720E13">
        <w:t xml:space="preserve">(however there does appear to be some element of overlap) </w:t>
      </w:r>
      <w:r w:rsidRPr="00C83615">
        <w:t>and the World Bank M&amp;E system design initiative.  Effective performance improvements are best built from the bottom up.</w:t>
      </w:r>
    </w:p>
    <w:p w:rsidR="00DD6C47" w:rsidRDefault="00DD6C47" w:rsidP="006876C6">
      <w:r w:rsidRPr="00C83615">
        <w:t>A relationship with Social Contract Centre</w:t>
      </w:r>
      <w:r w:rsidR="007619FC">
        <w:t xml:space="preserve"> (SCC</w:t>
      </w:r>
      <w:r w:rsidR="00C30EDF">
        <w:t>) has</w:t>
      </w:r>
      <w:r>
        <w:t xml:space="preserve"> been established resulting </w:t>
      </w:r>
      <w:r w:rsidRPr="00C83615">
        <w:t xml:space="preserve">from the </w:t>
      </w:r>
      <w:r>
        <w:t xml:space="preserve">(June 2011) </w:t>
      </w:r>
      <w:r w:rsidRPr="00C83615">
        <w:t xml:space="preserve">UNDP Oslo Governance </w:t>
      </w:r>
      <w:r w:rsidR="007964A1">
        <w:t>Centre</w:t>
      </w:r>
      <w:r w:rsidR="000E7206">
        <w:t xml:space="preserve"> </w:t>
      </w:r>
      <w:r>
        <w:t xml:space="preserve">mission.  This </w:t>
      </w:r>
      <w:r w:rsidRPr="00C83615">
        <w:t>has helped give it better focus</w:t>
      </w:r>
      <w:r>
        <w:t xml:space="preserve"> and it will follow the SCC </w:t>
      </w:r>
      <w:r w:rsidR="00E03027">
        <w:t xml:space="preserve">data collection </w:t>
      </w:r>
      <w:r>
        <w:t>methodology</w:t>
      </w:r>
      <w:r w:rsidRPr="00C83615">
        <w:t xml:space="preserve">.  </w:t>
      </w:r>
    </w:p>
    <w:p w:rsidR="00DD6C47" w:rsidRDefault="00DD6C47" w:rsidP="006876C6">
      <w:r>
        <w:t xml:space="preserve">The LDO will be attempting to generate </w:t>
      </w:r>
      <w:r w:rsidR="007619FC">
        <w:t>a</w:t>
      </w:r>
      <w:r>
        <w:t xml:space="preserve"> holistic measure of governance at the local level by focusing on the perceived results of the MLD </w:t>
      </w:r>
      <w:r w:rsidR="003C268C">
        <w:t xml:space="preserve">local development </w:t>
      </w:r>
      <w:r w:rsidR="008C2456">
        <w:t>programme</w:t>
      </w:r>
      <w:r>
        <w:t xml:space="preserve">.  </w:t>
      </w:r>
      <w:r>
        <w:lastRenderedPageBreak/>
        <w:t>The SCC will, in contrast, focus its attention on Education, Health and Water supply.  They will develop the performance indicators together with the pilot district in Ismailia.  These will be used to build awareness of LGUs and citizens to improve service quality.  They intend to use local universities as third party validators.</w:t>
      </w:r>
      <w:r w:rsidR="007619FC">
        <w:t xml:space="preserve">  The LDO sees its</w:t>
      </w:r>
      <w:r>
        <w:t xml:space="preserve"> clients as the MLD, local units and CSOs. </w:t>
      </w:r>
    </w:p>
    <w:p w:rsidR="004B39BA" w:rsidRDefault="004B39BA" w:rsidP="006876C6">
      <w:r>
        <w:t xml:space="preserve">The Social Contract Centre (SCC) is a separate UNDP-managed project attached to the Prime Minister’s Information Decision Support Centre (IDSC), but has a number of associated activities.  The SCC </w:t>
      </w:r>
      <w:r w:rsidR="000C219C">
        <w:t xml:space="preserve">leadership </w:t>
      </w:r>
      <w:r>
        <w:t>claimed to have attempted several time</w:t>
      </w:r>
      <w:r w:rsidR="000E7206">
        <w:t>s</w:t>
      </w:r>
      <w:r>
        <w:t xml:space="preserve"> to establish a link with the DSU</w:t>
      </w:r>
      <w:r w:rsidR="000C219C">
        <w:t xml:space="preserve"> prior to the January 2011 movement</w:t>
      </w:r>
      <w:r>
        <w:t xml:space="preserve">, but there was no reciprocal interest expressed by the DSU team leader.  A connection with LDO was fostered by the recent visit from the UNDP Oslo Governance Centre.  They will collaborate on a joint project in Ismailia in 2011.  </w:t>
      </w:r>
    </w:p>
    <w:p w:rsidR="00B60984" w:rsidRDefault="00B60984" w:rsidP="006876C6"/>
    <w:p w:rsidR="00DD6C47" w:rsidRPr="008C5F4B" w:rsidRDefault="00DD6C47" w:rsidP="006876C6">
      <w:pPr>
        <w:rPr>
          <w:u w:val="single"/>
        </w:rPr>
      </w:pPr>
      <w:r w:rsidRPr="008C5F4B">
        <w:rPr>
          <w:u w:val="single"/>
        </w:rPr>
        <w:t>Local Economic Development</w:t>
      </w:r>
    </w:p>
    <w:p w:rsidR="003B375E" w:rsidRDefault="003B375E" w:rsidP="006876C6">
      <w:r>
        <w:t>The Local Economic Development initiative has been planned by UNCDF in collaboration with UNDP and the DSU. This will be initiated in August 2011.  The key elements of the approach are to (1) revisit the Local Administration Law in light of post-people’s movement to incorporate people’s demands, (2) build capacity within the MLD to implement reform at the local level and support local authorities to carry out their functions and (3) to introduce systems and tools at Governorate and District levels for Local Economic Development and employment generation.</w:t>
      </w:r>
    </w:p>
    <w:p w:rsidR="000314B1" w:rsidRPr="00C83615" w:rsidRDefault="000314B1" w:rsidP="006876C6">
      <w:r>
        <w:t xml:space="preserve">One comment made noted that the current Local Administration Bill does not reflect a role for local authorities in local economic development.  </w:t>
      </w:r>
      <w:r w:rsidR="000C219C">
        <w:t xml:space="preserve">DSU reports that they are working on this issue now. </w:t>
      </w:r>
    </w:p>
    <w:p w:rsidR="00DD6C47" w:rsidRDefault="00DD6C47" w:rsidP="006876C6"/>
    <w:p w:rsidR="00DD6C47" w:rsidRPr="008C5F4B" w:rsidRDefault="00DD6C47" w:rsidP="006876C6">
      <w:pPr>
        <w:rPr>
          <w:u w:val="single"/>
        </w:rPr>
      </w:pPr>
      <w:r w:rsidRPr="008C5F4B">
        <w:rPr>
          <w:u w:val="single"/>
        </w:rPr>
        <w:t>IT Training</w:t>
      </w:r>
    </w:p>
    <w:p w:rsidR="006F50F2" w:rsidRDefault="006F50F2" w:rsidP="006876C6">
      <w:r>
        <w:t xml:space="preserve">The IT team has established a training </w:t>
      </w:r>
      <w:r w:rsidR="008C2456">
        <w:t>programme</w:t>
      </w:r>
      <w:r>
        <w:t xml:space="preserve"> and is in the process of training 32,000 MLD field employees through a TOT at the MLD training institute in Sakkara for 4 trainers from each district.  A pilot e-training pac</w:t>
      </w:r>
      <w:r w:rsidR="007619FC">
        <w:t xml:space="preserve">kage is in progress.  The team </w:t>
      </w:r>
      <w:r>
        <w:t>has also assisted in the restructuring of the Governors’ IT units (although the national IT offices also located in the Governorates remain the same).</w:t>
      </w:r>
    </w:p>
    <w:p w:rsidR="00DD6C47" w:rsidRDefault="00DD6C47" w:rsidP="006876C6"/>
    <w:p w:rsidR="00DD6C47" w:rsidRPr="008C5F4B" w:rsidRDefault="00DD6C47" w:rsidP="006876C6">
      <w:pPr>
        <w:rPr>
          <w:u w:val="single"/>
        </w:rPr>
      </w:pPr>
      <w:r w:rsidRPr="008C5F4B">
        <w:rPr>
          <w:u w:val="single"/>
        </w:rPr>
        <w:t xml:space="preserve">World Bank Monitoring and Evaluation of the MLD Local Development </w:t>
      </w:r>
      <w:r w:rsidR="008C2456">
        <w:rPr>
          <w:u w:val="single"/>
        </w:rPr>
        <w:t>Programme</w:t>
      </w:r>
    </w:p>
    <w:p w:rsidR="003F5643" w:rsidRDefault="00DD6C47" w:rsidP="006876C6">
      <w:r>
        <w:lastRenderedPageBreak/>
        <w:t>The W</w:t>
      </w:r>
      <w:r w:rsidR="007619FC">
        <w:t xml:space="preserve">orld </w:t>
      </w:r>
      <w:r>
        <w:t>B</w:t>
      </w:r>
      <w:r w:rsidR="007619FC">
        <w:t>ank</w:t>
      </w:r>
      <w:r>
        <w:t xml:space="preserve"> provided funds for a Technical Assistance grant to create a computerized M&amp;E system specifically for the MLD </w:t>
      </w:r>
      <w:r w:rsidR="007619FC">
        <w:t xml:space="preserve">Local Development </w:t>
      </w:r>
      <w:r w:rsidR="008C2456">
        <w:t>Programme</w:t>
      </w:r>
      <w:r>
        <w:t xml:space="preserve">.  </w:t>
      </w:r>
      <w:r w:rsidR="003F5643">
        <w:t xml:space="preserve">WB M&amp;E gave a </w:t>
      </w:r>
      <w:r w:rsidR="007619FC">
        <w:t xml:space="preserve">system </w:t>
      </w:r>
      <w:r w:rsidR="003F5643">
        <w:t xml:space="preserve">design contract to </w:t>
      </w:r>
      <w:r w:rsidR="007619FC">
        <w:t xml:space="preserve">a local firm, </w:t>
      </w:r>
      <w:r w:rsidR="003F5643">
        <w:t>Megacom.  The system design will include components for the planning process, intergovernmental relations, software development and training.  The customers for the sy</w:t>
      </w:r>
      <w:r w:rsidR="007619FC">
        <w:t>stem are assumed to be internal:</w:t>
      </w:r>
      <w:r w:rsidR="003F5643">
        <w:t xml:space="preserve"> the MLD, the local authorities, the LPC and LEC.  The subcontractor advised the reviewer that no civil society involvement is ‘required by the TOR’.  However, during the preliminary work on the system design</w:t>
      </w:r>
      <w:r w:rsidR="007619FC">
        <w:t>, prior to the elimination of the LPC,</w:t>
      </w:r>
      <w:r w:rsidR="003F5643">
        <w:t xml:space="preserve"> the subcontractor observed serious conflict of priorities between the LPC and LEC.</w:t>
      </w:r>
    </w:p>
    <w:p w:rsidR="003F5643" w:rsidRDefault="008C5F4B" w:rsidP="006876C6">
      <w:r>
        <w:t xml:space="preserve">Once it is designed, </w:t>
      </w:r>
      <w:r w:rsidR="007619FC">
        <w:t>Megacom</w:t>
      </w:r>
      <w:r w:rsidR="003F5643">
        <w:t xml:space="preserve"> expect</w:t>
      </w:r>
      <w:r>
        <w:t>s</w:t>
      </w:r>
      <w:r w:rsidR="003F5643">
        <w:t xml:space="preserve"> to be implement</w:t>
      </w:r>
      <w:r>
        <w:t>ing</w:t>
      </w:r>
      <w:r w:rsidR="003F5643">
        <w:t xml:space="preserve"> the system in 4-6 months in all 27 governorates at all levels.  The key element and purpose of the system is transparency.</w:t>
      </w:r>
      <w:r w:rsidR="007619FC">
        <w:t xml:space="preserve">  However, when queried regarding the possible mapping of the </w:t>
      </w:r>
      <w:r w:rsidR="002255C3">
        <w:t xml:space="preserve">individual </w:t>
      </w:r>
      <w:r w:rsidR="007619FC">
        <w:t xml:space="preserve">MLD </w:t>
      </w:r>
      <w:r w:rsidR="008C2456">
        <w:t>programme</w:t>
      </w:r>
      <w:r w:rsidR="00C0590B">
        <w:t xml:space="preserve"> </w:t>
      </w:r>
      <w:r w:rsidR="002255C3">
        <w:t xml:space="preserve">initiative </w:t>
      </w:r>
      <w:r w:rsidR="007619FC">
        <w:t>locations, the contractor remarked that “t</w:t>
      </w:r>
      <w:r w:rsidR="003F5643">
        <w:t>here is no geo</w:t>
      </w:r>
      <w:r w:rsidR="00C0590B">
        <w:t>-</w:t>
      </w:r>
      <w:r w:rsidR="003F5643">
        <w:t>coding required in the SOW</w:t>
      </w:r>
      <w:r w:rsidR="007619FC">
        <w:t>”</w:t>
      </w:r>
      <w:r w:rsidR="002255C3">
        <w:t xml:space="preserve"> (Scope of Work)</w:t>
      </w:r>
      <w:r w:rsidR="003F5643">
        <w:t>.</w:t>
      </w:r>
    </w:p>
    <w:p w:rsidR="00430B5A" w:rsidRPr="00104810" w:rsidRDefault="004E507E" w:rsidP="006876C6">
      <w:r w:rsidRPr="00104810">
        <w:t xml:space="preserve">A mention was made that </w:t>
      </w:r>
      <w:r w:rsidR="007619FC" w:rsidRPr="00104810">
        <w:t>the M&amp;</w:t>
      </w:r>
      <w:r w:rsidR="00430B5A" w:rsidRPr="00104810">
        <w:t xml:space="preserve">E </w:t>
      </w:r>
      <w:r w:rsidR="007619FC" w:rsidRPr="00104810">
        <w:t xml:space="preserve">Department </w:t>
      </w:r>
      <w:r w:rsidR="00430B5A" w:rsidRPr="00104810">
        <w:t xml:space="preserve">of MLD </w:t>
      </w:r>
      <w:r w:rsidRPr="00104810">
        <w:t xml:space="preserve">carries out monitoring of the </w:t>
      </w:r>
      <w:r w:rsidR="007619FC" w:rsidRPr="00104810">
        <w:t>Local Development Plans</w:t>
      </w:r>
      <w:r w:rsidRPr="00104810">
        <w:t>.  However, comments from the MLD indicated that only financial expenditure</w:t>
      </w:r>
      <w:r w:rsidR="007619FC" w:rsidRPr="00104810">
        <w:t>s</w:t>
      </w:r>
      <w:r w:rsidRPr="00104810">
        <w:t xml:space="preserve"> are tracked.  The </w:t>
      </w:r>
      <w:r w:rsidR="007619FC" w:rsidRPr="00104810">
        <w:t>DSU M&amp;E specialist</w:t>
      </w:r>
      <w:r w:rsidRPr="00104810">
        <w:t xml:space="preserve"> said that </w:t>
      </w:r>
      <w:r w:rsidR="00430B5A" w:rsidRPr="00104810">
        <w:t>an impact evalu</w:t>
      </w:r>
      <w:r w:rsidR="00802CD9" w:rsidRPr="00104810">
        <w:t>ation</w:t>
      </w:r>
      <w:r w:rsidR="00430B5A" w:rsidRPr="00104810">
        <w:t xml:space="preserve"> is planned for Dec 2011</w:t>
      </w:r>
      <w:r w:rsidR="00802CD9" w:rsidRPr="00104810">
        <w:t>, but will only cover 2 Governorates</w:t>
      </w:r>
      <w:r w:rsidR="007619FC" w:rsidRPr="00104810">
        <w:t xml:space="preserve"> in the first round</w:t>
      </w:r>
      <w:r w:rsidR="00802CD9" w:rsidRPr="00104810">
        <w:t>.</w:t>
      </w:r>
    </w:p>
    <w:p w:rsidR="00691647" w:rsidRPr="008C5F4B" w:rsidRDefault="00CE3E6A" w:rsidP="006876C6">
      <w:pPr>
        <w:rPr>
          <w:u w:val="single"/>
        </w:rPr>
      </w:pPr>
      <w:r w:rsidRPr="008C5F4B">
        <w:rPr>
          <w:u w:val="single"/>
        </w:rPr>
        <w:t>Civil Society Capacity Building</w:t>
      </w:r>
    </w:p>
    <w:p w:rsidR="00691647" w:rsidRDefault="00540B3C" w:rsidP="006876C6">
      <w:r>
        <w:t>Up to now, it</w:t>
      </w:r>
      <w:r w:rsidR="00691647" w:rsidRPr="00C83615">
        <w:t xml:space="preserve"> appears that Egyptian NGOs have not had a direct relationship with the DSU, but some have been assisted to work on </w:t>
      </w:r>
      <w:r w:rsidR="00FA65B8">
        <w:t>decentralisation</w:t>
      </w:r>
      <w:r w:rsidR="007619FC">
        <w:t xml:space="preserve"> by other international agents.</w:t>
      </w:r>
    </w:p>
    <w:p w:rsidR="00E26CC7" w:rsidRDefault="00972760" w:rsidP="006876C6">
      <w:r>
        <w:t>Maat, an Egyptian NGO, has been working on local governance issues since 2008</w:t>
      </w:r>
      <w:r w:rsidR="007619FC">
        <w:t>, currently with assistance from the (German) Hans Seidel Foundation</w:t>
      </w:r>
      <w:r>
        <w:t>.  They claim to have been introduced to the subject by DSU staf</w:t>
      </w:r>
      <w:r w:rsidR="007619FC">
        <w:t xml:space="preserve">f </w:t>
      </w:r>
      <w:r>
        <w:t>a</w:t>
      </w:r>
      <w:r w:rsidR="007619FC">
        <w:t>nd the former TS-MLD international CTA</w:t>
      </w:r>
      <w:r>
        <w:t>.  Up until recently they had worked intensively on building community dialog capacity with the LPC</w:t>
      </w:r>
      <w:r w:rsidR="00E03027">
        <w:t>s</w:t>
      </w:r>
      <w:r>
        <w:t xml:space="preserve">.  They have also engaged in a number of workshops in the attempt to introduce the concept of </w:t>
      </w:r>
      <w:r w:rsidR="00FA65B8">
        <w:t>decentralisation</w:t>
      </w:r>
      <w:r>
        <w:t xml:space="preserve"> to line agencies that have not been affected by any of the recent reform efforts.  </w:t>
      </w:r>
      <w:r w:rsidR="00E26CC7">
        <w:t>Australia assisted them in working on women’s empowerment at the village level.</w:t>
      </w:r>
      <w:r w:rsidR="00C0590B">
        <w:t xml:space="preserve">  </w:t>
      </w:r>
      <w:r w:rsidR="00E26CC7">
        <w:t>The NGO is conversant with modern internet tools for social media, mapping, online publications and uploading documentary films.</w:t>
      </w:r>
    </w:p>
    <w:p w:rsidR="003F24F0" w:rsidRDefault="00540B3C" w:rsidP="00DB2FDE">
      <w:r>
        <w:t xml:space="preserve">TS-MLD made an attempt to establish an Egyptian </w:t>
      </w:r>
      <w:r w:rsidR="00FA65B8">
        <w:t>Decentralisation</w:t>
      </w:r>
      <w:r>
        <w:t xml:space="preserve"> Network (EDN) in 2008.  It was to be used as a ‘constructive forum and substantive tool for engaging partners and an advocacy tool to inform the public’.  However</w:t>
      </w:r>
      <w:r w:rsidR="00C30EDF">
        <w:t>, UNDP</w:t>
      </w:r>
      <w:r w:rsidR="00DB2FDE">
        <w:t xml:space="preserve"> and the </w:t>
      </w:r>
      <w:r w:rsidR="00E67882">
        <w:t>G</w:t>
      </w:r>
      <w:r w:rsidR="00DB2FDE">
        <w:t xml:space="preserve">overnment were not able to agree on a conceptual framework for implementation of this initiative and </w:t>
      </w:r>
      <w:r w:rsidR="00E67882">
        <w:t>took the decision to put it on hold, although it continues to appear in each Annual Work plan, including that of 2011</w:t>
      </w:r>
      <w:r w:rsidR="00DB2FDE">
        <w:t xml:space="preserve">. </w:t>
      </w:r>
      <w:r>
        <w:t xml:space="preserve">The EDN was conceived as a network of </w:t>
      </w:r>
      <w:r>
        <w:lastRenderedPageBreak/>
        <w:t xml:space="preserve">civil society, academia, syndicates and community development associations (CDAs).  The EDN could likely take on the form of a formal association of self-selected NGOs registered under the NGO Law of 2002.  One of the proposed functions of the EDN is to monitor the activities of the DSU.  </w:t>
      </w:r>
    </w:p>
    <w:p w:rsidR="00691647" w:rsidRPr="00E65282" w:rsidRDefault="00691647" w:rsidP="00E65282">
      <w:pPr>
        <w:rPr>
          <w:b/>
        </w:rPr>
      </w:pPr>
      <w:bookmarkStart w:id="72" w:name="_Toc300432383"/>
      <w:bookmarkStart w:id="73" w:name="_Toc300433984"/>
      <w:bookmarkStart w:id="74" w:name="_Toc300434992"/>
      <w:r w:rsidRPr="00E65282">
        <w:rPr>
          <w:b/>
        </w:rPr>
        <w:t>Programme Management</w:t>
      </w:r>
      <w:r w:rsidR="00104810" w:rsidRPr="00E65282">
        <w:rPr>
          <w:b/>
        </w:rPr>
        <w:t xml:space="preserve"> Findings</w:t>
      </w:r>
      <w:bookmarkEnd w:id="72"/>
      <w:bookmarkEnd w:id="73"/>
      <w:bookmarkEnd w:id="74"/>
    </w:p>
    <w:p w:rsidR="002E31F6" w:rsidRDefault="002E31F6" w:rsidP="008C5F4B">
      <w:r w:rsidRPr="00C83615">
        <w:t>It is necessary to</w:t>
      </w:r>
      <w:r w:rsidR="008E1616">
        <w:t xml:space="preserve"> separately</w:t>
      </w:r>
      <w:r w:rsidRPr="00C83615">
        <w:t xml:space="preserve"> address the relationship between UNDP and </w:t>
      </w:r>
      <w:r w:rsidR="00023CB5">
        <w:t xml:space="preserve">DSU in more detail since </w:t>
      </w:r>
      <w:r w:rsidRPr="00C83615">
        <w:t xml:space="preserve">these relationships and the status of </w:t>
      </w:r>
      <w:r>
        <w:t>TS-MLD</w:t>
      </w:r>
      <w:r w:rsidRPr="00C83615">
        <w:t xml:space="preserve"> as a project controlled by the NDP</w:t>
      </w:r>
      <w:r w:rsidR="00023CB5">
        <w:t>, until recently,</w:t>
      </w:r>
      <w:r w:rsidRPr="00C83615">
        <w:t xml:space="preserve"> affected the orientation and outputs of the project. </w:t>
      </w:r>
    </w:p>
    <w:p w:rsidR="001C283B" w:rsidRDefault="00CE3E6A" w:rsidP="006876C6">
      <w:r>
        <w:t xml:space="preserve">TS-MLD operated </w:t>
      </w:r>
      <w:r w:rsidR="00DF54F6">
        <w:t xml:space="preserve">as a government </w:t>
      </w:r>
      <w:r w:rsidR="008C2456">
        <w:t>programme</w:t>
      </w:r>
      <w:r w:rsidR="00DF54F6">
        <w:t>.  This is in keeping with the principles of national execution.  There is no question that the process was owned by the national leader</w:t>
      </w:r>
      <w:r w:rsidR="00047A17">
        <w:t xml:space="preserve">ship.  </w:t>
      </w:r>
      <w:r w:rsidR="006E212D">
        <w:t>The project resources are small and the management inputs appear to be appropriately allocated.  A limitation for an external reviewer is that</w:t>
      </w:r>
      <w:r w:rsidR="00047A17">
        <w:t xml:space="preserve"> major p</w:t>
      </w:r>
      <w:r w:rsidR="00691647" w:rsidRPr="00C83615">
        <w:t>roject processes and products have been documented</w:t>
      </w:r>
      <w:r w:rsidR="00C0590B">
        <w:t xml:space="preserve"> </w:t>
      </w:r>
      <w:r w:rsidR="004B39BA">
        <w:t xml:space="preserve">only </w:t>
      </w:r>
      <w:r w:rsidR="006E212D">
        <w:t>in Arabic</w:t>
      </w:r>
      <w:r w:rsidR="004B39BA">
        <w:t>, e.g. procurement and human resource plans</w:t>
      </w:r>
      <w:r w:rsidR="006E212D">
        <w:t xml:space="preserve">.  </w:t>
      </w:r>
    </w:p>
    <w:p w:rsidR="001C283B" w:rsidRPr="00900611" w:rsidRDefault="001C283B" w:rsidP="00B249BE">
      <w:pPr>
        <w:pStyle w:val="CommentText"/>
        <w:rPr>
          <w:rFonts w:ascii="Calibri" w:hAnsi="Calibri" w:cs="ACaslon-Regular"/>
          <w:color w:val="000000"/>
          <w:sz w:val="24"/>
          <w:szCs w:val="24"/>
        </w:rPr>
      </w:pPr>
      <w:r w:rsidRPr="00900611">
        <w:rPr>
          <w:rFonts w:ascii="Calibri" w:hAnsi="Calibri" w:cs="ACaslon-Regular"/>
          <w:color w:val="000000"/>
          <w:sz w:val="24"/>
          <w:szCs w:val="24"/>
        </w:rPr>
        <w:t xml:space="preserve">The Minister of MLD has been the </w:t>
      </w:r>
      <w:r w:rsidR="00B249BE" w:rsidRPr="00900611">
        <w:rPr>
          <w:rFonts w:ascii="Calibri" w:hAnsi="Calibri" w:cs="ACaslon-Regular"/>
          <w:color w:val="000000"/>
          <w:sz w:val="24"/>
          <w:szCs w:val="24"/>
        </w:rPr>
        <w:t>Government cooperating agent and signatory</w:t>
      </w:r>
      <w:r w:rsidR="006222B0">
        <w:rPr>
          <w:rFonts w:ascii="Calibri" w:hAnsi="Calibri" w:cs="ACaslon-Regular"/>
          <w:color w:val="000000"/>
          <w:sz w:val="24"/>
          <w:szCs w:val="24"/>
        </w:rPr>
        <w:t xml:space="preserve"> </w:t>
      </w:r>
      <w:r w:rsidRPr="00900611">
        <w:rPr>
          <w:rFonts w:ascii="Calibri" w:hAnsi="Calibri" w:cs="ACaslon-Regular"/>
          <w:color w:val="000000"/>
          <w:sz w:val="24"/>
          <w:szCs w:val="24"/>
        </w:rPr>
        <w:t xml:space="preserve">since the beginning of the project.  There appears to be a difficulty in finding a responsible person below the Minister to sign for procurements and </w:t>
      </w:r>
      <w:r w:rsidR="00023CB5" w:rsidRPr="00900611">
        <w:rPr>
          <w:rFonts w:ascii="Calibri" w:hAnsi="Calibri" w:cs="ACaslon-Regular"/>
          <w:color w:val="000000"/>
          <w:sz w:val="24"/>
          <w:szCs w:val="24"/>
        </w:rPr>
        <w:t xml:space="preserve">disbursement of </w:t>
      </w:r>
      <w:r w:rsidRPr="00900611">
        <w:rPr>
          <w:rFonts w:ascii="Calibri" w:hAnsi="Calibri" w:cs="ACaslon-Regular"/>
          <w:color w:val="000000"/>
          <w:sz w:val="24"/>
          <w:szCs w:val="24"/>
        </w:rPr>
        <w:t>salaries. A senior bureaucrat in the Ministry, head of the Amana section, served as the signing authority in the early days of the project, but</w:t>
      </w:r>
      <w:r w:rsidR="00B60984">
        <w:rPr>
          <w:rFonts w:ascii="Calibri" w:hAnsi="Calibri" w:cs="ACaslon-Regular"/>
          <w:color w:val="000000"/>
          <w:sz w:val="24"/>
          <w:szCs w:val="24"/>
        </w:rPr>
        <w:t>, for</w:t>
      </w:r>
      <w:r w:rsidRPr="00900611">
        <w:rPr>
          <w:rFonts w:ascii="Calibri" w:hAnsi="Calibri" w:cs="ACaslon-Regular"/>
          <w:color w:val="000000"/>
          <w:sz w:val="24"/>
          <w:szCs w:val="24"/>
        </w:rPr>
        <w:t xml:space="preserve"> </w:t>
      </w:r>
      <w:r w:rsidR="00023CB5" w:rsidRPr="00900611">
        <w:rPr>
          <w:rFonts w:ascii="Calibri" w:hAnsi="Calibri" w:cs="ACaslon-Regular"/>
          <w:color w:val="000000"/>
          <w:sz w:val="24"/>
          <w:szCs w:val="24"/>
        </w:rPr>
        <w:t xml:space="preserve">reasons unknown to the Reviewer, </w:t>
      </w:r>
      <w:r w:rsidRPr="00900611">
        <w:rPr>
          <w:rFonts w:ascii="Calibri" w:hAnsi="Calibri" w:cs="ACaslon-Regular"/>
          <w:color w:val="000000"/>
          <w:sz w:val="24"/>
          <w:szCs w:val="24"/>
        </w:rPr>
        <w:t xml:space="preserve">that did not last.  </w:t>
      </w:r>
      <w:r w:rsidR="000C219C">
        <w:rPr>
          <w:rFonts w:ascii="Calibri" w:hAnsi="Calibri" w:cs="ACaslon-Regular"/>
          <w:color w:val="000000"/>
          <w:sz w:val="24"/>
          <w:szCs w:val="24"/>
        </w:rPr>
        <w:t>Subsequent to this Reviewer’s field mission, it has been reported that the new Minister of Local Development instructed that the head of t</w:t>
      </w:r>
      <w:r w:rsidR="00C0590B">
        <w:rPr>
          <w:rFonts w:ascii="Calibri" w:hAnsi="Calibri" w:cs="ACaslon-Regular"/>
          <w:color w:val="000000"/>
          <w:sz w:val="24"/>
          <w:szCs w:val="24"/>
        </w:rPr>
        <w:t>he Amana secti</w:t>
      </w:r>
      <w:r w:rsidR="00B60984">
        <w:rPr>
          <w:rFonts w:ascii="Calibri" w:hAnsi="Calibri" w:cs="ACaslon-Regular"/>
          <w:color w:val="000000"/>
          <w:sz w:val="24"/>
          <w:szCs w:val="24"/>
        </w:rPr>
        <w:t>o</w:t>
      </w:r>
      <w:r w:rsidR="00C0590B">
        <w:rPr>
          <w:rFonts w:ascii="Calibri" w:hAnsi="Calibri" w:cs="ACaslon-Regular"/>
          <w:color w:val="000000"/>
          <w:sz w:val="24"/>
          <w:szCs w:val="24"/>
        </w:rPr>
        <w:t xml:space="preserve">n will be the </w:t>
      </w:r>
      <w:r w:rsidR="000C219C">
        <w:rPr>
          <w:rFonts w:ascii="Calibri" w:hAnsi="Calibri" w:cs="ACaslon-Regular"/>
          <w:color w:val="000000"/>
          <w:sz w:val="24"/>
          <w:szCs w:val="24"/>
        </w:rPr>
        <w:t>signatory of the project.</w:t>
      </w:r>
    </w:p>
    <w:p w:rsidR="0063484B" w:rsidRDefault="00023CB5" w:rsidP="006876C6">
      <w:r>
        <w:t>During the period</w:t>
      </w:r>
      <w:r w:rsidR="004B39BA">
        <w:t xml:space="preserve"> July 2007</w:t>
      </w:r>
      <w:r w:rsidR="001C283B">
        <w:t xml:space="preserve"> to January 2011, </w:t>
      </w:r>
      <w:r w:rsidR="004B39BA">
        <w:t xml:space="preserve">formal </w:t>
      </w:r>
      <w:r w:rsidR="001C283B">
        <w:t>p</w:t>
      </w:r>
      <w:r w:rsidR="00691647" w:rsidRPr="00C83615">
        <w:t xml:space="preserve">roject oversight </w:t>
      </w:r>
      <w:r w:rsidR="001C283B">
        <w:t xml:space="preserve">by UNDP </w:t>
      </w:r>
      <w:r w:rsidR="00691647" w:rsidRPr="00C83615">
        <w:t>appears to have been limited</w:t>
      </w:r>
      <w:r w:rsidR="001C283B">
        <w:t>.</w:t>
      </w:r>
      <w:r w:rsidR="00C0590B">
        <w:t xml:space="preserve">  </w:t>
      </w:r>
      <w:r w:rsidR="001C283B">
        <w:t xml:space="preserve">The Project Board met in officially </w:t>
      </w:r>
      <w:r>
        <w:t xml:space="preserve">for the last time </w:t>
      </w:r>
      <w:r w:rsidR="001C283B">
        <w:t>in 2009</w:t>
      </w:r>
      <w:r w:rsidR="005425CE">
        <w:t>. (</w:t>
      </w:r>
      <w:r w:rsidR="00E67882">
        <w:t>According the DSU team, t</w:t>
      </w:r>
      <w:r w:rsidR="005425CE">
        <w:t>he meeting in 2010 was deemed unofficial.)</w:t>
      </w:r>
      <w:r w:rsidR="001C283B">
        <w:t xml:space="preserve">  No Project Board meet</w:t>
      </w:r>
      <w:r w:rsidR="00F74E1A">
        <w:t>ing has been held</w:t>
      </w:r>
      <w:r w:rsidR="001C283B">
        <w:t xml:space="preserve"> in 2011, a partic</w:t>
      </w:r>
      <w:r w:rsidR="00E03027">
        <w:t>ularly crucial time for TS-MLD and despite the fact that a new Scope of Work for TS-MLD has been floated.</w:t>
      </w:r>
    </w:p>
    <w:p w:rsidR="00D93B96" w:rsidRDefault="006425ED" w:rsidP="00B249BE">
      <w:r>
        <w:t>The quality of project reporting has improved</w:t>
      </w:r>
      <w:r w:rsidR="00B60BE8">
        <w:t xml:space="preserve"> over time, but </w:t>
      </w:r>
      <w:r>
        <w:t xml:space="preserve">up to the last annual report at the end of 2010, </w:t>
      </w:r>
      <w:r w:rsidR="00E03027">
        <w:t>they remain</w:t>
      </w:r>
      <w:r w:rsidR="00B60BE8">
        <w:t xml:space="preserve"> activity focused </w:t>
      </w:r>
      <w:r>
        <w:t xml:space="preserve">with </w:t>
      </w:r>
      <w:r w:rsidR="00B60BE8">
        <w:t xml:space="preserve">no </w:t>
      </w:r>
      <w:r w:rsidR="00E03027">
        <w:t xml:space="preserve">assessment of impact, </w:t>
      </w:r>
      <w:r w:rsidR="00B60BE8">
        <w:t xml:space="preserve">financial </w:t>
      </w:r>
      <w:r>
        <w:t>utilization information</w:t>
      </w:r>
      <w:r w:rsidR="00FF6B80">
        <w:t>.</w:t>
      </w:r>
      <w:r w:rsidR="00C0590B">
        <w:t xml:space="preserve">  </w:t>
      </w:r>
      <w:r w:rsidR="00E67882">
        <w:t xml:space="preserve">An argument has been made that UNDP prepared issue and risk logs, but, this is a record that </w:t>
      </w:r>
      <w:r w:rsidR="00B60984">
        <w:t>should</w:t>
      </w:r>
      <w:r w:rsidR="00E67882">
        <w:t xml:space="preserve"> be maintained </w:t>
      </w:r>
      <w:r w:rsidR="00C0590B">
        <w:t xml:space="preserve">independently </w:t>
      </w:r>
      <w:r w:rsidR="00E67882">
        <w:t>by the project management</w:t>
      </w:r>
      <w:r w:rsidR="00F74E1A">
        <w:t>, not UNDP</w:t>
      </w:r>
      <w:r w:rsidR="00E67882">
        <w:t xml:space="preserve">.  </w:t>
      </w:r>
    </w:p>
    <w:p w:rsidR="004B39BA" w:rsidRDefault="0063484B" w:rsidP="006876C6">
      <w:r>
        <w:t xml:space="preserve">Complaints were raised that </w:t>
      </w:r>
      <w:r w:rsidRPr="00C83615">
        <w:t xml:space="preserve">decisions appear to be ad hoc </w:t>
      </w:r>
      <w:r>
        <w:t>regarding</w:t>
      </w:r>
      <w:r w:rsidRPr="00C83615">
        <w:t xml:space="preserve"> budget </w:t>
      </w:r>
      <w:r>
        <w:t>allocation</w:t>
      </w:r>
      <w:r w:rsidR="001C283B">
        <w:t xml:space="preserve">.  </w:t>
      </w:r>
      <w:r w:rsidR="006425ED">
        <w:t xml:space="preserve">The GoE allocation of 32 million Egyptian pounds was </w:t>
      </w:r>
      <w:r w:rsidR="00E67882">
        <w:t xml:space="preserve">apparently contributed to fund all aspects of the project.  </w:t>
      </w:r>
      <w:r w:rsidR="00536716">
        <w:t xml:space="preserve">However, </w:t>
      </w:r>
      <w:r w:rsidR="000C219C">
        <w:t>lacking</w:t>
      </w:r>
      <w:r w:rsidR="007964A1" w:rsidRPr="007964A1">
        <w:t xml:space="preserve"> any documentation of Proj</w:t>
      </w:r>
      <w:r w:rsidR="007964A1">
        <w:t xml:space="preserve">ect Board approval for </w:t>
      </w:r>
      <w:r w:rsidR="00B60984">
        <w:t xml:space="preserve">the </w:t>
      </w:r>
      <w:r w:rsidR="007964A1">
        <w:t>AWP 2011, t</w:t>
      </w:r>
      <w:r w:rsidR="00E67882">
        <w:t xml:space="preserve">here is a level of </w:t>
      </w:r>
      <w:r w:rsidR="00F74E1A">
        <w:t>confusion</w:t>
      </w:r>
      <w:r w:rsidR="00536716">
        <w:t xml:space="preserve"> within </w:t>
      </w:r>
      <w:r w:rsidR="00E67882">
        <w:t>regarding the</w:t>
      </w:r>
      <w:r w:rsidR="007964A1">
        <w:t xml:space="preserve"> validity of the</w:t>
      </w:r>
      <w:r w:rsidR="00E67882">
        <w:t xml:space="preserve"> </w:t>
      </w:r>
      <w:r w:rsidR="000C219C">
        <w:lastRenderedPageBreak/>
        <w:t xml:space="preserve">specific </w:t>
      </w:r>
      <w:r w:rsidR="00E67882">
        <w:t>allocation</w:t>
      </w:r>
      <w:r w:rsidR="000C219C">
        <w:t>s</w:t>
      </w:r>
      <w:r w:rsidR="00E67882">
        <w:t xml:space="preserve"> among different components of the project, with the IT Department claiming that its funds are being inappropriately spent on other units. </w:t>
      </w:r>
    </w:p>
    <w:p w:rsidR="00691647" w:rsidRDefault="00023CB5" w:rsidP="006876C6">
      <w:r>
        <w:t>The Netherlands funding has been completely utilized.  T</w:t>
      </w:r>
      <w:r w:rsidR="00691647" w:rsidRPr="00C83615">
        <w:t xml:space="preserve">here will be no further assistance from Netherlands for </w:t>
      </w:r>
      <w:r w:rsidR="00006BF0">
        <w:t>TS-MLD</w:t>
      </w:r>
      <w:r w:rsidR="00691647" w:rsidRPr="00C83615">
        <w:t xml:space="preserve">, but this appears to be in relation to global aid considerations rather than a specific disenchantment with the </w:t>
      </w:r>
      <w:r w:rsidR="00006BF0">
        <w:t>TS-MLD</w:t>
      </w:r>
      <w:r w:rsidR="00691647" w:rsidRPr="00C83615">
        <w:t>.</w:t>
      </w:r>
      <w:r w:rsidR="00D93B96">
        <w:t xml:space="preserve">  Continuing </w:t>
      </w:r>
      <w:r>
        <w:t xml:space="preserve">Dutch </w:t>
      </w:r>
      <w:r w:rsidR="00D93B96">
        <w:t>activities in Egypt will focus on human rights, gender and irrigation.</w:t>
      </w:r>
    </w:p>
    <w:p w:rsidR="00D93B96" w:rsidRDefault="00D93B96" w:rsidP="006876C6">
      <w:r>
        <w:t>The Netherlands Embassy said that UNDP request for a grant was approved because it had a good track record as a coordinator of donors and it was seen as a ‘</w:t>
      </w:r>
      <w:r w:rsidR="007964A1">
        <w:t>centre</w:t>
      </w:r>
      <w:r>
        <w:t xml:space="preserve"> of excellence’.  However, the relationship during the project period was </w:t>
      </w:r>
      <w:r w:rsidR="00023CB5">
        <w:t xml:space="preserve">seemingly </w:t>
      </w:r>
      <w:r>
        <w:t xml:space="preserve">not always as the Dutch had expected.  </w:t>
      </w:r>
      <w:r w:rsidR="004B39BA" w:rsidRPr="00C83615">
        <w:t xml:space="preserve">The </w:t>
      </w:r>
      <w:r w:rsidR="00023CB5">
        <w:t xml:space="preserve">current </w:t>
      </w:r>
      <w:r w:rsidR="004B39BA" w:rsidRPr="00C83615">
        <w:t xml:space="preserve">Dutch Embassy respondent seemed disengaged from the project, did not fully understand its purpose and </w:t>
      </w:r>
      <w:r w:rsidR="00023CB5">
        <w:t>suggested that</w:t>
      </w:r>
      <w:r w:rsidR="004B39BA" w:rsidRPr="00C83615">
        <w:t xml:space="preserve"> he had not been adequately briefed by UNDP.  </w:t>
      </w:r>
      <w:r w:rsidR="004B39BA">
        <w:t>He</w:t>
      </w:r>
      <w:r>
        <w:t xml:space="preserve"> said that </w:t>
      </w:r>
      <w:r w:rsidR="004B39BA">
        <w:t>he</w:t>
      </w:r>
      <w:r>
        <w:t xml:space="preserve"> ‘didn’t have a good sense of where the project was going’ and found the whole concept of </w:t>
      </w:r>
      <w:r w:rsidR="00FA65B8">
        <w:t>decentralisation</w:t>
      </w:r>
      <w:r>
        <w:t xml:space="preserve"> as difficult to understand.  </w:t>
      </w:r>
      <w:r w:rsidR="00023CB5">
        <w:t>He</w:t>
      </w:r>
      <w:r>
        <w:t xml:space="preserve"> often found</w:t>
      </w:r>
      <w:r w:rsidR="00E67882">
        <w:t xml:space="preserve"> that</w:t>
      </w:r>
      <w:r>
        <w:t xml:space="preserve"> the reports submitted </w:t>
      </w:r>
      <w:r w:rsidR="00E67882">
        <w:t xml:space="preserve">were </w:t>
      </w:r>
      <w:r>
        <w:t>abstract</w:t>
      </w:r>
      <w:r w:rsidR="00E67882">
        <w:t>,</w:t>
      </w:r>
      <w:r>
        <w:t xml:space="preserve"> leaving them wondering ‘what is behind this comment?’  In the end, </w:t>
      </w:r>
      <w:r w:rsidR="00023CB5">
        <w:t>he</w:t>
      </w:r>
      <w:r w:rsidR="00C0590B">
        <w:t xml:space="preserve"> </w:t>
      </w:r>
      <w:r w:rsidR="00023CB5">
        <w:t>opined that</w:t>
      </w:r>
      <w:r>
        <w:t xml:space="preserve"> ‘it is hard to say whether we got value for money”.</w:t>
      </w:r>
    </w:p>
    <w:p w:rsidR="004B39BA" w:rsidRDefault="00E67882" w:rsidP="006876C6">
      <w:r>
        <w:t>Nevertheless, a</w:t>
      </w:r>
      <w:r w:rsidR="00023CB5">
        <w:t xml:space="preserve"> review of correspondence between the Netherlands Embassy and UNDP indicate</w:t>
      </w:r>
      <w:r>
        <w:t>d</w:t>
      </w:r>
      <w:r w:rsidR="00023CB5">
        <w:t xml:space="preserve"> that the donor </w:t>
      </w:r>
      <w:r>
        <w:t xml:space="preserve">had been </w:t>
      </w:r>
      <w:r w:rsidR="00023CB5">
        <w:t xml:space="preserve">engaged in </w:t>
      </w:r>
      <w:r>
        <w:t>regular,</w:t>
      </w:r>
      <w:r w:rsidR="00023CB5">
        <w:t xml:space="preserve"> detailed review</w:t>
      </w:r>
      <w:r>
        <w:t>s</w:t>
      </w:r>
      <w:r w:rsidR="00023CB5">
        <w:t xml:space="preserve"> of the activities </w:t>
      </w:r>
      <w:r w:rsidR="00E03027">
        <w:t xml:space="preserve">throughout the life </w:t>
      </w:r>
      <w:r w:rsidR="00023CB5">
        <w:t xml:space="preserve">of the project. </w:t>
      </w:r>
      <w:r w:rsidR="00F74E1A">
        <w:t xml:space="preserve">In addition, </w:t>
      </w:r>
      <w:r w:rsidR="00023CB5">
        <w:t xml:space="preserve">UNDP responded to all issues raised by the donor and appears to have done a creditable job of keeping the donor informed of project accomplishments and constraints. </w:t>
      </w:r>
    </w:p>
    <w:p w:rsidR="002E3703" w:rsidRPr="00C83615" w:rsidRDefault="009C0729" w:rsidP="0062529A">
      <w:pPr>
        <w:pStyle w:val="Heading1"/>
      </w:pPr>
      <w:bookmarkStart w:id="75" w:name="_Toc300432384"/>
      <w:bookmarkStart w:id="76" w:name="_Toc300433985"/>
      <w:bookmarkStart w:id="77" w:name="_Toc300434993"/>
      <w:bookmarkStart w:id="78" w:name="_Toc302386983"/>
      <w:r>
        <w:t xml:space="preserve">D  </w:t>
      </w:r>
      <w:r w:rsidR="004B39BA">
        <w:t xml:space="preserve">Issues and </w:t>
      </w:r>
      <w:r w:rsidR="002E3703">
        <w:t>Conclusions</w:t>
      </w:r>
      <w:bookmarkEnd w:id="75"/>
      <w:bookmarkEnd w:id="76"/>
      <w:bookmarkEnd w:id="77"/>
      <w:bookmarkEnd w:id="78"/>
    </w:p>
    <w:p w:rsidR="004B39BA" w:rsidRDefault="00006BF0" w:rsidP="006876C6">
      <w:r>
        <w:t>TS-MLD</w:t>
      </w:r>
      <w:r w:rsidR="00E912E4" w:rsidRPr="00C83615">
        <w:t xml:space="preserve"> has been successful in </w:t>
      </w:r>
      <w:r w:rsidR="001327EC" w:rsidRPr="00C83615">
        <w:t xml:space="preserve">establishing a coordinated approach to </w:t>
      </w:r>
      <w:r w:rsidR="00FA65B8">
        <w:t>decentralisation</w:t>
      </w:r>
      <w:r w:rsidR="001327EC" w:rsidRPr="00C83615">
        <w:t xml:space="preserve"> of public service delivery</w:t>
      </w:r>
      <w:r w:rsidR="00E912E4" w:rsidRPr="00C83615">
        <w:t xml:space="preserve">. </w:t>
      </w:r>
      <w:r w:rsidR="002E2E34" w:rsidRPr="00C83615">
        <w:t xml:space="preserve">Furthermore </w:t>
      </w:r>
      <w:r>
        <w:t>TS-MLD</w:t>
      </w:r>
      <w:r w:rsidR="00820B5D" w:rsidRPr="00C83615">
        <w:t xml:space="preserve"> has facilitated the delegation</w:t>
      </w:r>
      <w:r w:rsidR="004B39BA">
        <w:t xml:space="preserve"> of substantial sums for sub</w:t>
      </w:r>
      <w:r w:rsidR="00C0590B">
        <w:t>-</w:t>
      </w:r>
      <w:r w:rsidR="004B39BA">
        <w:t>national implementation.</w:t>
      </w:r>
      <w:r w:rsidR="00C0590B">
        <w:t xml:space="preserve">  </w:t>
      </w:r>
      <w:r w:rsidR="00A840C4" w:rsidRPr="00C83615">
        <w:t>However, there are some</w:t>
      </w:r>
      <w:r w:rsidR="00C0590B">
        <w:t xml:space="preserve"> </w:t>
      </w:r>
      <w:r w:rsidR="00354874">
        <w:t>issues that need to be addressed to ensure continued</w:t>
      </w:r>
      <w:r w:rsidR="004F2ACE" w:rsidRPr="00C83615">
        <w:t xml:space="preserve"> success</w:t>
      </w:r>
      <w:r w:rsidR="004B39BA">
        <w:t xml:space="preserve">. </w:t>
      </w:r>
    </w:p>
    <w:p w:rsidR="00E03027" w:rsidRDefault="00E03027" w:rsidP="006876C6">
      <w:pPr>
        <w:rPr>
          <w:u w:val="single"/>
        </w:rPr>
      </w:pPr>
    </w:p>
    <w:p w:rsidR="00295E13" w:rsidRDefault="00295E13" w:rsidP="006876C6">
      <w:pPr>
        <w:rPr>
          <w:u w:val="single"/>
        </w:rPr>
      </w:pPr>
    </w:p>
    <w:p w:rsidR="00F2793B" w:rsidRPr="008C5F4B" w:rsidRDefault="00F2793B" w:rsidP="006876C6">
      <w:pPr>
        <w:rPr>
          <w:u w:val="single"/>
        </w:rPr>
      </w:pPr>
      <w:r w:rsidRPr="008C5F4B">
        <w:rPr>
          <w:u w:val="single"/>
        </w:rPr>
        <w:t>1</w:t>
      </w:r>
      <w:r w:rsidR="00D3495F" w:rsidRPr="008C5F4B">
        <w:rPr>
          <w:u w:val="single"/>
        </w:rPr>
        <w:tab/>
      </w:r>
      <w:r w:rsidR="00FA65B8">
        <w:rPr>
          <w:u w:val="single"/>
        </w:rPr>
        <w:t>Decentralisation</w:t>
      </w:r>
      <w:r w:rsidR="00D3495F" w:rsidRPr="008C5F4B">
        <w:rPr>
          <w:u w:val="single"/>
        </w:rPr>
        <w:t xml:space="preserve"> in Egypt’s Future</w:t>
      </w:r>
    </w:p>
    <w:p w:rsidR="003C5792" w:rsidRDefault="003C5792" w:rsidP="006876C6">
      <w:r>
        <w:t>It is often assumed that there is a direct</w:t>
      </w:r>
      <w:r w:rsidR="00931907" w:rsidRPr="00C83615">
        <w:t xml:space="preserve"> link between </w:t>
      </w:r>
      <w:r w:rsidR="00FA65B8">
        <w:t>decentralisation</w:t>
      </w:r>
      <w:r w:rsidR="00931907" w:rsidRPr="00C83615">
        <w:t xml:space="preserve"> and </w:t>
      </w:r>
      <w:r w:rsidR="00D3495F">
        <w:t>people’s empowerment</w:t>
      </w:r>
      <w:r>
        <w:t>, but this relationship</w:t>
      </w:r>
      <w:r w:rsidR="00D3495F">
        <w:t xml:space="preserve"> does not come </w:t>
      </w:r>
      <w:r>
        <w:t xml:space="preserve">about </w:t>
      </w:r>
      <w:r w:rsidR="00D3495F">
        <w:t>naturally</w:t>
      </w:r>
      <w:r w:rsidR="00931907" w:rsidRPr="00C83615">
        <w:t xml:space="preserve">.  In fact, it is nearly impossible in any general sense </w:t>
      </w:r>
      <w:r w:rsidR="00D3495F">
        <w:t xml:space="preserve">unless there is a concerted effort to create rules that enable public access and oversight functions.  </w:t>
      </w:r>
      <w:r w:rsidR="00FA65B8">
        <w:t>Decentralisation</w:t>
      </w:r>
      <w:r w:rsidR="00931907" w:rsidRPr="00C83615">
        <w:t xml:space="preserve"> is much more of a political process than a technical solution.  Technicians (particularly those from public </w:t>
      </w:r>
      <w:r w:rsidR="00931907" w:rsidRPr="00C83615">
        <w:lastRenderedPageBreak/>
        <w:t>administration and financial backgrounds) have an important role to play in designing</w:t>
      </w:r>
      <w:r w:rsidR="00C0590B">
        <w:t xml:space="preserve"> the details of</w:t>
      </w:r>
      <w:r w:rsidR="00931907" w:rsidRPr="00C83615">
        <w:t xml:space="preserve"> any </w:t>
      </w:r>
      <w:r w:rsidR="00FA65B8">
        <w:t>decentralisation</w:t>
      </w:r>
      <w:r w:rsidR="00931907" w:rsidRPr="00C83615">
        <w:t xml:space="preserve"> framework.  However, </w:t>
      </w:r>
      <w:r>
        <w:t>t</w:t>
      </w:r>
      <w:r w:rsidR="00677AC5">
        <w:t>he new set of p</w:t>
      </w:r>
      <w:r w:rsidR="00931907" w:rsidRPr="00C83615">
        <w:t>oliticians who</w:t>
      </w:r>
      <w:r w:rsidR="00C0590B">
        <w:t xml:space="preserve"> </w:t>
      </w:r>
      <w:r>
        <w:t>soon will be</w:t>
      </w:r>
      <w:r w:rsidR="00677AC5">
        <w:t xml:space="preserve"> entering the </w:t>
      </w:r>
      <w:r>
        <w:t xml:space="preserve">Egyptian </w:t>
      </w:r>
      <w:r w:rsidR="00677AC5">
        <w:t xml:space="preserve">scene will need to be carefully brought on board.  </w:t>
      </w:r>
      <w:r>
        <w:t>It has been suggested that t</w:t>
      </w:r>
      <w:r w:rsidR="00677AC5">
        <w:t xml:space="preserve">he current Local Administration Bill should be presented for </w:t>
      </w:r>
      <w:r>
        <w:t xml:space="preserve">parliamentary </w:t>
      </w:r>
      <w:r w:rsidR="00677AC5">
        <w:t xml:space="preserve">review </w:t>
      </w:r>
      <w:r>
        <w:t>as soon as possible</w:t>
      </w:r>
      <w:r w:rsidR="00677AC5">
        <w:t xml:space="preserve">.  </w:t>
      </w:r>
      <w:r>
        <w:t xml:space="preserve">This reviewer disagrees with that approach.  </w:t>
      </w:r>
    </w:p>
    <w:p w:rsidR="00D3495F" w:rsidRDefault="00677AC5" w:rsidP="006876C6">
      <w:r>
        <w:t>The Parliament will need a considerable period of time to put the national framework in place before they can focus on the sub</w:t>
      </w:r>
      <w:r w:rsidR="00C0590B">
        <w:t>-</w:t>
      </w:r>
      <w:r>
        <w:t xml:space="preserve">national realm.  In fact, </w:t>
      </w:r>
      <w:r w:rsidR="00FD37FD">
        <w:t xml:space="preserve">if Egypt is like </w:t>
      </w:r>
      <w:r w:rsidR="00F74E1A">
        <w:t xml:space="preserve">nearly </w:t>
      </w:r>
      <w:r w:rsidR="00FD37FD">
        <w:t xml:space="preserve">every other newly democratizing country, </w:t>
      </w:r>
      <w:r>
        <w:t xml:space="preserve">many </w:t>
      </w:r>
      <w:r w:rsidR="002E1C4F">
        <w:t xml:space="preserve">of the new </w:t>
      </w:r>
      <w:r w:rsidR="00C0590B">
        <w:t>P</w:t>
      </w:r>
      <w:r w:rsidR="002E1C4F">
        <w:t xml:space="preserve">arliamentarians may </w:t>
      </w:r>
      <w:r>
        <w:t>not view</w:t>
      </w:r>
      <w:r w:rsidR="00C0590B">
        <w:t xml:space="preserve"> </w:t>
      </w:r>
      <w:r w:rsidR="00FA65B8">
        <w:t>decentralisation</w:t>
      </w:r>
      <w:r>
        <w:t xml:space="preserve"> in a positive light</w:t>
      </w:r>
      <w:r w:rsidR="003C5792">
        <w:t xml:space="preserve"> as they may be </w:t>
      </w:r>
      <w:r w:rsidR="00FD37FD">
        <w:t xml:space="preserve">more </w:t>
      </w:r>
      <w:r w:rsidR="003C5792">
        <w:t>focused on securing their own powerbase within their electoral constituency</w:t>
      </w:r>
      <w:r w:rsidR="00931907" w:rsidRPr="00C83615">
        <w:t>.</w:t>
      </w:r>
      <w:r>
        <w:t xml:space="preserve">  This is something that will have to be dealt with </w:t>
      </w:r>
      <w:r w:rsidR="00D3495F">
        <w:t>sensitively</w:t>
      </w:r>
      <w:r>
        <w:t xml:space="preserve">.  The focus </w:t>
      </w:r>
      <w:r w:rsidR="003C5792">
        <w:t xml:space="preserve">of the DSU in the coming months </w:t>
      </w:r>
      <w:r>
        <w:t xml:space="preserve">should be on ensuring that the next Constitution contains wording that provides the space for the establishment of </w:t>
      </w:r>
      <w:r w:rsidR="00C0590B">
        <w:t>sub-national</w:t>
      </w:r>
      <w:r>
        <w:t xml:space="preserve"> governments that are democratic and have clearly defined administrative, politica</w:t>
      </w:r>
      <w:r w:rsidR="00162412">
        <w:t xml:space="preserve">l and financial authorities.  </w:t>
      </w:r>
      <w:r w:rsidR="006721B0">
        <w:t xml:space="preserve">An example of </w:t>
      </w:r>
      <w:r w:rsidR="00C0590B">
        <w:t>constitutional</w:t>
      </w:r>
      <w:r w:rsidR="006721B0">
        <w:t xml:space="preserve"> provisions for local governance from the Philippines is attached</w:t>
      </w:r>
      <w:r w:rsidR="00C0590B">
        <w:t xml:space="preserve"> as an annex to this report</w:t>
      </w:r>
      <w:r w:rsidR="006721B0">
        <w:t xml:space="preserve">. </w:t>
      </w:r>
      <w:r w:rsidR="003C5792">
        <w:t xml:space="preserve">A sudden presentation of a complete Local Administration Bill may unnerve </w:t>
      </w:r>
      <w:r w:rsidR="00FD37FD">
        <w:t xml:space="preserve">those </w:t>
      </w:r>
      <w:r w:rsidR="00354874">
        <w:t xml:space="preserve">Parliamentarians who are not firmly committed to </w:t>
      </w:r>
      <w:r w:rsidR="00FA65B8">
        <w:t>decentralisation</w:t>
      </w:r>
      <w:r w:rsidR="00354874">
        <w:t xml:space="preserve"> as a principle</w:t>
      </w:r>
      <w:r w:rsidR="00FD37FD">
        <w:t xml:space="preserve"> of governance</w:t>
      </w:r>
      <w:r w:rsidR="00354874">
        <w:t>.</w:t>
      </w:r>
      <w:r w:rsidR="000C219C">
        <w:t xml:space="preserve">  </w:t>
      </w:r>
    </w:p>
    <w:p w:rsidR="00F2793B" w:rsidRDefault="00C040F0" w:rsidP="006876C6">
      <w:r>
        <w:t>Technical solutions will not be as easy to push in an open democratic polity as there will be a wider diversity of interests that will have</w:t>
      </w:r>
      <w:r w:rsidR="002E1C4F">
        <w:t xml:space="preserve"> to be accommodated.  This may </w:t>
      </w:r>
      <w:r>
        <w:t>lead to a radical change in the structure of local administration t</w:t>
      </w:r>
      <w:r w:rsidR="00354874">
        <w:t>han</w:t>
      </w:r>
      <w:r>
        <w:t xml:space="preserve"> was envisioned under the NDP.  However, that is not something that a brief project review can accurately predict.  </w:t>
      </w:r>
      <w:r w:rsidR="00F2793B">
        <w:t xml:space="preserve">A fundamental point that must guide </w:t>
      </w:r>
      <w:r w:rsidR="00162412">
        <w:t>TS-MLD</w:t>
      </w:r>
      <w:r w:rsidR="00F2793B">
        <w:t xml:space="preserve"> programming </w:t>
      </w:r>
      <w:r w:rsidR="00162412">
        <w:t xml:space="preserve">going forward </w:t>
      </w:r>
      <w:r w:rsidR="00F2793B">
        <w:t xml:space="preserve">is that </w:t>
      </w:r>
      <w:r w:rsidR="00FA65B8">
        <w:t>decentralisation</w:t>
      </w:r>
      <w:r w:rsidR="00AE210C">
        <w:t xml:space="preserve"> </w:t>
      </w:r>
      <w:r w:rsidR="00354874">
        <w:t>should</w:t>
      </w:r>
      <w:r w:rsidR="00162412">
        <w:t xml:space="preserve"> no</w:t>
      </w:r>
      <w:r w:rsidR="00354874">
        <w:t>t</w:t>
      </w:r>
      <w:r w:rsidR="00162412">
        <w:t xml:space="preserve"> be viewed as </w:t>
      </w:r>
      <w:r w:rsidR="00F2793B">
        <w:t xml:space="preserve">a technical process.  </w:t>
      </w:r>
      <w:r w:rsidR="00354874">
        <w:t>It</w:t>
      </w:r>
      <w:r w:rsidR="00F2793B">
        <w:t xml:space="preserve"> is one of the most fundamentally political decisions that a government can make because it is tied so closely to the distribution of power and resources.  Precisely </w:t>
      </w:r>
      <w:r w:rsidR="00162412">
        <w:t>for this reason</w:t>
      </w:r>
      <w:r w:rsidR="00F2793B">
        <w:t>, there are few examples in the world of successful</w:t>
      </w:r>
      <w:r w:rsidR="00354874">
        <w:t>, long</w:t>
      </w:r>
      <w:r w:rsidR="00295E13">
        <w:t>-</w:t>
      </w:r>
      <w:r w:rsidR="00354874">
        <w:t>lasting</w:t>
      </w:r>
      <w:r w:rsidR="00295E13">
        <w:t xml:space="preserve"> </w:t>
      </w:r>
      <w:r w:rsidR="00FA65B8">
        <w:t>decentralisation</w:t>
      </w:r>
      <w:r w:rsidR="00F2793B">
        <w:t xml:space="preserve"> in developing countries, whether </w:t>
      </w:r>
      <w:r w:rsidR="00354874">
        <w:t xml:space="preserve">under </w:t>
      </w:r>
      <w:r w:rsidR="00F2793B">
        <w:t>dictatorial or democratic</w:t>
      </w:r>
      <w:r w:rsidR="00354874">
        <w:t xml:space="preserve"> regimes</w:t>
      </w:r>
      <w:r w:rsidR="00F2793B">
        <w:t>.</w:t>
      </w:r>
      <w:r w:rsidR="00162412">
        <w:t xml:space="preserve">  Caution should be the watchword, not speed.  </w:t>
      </w:r>
      <w:r w:rsidR="00354874">
        <w:t>Acquiring p</w:t>
      </w:r>
      <w:r w:rsidR="00162412">
        <w:t xml:space="preserve">olitical </w:t>
      </w:r>
      <w:r w:rsidR="00354874">
        <w:t>consensus</w:t>
      </w:r>
      <w:r w:rsidR="00295E13">
        <w:t xml:space="preserve"> </w:t>
      </w:r>
      <w:r w:rsidR="00354874">
        <w:t xml:space="preserve">on </w:t>
      </w:r>
      <w:r w:rsidR="00FA65B8">
        <w:t>decentralisation</w:t>
      </w:r>
      <w:r w:rsidR="00295E13">
        <w:t xml:space="preserve"> </w:t>
      </w:r>
      <w:r w:rsidR="00162412">
        <w:t xml:space="preserve">will be far more complex to achieve that it was when the NDP Policy Secretariat was the </w:t>
      </w:r>
      <w:r w:rsidR="00295E13">
        <w:t xml:space="preserve">primary </w:t>
      </w:r>
      <w:r w:rsidR="00162412">
        <w:t xml:space="preserve"> decision making node.  </w:t>
      </w:r>
      <w:r w:rsidR="00A40CDD">
        <w:t>In the view of this reviewer, it</w:t>
      </w:r>
      <w:r w:rsidR="00295E13">
        <w:t xml:space="preserve"> </w:t>
      </w:r>
      <w:r w:rsidR="00536716">
        <w:t>should not be</w:t>
      </w:r>
      <w:r w:rsidR="00FD37FD">
        <w:t xml:space="preserve"> assume</w:t>
      </w:r>
      <w:r w:rsidR="00536716">
        <w:t>d</w:t>
      </w:r>
      <w:r w:rsidR="00FD37FD">
        <w:t xml:space="preserve"> that legislation based on global </w:t>
      </w:r>
      <w:r w:rsidR="00FA65B8">
        <w:t>decentralisation</w:t>
      </w:r>
      <w:r w:rsidR="00295E13">
        <w:t xml:space="preserve"> </w:t>
      </w:r>
      <w:r w:rsidR="00FD37FD">
        <w:t>principles will be sufficient to secure passage of a bill that may be perceived as a move to reduce the</w:t>
      </w:r>
      <w:r w:rsidR="007964A1">
        <w:t xml:space="preserve"> role and resources of the centre</w:t>
      </w:r>
      <w:r w:rsidR="00FD37FD">
        <w:t xml:space="preserve">.  In any democracy, the technical </w:t>
      </w:r>
      <w:r w:rsidR="007964A1">
        <w:t>merits</w:t>
      </w:r>
      <w:r w:rsidR="00FD37FD">
        <w:t xml:space="preserve"> of legislation must always be weighed against the interests of th</w:t>
      </w:r>
      <w:r w:rsidR="00162412">
        <w:t>e hundreds of Parliamentarians</w:t>
      </w:r>
      <w:r w:rsidR="00FD37FD">
        <w:t>,</w:t>
      </w:r>
      <w:r w:rsidR="00AE210C">
        <w:t xml:space="preserve"> </w:t>
      </w:r>
      <w:r w:rsidR="00FD37FD">
        <w:t xml:space="preserve">who </w:t>
      </w:r>
      <w:r w:rsidR="00162412">
        <w:t xml:space="preserve">will each have a unique set of personal interests and proclivities.  Learning how to achieve a parliamentary consensus will be more important that engineering a seemingly perfect technical design for </w:t>
      </w:r>
      <w:r w:rsidR="00FA65B8">
        <w:t>decentralisation</w:t>
      </w:r>
      <w:r w:rsidR="00162412">
        <w:t xml:space="preserve">.  </w:t>
      </w:r>
    </w:p>
    <w:p w:rsidR="00162412" w:rsidRDefault="00162412" w:rsidP="006876C6">
      <w:r>
        <w:t>Few countries</w:t>
      </w:r>
      <w:r w:rsidR="00E03027">
        <w:t xml:space="preserve"> in the developing world that ca</w:t>
      </w:r>
      <w:r>
        <w:t xml:space="preserve">me out of a lengthy dictatorial period have attempted to move </w:t>
      </w:r>
      <w:r w:rsidR="00354874">
        <w:t>immediately</w:t>
      </w:r>
      <w:r>
        <w:t xml:space="preserve"> on </w:t>
      </w:r>
      <w:r w:rsidR="00C0590B">
        <w:t>sub-national</w:t>
      </w:r>
      <w:r>
        <w:t xml:space="preserve"> governance issues.  The Philippine people’s movement against Marcos took place in 1985</w:t>
      </w:r>
      <w:r w:rsidR="00AE210C">
        <w:t>, but</w:t>
      </w:r>
      <w:r>
        <w:t xml:space="preserve"> the Local Government Code </w:t>
      </w:r>
      <w:r>
        <w:lastRenderedPageBreak/>
        <w:t xml:space="preserve">was </w:t>
      </w:r>
      <w:r w:rsidR="00AE210C">
        <w:t xml:space="preserve">not </w:t>
      </w:r>
      <w:r>
        <w:t xml:space="preserve">passed </w:t>
      </w:r>
      <w:r w:rsidR="00AE210C">
        <w:t>until</w:t>
      </w:r>
      <w:r>
        <w:t xml:space="preserve"> 199</w:t>
      </w:r>
      <w:r w:rsidR="00AE210C">
        <w:t>1</w:t>
      </w:r>
      <w:r>
        <w:t>—even that required some particularly adroit parliamentary maneuverings to be accomplished.  Even so, bills were passed in Congress in 1995 to recentralize parts of the devolved system.  The system survived only because the President held true to hi</w:t>
      </w:r>
      <w:r w:rsidR="00A40CDD">
        <w:t xml:space="preserve">s commitment to his predecessor, and </w:t>
      </w:r>
      <w:r>
        <w:t xml:space="preserve">vetoed the measures.  </w:t>
      </w:r>
      <w:r w:rsidR="00C15B5F">
        <w:t xml:space="preserve">Despite the common </w:t>
      </w:r>
      <w:r w:rsidR="00AE210C">
        <w:t xml:space="preserve">belief </w:t>
      </w:r>
      <w:r w:rsidR="00C15B5F">
        <w:t xml:space="preserve"> that </w:t>
      </w:r>
      <w:r>
        <w:t>Ind</w:t>
      </w:r>
      <w:r w:rsidR="00A40CDD">
        <w:t xml:space="preserve">onesia </w:t>
      </w:r>
      <w:r w:rsidR="00C15B5F">
        <w:t>immediately underwent</w:t>
      </w:r>
      <w:r w:rsidR="00AE210C">
        <w:t xml:space="preserve"> </w:t>
      </w:r>
      <w:r w:rsidR="00C15B5F">
        <w:t xml:space="preserve"> a ‘big bang’ devolution after </w:t>
      </w:r>
      <w:r w:rsidR="00A40CDD">
        <w:t xml:space="preserve">Suharto </w:t>
      </w:r>
      <w:r w:rsidR="00827BA3">
        <w:t xml:space="preserve">was pushed </w:t>
      </w:r>
      <w:r w:rsidR="00A40CDD">
        <w:t>out in 1998</w:t>
      </w:r>
      <w:r w:rsidR="00827BA3">
        <w:t>.  A preliminary Law on Regional Governance (and associated Law on</w:t>
      </w:r>
      <w:r w:rsidR="00827BA3" w:rsidRPr="00827BA3">
        <w:t xml:space="preserve"> Fiscal Balance Between the Central Government and the Regions</w:t>
      </w:r>
      <w:r w:rsidR="00827BA3">
        <w:t>) was passed in 1999 to undermine the evident centripetal forces present throughout the country.  However, the</w:t>
      </w:r>
      <w:r w:rsidR="006721B0">
        <w:t xml:space="preserve"> </w:t>
      </w:r>
      <w:r w:rsidR="00A40CDD">
        <w:t xml:space="preserve">full </w:t>
      </w:r>
      <w:r>
        <w:t>devolution</w:t>
      </w:r>
      <w:r w:rsidR="00A40CDD">
        <w:t xml:space="preserve"> measure was </w:t>
      </w:r>
      <w:r w:rsidR="006222B0">
        <w:t>not passed</w:t>
      </w:r>
      <w:r w:rsidR="00A40CDD">
        <w:t xml:space="preserve"> </w:t>
      </w:r>
      <w:r w:rsidR="00AE210C">
        <w:t>until</w:t>
      </w:r>
      <w:r w:rsidR="00A40CDD">
        <w:t xml:space="preserve"> 2004</w:t>
      </w:r>
      <w:r w:rsidR="00827BA3">
        <w:t xml:space="preserve"> after lengthy academic and parliamentary debate</w:t>
      </w:r>
      <w:r w:rsidR="00A40CDD">
        <w:t xml:space="preserve">, with direct elections of local executives </w:t>
      </w:r>
      <w:r w:rsidR="00AE210C">
        <w:t xml:space="preserve">only </w:t>
      </w:r>
      <w:r w:rsidR="00A40CDD">
        <w:t>coming in 2005</w:t>
      </w:r>
      <w:r>
        <w:t>.  Since then there have been a series of parliamentary reversals</w:t>
      </w:r>
      <w:r w:rsidR="00A40CDD">
        <w:t xml:space="preserve"> in the devolution process</w:t>
      </w:r>
      <w:r>
        <w:t>.  The Nepali people’s movement of 1990 forced its King to accede to a constitution framework putting Parliament in charge</w:t>
      </w:r>
      <w:r w:rsidR="00AE210C">
        <w:t xml:space="preserve"> of law-making</w:t>
      </w:r>
      <w:r>
        <w:t>.  A law on local government was passed in 1992.  The powers and resources for local bodies were enhanced through revised legislation in 1998 only to have the Prime Minister dissolve all elected councils in 2002</w:t>
      </w:r>
      <w:r w:rsidR="00C040F0">
        <w:t xml:space="preserve"> out of concern that opposition parties would win the next </w:t>
      </w:r>
      <w:r w:rsidR="00AE210C">
        <w:t xml:space="preserve">round of local </w:t>
      </w:r>
      <w:r w:rsidR="00C040F0">
        <w:t>elections.  The</w:t>
      </w:r>
      <w:r w:rsidR="00AE210C">
        <w:t xml:space="preserve"> elected bodies</w:t>
      </w:r>
      <w:r w:rsidR="00C040F0">
        <w:t xml:space="preserve"> were replaced by administrators who resumed the roles they </w:t>
      </w:r>
      <w:r w:rsidR="00AE210C">
        <w:t xml:space="preserve">had </w:t>
      </w:r>
      <w:r w:rsidR="00C040F0">
        <w:t>played prior to the 1990 movement.</w:t>
      </w:r>
    </w:p>
    <w:p w:rsidR="006721B0" w:rsidRDefault="006721B0" w:rsidP="006876C6">
      <w:r>
        <w:t>In each of these cases, the Parliamentary leadership that succeeded a lengthy dictatorial regime</w:t>
      </w:r>
      <w:r w:rsidR="00AE210C">
        <w:t xml:space="preserve"> had to work hard to overcome the </w:t>
      </w:r>
      <w:r w:rsidR="00B60984">
        <w:t>resistance</w:t>
      </w:r>
      <w:r>
        <w:t xml:space="preserve"> of </w:t>
      </w:r>
      <w:r w:rsidR="004754CE">
        <w:t>those members who were opposed to opening</w:t>
      </w:r>
      <w:r w:rsidR="00AE210C">
        <w:t xml:space="preserve"> space for local governance and citizen empowerment.  Nevertheless, each</w:t>
      </w:r>
      <w:r w:rsidR="004754CE">
        <w:t xml:space="preserve"> of these countries </w:t>
      </w:r>
      <w:r w:rsidR="00B60984">
        <w:t>experienced</w:t>
      </w:r>
      <w:r w:rsidR="004754CE">
        <w:t xml:space="preserve"> an explosion in the number and influence of civil society organizations</w:t>
      </w:r>
      <w:r w:rsidR="00AE210C">
        <w:t xml:space="preserve"> </w:t>
      </w:r>
      <w:r w:rsidR="004754CE">
        <w:t>similar to that evidenced in Eastern Europe</w:t>
      </w:r>
      <w:r w:rsidR="00B60984">
        <w:t xml:space="preserve"> following the collapse of the Soviet Union</w:t>
      </w:r>
      <w:r w:rsidR="004754CE">
        <w:t xml:space="preserve">.  There was </w:t>
      </w:r>
      <w:r w:rsidR="00B60984">
        <w:t xml:space="preserve">also </w:t>
      </w:r>
      <w:r w:rsidR="004754CE">
        <w:t xml:space="preserve">a qualitative improvement in the relationship between civil society and government </w:t>
      </w:r>
      <w:r w:rsidR="00AE210C">
        <w:t>resulting in an</w:t>
      </w:r>
      <w:r w:rsidR="00AE210C" w:rsidRPr="00AE210C">
        <w:t xml:space="preserve"> explosion in local government innovations aimed at improving the quality of public service delivery, </w:t>
      </w:r>
      <w:r w:rsidR="00AE210C">
        <w:t>and in</w:t>
      </w:r>
      <w:r w:rsidR="004754CE">
        <w:t xml:space="preserve"> national development indicators.  Unfortunately, in Nepal the process did not go deep enough as the new parliament was dominated by elites who were unwilling to accept lower classes as equal </w:t>
      </w:r>
      <w:r w:rsidR="00B4080B">
        <w:t>members of society.  The subsequent</w:t>
      </w:r>
      <w:r w:rsidR="004754CE">
        <w:t xml:space="preserve"> </w:t>
      </w:r>
      <w:r w:rsidR="00B4080B">
        <w:t xml:space="preserve">violent </w:t>
      </w:r>
      <w:r w:rsidR="004754CE">
        <w:t>revolution</w:t>
      </w:r>
      <w:r w:rsidR="00B4080B">
        <w:t xml:space="preserve">, beginning 5 years after the initial democratic movement, </w:t>
      </w:r>
      <w:r w:rsidR="004754CE">
        <w:t xml:space="preserve">destroyed the entire façade of elite control </w:t>
      </w:r>
      <w:r w:rsidR="00B4080B">
        <w:t xml:space="preserve">and the current Prime Minister </w:t>
      </w:r>
      <w:r w:rsidR="00B60984">
        <w:t>was</w:t>
      </w:r>
      <w:r w:rsidR="004754CE">
        <w:t xml:space="preserve"> a leader of the revolution</w:t>
      </w:r>
      <w:r w:rsidR="00B60984">
        <w:t>ary</w:t>
      </w:r>
      <w:r w:rsidR="00B4080B">
        <w:t xml:space="preserve"> group</w:t>
      </w:r>
      <w:r w:rsidR="00CD7E34">
        <w:t>.  The decade of extremely disruptive</w:t>
      </w:r>
      <w:r w:rsidR="004754CE">
        <w:t xml:space="preserve"> violence in the country could have been avoided if </w:t>
      </w:r>
      <w:r w:rsidR="00CD7E34">
        <w:t xml:space="preserve">a </w:t>
      </w:r>
      <w:r w:rsidR="004754CE">
        <w:t>framework of full democratic rights for all citizens had been accepted from the beginning.</w:t>
      </w:r>
      <w:r w:rsidR="00CD7E34">
        <w:t xml:space="preserve">  Given the frequent spates of mass violence since January 2011, such a scenario cannot be ruled out for Egypt’s future.  In fact, this should be upper most in the minds of those who are designing future local governance frameworks to ensure they are inclusive and equitable in nature.</w:t>
      </w:r>
    </w:p>
    <w:p w:rsidR="00A40CDD" w:rsidRDefault="00A40CDD" w:rsidP="006876C6">
      <w:r>
        <w:t xml:space="preserve">Pakistan represents a curious, but important, anomaly in this regard </w:t>
      </w:r>
      <w:r w:rsidR="006222B0">
        <w:t>as three</w:t>
      </w:r>
      <w:r>
        <w:t xml:space="preserve"> military dictators have introduced forms of elected local </w:t>
      </w:r>
      <w:r w:rsidR="00FE0E75">
        <w:t>governments since</w:t>
      </w:r>
      <w:r w:rsidR="00CD7E34">
        <w:t xml:space="preserve"> the 1960s</w:t>
      </w:r>
      <w:r w:rsidR="0069767A">
        <w:t xml:space="preserve">, </w:t>
      </w:r>
      <w:r>
        <w:t xml:space="preserve">only to see their democratic successors eliminate their systems by reverting to the British </w:t>
      </w:r>
      <w:r>
        <w:lastRenderedPageBreak/>
        <w:t>colonial model of bureaucratic rule in the periphery.</w:t>
      </w:r>
      <w:r w:rsidR="006721B0">
        <w:t xml:space="preserve">  This is </w:t>
      </w:r>
      <w:r w:rsidR="00CD7E34">
        <w:t xml:space="preserve">also </w:t>
      </w:r>
      <w:r w:rsidR="004754CE">
        <w:t>a possible outcome</w:t>
      </w:r>
      <w:r w:rsidR="006721B0">
        <w:t xml:space="preserve"> in Egypt</w:t>
      </w:r>
      <w:r w:rsidR="004754CE">
        <w:t>, particularly</w:t>
      </w:r>
      <w:r w:rsidR="006721B0">
        <w:t xml:space="preserve"> if the incoming Parliament is dominated by a single party or small coalition that would </w:t>
      </w:r>
      <w:r w:rsidR="004754CE">
        <w:t>prefer not to permit a</w:t>
      </w:r>
      <w:r w:rsidR="006721B0">
        <w:t xml:space="preserve"> local government system to provide the space for competing groups to flourish.</w:t>
      </w:r>
    </w:p>
    <w:p w:rsidR="00E03027" w:rsidRDefault="00E03027" w:rsidP="006876C6">
      <w:pPr>
        <w:rPr>
          <w:u w:val="single"/>
        </w:rPr>
      </w:pPr>
    </w:p>
    <w:p w:rsidR="00F3052E" w:rsidRPr="008C5F4B" w:rsidRDefault="00354874" w:rsidP="006876C6">
      <w:pPr>
        <w:rPr>
          <w:u w:val="single"/>
        </w:rPr>
      </w:pPr>
      <w:r w:rsidRPr="008C5F4B">
        <w:rPr>
          <w:u w:val="single"/>
        </w:rPr>
        <w:t>2</w:t>
      </w:r>
      <w:r w:rsidR="00F2793B" w:rsidRPr="008C5F4B">
        <w:rPr>
          <w:u w:val="single"/>
        </w:rPr>
        <w:tab/>
      </w:r>
      <w:r w:rsidR="00F3052E" w:rsidRPr="008C5F4B">
        <w:rPr>
          <w:u w:val="single"/>
        </w:rPr>
        <w:t>Citizen Engagement</w:t>
      </w:r>
    </w:p>
    <w:p w:rsidR="00660F33" w:rsidRDefault="00660F33" w:rsidP="006876C6">
      <w:r>
        <w:t>C</w:t>
      </w:r>
      <w:r w:rsidRPr="00C83615">
        <w:t xml:space="preserve">itizen </w:t>
      </w:r>
      <w:r>
        <w:t xml:space="preserve">disenchantment </w:t>
      </w:r>
      <w:r w:rsidR="0069767A">
        <w:t xml:space="preserve">with either the central government or their general condition </w:t>
      </w:r>
      <w:r>
        <w:t xml:space="preserve">poses a significant risk for </w:t>
      </w:r>
      <w:r w:rsidR="00FA65B8">
        <w:t>decentralisation</w:t>
      </w:r>
      <w:r w:rsidR="0069767A">
        <w:t xml:space="preserve"> </w:t>
      </w:r>
      <w:r w:rsidRPr="00C83615">
        <w:t xml:space="preserve">in the future.  </w:t>
      </w:r>
      <w:r>
        <w:t>This can easily be used by an incoming Parliament to delay any structural reform involving local governance until it has ensured it will have the ability to control the process</w:t>
      </w:r>
      <w:r w:rsidR="00354874">
        <w:t>, thus avoiding any backlash from their voters</w:t>
      </w:r>
      <w:r>
        <w:t>.</w:t>
      </w:r>
      <w:r w:rsidR="00F36F42">
        <w:t xml:space="preserve">  There is little evidence in the history of </w:t>
      </w:r>
      <w:r w:rsidR="00FA65B8">
        <w:t>decentralisation</w:t>
      </w:r>
      <w:r w:rsidR="00F36F42">
        <w:t xml:space="preserve"> initiatives that </w:t>
      </w:r>
      <w:r w:rsidR="00F3052E">
        <w:t>post-revolutionary</w:t>
      </w:r>
      <w:r w:rsidR="00295E13">
        <w:t xml:space="preserve"> </w:t>
      </w:r>
      <w:r w:rsidR="00F3052E">
        <w:t>Parliament’s move</w:t>
      </w:r>
      <w:r w:rsidR="00C30EDF">
        <w:t xml:space="preserve"> speedily</w:t>
      </w:r>
      <w:r w:rsidR="00F3052E">
        <w:t xml:space="preserve"> to shift power away from themselves</w:t>
      </w:r>
      <w:r w:rsidR="00C30EDF">
        <w:t xml:space="preserve"> unless they are faced with the real possibility of unilateral secession by parts of the periphery (as in Indonesia)</w:t>
      </w:r>
      <w:r w:rsidR="00F3052E">
        <w:t>.</w:t>
      </w:r>
      <w:r w:rsidR="006721B0">
        <w:t xml:space="preserve"> </w:t>
      </w:r>
    </w:p>
    <w:p w:rsidR="00D83F5B" w:rsidRDefault="00D83F5B" w:rsidP="006876C6">
      <w:r>
        <w:t xml:space="preserve">In order to keep up with the changes taking place in the country, TS-MLD </w:t>
      </w:r>
      <w:r w:rsidR="00354874">
        <w:t>will</w:t>
      </w:r>
      <w:r>
        <w:t xml:space="preserve"> need to be modified to incorporate a specific output related to building the capacity of civil society to engage with local authorities--whether elected or appointed and to leverage that new role into an effective external push to improve the transparency, accountability, quality and equity of public service delivery.  This needs to become the sine qua non of TS-MLD in the months ahead.  </w:t>
      </w:r>
    </w:p>
    <w:p w:rsidR="00F36F42" w:rsidRDefault="00D83F5B" w:rsidP="006876C6">
      <w:r w:rsidRPr="00C83615">
        <w:t xml:space="preserve">There are no gender-related indicators in the </w:t>
      </w:r>
      <w:r>
        <w:t xml:space="preserve">TS-MLD </w:t>
      </w:r>
      <w:r w:rsidRPr="00C83615">
        <w:t>pro</w:t>
      </w:r>
      <w:r w:rsidR="00C30EDF">
        <w:t xml:space="preserve">ject </w:t>
      </w:r>
      <w:r w:rsidRPr="00C83615">
        <w:t>doc</w:t>
      </w:r>
      <w:r w:rsidR="00C30EDF">
        <w:t>ument</w:t>
      </w:r>
      <w:r w:rsidR="0069767A">
        <w:t xml:space="preserve"> </w:t>
      </w:r>
      <w:r w:rsidR="00BB3EA2">
        <w:t xml:space="preserve">(although </w:t>
      </w:r>
      <w:r w:rsidR="0069767A">
        <w:t>the issue</w:t>
      </w:r>
      <w:r w:rsidR="00BB3EA2">
        <w:t xml:space="preserve"> is mentioned on the signature page) </w:t>
      </w:r>
      <w:r w:rsidRPr="00C83615">
        <w:t xml:space="preserve">eliminating any </w:t>
      </w:r>
      <w:r>
        <w:t xml:space="preserve">possible </w:t>
      </w:r>
      <w:r w:rsidRPr="00C83615">
        <w:t xml:space="preserve">means of monitoring </w:t>
      </w:r>
      <w:r w:rsidR="00354874">
        <w:t xml:space="preserve">the </w:t>
      </w:r>
      <w:r w:rsidRPr="00C83615">
        <w:t xml:space="preserve">benefits </w:t>
      </w:r>
      <w:r w:rsidR="00354874">
        <w:t xml:space="preserve">of a </w:t>
      </w:r>
      <w:r w:rsidR="00FA65B8">
        <w:t>decentralisation</w:t>
      </w:r>
      <w:r w:rsidR="00354874">
        <w:t xml:space="preserve"> policy for</w:t>
      </w:r>
      <w:r w:rsidRPr="00C83615">
        <w:t xml:space="preserve"> women</w:t>
      </w:r>
      <w:r w:rsidR="003E1F13">
        <w:t xml:space="preserve"> and other marginalized groups</w:t>
      </w:r>
      <w:r w:rsidRPr="00C83615">
        <w:t xml:space="preserve">.  </w:t>
      </w:r>
      <w:r>
        <w:rPr>
          <w:rFonts w:cs="Arial"/>
        </w:rPr>
        <w:t>The UN’s</w:t>
      </w:r>
      <w:r w:rsidRPr="00C83615">
        <w:rPr>
          <w:rFonts w:cs="Arial"/>
        </w:rPr>
        <w:t xml:space="preserve"> commitment to the inclusion of women in local governance </w:t>
      </w:r>
      <w:r w:rsidR="00354874">
        <w:rPr>
          <w:rFonts w:cs="Arial"/>
        </w:rPr>
        <w:t>appears</w:t>
      </w:r>
      <w:r w:rsidR="0069767A">
        <w:rPr>
          <w:rFonts w:cs="Arial"/>
        </w:rPr>
        <w:t xml:space="preserve"> </w:t>
      </w:r>
      <w:r w:rsidR="00354874">
        <w:rPr>
          <w:rFonts w:cs="Arial"/>
        </w:rPr>
        <w:t>not</w:t>
      </w:r>
      <w:r w:rsidR="0069767A">
        <w:rPr>
          <w:rFonts w:cs="Arial"/>
        </w:rPr>
        <w:t xml:space="preserve"> </w:t>
      </w:r>
      <w:r w:rsidR="00354874">
        <w:rPr>
          <w:rFonts w:cs="Arial"/>
        </w:rPr>
        <w:t xml:space="preserve">to be </w:t>
      </w:r>
      <w:r w:rsidRPr="00C83615">
        <w:rPr>
          <w:rFonts w:cs="Arial"/>
        </w:rPr>
        <w:t xml:space="preserve">reflected in </w:t>
      </w:r>
      <w:r>
        <w:rPr>
          <w:rFonts w:cs="Arial"/>
        </w:rPr>
        <w:t>TS-MLD</w:t>
      </w:r>
      <w:r w:rsidR="002E1C4F">
        <w:rPr>
          <w:rFonts w:cs="Arial"/>
        </w:rPr>
        <w:t xml:space="preserve">’s </w:t>
      </w:r>
      <w:r>
        <w:rPr>
          <w:rFonts w:cs="Arial"/>
        </w:rPr>
        <w:t xml:space="preserve">AWP’s or plans for the future.  </w:t>
      </w:r>
      <w:r w:rsidRPr="00C83615">
        <w:t xml:space="preserve">The lack of a DSU affirmative gender policy and </w:t>
      </w:r>
      <w:r w:rsidR="003E1F13">
        <w:t xml:space="preserve">a </w:t>
      </w:r>
      <w:r w:rsidRPr="00C83615">
        <w:t>gender and social exclusion specialist staff member should be noted in this regard.</w:t>
      </w:r>
      <w:r w:rsidR="0069767A">
        <w:t xml:space="preserve">  </w:t>
      </w:r>
      <w:r w:rsidR="00F36F42" w:rsidRPr="00C83615">
        <w:t xml:space="preserve">Access of women and socially excluded to </w:t>
      </w:r>
      <w:r w:rsidR="00F3052E">
        <w:t xml:space="preserve">public services provided by </w:t>
      </w:r>
      <w:r w:rsidR="00F36F42" w:rsidRPr="00C83615">
        <w:t>local governance</w:t>
      </w:r>
      <w:r w:rsidR="00F3052E">
        <w:t xml:space="preserve"> units </w:t>
      </w:r>
      <w:r w:rsidR="00354874">
        <w:t>should</w:t>
      </w:r>
      <w:r w:rsidR="00F3052E">
        <w:t xml:space="preserve"> become a special topic for the DSU.  The </w:t>
      </w:r>
      <w:r w:rsidR="00297101">
        <w:t xml:space="preserve">earlier </w:t>
      </w:r>
      <w:r w:rsidR="00F3052E">
        <w:t xml:space="preserve">assumption that an orderly civil service reform and elected local representatives </w:t>
      </w:r>
      <w:r w:rsidR="002E1C4F">
        <w:t>is sufficient is no longer acceptable</w:t>
      </w:r>
      <w:r w:rsidR="00F3052E">
        <w:t xml:space="preserve">.  This has rarely proven to be the case in other </w:t>
      </w:r>
      <w:r w:rsidR="002E1C4F">
        <w:t>countries</w:t>
      </w:r>
      <w:r w:rsidR="00F3052E">
        <w:t xml:space="preserve"> without measures incorporated into the rules that provide citizens with regular opportunit</w:t>
      </w:r>
      <w:r w:rsidR="002E1C4F">
        <w:t>ies</w:t>
      </w:r>
      <w:r w:rsidR="00F3052E">
        <w:t xml:space="preserve"> to review and comment on government actions.</w:t>
      </w:r>
    </w:p>
    <w:p w:rsidR="0033693D" w:rsidRDefault="0033693D" w:rsidP="006876C6">
      <w:r>
        <w:t xml:space="preserve">Some options for consideration could include: 1) </w:t>
      </w:r>
      <w:r w:rsidRPr="0033693D">
        <w:t>Q</w:t>
      </w:r>
      <w:r>
        <w:t>uotas for women’s participation in local legislative bodies, with one-third as an appropriate minimum</w:t>
      </w:r>
      <w:r w:rsidRPr="0033693D">
        <w:t xml:space="preserve">, </w:t>
      </w:r>
      <w:r>
        <w:t xml:space="preserve">2) </w:t>
      </w:r>
      <w:r w:rsidR="008A2A01">
        <w:t xml:space="preserve">A minimum percentage of local development </w:t>
      </w:r>
      <w:r w:rsidRPr="0033693D">
        <w:t>project</w:t>
      </w:r>
      <w:r w:rsidR="008A2A01">
        <w:t>s should be</w:t>
      </w:r>
      <w:r w:rsidRPr="0033693D">
        <w:t xml:space="preserve"> directly linked to women’s empowerment or </w:t>
      </w:r>
      <w:r w:rsidR="008A2A01">
        <w:t xml:space="preserve">otherwise </w:t>
      </w:r>
      <w:r w:rsidRPr="0033693D">
        <w:t xml:space="preserve">clearly linked to women’s social development issues, </w:t>
      </w:r>
      <w:r w:rsidR="008A2A01">
        <w:t xml:space="preserve">3) Other </w:t>
      </w:r>
      <w:r w:rsidR="002E1C4F">
        <w:t>projects</w:t>
      </w:r>
      <w:r w:rsidRPr="0033693D">
        <w:t xml:space="preserve"> should </w:t>
      </w:r>
      <w:r w:rsidR="008A2A01">
        <w:t xml:space="preserve">be required to </w:t>
      </w:r>
      <w:r w:rsidRPr="0033693D">
        <w:t xml:space="preserve">explain how </w:t>
      </w:r>
      <w:r w:rsidR="008A2A01">
        <w:t>they are</w:t>
      </w:r>
      <w:r w:rsidRPr="0033693D">
        <w:t xml:space="preserve"> addressing women</w:t>
      </w:r>
      <w:r w:rsidR="008A2A01">
        <w:t>’s,</w:t>
      </w:r>
      <w:r w:rsidRPr="0033693D">
        <w:t xml:space="preserve"> as well as men’s</w:t>
      </w:r>
      <w:r w:rsidR="008A2A01">
        <w:t>,</w:t>
      </w:r>
      <w:r w:rsidRPr="0033693D">
        <w:t xml:space="preserve"> needs, </w:t>
      </w:r>
      <w:r w:rsidR="008A2A01">
        <w:t xml:space="preserve"> 4) A</w:t>
      </w:r>
      <w:r w:rsidRPr="0033693D">
        <w:t xml:space="preserve">ny citizen engagement </w:t>
      </w:r>
      <w:r w:rsidR="008A2A01">
        <w:t xml:space="preserve">process </w:t>
      </w:r>
      <w:r w:rsidRPr="0033693D">
        <w:t xml:space="preserve">must ensure </w:t>
      </w:r>
      <w:r w:rsidR="008A2A01">
        <w:t xml:space="preserve">a </w:t>
      </w:r>
      <w:r w:rsidRPr="0033693D">
        <w:t>min</w:t>
      </w:r>
      <w:r w:rsidR="008A2A01">
        <w:t xml:space="preserve">imum of 30% </w:t>
      </w:r>
      <w:r w:rsidR="008A2A01">
        <w:lastRenderedPageBreak/>
        <w:t xml:space="preserve">women’s </w:t>
      </w:r>
      <w:r w:rsidRPr="0033693D">
        <w:t xml:space="preserve">participation in all events, </w:t>
      </w:r>
      <w:r w:rsidR="008A2A01">
        <w:t xml:space="preserve">5) It would be </w:t>
      </w:r>
      <w:r w:rsidRPr="0033693D">
        <w:t xml:space="preserve">very good to include gender sensitization for all local </w:t>
      </w:r>
      <w:r w:rsidR="008A2A01">
        <w:t xml:space="preserve">council </w:t>
      </w:r>
      <w:r w:rsidRPr="0033693D">
        <w:t>staff, officials and any project staff</w:t>
      </w:r>
      <w:r w:rsidR="008A2A01">
        <w:t xml:space="preserve"> who are assigned to guide local decision</w:t>
      </w:r>
      <w:r w:rsidR="0069767A">
        <w:t xml:space="preserve"> </w:t>
      </w:r>
      <w:r w:rsidR="008A2A01">
        <w:t>making processes.</w:t>
      </w:r>
    </w:p>
    <w:p w:rsidR="00E03027" w:rsidRDefault="00E03027" w:rsidP="006876C6">
      <w:pPr>
        <w:rPr>
          <w:u w:val="single"/>
        </w:rPr>
      </w:pPr>
    </w:p>
    <w:p w:rsidR="00F2793B" w:rsidRPr="008C5F4B" w:rsidRDefault="00354874" w:rsidP="006876C6">
      <w:pPr>
        <w:rPr>
          <w:u w:val="single"/>
        </w:rPr>
      </w:pPr>
      <w:r w:rsidRPr="008C5F4B">
        <w:rPr>
          <w:u w:val="single"/>
        </w:rPr>
        <w:t>3</w:t>
      </w:r>
      <w:r w:rsidR="00F2793B" w:rsidRPr="008C5F4B">
        <w:rPr>
          <w:u w:val="single"/>
        </w:rPr>
        <w:tab/>
      </w:r>
      <w:r w:rsidR="000314B1" w:rsidRPr="008C5F4B">
        <w:rPr>
          <w:u w:val="single"/>
        </w:rPr>
        <w:t>Establish a f</w:t>
      </w:r>
      <w:r w:rsidR="00F2793B" w:rsidRPr="008C5F4B">
        <w:rPr>
          <w:u w:val="single"/>
        </w:rPr>
        <w:t>ocus on Public Service Delivery</w:t>
      </w:r>
      <w:r w:rsidR="00297101" w:rsidRPr="008C5F4B">
        <w:rPr>
          <w:u w:val="single"/>
        </w:rPr>
        <w:t>, not just planning</w:t>
      </w:r>
    </w:p>
    <w:p w:rsidR="00B60BE8" w:rsidRDefault="00D040B0" w:rsidP="006876C6">
      <w:r w:rsidRPr="00C83615">
        <w:t>A major supporting argument in defense of democratic local government is its contribution to the more effective, accountable delivery of public services</w:t>
      </w:r>
      <w:r>
        <w:t xml:space="preserve">. </w:t>
      </w:r>
      <w:r w:rsidR="00D0157D">
        <w:t xml:space="preserve">TS-MLD has </w:t>
      </w:r>
      <w:r w:rsidR="00354874">
        <w:t>supported MLD’s</w:t>
      </w:r>
      <w:r w:rsidR="00D0157D">
        <w:t xml:space="preserve"> emphasis on planning and implementation of small projects, but the routine operation</w:t>
      </w:r>
      <w:r w:rsidR="00FE0E75">
        <w:t xml:space="preserve"> </w:t>
      </w:r>
      <w:r w:rsidR="00D0157D">
        <w:t xml:space="preserve">of schools, clinics, </w:t>
      </w:r>
      <w:r w:rsidR="00D3495F">
        <w:t>water supply</w:t>
      </w:r>
      <w:r w:rsidR="00FE0E75">
        <w:t>,</w:t>
      </w:r>
      <w:r w:rsidR="00D3495F">
        <w:t xml:space="preserve"> etc</w:t>
      </w:r>
      <w:r w:rsidR="002E1C4F">
        <w:t>.</w:t>
      </w:r>
      <w:r w:rsidR="00D3495F">
        <w:t xml:space="preserve"> requires more than just planning and investment. </w:t>
      </w:r>
      <w:r>
        <w:t xml:space="preserve">The role of the </w:t>
      </w:r>
      <w:r w:rsidR="00FE0E75">
        <w:t xml:space="preserve">local administration </w:t>
      </w:r>
      <w:r>
        <w:t xml:space="preserve">to direct the delivery of improved public services, beyond that of the MLD Local Development </w:t>
      </w:r>
      <w:r w:rsidR="008C2456">
        <w:t>programme</w:t>
      </w:r>
      <w:r>
        <w:t>, will need to be addressed</w:t>
      </w:r>
      <w:r w:rsidR="00354874">
        <w:t xml:space="preserve"> by DSU in order to improve the quality of service delivery in the near term.</w:t>
      </w:r>
      <w:r w:rsidR="00BA651E">
        <w:t xml:space="preserve">  </w:t>
      </w:r>
      <w:r w:rsidR="00FE0E75">
        <w:t>In addition, establishing the role of citizens’ involvement in a co-production mode of public service delivery should be fully considered.</w:t>
      </w:r>
    </w:p>
    <w:p w:rsidR="00D3495F" w:rsidRPr="00D4700E" w:rsidRDefault="00D3495F" w:rsidP="006876C6">
      <w:pPr>
        <w:pStyle w:val="BodyText"/>
        <w:rPr>
          <w:rFonts w:ascii="Calibri" w:hAnsi="Calibri"/>
          <w:sz w:val="24"/>
        </w:rPr>
      </w:pPr>
      <w:r w:rsidRPr="00D4700E">
        <w:rPr>
          <w:rFonts w:ascii="Calibri" w:hAnsi="Calibri"/>
          <w:sz w:val="24"/>
        </w:rPr>
        <w:t xml:space="preserve">The establishment of the </w:t>
      </w:r>
      <w:r w:rsidR="00E03027">
        <w:rPr>
          <w:rFonts w:ascii="Calibri" w:hAnsi="Calibri"/>
          <w:sz w:val="24"/>
        </w:rPr>
        <w:t>NL</w:t>
      </w:r>
      <w:r w:rsidR="00AC2475">
        <w:rPr>
          <w:rFonts w:ascii="Calibri" w:hAnsi="Calibri"/>
          <w:sz w:val="24"/>
        </w:rPr>
        <w:t>D</w:t>
      </w:r>
      <w:r w:rsidR="00E03027">
        <w:rPr>
          <w:rFonts w:ascii="Calibri" w:hAnsi="Calibri"/>
          <w:sz w:val="24"/>
        </w:rPr>
        <w:t>IN</w:t>
      </w:r>
      <w:r w:rsidRPr="00D4700E">
        <w:rPr>
          <w:rFonts w:ascii="Calibri" w:hAnsi="Calibri"/>
          <w:sz w:val="24"/>
        </w:rPr>
        <w:t xml:space="preserve">, WB M&amp;E system and the LDO will assist substantially in tracking the utilization and impact of the MLD Local Development programs.  This is a critical </w:t>
      </w:r>
      <w:r w:rsidR="008C2456">
        <w:rPr>
          <w:rFonts w:ascii="Calibri" w:hAnsi="Calibri"/>
          <w:sz w:val="24"/>
        </w:rPr>
        <w:t>programme</w:t>
      </w:r>
      <w:r w:rsidRPr="00D4700E">
        <w:rPr>
          <w:rFonts w:ascii="Calibri" w:hAnsi="Calibri"/>
          <w:sz w:val="24"/>
        </w:rPr>
        <w:t xml:space="preserve"> and the perception of its success will be important for building   appreciation of local governance capabilities.  Nevertheless, this </w:t>
      </w:r>
      <w:r w:rsidR="008C2456">
        <w:rPr>
          <w:rFonts w:ascii="Calibri" w:hAnsi="Calibri"/>
          <w:sz w:val="24"/>
        </w:rPr>
        <w:t>programme</w:t>
      </w:r>
      <w:r w:rsidRPr="00D4700E">
        <w:rPr>
          <w:rFonts w:ascii="Calibri" w:hAnsi="Calibri"/>
          <w:sz w:val="24"/>
        </w:rPr>
        <w:t xml:space="preserve"> only affects 10% of the development budget and none of the other budget categories.  The focus of </w:t>
      </w:r>
      <w:r w:rsidR="00F8748F" w:rsidRPr="00D4700E">
        <w:rPr>
          <w:rFonts w:ascii="Calibri" w:hAnsi="Calibri"/>
          <w:sz w:val="24"/>
        </w:rPr>
        <w:t>improved local service delivery</w:t>
      </w:r>
      <w:r w:rsidRPr="00D4700E">
        <w:rPr>
          <w:rFonts w:ascii="Calibri" w:hAnsi="Calibri"/>
          <w:sz w:val="24"/>
        </w:rPr>
        <w:t xml:space="preserve"> cannot be limited to the activities of MLD.  If local authorities are to gain credibility in the eyes of the public they will have to be able to influence the activities of other sectors as well.  </w:t>
      </w:r>
    </w:p>
    <w:p w:rsidR="00B60BE8" w:rsidRDefault="00F8748F" w:rsidP="006876C6">
      <w:r>
        <w:t xml:space="preserve">This </w:t>
      </w:r>
      <w:r w:rsidR="00C30EDF">
        <w:t>indicates</w:t>
      </w:r>
      <w:r>
        <w:t xml:space="preserve"> the</w:t>
      </w:r>
      <w:r w:rsidR="00AB1310">
        <w:t xml:space="preserve"> need </w:t>
      </w:r>
      <w:r w:rsidR="00B60BE8">
        <w:t xml:space="preserve">to develop standards of service delivery </w:t>
      </w:r>
      <w:r w:rsidR="00AB1310">
        <w:t>that can be tracked by th</w:t>
      </w:r>
      <w:r>
        <w:t xml:space="preserve">e Governor and his subordinates.  This can be done without a change in current law or organizational structures if there is political support at the </w:t>
      </w:r>
      <w:r w:rsidR="007964A1">
        <w:t>centre</w:t>
      </w:r>
      <w:r>
        <w:t xml:space="preserve">.  </w:t>
      </w:r>
      <w:r w:rsidR="00AB1310">
        <w:t xml:space="preserve">The current system can </w:t>
      </w:r>
      <w:r>
        <w:t xml:space="preserve">also </w:t>
      </w:r>
      <w:r w:rsidR="00AB1310">
        <w:t xml:space="preserve">be improved by enabling public oversight and by building a ‘grand coalition’ at the Cabinet level that is focused on the quality of service delivery…and not on the </w:t>
      </w:r>
      <w:r w:rsidR="000314B1">
        <w:t xml:space="preserve">more contentious </w:t>
      </w:r>
      <w:r w:rsidR="00FA65B8">
        <w:t>decentralisation</w:t>
      </w:r>
      <w:r w:rsidR="00AB1310">
        <w:t xml:space="preserve"> of power and resources.</w:t>
      </w:r>
    </w:p>
    <w:p w:rsidR="000314B1" w:rsidRDefault="000314B1" w:rsidP="006876C6"/>
    <w:p w:rsidR="00354874" w:rsidRPr="008C5F4B" w:rsidRDefault="00354874" w:rsidP="006876C6">
      <w:pPr>
        <w:rPr>
          <w:u w:val="single"/>
        </w:rPr>
      </w:pPr>
      <w:r w:rsidRPr="008C5F4B">
        <w:rPr>
          <w:u w:val="single"/>
        </w:rPr>
        <w:t>4</w:t>
      </w:r>
      <w:r w:rsidRPr="008C5F4B">
        <w:rPr>
          <w:u w:val="single"/>
        </w:rPr>
        <w:tab/>
        <w:t>Project Management</w:t>
      </w:r>
    </w:p>
    <w:p w:rsidR="00354874" w:rsidRDefault="0069767A" w:rsidP="006876C6">
      <w:r>
        <w:t xml:space="preserve">Observing </w:t>
      </w:r>
      <w:r w:rsidR="00BA651E">
        <w:t xml:space="preserve">the lack of Project Board </w:t>
      </w:r>
      <w:r>
        <w:t xml:space="preserve">involvement in </w:t>
      </w:r>
      <w:r w:rsidR="00BA651E">
        <w:t>project direction</w:t>
      </w:r>
      <w:r>
        <w:t xml:space="preserve"> in the past</w:t>
      </w:r>
      <w:r w:rsidR="00BA651E">
        <w:t>, t</w:t>
      </w:r>
      <w:r w:rsidR="00354874">
        <w:t xml:space="preserve">he </w:t>
      </w:r>
      <w:r w:rsidR="00BA651E">
        <w:t xml:space="preserve">influence </w:t>
      </w:r>
      <w:r w:rsidR="006222B0">
        <w:t>exerted over</w:t>
      </w:r>
      <w:r w:rsidR="00354874">
        <w:t xml:space="preserve"> </w:t>
      </w:r>
      <w:r w:rsidR="00F8748F">
        <w:t>the</w:t>
      </w:r>
      <w:r w:rsidR="00354874">
        <w:t xml:space="preserve"> management </w:t>
      </w:r>
      <w:r w:rsidR="00F8748F">
        <w:t xml:space="preserve">of TS-MLD </w:t>
      </w:r>
      <w:r w:rsidR="00354874">
        <w:t xml:space="preserve">by the NDP Policy Secretariat </w:t>
      </w:r>
      <w:r w:rsidR="00BA651E">
        <w:t xml:space="preserve">appointee </w:t>
      </w:r>
      <w:r w:rsidR="00354874">
        <w:t xml:space="preserve">seemingly made it difficult for UNDP to provide </w:t>
      </w:r>
      <w:r>
        <w:t xml:space="preserve">its </w:t>
      </w:r>
      <w:r w:rsidR="00354874">
        <w:t xml:space="preserve">usual level of project control.  Now that this impediment has been removed, project management processes need to be formalized with the establishment of a Project Board.  The MLD minister should be identified as the Executive Member and, if possible, a Deputy Prime Minister </w:t>
      </w:r>
      <w:r w:rsidR="00354874">
        <w:lastRenderedPageBreak/>
        <w:t xml:space="preserve">should be brought in as the Senior User.  This will provide clear direction as well as the linkage to the broader spectrum of governance change underway. However, if the Minister is the Project Board executive, he should not also sign for procurements.   </w:t>
      </w:r>
      <w:r w:rsidR="00BA651E">
        <w:t xml:space="preserve">It was reported that </w:t>
      </w:r>
      <w:r w:rsidR="00354874">
        <w:t xml:space="preserve">the Minister </w:t>
      </w:r>
      <w:r w:rsidR="00BA651E">
        <w:t xml:space="preserve">had </w:t>
      </w:r>
      <w:r w:rsidR="00354874">
        <w:t>identif</w:t>
      </w:r>
      <w:r w:rsidR="00BA651E">
        <w:t>ied</w:t>
      </w:r>
      <w:r w:rsidR="00354874">
        <w:t xml:space="preserve"> a permanent staff </w:t>
      </w:r>
      <w:r>
        <w:t xml:space="preserve">of MLD </w:t>
      </w:r>
      <w:r w:rsidR="00354874">
        <w:t xml:space="preserve">to take on the role of National Project Director.  </w:t>
      </w:r>
    </w:p>
    <w:p w:rsidR="00354874" w:rsidRDefault="00354874" w:rsidP="006876C6">
      <w:r>
        <w:t>Quarterly plans, reports and Project Board meetings should be required for at least the next year.  Changes are happening too fast for the project to be allowed to wander.  Each quarter a clear, detailed plan should be prepared and its accomplishment should be reviewed at the Project Board meeting.</w:t>
      </w:r>
    </w:p>
    <w:p w:rsidR="00354874" w:rsidRDefault="00354874" w:rsidP="006876C6">
      <w:r>
        <w:t xml:space="preserve">Past </w:t>
      </w:r>
      <w:r w:rsidRPr="00C83615">
        <w:t xml:space="preserve">progress </w:t>
      </w:r>
      <w:r w:rsidR="00AC2475">
        <w:t>r</w:t>
      </w:r>
      <w:r w:rsidR="00AC2475" w:rsidRPr="00C83615">
        <w:t xml:space="preserve">eporting </w:t>
      </w:r>
      <w:r>
        <w:t>by</w:t>
      </w:r>
      <w:r w:rsidRPr="00C83615">
        <w:t xml:space="preserve"> the </w:t>
      </w:r>
      <w:r>
        <w:t>TS-MLD</w:t>
      </w:r>
      <w:r w:rsidR="00AC2475">
        <w:t xml:space="preserve"> presented</w:t>
      </w:r>
      <w:r w:rsidRPr="00C83615">
        <w:t xml:space="preserve"> some limitations </w:t>
      </w:r>
      <w:r>
        <w:t>for</w:t>
      </w:r>
      <w:r w:rsidRPr="00C83615">
        <w:t xml:space="preserve"> this review. Most of the </w:t>
      </w:r>
      <w:r>
        <w:t>reports</w:t>
      </w:r>
      <w:r w:rsidRPr="00C83615">
        <w:t xml:space="preserve"> refer to deliverables in relation to key project activities. This is necessary</w:t>
      </w:r>
      <w:r>
        <w:t>,</w:t>
      </w:r>
      <w:r w:rsidRPr="00C83615">
        <w:t xml:space="preserve"> but insufficient</w:t>
      </w:r>
      <w:r>
        <w:t>,</w:t>
      </w:r>
      <w:r w:rsidRPr="00C83615">
        <w:t xml:space="preserve"> information to measure the effectiveness of the project. </w:t>
      </w:r>
      <w:r>
        <w:t xml:space="preserve"> There </w:t>
      </w:r>
      <w:r w:rsidRPr="00C83615">
        <w:t xml:space="preserve">are </w:t>
      </w:r>
      <w:r>
        <w:t xml:space="preserve">no </w:t>
      </w:r>
      <w:r w:rsidRPr="00C83615">
        <w:t>qualitative indicators designed to assess the</w:t>
      </w:r>
      <w:r>
        <w:t xml:space="preserve"> perceptions of potential beneficiaries on added value </w:t>
      </w:r>
      <w:r w:rsidRPr="00C83615">
        <w:t xml:space="preserve">of </w:t>
      </w:r>
      <w:r>
        <w:t>TS-MLD</w:t>
      </w:r>
      <w:r w:rsidRPr="00C83615">
        <w:t xml:space="preserve"> activities. </w:t>
      </w:r>
      <w:r>
        <w:t xml:space="preserve"> Th</w:t>
      </w:r>
      <w:r w:rsidR="00F8748F">
        <w:t>e</w:t>
      </w:r>
      <w:r>
        <w:t>s</w:t>
      </w:r>
      <w:r w:rsidR="00F8748F">
        <w:t>e</w:t>
      </w:r>
      <w:r w:rsidRPr="00C83615">
        <w:t xml:space="preserve"> gaps </w:t>
      </w:r>
      <w:r>
        <w:t>may be</w:t>
      </w:r>
      <w:r w:rsidRPr="00C83615">
        <w:t xml:space="preserve"> addressed by the LDO</w:t>
      </w:r>
      <w:r>
        <w:t xml:space="preserve">, but it will take considerable time in getting on the ground in even a majority of districts across the country.  In the near term, the greater emphasis will need to be placed on the completion of the </w:t>
      </w:r>
      <w:r w:rsidR="00EF6A3C" w:rsidRPr="00EF6A3C">
        <w:t>NLDIN</w:t>
      </w:r>
      <w:r w:rsidR="0069767A">
        <w:t xml:space="preserve"> </w:t>
      </w:r>
      <w:r>
        <w:t>and availing access to its data for all possible consumers.  Civil society has expressed a demand to be involved in the development process, but it will need access to information to be able to move forward on this front.</w:t>
      </w:r>
    </w:p>
    <w:p w:rsidR="00C92996" w:rsidRDefault="00C92996" w:rsidP="006876C6">
      <w:r>
        <w:t xml:space="preserve">Although there has been no presentation to a Project Board, UNDP refers to the scope of work prepared by UNCDF as the ‘new direction’ for the project.  There may be an internal consensus on this as the way forward, but in order to keep with </w:t>
      </w:r>
      <w:r w:rsidR="006C3DF6">
        <w:t xml:space="preserve">what the reviewer understands as </w:t>
      </w:r>
      <w:r>
        <w:t>UNDP norms of project management</w:t>
      </w:r>
      <w:r w:rsidR="006C3DF6">
        <w:t xml:space="preserve"> under National Execution rules</w:t>
      </w:r>
      <w:r>
        <w:t xml:space="preserve">, there needs to be a formal </w:t>
      </w:r>
      <w:r w:rsidR="006C3DF6">
        <w:t>assessment</w:t>
      </w:r>
      <w:r>
        <w:t xml:space="preserve"> of the proposal and a formal acceptance by a duly constituted Project Board</w:t>
      </w:r>
      <w:r w:rsidR="003C268C">
        <w:t xml:space="preserve"> that is recognized as the decision making authority. </w:t>
      </w:r>
      <w:r w:rsidR="00FD37FD">
        <w:t xml:space="preserve"> It </w:t>
      </w:r>
      <w:r w:rsidR="00EC050B">
        <w:t>appears</w:t>
      </w:r>
      <w:r w:rsidR="00FD37FD">
        <w:t xml:space="preserve"> that </w:t>
      </w:r>
      <w:r w:rsidR="00EC050B">
        <w:t>UNDP</w:t>
      </w:r>
      <w:r w:rsidR="006C3DF6">
        <w:t xml:space="preserve"> </w:t>
      </w:r>
      <w:r w:rsidR="00FE0E75">
        <w:t xml:space="preserve">assumes </w:t>
      </w:r>
      <w:r w:rsidR="00FD37FD">
        <w:t xml:space="preserve">dialogues </w:t>
      </w:r>
      <w:r w:rsidR="0069767A">
        <w:t xml:space="preserve">among </w:t>
      </w:r>
      <w:r w:rsidR="00FD37FD">
        <w:t xml:space="preserve">UNDP staffers, </w:t>
      </w:r>
      <w:r w:rsidR="006C3DF6">
        <w:t xml:space="preserve">successive </w:t>
      </w:r>
      <w:r w:rsidR="00FD37FD">
        <w:t xml:space="preserve">MLD </w:t>
      </w:r>
      <w:r w:rsidR="006C3DF6">
        <w:t xml:space="preserve">Ministers </w:t>
      </w:r>
      <w:r w:rsidR="00FD37FD">
        <w:t>and outside agencies (such as UNCDF</w:t>
      </w:r>
      <w:r w:rsidR="006C3DF6">
        <w:t>,</w:t>
      </w:r>
      <w:r w:rsidR="00FD37FD">
        <w:t xml:space="preserve"> which has no official role in any project documents</w:t>
      </w:r>
      <w:r w:rsidR="006C3DF6">
        <w:t xml:space="preserve"> shown to the reviewer</w:t>
      </w:r>
      <w:r w:rsidR="00FD37FD">
        <w:t>)</w:t>
      </w:r>
      <w:r w:rsidR="00EC050B">
        <w:t xml:space="preserve"> are sufficient to replace formally mandated Project Board </w:t>
      </w:r>
      <w:r w:rsidR="006C3DF6">
        <w:t>decisions</w:t>
      </w:r>
      <w:r w:rsidR="00EC050B">
        <w:t xml:space="preserve">.  </w:t>
      </w:r>
      <w:r w:rsidR="006C3DF6">
        <w:t>T</w:t>
      </w:r>
      <w:r w:rsidR="00EC050B">
        <w:t>h</w:t>
      </w:r>
      <w:r w:rsidR="006C3DF6">
        <w:t>is</w:t>
      </w:r>
      <w:r w:rsidR="00EC050B">
        <w:t xml:space="preserve"> review argues that, d</w:t>
      </w:r>
      <w:r w:rsidR="003C268C">
        <w:t xml:space="preserve">espite the current upheaval in the Egyptian government, UNDP should </w:t>
      </w:r>
      <w:r w:rsidR="00FD37FD">
        <w:t xml:space="preserve">not </w:t>
      </w:r>
      <w:r w:rsidR="003C268C">
        <w:t>take on the roles of both project executive and project control</w:t>
      </w:r>
      <w:r w:rsidR="00EC050B">
        <w:rPr>
          <w:rStyle w:val="FootnoteReference"/>
        </w:rPr>
        <w:footnoteReference w:id="3"/>
      </w:r>
      <w:r w:rsidR="006C3DF6">
        <w:t xml:space="preserve"> as would be the case under Direct Execution</w:t>
      </w:r>
      <w:r w:rsidR="003C268C">
        <w:t>.  By doing so, UNDP potentially opens itself to criticism by a later government of operating unilaterally on a subject of significant political consequence.</w:t>
      </w:r>
    </w:p>
    <w:p w:rsidR="00741C5B" w:rsidRDefault="00354874" w:rsidP="006876C6">
      <w:r>
        <w:t xml:space="preserve">The project appears to be seriously short of funds as indicated by the GoE allocation for the IT initiative apparently being used to continue the operations in other parts of the </w:t>
      </w:r>
      <w:r>
        <w:lastRenderedPageBreak/>
        <w:t xml:space="preserve">project.  The </w:t>
      </w:r>
      <w:r w:rsidRPr="00F36F42">
        <w:t xml:space="preserve">UNDP should have been looking for another donor long before the Dutch funds ran out.  The EU will be providing the DSU a total of three million </w:t>
      </w:r>
      <w:r w:rsidR="006222B0" w:rsidRPr="00F36F42">
        <w:t>Euros</w:t>
      </w:r>
      <w:r w:rsidRPr="00F36F42">
        <w:t xml:space="preserve"> for capacity building.</w:t>
      </w:r>
      <w:r>
        <w:t xml:space="preserve">  The understanding of this Reviewer is that these</w:t>
      </w:r>
      <w:r w:rsidRPr="00F36F42">
        <w:t xml:space="preserve"> funds will be managed directly by the MLD.  </w:t>
      </w:r>
      <w:r>
        <w:t xml:space="preserve"> The UNDP should present to the next Project Board i</w:t>
      </w:r>
      <w:r w:rsidR="00FD59B1">
        <w:t>t</w:t>
      </w:r>
      <w:r>
        <w:t xml:space="preserve">s partnership/resource mobilization plan to ensure that TS-MLD remains a viable player at this crucial time. </w:t>
      </w:r>
    </w:p>
    <w:p w:rsidR="00FD46D9" w:rsidRPr="00C83615" w:rsidRDefault="00FD46D9" w:rsidP="006876C6"/>
    <w:p w:rsidR="00741C5B" w:rsidRPr="00C83615" w:rsidRDefault="009C0729" w:rsidP="0062529A">
      <w:pPr>
        <w:pStyle w:val="Heading1"/>
      </w:pPr>
      <w:bookmarkStart w:id="79" w:name="_Toc300432385"/>
      <w:bookmarkStart w:id="80" w:name="_Toc300433986"/>
      <w:bookmarkStart w:id="81" w:name="_Toc300434994"/>
      <w:bookmarkStart w:id="82" w:name="_Toc302386984"/>
      <w:r>
        <w:t xml:space="preserve">E  </w:t>
      </w:r>
      <w:r w:rsidR="00741C5B" w:rsidRPr="00C83615">
        <w:t>Recommendations</w:t>
      </w:r>
      <w:bookmarkEnd w:id="79"/>
      <w:bookmarkEnd w:id="80"/>
      <w:bookmarkEnd w:id="81"/>
      <w:bookmarkEnd w:id="82"/>
    </w:p>
    <w:p w:rsidR="007D27B5" w:rsidRPr="00C83615" w:rsidRDefault="0086392B" w:rsidP="006876C6">
      <w:pPr>
        <w:pStyle w:val="Heading2"/>
      </w:pPr>
      <w:bookmarkStart w:id="83" w:name="_Toc300432386"/>
      <w:bookmarkStart w:id="84" w:name="_Toc300433987"/>
      <w:bookmarkStart w:id="85" w:name="_Toc300434995"/>
      <w:bookmarkStart w:id="86" w:name="_Toc302386985"/>
      <w:r>
        <w:t xml:space="preserve">Outcome Level </w:t>
      </w:r>
      <w:r w:rsidR="007D27B5">
        <w:t>Recommendations</w:t>
      </w:r>
      <w:bookmarkEnd w:id="83"/>
      <w:bookmarkEnd w:id="84"/>
      <w:bookmarkEnd w:id="85"/>
      <w:bookmarkEnd w:id="86"/>
    </w:p>
    <w:p w:rsidR="009B5D87" w:rsidRPr="00C83615" w:rsidRDefault="009B5D87" w:rsidP="006876C6">
      <w:r w:rsidRPr="00C83615">
        <w:t>A systemic approach is required for UNDP to effectively assist the Egyptian Government in meeting the current governance and development challenges.  As a precursor to preparing the next CPAP, the UNDP should undertake a ‘</w:t>
      </w:r>
      <w:r w:rsidR="00FA65B8">
        <w:t>decentralisation</w:t>
      </w:r>
      <w:r w:rsidRPr="00C83615">
        <w:t xml:space="preserve"> and citizen empowerment audit’ of its entire country programme.  This would aid in ensuring programme/project structures that are no longer ‘fit for purpose’ in the evolving Egyptian governance context can be adjusted to ensure consistent and effective support to emerging national priorities.</w:t>
      </w:r>
    </w:p>
    <w:p w:rsidR="009B5D87" w:rsidRDefault="009B5D87" w:rsidP="006876C6">
      <w:r w:rsidRPr="00C83615">
        <w:t xml:space="preserve">As an example, the UNDP-managed Social </w:t>
      </w:r>
      <w:r w:rsidR="008D4F83">
        <w:t xml:space="preserve">Development </w:t>
      </w:r>
      <w:r w:rsidRPr="00C83615">
        <w:t>Fund has planned for a review of the programme.  The Governance Unit should asses</w:t>
      </w:r>
      <w:r w:rsidR="008D4F83">
        <w:t>s the potential for UNCDF’s Alad</w:t>
      </w:r>
      <w:r w:rsidRPr="00C83615">
        <w:t xml:space="preserve">in Shawa, </w:t>
      </w:r>
      <w:r w:rsidR="008D4F83">
        <w:t>together with</w:t>
      </w:r>
      <w:r w:rsidRPr="00C83615">
        <w:t xml:space="preserve"> an Egyptian local institutional expert, to become associated with the Social Fund review team to ensure a </w:t>
      </w:r>
      <w:r w:rsidR="00FA65B8">
        <w:t>decentralisation</w:t>
      </w:r>
      <w:r w:rsidRPr="00C83615">
        <w:t xml:space="preserve"> lens is applied.</w:t>
      </w:r>
      <w:r w:rsidR="00895F1B">
        <w:t xml:space="preserve">  The link between </w:t>
      </w:r>
      <w:r w:rsidR="00E74B57">
        <w:t>the SDF and LED should be clear:</w:t>
      </w:r>
      <w:r w:rsidR="00895F1B">
        <w:t xml:space="preserve">  It is important not to present the public with overlapping or </w:t>
      </w:r>
      <w:r w:rsidR="00751A7B">
        <w:t>conflicting</w:t>
      </w:r>
      <w:r w:rsidR="00895F1B">
        <w:t xml:space="preserve"> processes</w:t>
      </w:r>
      <w:r w:rsidR="00E74B57">
        <w:t xml:space="preserve"> for economic revitalization</w:t>
      </w:r>
      <w:r w:rsidR="00895F1B">
        <w:t>.</w:t>
      </w:r>
    </w:p>
    <w:p w:rsidR="00714230" w:rsidRDefault="00714230" w:rsidP="006876C6">
      <w:r>
        <w:t>It would be important that the TS-MLD</w:t>
      </w:r>
      <w:r w:rsidRPr="00C83615">
        <w:t xml:space="preserve"> be aligned with UNDP’s strategic priorities as outlined in the UN Strategy during Egypt's Democratic Transition, 2011-2012:  Democratic Governance through </w:t>
      </w:r>
      <w:r w:rsidR="00FA65B8">
        <w:t>Decentralisation</w:t>
      </w:r>
      <w:r w:rsidRPr="00C83615">
        <w:t>, Civic Engagement and Human Rights</w:t>
      </w:r>
      <w:r>
        <w:t xml:space="preserve">.  Unfortunately, the approach to </w:t>
      </w:r>
      <w:r w:rsidR="00FA65B8">
        <w:t>decentralisation</w:t>
      </w:r>
      <w:r>
        <w:t xml:space="preserve"> in the UN support to the transition continues to place the bulk of its focus on putting planning systems in place.  And the April 11 note on meeting with Minister of Local Development makes no mention of engaging the public more fully in the local development </w:t>
      </w:r>
      <w:r w:rsidR="008C2456">
        <w:t>programme</w:t>
      </w:r>
      <w:r>
        <w:t xml:space="preserve"> during the transition period.</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40"/>
      </w:tblGrid>
      <w:tr w:rsidR="00714230" w:rsidRPr="00C83615" w:rsidTr="00714230">
        <w:trPr>
          <w:trHeight w:val="2637"/>
        </w:trPr>
        <w:tc>
          <w:tcPr>
            <w:tcW w:w="1980" w:type="dxa"/>
            <w:vMerge w:val="restart"/>
            <w:shd w:val="clear" w:color="auto" w:fill="auto"/>
          </w:tcPr>
          <w:p w:rsidR="00714230" w:rsidRPr="006C7DD5" w:rsidRDefault="00714230" w:rsidP="006876C6">
            <w:pPr>
              <w:rPr>
                <w:rFonts w:eastAsia="MS Mincho"/>
                <w:sz w:val="18"/>
                <w:szCs w:val="18"/>
              </w:rPr>
            </w:pPr>
            <w:r w:rsidRPr="006C7DD5">
              <w:rPr>
                <w:rFonts w:eastAsia="MS Mincho"/>
                <w:sz w:val="18"/>
                <w:szCs w:val="18"/>
              </w:rPr>
              <w:lastRenderedPageBreak/>
              <w:t>National and local capacities and systems are enhanced for decentralized, inclusive and gender sensitive planning, budgeting, monitoring &amp; evaluation</w:t>
            </w:r>
          </w:p>
        </w:tc>
        <w:tc>
          <w:tcPr>
            <w:tcW w:w="6840" w:type="dxa"/>
            <w:shd w:val="clear" w:color="auto" w:fill="auto"/>
          </w:tcPr>
          <w:p w:rsidR="00714230" w:rsidRPr="006C7DD5" w:rsidRDefault="00714230" w:rsidP="006876C6">
            <w:pPr>
              <w:rPr>
                <w:sz w:val="18"/>
                <w:szCs w:val="18"/>
              </w:rPr>
            </w:pPr>
            <w:r w:rsidRPr="006C7DD5">
              <w:rPr>
                <w:sz w:val="18"/>
                <w:szCs w:val="18"/>
              </w:rPr>
              <w:t xml:space="preserve">Support the </w:t>
            </w:r>
            <w:r w:rsidR="00FA65B8">
              <w:rPr>
                <w:sz w:val="18"/>
                <w:szCs w:val="18"/>
              </w:rPr>
              <w:t>Decentralisation</w:t>
            </w:r>
            <w:r w:rsidRPr="006C7DD5">
              <w:rPr>
                <w:sz w:val="18"/>
                <w:szCs w:val="18"/>
              </w:rPr>
              <w:t xml:space="preserve"> and Local Development agenda by revisiting the draft </w:t>
            </w:r>
            <w:r w:rsidR="00FA65B8">
              <w:rPr>
                <w:sz w:val="18"/>
                <w:szCs w:val="18"/>
              </w:rPr>
              <w:t>decentralisation</w:t>
            </w:r>
            <w:r w:rsidRPr="006C7DD5">
              <w:rPr>
                <w:sz w:val="18"/>
                <w:szCs w:val="18"/>
              </w:rPr>
              <w:t xml:space="preserve"> strategy, the related law, proposed structures of local Governance system and capacities of M</w:t>
            </w:r>
            <w:r w:rsidR="00EF6A3C">
              <w:rPr>
                <w:sz w:val="18"/>
                <w:szCs w:val="18"/>
              </w:rPr>
              <w:t>inistry of Local Development (M</w:t>
            </w:r>
            <w:r w:rsidRPr="006C7DD5">
              <w:rPr>
                <w:sz w:val="18"/>
                <w:szCs w:val="18"/>
              </w:rPr>
              <w:t xml:space="preserve">LD), in addition to supporting a National Local Development Information Network (NLDIN) and a </w:t>
            </w:r>
            <w:r w:rsidR="00FA65B8">
              <w:rPr>
                <w:sz w:val="18"/>
                <w:szCs w:val="18"/>
              </w:rPr>
              <w:t>decentralisation</w:t>
            </w:r>
            <w:r w:rsidRPr="006C7DD5">
              <w:rPr>
                <w:sz w:val="18"/>
                <w:szCs w:val="18"/>
              </w:rPr>
              <w:t>/local development observatory.</w:t>
            </w:r>
          </w:p>
          <w:p w:rsidR="00714230" w:rsidRPr="006C7DD5" w:rsidRDefault="00714230" w:rsidP="006876C6">
            <w:pPr>
              <w:rPr>
                <w:sz w:val="18"/>
                <w:szCs w:val="18"/>
              </w:rPr>
            </w:pPr>
            <w:r w:rsidRPr="006C7DD5">
              <w:rPr>
                <w:sz w:val="18"/>
                <w:szCs w:val="18"/>
              </w:rPr>
              <w:t>Introduction of the system, tools and capacities at the Governorate and District levels for the promotion of Local Economic Development (LED) and employment generation.</w:t>
            </w:r>
          </w:p>
        </w:tc>
      </w:tr>
      <w:tr w:rsidR="00714230" w:rsidRPr="00C83615" w:rsidTr="00714230">
        <w:trPr>
          <w:trHeight w:val="2856"/>
        </w:trPr>
        <w:tc>
          <w:tcPr>
            <w:tcW w:w="1980" w:type="dxa"/>
            <w:vMerge/>
            <w:shd w:val="clear" w:color="auto" w:fill="auto"/>
          </w:tcPr>
          <w:p w:rsidR="00714230" w:rsidRPr="006C7DD5" w:rsidRDefault="00714230" w:rsidP="006876C6">
            <w:pPr>
              <w:rPr>
                <w:rFonts w:eastAsia="MS Mincho"/>
                <w:sz w:val="18"/>
                <w:szCs w:val="18"/>
              </w:rPr>
            </w:pPr>
          </w:p>
        </w:tc>
        <w:tc>
          <w:tcPr>
            <w:tcW w:w="6840" w:type="dxa"/>
            <w:shd w:val="clear" w:color="auto" w:fill="auto"/>
          </w:tcPr>
          <w:p w:rsidR="00714230" w:rsidRPr="006C7DD5" w:rsidRDefault="00714230" w:rsidP="006876C6">
            <w:pPr>
              <w:rPr>
                <w:sz w:val="18"/>
                <w:szCs w:val="18"/>
              </w:rPr>
            </w:pPr>
            <w:r w:rsidRPr="006C7DD5">
              <w:rPr>
                <w:sz w:val="18"/>
                <w:szCs w:val="18"/>
              </w:rPr>
              <w:t>-Continued technical support to decentralisation efforts i</w:t>
            </w:r>
            <w:r w:rsidR="00EF6A3C">
              <w:rPr>
                <w:sz w:val="18"/>
                <w:szCs w:val="18"/>
              </w:rPr>
              <w:t>n Egypt, capacity building to M</w:t>
            </w:r>
            <w:r w:rsidRPr="006C7DD5">
              <w:rPr>
                <w:sz w:val="18"/>
                <w:szCs w:val="18"/>
              </w:rPr>
              <w:t>LD and General Organisation for Physical Planning (GOPP) in preparing, implementing and monitoring Strategic Development Plans and Participatory Budgeting at District and Governorate Level</w:t>
            </w:r>
          </w:p>
          <w:p w:rsidR="00714230" w:rsidRPr="006C7DD5" w:rsidRDefault="00714230" w:rsidP="006876C6">
            <w:pPr>
              <w:rPr>
                <w:sz w:val="18"/>
                <w:szCs w:val="18"/>
              </w:rPr>
            </w:pPr>
            <w:r w:rsidRPr="006C7DD5">
              <w:rPr>
                <w:sz w:val="18"/>
                <w:szCs w:val="18"/>
              </w:rPr>
              <w:t>-Continued technical support to decentralisation efforts in Egypt, capacity building to GOPP and local administration in preparing, implementing and monitoring Strategic Urban Development Plans in 50 small cities in Egypt, and community based implementation of Priority Projects at local level (with particular focus on youth employment)</w:t>
            </w:r>
          </w:p>
        </w:tc>
      </w:tr>
    </w:tbl>
    <w:p w:rsidR="00714230" w:rsidRPr="00C83615" w:rsidRDefault="00714230" w:rsidP="006876C6"/>
    <w:p w:rsidR="00714230" w:rsidRDefault="00AC2475" w:rsidP="008C5F4B">
      <w:r>
        <w:t>This review</w:t>
      </w:r>
      <w:r w:rsidR="00BA651E">
        <w:t xml:space="preserve">er </w:t>
      </w:r>
      <w:r w:rsidR="006222B0" w:rsidRPr="00C83615">
        <w:t>recommend</w:t>
      </w:r>
      <w:r w:rsidR="006222B0">
        <w:t xml:space="preserve">s </w:t>
      </w:r>
      <w:r w:rsidR="006222B0" w:rsidRPr="00C83615">
        <w:t>that</w:t>
      </w:r>
      <w:r w:rsidR="00714230" w:rsidRPr="00C83615">
        <w:t xml:space="preserve"> UNDP</w:t>
      </w:r>
      <w:r w:rsidR="00714230">
        <w:t xml:space="preserve"> </w:t>
      </w:r>
      <w:r w:rsidR="00BA651E">
        <w:t xml:space="preserve">NOT </w:t>
      </w:r>
      <w:r w:rsidR="00714230">
        <w:t>continue</w:t>
      </w:r>
      <w:r w:rsidR="00714230" w:rsidRPr="00C83615">
        <w:t xml:space="preserve"> to </w:t>
      </w:r>
      <w:r>
        <w:t>address local development</w:t>
      </w:r>
      <w:r w:rsidR="00BA651E">
        <w:t xml:space="preserve"> </w:t>
      </w:r>
      <w:r w:rsidR="00714230">
        <w:t>through</w:t>
      </w:r>
      <w:r w:rsidR="00BA651E">
        <w:t xml:space="preserve"> </w:t>
      </w:r>
      <w:r w:rsidR="00714230">
        <w:t xml:space="preserve">a </w:t>
      </w:r>
      <w:r w:rsidR="00B85E8E" w:rsidRPr="00B85E8E">
        <w:t xml:space="preserve">techno-bureaucratic </w:t>
      </w:r>
      <w:r w:rsidR="00714230">
        <w:t>planning-oriente</w:t>
      </w:r>
      <w:r w:rsidR="006222B0">
        <w:t xml:space="preserve">d </w:t>
      </w:r>
      <w:r>
        <w:t>lens</w:t>
      </w:r>
      <w:r w:rsidR="00BA651E">
        <w:t>,</w:t>
      </w:r>
      <w:r>
        <w:t xml:space="preserve"> which is </w:t>
      </w:r>
      <w:r w:rsidR="00714230">
        <w:t xml:space="preserve">part and parcel of a </w:t>
      </w:r>
      <w:r w:rsidR="00BA3FFF">
        <w:t>dirigist</w:t>
      </w:r>
      <w:r w:rsidR="00714230">
        <w:t xml:space="preserve"> model of development, more consistent with the aims of the previous regime.</w:t>
      </w:r>
      <w:r w:rsidR="00BA651E">
        <w:t xml:space="preserve"> </w:t>
      </w:r>
      <w:r w:rsidR="00714230">
        <w:t xml:space="preserve">The missing link </w:t>
      </w:r>
      <w:r w:rsidR="00BA651E">
        <w:t xml:space="preserve">in the above table </w:t>
      </w:r>
      <w:r w:rsidR="00714230">
        <w:t>is citizen engagement.  The EDN may be a viable approach, but this is as yet untried.  UNDP may have other projects that are more tuned to the needs and expectations of civil society or perhaps there will be a need to seek collaboration with other international agencies.</w:t>
      </w:r>
    </w:p>
    <w:p w:rsidR="00714230" w:rsidRDefault="00714230" w:rsidP="008C5F4B">
      <w:r>
        <w:t>TS-MLD</w:t>
      </w:r>
      <w:r w:rsidRPr="00C83615">
        <w:t xml:space="preserve"> represents a considerable investment on UNDP’s part. DSU, partly as a result of this investment, has proven technical capacity in supporting a public administrative approach to local governance and access to resources, despite some of the qualifications outlined in the Review report. It is a prominent and credible defender of local development.  </w:t>
      </w:r>
      <w:r w:rsidR="00AC2475">
        <w:t>Clearly, adding a component for citizen engagement and capacity building to the TS-MLD Scope of Work should be seriously considered as a viable option</w:t>
      </w:r>
      <w:r w:rsidR="005C2C44" w:rsidRPr="005C2C44">
        <w:t xml:space="preserve"> for UNDP to </w:t>
      </w:r>
      <w:r w:rsidR="005C2C44">
        <w:t xml:space="preserve">use in </w:t>
      </w:r>
      <w:r w:rsidR="005C2C44" w:rsidRPr="005C2C44">
        <w:t>marry</w:t>
      </w:r>
      <w:r w:rsidR="005C2C44">
        <w:t>ing</w:t>
      </w:r>
      <w:r w:rsidR="005C2C44" w:rsidRPr="005C2C44">
        <w:t xml:space="preserve"> its support to decentralisation policy with support to citizens’ engagement with local governance in Egypt. </w:t>
      </w:r>
      <w:r w:rsidR="000C6041">
        <w:t xml:space="preserve"> The comments from the DSU staff on the earlier draft of this review indicate that they may present a serious stumbling block to any attempt by UNDP to introduce the concept of </w:t>
      </w:r>
      <w:r w:rsidR="00FE0E75">
        <w:t xml:space="preserve">democratic </w:t>
      </w:r>
      <w:r w:rsidR="000C6041">
        <w:t>local governance (representing the relationship between citizens and government) as opposed to further efforts at civil service reform.</w:t>
      </w:r>
    </w:p>
    <w:p w:rsidR="009C1E6D" w:rsidRPr="00C83615" w:rsidRDefault="00104810" w:rsidP="006876C6">
      <w:pPr>
        <w:pStyle w:val="Heading2"/>
      </w:pPr>
      <w:bookmarkStart w:id="87" w:name="_Toc300432387"/>
      <w:bookmarkStart w:id="88" w:name="_Toc300433988"/>
      <w:bookmarkStart w:id="89" w:name="_Toc300434996"/>
      <w:bookmarkStart w:id="90" w:name="_Toc302386986"/>
      <w:r>
        <w:lastRenderedPageBreak/>
        <w:t>Output Level Recommendations</w:t>
      </w:r>
      <w:bookmarkEnd w:id="87"/>
      <w:bookmarkEnd w:id="88"/>
      <w:bookmarkEnd w:id="89"/>
      <w:bookmarkEnd w:id="90"/>
    </w:p>
    <w:p w:rsidR="0086392B" w:rsidRPr="00C83615" w:rsidRDefault="00104810" w:rsidP="006876C6">
      <w:pPr>
        <w:pStyle w:val="Heading3"/>
      </w:pPr>
      <w:r>
        <w:tab/>
      </w:r>
      <w:bookmarkStart w:id="91" w:name="_Toc300432388"/>
      <w:bookmarkStart w:id="92" w:name="_Toc300433989"/>
      <w:bookmarkStart w:id="93" w:name="_Toc302386987"/>
      <w:r w:rsidR="0086392B" w:rsidRPr="00C83615">
        <w:t>Policy</w:t>
      </w:r>
      <w:r w:rsidR="00B0309B">
        <w:t xml:space="preserve"> Recommendations</w:t>
      </w:r>
      <w:bookmarkEnd w:id="91"/>
      <w:bookmarkEnd w:id="92"/>
      <w:bookmarkEnd w:id="93"/>
    </w:p>
    <w:p w:rsidR="008C4341" w:rsidRPr="00C83615" w:rsidRDefault="00FA65B8" w:rsidP="006876C6">
      <w:r>
        <w:t>Decentralisation</w:t>
      </w:r>
      <w:r w:rsidR="000C6041">
        <w:t xml:space="preserve"> </w:t>
      </w:r>
      <w:r w:rsidR="00CB0DEE">
        <w:t>will need</w:t>
      </w:r>
      <w:r w:rsidR="008C4341">
        <w:t xml:space="preserve"> a push.  Central agencies need to be prevented from rolling back whatever gains have been made since 2007.  With the departure of the NDP Policy Secretariat member, Ms. Lobna Abdel Latif, the DSU lost its political links at the higher levels.  T</w:t>
      </w:r>
      <w:r w:rsidR="008C4341" w:rsidRPr="00C83615">
        <w:t xml:space="preserve">he DSU needs a new political advocate who can </w:t>
      </w:r>
      <w:r w:rsidR="000C6041">
        <w:t xml:space="preserve">easily </w:t>
      </w:r>
      <w:r w:rsidR="008C4341" w:rsidRPr="00C83615">
        <w:t>dialog beyond the ministry</w:t>
      </w:r>
      <w:r w:rsidR="008C4341">
        <w:t xml:space="preserve"> along with civil society and academia</w:t>
      </w:r>
      <w:r w:rsidR="008C4341" w:rsidRPr="00C83615">
        <w:t>.  Perhaps this will turn out to be the new MLD Minister, but he will also have many immediate ‘ministerial’ tasks to which his attention will be pulled.</w:t>
      </w:r>
    </w:p>
    <w:p w:rsidR="008C4341" w:rsidRDefault="008C4341" w:rsidP="006876C6">
      <w:r w:rsidRPr="00A94E04">
        <w:t>To their credit, the DSU tech team has continued their work</w:t>
      </w:r>
      <w:r w:rsidR="00913FA1">
        <w:t xml:space="preserve"> over the past six months to establish communication</w:t>
      </w:r>
      <w:r w:rsidR="00913FA1" w:rsidRPr="00C83615">
        <w:t xml:space="preserve"> with the current GOE/citizen dialog process.  </w:t>
      </w:r>
      <w:r w:rsidRPr="00C83615">
        <w:t xml:space="preserve">Nevertheless, the </w:t>
      </w:r>
      <w:r>
        <w:t xml:space="preserve">political </w:t>
      </w:r>
      <w:r w:rsidRPr="00C83615">
        <w:t xml:space="preserve">momentum towards </w:t>
      </w:r>
      <w:r w:rsidR="00FA65B8">
        <w:t>decentralisation</w:t>
      </w:r>
      <w:r w:rsidRPr="00C83615">
        <w:t xml:space="preserve"> has slowed.  UNDP should immediately engage with </w:t>
      </w:r>
      <w:r w:rsidR="00913FA1">
        <w:t xml:space="preserve">the </w:t>
      </w:r>
      <w:r w:rsidRPr="00C83615">
        <w:t xml:space="preserve">new </w:t>
      </w:r>
      <w:r w:rsidR="00913FA1">
        <w:t xml:space="preserve">MLD </w:t>
      </w:r>
      <w:r w:rsidRPr="00C83615">
        <w:t xml:space="preserve">Minister to establish awareness in </w:t>
      </w:r>
      <w:r w:rsidR="00FA65B8">
        <w:t>decentralisation</w:t>
      </w:r>
      <w:r w:rsidRPr="00C83615">
        <w:t xml:space="preserve"> beyond MLD…but avoid selling </w:t>
      </w:r>
      <w:r w:rsidR="00FA65B8">
        <w:t>decentralisation</w:t>
      </w:r>
      <w:r w:rsidRPr="00C83615">
        <w:t xml:space="preserve"> as a panacea.  </w:t>
      </w:r>
      <w:r w:rsidR="00FA65B8">
        <w:t>Decentralisation</w:t>
      </w:r>
      <w:r w:rsidRPr="00C83615">
        <w:t xml:space="preserve"> represents </w:t>
      </w:r>
      <w:r w:rsidR="00913FA1">
        <w:t xml:space="preserve">only </w:t>
      </w:r>
      <w:r w:rsidR="00C30EDF">
        <w:t xml:space="preserve">a </w:t>
      </w:r>
      <w:r w:rsidRPr="00C83615">
        <w:t>potential for effectively addressing current problems</w:t>
      </w:r>
      <w:r w:rsidR="00C30EDF">
        <w:t xml:space="preserve">.  Given the complexities involved in implementation, there is no guarantee that any </w:t>
      </w:r>
      <w:r w:rsidR="00FA65B8">
        <w:t>decentralisation</w:t>
      </w:r>
      <w:r w:rsidR="00C30EDF">
        <w:t xml:space="preserve"> policy, no matter how well designed, will actually improve the lives of citizens</w:t>
      </w:r>
      <w:r w:rsidR="00277E45">
        <w:rPr>
          <w:rStyle w:val="FootnoteReference"/>
        </w:rPr>
        <w:footnoteReference w:id="4"/>
      </w:r>
      <w:r w:rsidRPr="00C83615">
        <w:t>.</w:t>
      </w:r>
      <w:r w:rsidR="000C6041">
        <w:t xml:space="preserve">  There are too many other factors to be taken into consideration to allow such a simplistic assertion to be made honestly.</w:t>
      </w:r>
    </w:p>
    <w:p w:rsidR="00913FA1" w:rsidRPr="00C83615" w:rsidRDefault="00913FA1" w:rsidP="006876C6">
      <w:r w:rsidRPr="00C83615">
        <w:t xml:space="preserve">It should be made clear that no </w:t>
      </w:r>
      <w:r w:rsidR="00FA65B8">
        <w:t>decentralisation</w:t>
      </w:r>
      <w:r w:rsidRPr="00C83615">
        <w:t xml:space="preserve"> model exists that can be taken down off the shelf and implemented in Egypt.  </w:t>
      </w:r>
      <w:r w:rsidR="00FA65B8">
        <w:t>Decentralisation</w:t>
      </w:r>
      <w:r w:rsidRPr="00C83615">
        <w:t xml:space="preserve"> is a political process that has technical aspects.  A set of guiding principles </w:t>
      </w:r>
      <w:r>
        <w:t>is</w:t>
      </w:r>
      <w:r w:rsidRPr="00C83615">
        <w:t xml:space="preserve"> be</w:t>
      </w:r>
      <w:r>
        <w:t>ing</w:t>
      </w:r>
      <w:r w:rsidRPr="00C83615">
        <w:t xml:space="preserve"> derived from a review </w:t>
      </w:r>
      <w:r>
        <w:t xml:space="preserve">by the DSU </w:t>
      </w:r>
      <w:r w:rsidRPr="00C83615">
        <w:t xml:space="preserve">of </w:t>
      </w:r>
      <w:r w:rsidR="006F6CE0">
        <w:t>s</w:t>
      </w:r>
      <w:r>
        <w:t>ub-national governance</w:t>
      </w:r>
      <w:r w:rsidRPr="00C83615">
        <w:t xml:space="preserve"> under other unitary </w:t>
      </w:r>
      <w:r>
        <w:t>state</w:t>
      </w:r>
      <w:r w:rsidRPr="00C83615">
        <w:t xml:space="preserve"> constitutions.  The Arab Region Governance Team is planning an international constitutional dialogue in September.  </w:t>
      </w:r>
      <w:r>
        <w:t>The DSU team</w:t>
      </w:r>
      <w:r w:rsidRPr="00C83615">
        <w:t xml:space="preserve"> should be invited to present the findings from its review of numerous constitutions.</w:t>
      </w:r>
      <w:r w:rsidR="005C2C44">
        <w:rPr>
          <w:rStyle w:val="FootnoteReference"/>
        </w:rPr>
        <w:footnoteReference w:id="5"/>
      </w:r>
    </w:p>
    <w:p w:rsidR="009B5D87" w:rsidRDefault="000314B1" w:rsidP="006876C6">
      <w:r>
        <w:t xml:space="preserve">There </w:t>
      </w:r>
      <w:r w:rsidR="00E74B57">
        <w:t>is</w:t>
      </w:r>
      <w:r>
        <w:t xml:space="preserve"> no question that </w:t>
      </w:r>
      <w:r w:rsidR="009B5D87" w:rsidRPr="00C83615">
        <w:t xml:space="preserve">the </w:t>
      </w:r>
      <w:r w:rsidR="00913FA1">
        <w:t>DSU</w:t>
      </w:r>
      <w:r w:rsidR="009B5D87" w:rsidRPr="00C83615">
        <w:t xml:space="preserve"> should be continued as a locus for </w:t>
      </w:r>
      <w:r w:rsidR="00FA65B8">
        <w:t>decentralisation</w:t>
      </w:r>
      <w:r w:rsidR="009B5D87" w:rsidRPr="00C83615">
        <w:t xml:space="preserve"> policy design, implementation and capacity building. However, the UNDP should </w:t>
      </w:r>
      <w:r w:rsidR="00E74B57">
        <w:t xml:space="preserve">advocate </w:t>
      </w:r>
      <w:r w:rsidR="009B5D87" w:rsidRPr="00C83615">
        <w:t xml:space="preserve">for a two-tiered relationship at both MLD and with the Cabinet. UNDP should engage with the new </w:t>
      </w:r>
      <w:r w:rsidR="00913FA1" w:rsidRPr="00C83615">
        <w:t xml:space="preserve">MLD </w:t>
      </w:r>
      <w:r w:rsidR="009B5D87" w:rsidRPr="00C83615">
        <w:t xml:space="preserve">Minister to advise him of the utility of this move so as to seize the opportunity to ensure that any new constitutional provisions are supportive of a decentralized and citizen-centric governance framework.  </w:t>
      </w:r>
    </w:p>
    <w:p w:rsidR="00895F1B" w:rsidRPr="00C83615" w:rsidRDefault="00895F1B" w:rsidP="006876C6">
      <w:r>
        <w:t>People need access to justice, security, access to information</w:t>
      </w:r>
      <w:r w:rsidR="000314B1">
        <w:t>, better services, business and employment opportunities</w:t>
      </w:r>
      <w:r>
        <w:t xml:space="preserve">.  Local Development must move beyond the idea that it </w:t>
      </w:r>
      <w:r>
        <w:lastRenderedPageBreak/>
        <w:t xml:space="preserve">is limited to planning small infrastructure.  </w:t>
      </w:r>
      <w:r w:rsidR="00E74B57">
        <w:t>Both India and Indonesia, among others, have fully documented their individual approaches to building a national set of minimum standards for the delivery of public goods and services.  The India model, in particular, includes a strong citizen accountability component.</w:t>
      </w:r>
      <w:r w:rsidR="00913FA1">
        <w:t xml:space="preserve">  A set of service standards for Egypt can assist in defining the nature of political &amp; administrative powers and financial resource levels required by local authorities in order to meet these service standards.</w:t>
      </w:r>
    </w:p>
    <w:p w:rsidR="00EF6A3C" w:rsidRDefault="00714230" w:rsidP="006876C6">
      <w:r>
        <w:t>In short, t</w:t>
      </w:r>
      <w:r w:rsidR="009B5D87" w:rsidRPr="00C83615">
        <w:t xml:space="preserve">he focus of the </w:t>
      </w:r>
      <w:r w:rsidR="00006BF0">
        <w:t>TS-MLD</w:t>
      </w:r>
      <w:r w:rsidR="009B5D87" w:rsidRPr="00C83615">
        <w:t xml:space="preserve"> during the transition period should</w:t>
      </w:r>
      <w:r w:rsidR="00913FA1">
        <w:t>, therefore,</w:t>
      </w:r>
      <w:r w:rsidR="009B5D87" w:rsidRPr="00C83615">
        <w:t xml:space="preserve"> be:</w:t>
      </w:r>
    </w:p>
    <w:p w:rsidR="00EF6A3C" w:rsidRDefault="009B5D87" w:rsidP="006876C6">
      <w:r w:rsidRPr="00C83615">
        <w:t xml:space="preserve"> 1) Advocate for </w:t>
      </w:r>
      <w:r w:rsidR="00FA65B8">
        <w:t>decentralisation</w:t>
      </w:r>
      <w:r w:rsidRPr="00C83615">
        <w:t xml:space="preserve">-enabling, information sharing and citizen oversight provisions in the next Constitution; other legal work </w:t>
      </w:r>
      <w:r w:rsidR="000314B1">
        <w:t>regarding the str</w:t>
      </w:r>
      <w:r w:rsidR="00E74B57">
        <w:t xml:space="preserve">ucture of </w:t>
      </w:r>
      <w:r w:rsidR="00C0590B">
        <w:t>sub-national</w:t>
      </w:r>
      <w:r w:rsidR="00E74B57">
        <w:t xml:space="preserve"> authorities </w:t>
      </w:r>
      <w:r w:rsidRPr="00C83615">
        <w:t xml:space="preserve">should be put on back burner  </w:t>
      </w:r>
    </w:p>
    <w:p w:rsidR="00EF6A3C" w:rsidRDefault="009B5D87" w:rsidP="006876C6">
      <w:r w:rsidRPr="00C83615">
        <w:t xml:space="preserve">2) Ensure recognition of the constitutive role for Local Economic Development in ensuring citizen uplift and satisfaction in Government  </w:t>
      </w:r>
    </w:p>
    <w:p w:rsidR="00EF6A3C" w:rsidRDefault="009B5D87" w:rsidP="006876C6">
      <w:r w:rsidRPr="00C83615">
        <w:t xml:space="preserve">3) </w:t>
      </w:r>
      <w:r w:rsidR="00547753" w:rsidRPr="00C83615">
        <w:t>Facilitate</w:t>
      </w:r>
      <w:r w:rsidRPr="00C83615">
        <w:t xml:space="preserve"> enhanced engagement</w:t>
      </w:r>
      <w:r w:rsidR="00EF6A3C">
        <w:t xml:space="preserve"> for men and women</w:t>
      </w:r>
      <w:r w:rsidRPr="00C83615">
        <w:t xml:space="preserve"> in </w:t>
      </w:r>
      <w:r w:rsidR="00EF6A3C">
        <w:t xml:space="preserve">the </w:t>
      </w:r>
      <w:r w:rsidRPr="00C83615">
        <w:t>delivery of goods and services at the local level, particularly</w:t>
      </w:r>
      <w:r w:rsidR="00E74B57">
        <w:t>, but not limited to,</w:t>
      </w:r>
      <w:r w:rsidRPr="00C83615">
        <w:t xml:space="preserve"> those produced using decentralized funds</w:t>
      </w:r>
      <w:r w:rsidR="00EF6A3C">
        <w:t xml:space="preserve"> and incorporate indicators for gender and governance</w:t>
      </w:r>
    </w:p>
    <w:p w:rsidR="002A50E7" w:rsidRDefault="00895F1B" w:rsidP="006876C6">
      <w:r>
        <w:t>Work on the Local Admin</w:t>
      </w:r>
      <w:r w:rsidR="000314B1">
        <w:t>istration</w:t>
      </w:r>
      <w:r w:rsidR="005F7220">
        <w:t xml:space="preserve"> </w:t>
      </w:r>
      <w:r w:rsidR="000314B1">
        <w:t>bill</w:t>
      </w:r>
      <w:r>
        <w:t xml:space="preserve"> should be seen as secondary to </w:t>
      </w:r>
      <w:r w:rsidR="00751A7B">
        <w:t>establish</w:t>
      </w:r>
      <w:r>
        <w:t xml:space="preserve">ing constitutional principles that protect </w:t>
      </w:r>
      <w:r w:rsidR="00E74B57">
        <w:t>citizens’</w:t>
      </w:r>
      <w:r>
        <w:t xml:space="preserve"> human rights and </w:t>
      </w:r>
      <w:r w:rsidR="00E74B57">
        <w:t>cementing</w:t>
      </w:r>
      <w:r>
        <w:t xml:space="preserve"> p</w:t>
      </w:r>
      <w:r w:rsidR="00E74B57">
        <w:t>rinciples of devolved political &amp;</w:t>
      </w:r>
      <w:r>
        <w:t xml:space="preserve"> administrative and financial </w:t>
      </w:r>
      <w:r w:rsidR="00E74B57">
        <w:t>resources</w:t>
      </w:r>
      <w:r>
        <w:t xml:space="preserve"> to Governorates and lower bodies </w:t>
      </w:r>
      <w:r w:rsidR="00E74B57">
        <w:t>in the Constitution, with details to be</w:t>
      </w:r>
      <w:r>
        <w:t xml:space="preserve"> defined by law.</w:t>
      </w:r>
    </w:p>
    <w:p w:rsidR="00895F1B" w:rsidRPr="00C83615" w:rsidRDefault="00913FA1" w:rsidP="006876C6">
      <w:r>
        <w:t xml:space="preserve">Article X of the 1987 Philippine Constitution </w:t>
      </w:r>
      <w:r w:rsidR="00E74B57">
        <w:t>may be a useful example.  The Philippines is a unitary state that came out of a lengthy dictatorship in 1985.  Since 199</w:t>
      </w:r>
      <w:r w:rsidR="000C6041">
        <w:t>1</w:t>
      </w:r>
      <w:r w:rsidR="00E74B57">
        <w:t>, a system of elected</w:t>
      </w:r>
      <w:r w:rsidR="002A50E7">
        <w:t xml:space="preserve"> local governments has managed certain function, while others have been retained by the central government.  A particularly valuable aspect of the Philippine </w:t>
      </w:r>
      <w:r w:rsidR="002B4EA6">
        <w:t>constitution</w:t>
      </w:r>
      <w:r w:rsidR="002A50E7">
        <w:t xml:space="preserve"> is the nature of the inte</w:t>
      </w:r>
      <w:r w:rsidR="002B4EA6">
        <w:t xml:space="preserve">r-governmental fiscal transfers, which must be transferred directly from the executive without requiring any </w:t>
      </w:r>
      <w:r w:rsidR="00EC050B">
        <w:t xml:space="preserve">appropriation </w:t>
      </w:r>
      <w:r w:rsidR="002B4EA6">
        <w:t xml:space="preserve">in the annual budget approved by the national parliament.  </w:t>
      </w:r>
      <w:r w:rsidR="002A50E7">
        <w:t xml:space="preserve"> In addition, the clause</w:t>
      </w:r>
      <w:r w:rsidR="0081225A">
        <w:t>s</w:t>
      </w:r>
      <w:r w:rsidR="005F7220">
        <w:t xml:space="preserve"> </w:t>
      </w:r>
      <w:r w:rsidR="0081225A">
        <w:t>on local economic development and the requirement for citizen engagement (termed ‘sectoral representation’ in section 9) in local government processes provide valuable examples for Egypt.</w:t>
      </w:r>
    </w:p>
    <w:p w:rsidR="00F43A07" w:rsidRDefault="00F43A07" w:rsidP="006876C6">
      <w:pPr>
        <w:pStyle w:val="Heading3"/>
      </w:pPr>
      <w:bookmarkStart w:id="94" w:name="_Toc300432389"/>
      <w:bookmarkStart w:id="95" w:name="_Toc300433990"/>
    </w:p>
    <w:p w:rsidR="00F43A07" w:rsidRDefault="00F43A07" w:rsidP="006876C6">
      <w:pPr>
        <w:pStyle w:val="Heading3"/>
      </w:pPr>
    </w:p>
    <w:p w:rsidR="0049230C" w:rsidRPr="0049230C" w:rsidRDefault="0049230C" w:rsidP="006876C6">
      <w:pPr>
        <w:pStyle w:val="Heading3"/>
      </w:pPr>
      <w:bookmarkStart w:id="96" w:name="_Toc302386988"/>
      <w:r w:rsidRPr="0049230C">
        <w:t>Institutional Reform Recommendations</w:t>
      </w:r>
      <w:bookmarkEnd w:id="94"/>
      <w:bookmarkEnd w:id="95"/>
      <w:bookmarkEnd w:id="96"/>
    </w:p>
    <w:p w:rsidR="00751A7B" w:rsidRDefault="0081225A" w:rsidP="006876C6">
      <w:r>
        <w:t>1</w:t>
      </w:r>
      <w:r>
        <w:tab/>
      </w:r>
      <w:r w:rsidR="00751A7B">
        <w:t>Citizen engagement</w:t>
      </w:r>
    </w:p>
    <w:p w:rsidR="009B5D87" w:rsidRPr="006876C6" w:rsidRDefault="00006BF0" w:rsidP="006876C6">
      <w:r>
        <w:lastRenderedPageBreak/>
        <w:t>TS-MLD</w:t>
      </w:r>
      <w:r w:rsidR="009B5D87" w:rsidRPr="00C83615">
        <w:t xml:space="preserve"> should add a specific component</w:t>
      </w:r>
      <w:r w:rsidR="0081225A">
        <w:t xml:space="preserve"> (along with an associated output and indicators)</w:t>
      </w:r>
      <w:r w:rsidR="009B5D87" w:rsidRPr="00C83615">
        <w:t xml:space="preserve"> on engagement </w:t>
      </w:r>
      <w:r w:rsidR="00EF6A3C">
        <w:t xml:space="preserve">of men and women </w:t>
      </w:r>
      <w:r w:rsidR="009B5D87" w:rsidRPr="00C83615">
        <w:t>to assist in re-creating the space for an associational form of society in Egypt.  Th</w:t>
      </w:r>
      <w:r w:rsidR="005F7220">
        <w:t xml:space="preserve">is </w:t>
      </w:r>
      <w:r w:rsidR="009B5D87" w:rsidRPr="00C83615">
        <w:t xml:space="preserve">is </w:t>
      </w:r>
      <w:r w:rsidR="005F7220">
        <w:t xml:space="preserve">the most appropriate time to take advantage of </w:t>
      </w:r>
      <w:r w:rsidR="009B5D87" w:rsidRPr="00C83615">
        <w:t xml:space="preserve">a unique opportunity for </w:t>
      </w:r>
      <w:r w:rsidR="008C4341">
        <w:t>piloting</w:t>
      </w:r>
      <w:r w:rsidR="009B5D87" w:rsidRPr="00C83615">
        <w:t xml:space="preserve"> this relationship through the implementation of the </w:t>
      </w:r>
      <w:r w:rsidR="003C268C">
        <w:t>MLD</w:t>
      </w:r>
      <w:r w:rsidR="009B5D87" w:rsidRPr="00C83615">
        <w:t xml:space="preserve"> local d</w:t>
      </w:r>
      <w:r w:rsidR="003C268C">
        <w:t xml:space="preserve">evelopment </w:t>
      </w:r>
      <w:r w:rsidR="008C2456">
        <w:t>programme</w:t>
      </w:r>
      <w:r w:rsidR="009B5D87" w:rsidRPr="00C83615">
        <w:t>.</w:t>
      </w:r>
      <w:r w:rsidR="008C4341">
        <w:t xml:space="preserve">  The City of Ismailia reported that citizen groups have already demanded to play a role in the oversight of the ongoing project planned by the previous local councils.  A plan is already in place to pilot both the SCC and LDO performance surveys in Ismailia.  Work could also begin to establish quality and access standards for the MLD programs and the sectors covered by the SCC surveys.  The process could be carried out in such a manner to engage citizens in association with both local and central/sectoral authorities in designing standards that protect the interest of the citizen while ensuring that resources </w:t>
      </w:r>
      <w:r w:rsidR="008C4341" w:rsidRPr="006876C6">
        <w:t>can be made available to cover any added costs.</w:t>
      </w:r>
      <w:r w:rsidR="005F7220">
        <w:t xml:space="preserve">  DSU should abandon the </w:t>
      </w:r>
      <w:r w:rsidR="00BA3FFF">
        <w:t>dirigist</w:t>
      </w:r>
      <w:r w:rsidR="005F7220">
        <w:t xml:space="preserve"> mindset that supposes citizen engagement should wait for more stable times.  The failure to enable citizens to engage fully with government </w:t>
      </w:r>
      <w:r w:rsidR="000C6041">
        <w:t xml:space="preserve">can </w:t>
      </w:r>
      <w:r w:rsidR="005F7220">
        <w:t>le</w:t>
      </w:r>
      <w:r w:rsidR="000C6041">
        <w:t>a</w:t>
      </w:r>
      <w:r w:rsidR="005F7220">
        <w:t>d to far greater instability</w:t>
      </w:r>
      <w:r w:rsidR="000C6041">
        <w:t>, as noted in Nepal</w:t>
      </w:r>
      <w:r w:rsidR="005F7220">
        <w:t xml:space="preserve">.  In any event, </w:t>
      </w:r>
      <w:r w:rsidR="000C6041">
        <w:t xml:space="preserve">since Egypt has </w:t>
      </w:r>
      <w:r w:rsidR="00BA3FFF">
        <w:t xml:space="preserve">been </w:t>
      </w:r>
      <w:r w:rsidR="00E06C18">
        <w:t>forced into</w:t>
      </w:r>
      <w:r w:rsidR="005F7220">
        <w:t xml:space="preserve"> a democratic discourse</w:t>
      </w:r>
      <w:r w:rsidR="00E06C18">
        <w:t xml:space="preserve"> by citizens</w:t>
      </w:r>
      <w:r w:rsidR="005F7220">
        <w:t>, who is it that should decide when the time is right?</w:t>
      </w:r>
    </w:p>
    <w:p w:rsidR="009B5D87" w:rsidRDefault="009B5D87" w:rsidP="006876C6">
      <w:r w:rsidRPr="00C83615">
        <w:t xml:space="preserve">This new focus would allow </w:t>
      </w:r>
      <w:r w:rsidR="00006BF0">
        <w:t>TS-MLD</w:t>
      </w:r>
      <w:r w:rsidRPr="00C83615">
        <w:t xml:space="preserve"> to make a fundamental shift in support of serious citizen engagement with the Government in the oversight of public service delivery.  </w:t>
      </w:r>
      <w:r w:rsidR="008C4341">
        <w:t>Again, India, Indonesia and the Philippines provide more useful examples than those of EU members for such engagement in complex, developing societies with limited resources.  The crux of the argument here is that d</w:t>
      </w:r>
      <w:r w:rsidRPr="00C83615">
        <w:t xml:space="preserve">emand-driven </w:t>
      </w:r>
      <w:r w:rsidR="0081225A">
        <w:t>improvements in service delivery</w:t>
      </w:r>
      <w:r w:rsidRPr="00C83615">
        <w:t xml:space="preserve"> will be more effective and sustainable than any ‘supply driven’ approach to civil service reform.</w:t>
      </w:r>
    </w:p>
    <w:p w:rsidR="009B5D87" w:rsidRPr="00C83615" w:rsidRDefault="00006BF0" w:rsidP="006876C6">
      <w:r>
        <w:t>TS-MLD</w:t>
      </w:r>
      <w:r w:rsidR="005F7220">
        <w:t xml:space="preserve"> </w:t>
      </w:r>
      <w:r w:rsidR="001B74A5">
        <w:t xml:space="preserve">can continue to </w:t>
      </w:r>
      <w:r w:rsidR="0081225A">
        <w:t>wait</w:t>
      </w:r>
      <w:r w:rsidR="001B74A5">
        <w:t xml:space="preserve"> on</w:t>
      </w:r>
      <w:r w:rsidR="009B5D87" w:rsidRPr="00C83615">
        <w:t xml:space="preserve"> MLD restructuring.  This can wait until </w:t>
      </w:r>
      <w:r w:rsidR="000314B1">
        <w:t>it is clear</w:t>
      </w:r>
      <w:r w:rsidR="0081225A">
        <w:t xml:space="preserve"> that there is a political vision and will </w:t>
      </w:r>
      <w:r w:rsidR="006112B7">
        <w:t xml:space="preserve">for a </w:t>
      </w:r>
      <w:r w:rsidR="0081225A">
        <w:t xml:space="preserve">restructured relationship between central </w:t>
      </w:r>
      <w:r w:rsidR="00547753">
        <w:t>and local</w:t>
      </w:r>
      <w:r w:rsidR="00E06C18">
        <w:t xml:space="preserve"> </w:t>
      </w:r>
      <w:r w:rsidR="0081225A">
        <w:t>authorities</w:t>
      </w:r>
      <w:r w:rsidR="00E06C18">
        <w:t xml:space="preserve"> </w:t>
      </w:r>
      <w:r w:rsidR="009B5D87" w:rsidRPr="00C83615">
        <w:t xml:space="preserve">under a </w:t>
      </w:r>
      <w:r w:rsidR="0081225A">
        <w:t>reform</w:t>
      </w:r>
      <w:r w:rsidR="009B5D87" w:rsidRPr="00C83615">
        <w:t xml:space="preserve"> constitution.  </w:t>
      </w:r>
      <w:r w:rsidR="006112B7">
        <w:t xml:space="preserve">It may turn out that MLD is not considered </w:t>
      </w:r>
      <w:r w:rsidR="0081225A">
        <w:t xml:space="preserve">any longer </w:t>
      </w:r>
      <w:r w:rsidR="006112B7">
        <w:t>relevant as a separate entity</w:t>
      </w:r>
      <w:r w:rsidR="0081225A">
        <w:t>,</w:t>
      </w:r>
      <w:r w:rsidR="006112B7">
        <w:t xml:space="preserve"> with many of its functions</w:t>
      </w:r>
      <w:r w:rsidR="00BC6388">
        <w:t xml:space="preserve"> possibly</w:t>
      </w:r>
      <w:r w:rsidR="006112B7">
        <w:t xml:space="preserve"> turned over the Governorates and other ministries.</w:t>
      </w:r>
      <w:r w:rsidR="00E06C18">
        <w:t xml:space="preserve">  </w:t>
      </w:r>
      <w:r w:rsidR="009B5D87" w:rsidRPr="00C83615">
        <w:t xml:space="preserve">As above, the focus should turn to ensuring the MLD </w:t>
      </w:r>
      <w:r w:rsidR="003C268C">
        <w:t xml:space="preserve">local development </w:t>
      </w:r>
      <w:r w:rsidR="008C2456">
        <w:t>programme</w:t>
      </w:r>
      <w:r w:rsidR="003C268C">
        <w:t xml:space="preserve"> is</w:t>
      </w:r>
      <w:r w:rsidR="009B5D87" w:rsidRPr="00C83615">
        <w:t xml:space="preserve"> implemented in open and effective manner, with lessons captured that can inform further policy reform and capacity building.    </w:t>
      </w:r>
    </w:p>
    <w:p w:rsidR="00DB705D" w:rsidRPr="00C83615" w:rsidRDefault="002C7AF3" w:rsidP="006876C6">
      <w:r>
        <w:t>2</w:t>
      </w:r>
      <w:r w:rsidR="0049230C">
        <w:tab/>
      </w:r>
      <w:r w:rsidR="00DB705D" w:rsidRPr="00C83615">
        <w:t xml:space="preserve">One of the factors that will encourage greater devolution of power is evidence of real impact in </w:t>
      </w:r>
      <w:r w:rsidR="00EF6A3C">
        <w:t xml:space="preserve">the </w:t>
      </w:r>
      <w:r w:rsidR="00DB705D" w:rsidRPr="00C83615">
        <w:t>lives</w:t>
      </w:r>
      <w:r w:rsidR="00EF6A3C">
        <w:t xml:space="preserve"> of men and women</w:t>
      </w:r>
      <w:r w:rsidR="00DB705D" w:rsidRPr="00C83615">
        <w:t xml:space="preserve">.  The proposed Local Economic Development initiative will be critical in expanding the vision of development </w:t>
      </w:r>
      <w:r w:rsidR="00DB705D">
        <w:t xml:space="preserve">by </w:t>
      </w:r>
      <w:r w:rsidR="00DB705D" w:rsidRPr="00C83615">
        <w:t xml:space="preserve">being driven by people’s </w:t>
      </w:r>
      <w:r w:rsidR="00DB705D">
        <w:t xml:space="preserve">own </w:t>
      </w:r>
      <w:r w:rsidR="00DB705D" w:rsidRPr="00C83615">
        <w:t>initiatives rather than merely through direct government fund transfers.</w:t>
      </w:r>
    </w:p>
    <w:p w:rsidR="005B1881" w:rsidRDefault="002C7AF3" w:rsidP="006876C6">
      <w:r>
        <w:t xml:space="preserve">It would be valuable if this activity includes advocacy for </w:t>
      </w:r>
      <w:r w:rsidR="00692CD8">
        <w:t>rule</w:t>
      </w:r>
      <w:r w:rsidR="005B1881">
        <w:t xml:space="preserve"> change</w:t>
      </w:r>
      <w:r w:rsidR="00692CD8">
        <w:t xml:space="preserve">s at the national level </w:t>
      </w:r>
      <w:r w:rsidR="00EC050B">
        <w:t xml:space="preserve">along with </w:t>
      </w:r>
      <w:r w:rsidR="006C3DF6">
        <w:t xml:space="preserve">modification </w:t>
      </w:r>
      <w:r w:rsidR="00EC050B">
        <w:t>trade and</w:t>
      </w:r>
      <w:r w:rsidR="005B1881">
        <w:t xml:space="preserve"> tariff </w:t>
      </w:r>
      <w:r w:rsidR="006C3DF6">
        <w:t>agreements with importing</w:t>
      </w:r>
      <w:r w:rsidR="00692CD8">
        <w:t xml:space="preserve"> countries to</w:t>
      </w:r>
      <w:r w:rsidR="005F7220">
        <w:t xml:space="preserve"> </w:t>
      </w:r>
      <w:r w:rsidR="00692CD8">
        <w:t>facilitate a rapid expansion in opportunities available for</w:t>
      </w:r>
      <w:r w:rsidR="005B1881">
        <w:t xml:space="preserve"> local economic development.  </w:t>
      </w:r>
      <w:r w:rsidR="00692CD8">
        <w:t>As an example of national rule changes, apparently small changes in the</w:t>
      </w:r>
      <w:r w:rsidR="005B1881">
        <w:t xml:space="preserve"> Egypt</w:t>
      </w:r>
      <w:r w:rsidR="00692CD8">
        <w:t>ian</w:t>
      </w:r>
      <w:r w:rsidR="005F7220">
        <w:t xml:space="preserve"> </w:t>
      </w:r>
      <w:r w:rsidR="00692CD8">
        <w:t xml:space="preserve">tax </w:t>
      </w:r>
      <w:r w:rsidR="00692CD8">
        <w:lastRenderedPageBreak/>
        <w:t>laws</w:t>
      </w:r>
      <w:r w:rsidR="005B1881">
        <w:t xml:space="preserve"> for SME</w:t>
      </w:r>
      <w:r w:rsidR="00692CD8">
        <w:t>s</w:t>
      </w:r>
      <w:r w:rsidR="005F7220">
        <w:t xml:space="preserve"> </w:t>
      </w:r>
      <w:r w:rsidR="00692CD8">
        <w:t>would</w:t>
      </w:r>
      <w:r w:rsidR="005B1881">
        <w:t xml:space="preserve"> enable </w:t>
      </w:r>
      <w:r w:rsidR="00692CD8">
        <w:t xml:space="preserve">the majority of </w:t>
      </w:r>
      <w:r w:rsidR="005B1881">
        <w:t>them to be classed as formal sector</w:t>
      </w:r>
      <w:r w:rsidR="00692CD8">
        <w:t xml:space="preserve"> entities</w:t>
      </w:r>
      <w:r w:rsidR="005B1881">
        <w:t xml:space="preserve">, thereby </w:t>
      </w:r>
      <w:r w:rsidR="00692CD8">
        <w:t xml:space="preserve">facilitating </w:t>
      </w:r>
      <w:r w:rsidR="005B1881">
        <w:t>access</w:t>
      </w:r>
      <w:r w:rsidR="00692CD8">
        <w:t xml:space="preserve"> to</w:t>
      </w:r>
      <w:r w:rsidR="005B1881">
        <w:t xml:space="preserve"> bank loans</w:t>
      </w:r>
      <w:r w:rsidR="00692CD8">
        <w:t>.</w:t>
      </w:r>
    </w:p>
    <w:p w:rsidR="001F02A0" w:rsidRPr="001F02A0" w:rsidRDefault="001F02A0" w:rsidP="006C7DD5">
      <w:r w:rsidRPr="001F02A0">
        <w:t xml:space="preserve">LED is a perfect arena for engaging </w:t>
      </w:r>
      <w:r w:rsidR="00EF6A3C">
        <w:t>young men and women</w:t>
      </w:r>
      <w:r w:rsidRPr="001F02A0">
        <w:t xml:space="preserve"> productively in the transformation of their home communities.  Since September 2004, </w:t>
      </w:r>
      <w:r>
        <w:t xml:space="preserve">a mechanism known as </w:t>
      </w:r>
      <w:r w:rsidRPr="001F02A0">
        <w:t>Community Youth</w:t>
      </w:r>
      <w:r w:rsidR="00BC6388">
        <w:t xml:space="preserve"> </w:t>
      </w:r>
      <w:r w:rsidRPr="001F02A0">
        <w:t xml:space="preserve">Mapping (CYM) has been established and implemented in Egypt to prepare economically disadvantaged youth and adults for either entry into unsubsidized employment or attainment of basic education and/or occupational skills leading to employment.  Technical School students successfully utilized CYM as a tool for training and development, exposure to a variety of professions, and a means for using creativity to provide meaningful contributions to community development.  </w:t>
      </w:r>
      <w:r w:rsidR="00EF6A3C">
        <w:t>CYM was unique in providing opportunities for both young men and women, with many of the women becoming the GIS computer experts while the men collected the data in the streets.</w:t>
      </w:r>
    </w:p>
    <w:p w:rsidR="001F02A0" w:rsidRPr="001F02A0" w:rsidRDefault="001F02A0" w:rsidP="006876C6">
      <w:r w:rsidRPr="001F02A0">
        <w:t>Although initiated as a component of a USAID Education Reform Program, CYM has been institutionalized in Egypt.  Youth Developing Communities Association (YDCA</w:t>
      </w:r>
      <w:r w:rsidR="00547753" w:rsidRPr="001F02A0">
        <w:t>)</w:t>
      </w:r>
      <w:r w:rsidRPr="001F02A0">
        <w:t xml:space="preserve"> is a non-profit organization established in 2007, with the aim of empowering youth who have been affected by the lack of economic development and unemployment, and the lack of identity and social exclusion, to advocate for their priorities to improve their livelihoods within their communities.</w:t>
      </w:r>
      <w:r w:rsidR="00BA3FFF">
        <w:t xml:space="preserve"> </w:t>
      </w:r>
      <w:r w:rsidRPr="001F02A0">
        <w:t xml:space="preserve">Through YDCA, youth and adults have been involved in participating and sharing success stories/lessons learnt in various projects both </w:t>
      </w:r>
      <w:r>
        <w:t>in various parts of Egypt</w:t>
      </w:r>
      <w:r w:rsidRPr="001F02A0">
        <w:t xml:space="preserve"> and </w:t>
      </w:r>
      <w:r>
        <w:t>in other countries of</w:t>
      </w:r>
      <w:r w:rsidRPr="001F02A0">
        <w:t xml:space="preserve"> the Middle East. </w:t>
      </w:r>
    </w:p>
    <w:p w:rsidR="001F02A0" w:rsidRPr="001F02A0" w:rsidRDefault="001F02A0" w:rsidP="006876C6">
      <w:r w:rsidRPr="001F02A0">
        <w:t>While collecting baseline data to identify available services and resources, and transforming information into action oriented initiatives in their communities, the young people, through the Community Youth</w:t>
      </w:r>
      <w:r w:rsidR="00BA3FFF">
        <w:t xml:space="preserve"> </w:t>
      </w:r>
      <w:r w:rsidRPr="001F02A0">
        <w:t xml:space="preserve">Mapping process, are able to create a grassroots approach that builds a sound infrastructure for community development. The benefit of this is that it equally corroborates and augments partnerships, from local NGOs, and it targets such institutions during its capacity building phase.  </w:t>
      </w:r>
    </w:p>
    <w:p w:rsidR="001F02A0" w:rsidRDefault="001F02A0" w:rsidP="006876C6"/>
    <w:p w:rsidR="00D82357" w:rsidRDefault="0049230C" w:rsidP="006876C6">
      <w:r>
        <w:t>4</w:t>
      </w:r>
      <w:r>
        <w:tab/>
      </w:r>
      <w:r w:rsidR="00D82357">
        <w:t>Information Technology</w:t>
      </w:r>
    </w:p>
    <w:p w:rsidR="001B4DC2" w:rsidRDefault="0065475D" w:rsidP="006876C6">
      <w:r>
        <w:t xml:space="preserve">The </w:t>
      </w:r>
      <w:r w:rsidR="00EF6A3C" w:rsidRPr="00EF6A3C">
        <w:t>NLDIN</w:t>
      </w:r>
      <w:r w:rsidR="00BC6388">
        <w:t xml:space="preserve"> </w:t>
      </w:r>
      <w:r>
        <w:t xml:space="preserve">initiative can be </w:t>
      </w:r>
      <w:r w:rsidR="008636B5">
        <w:t xml:space="preserve">considered as the most important institutional reform initiative of TS-MLD.  This system has the </w:t>
      </w:r>
      <w:r>
        <w:t xml:space="preserve">potential </w:t>
      </w:r>
      <w:r w:rsidR="008636B5">
        <w:t xml:space="preserve">to become a </w:t>
      </w:r>
      <w:r>
        <w:t xml:space="preserve">global best practice </w:t>
      </w:r>
      <w:r w:rsidR="008636B5">
        <w:t xml:space="preserve">in e-governance </w:t>
      </w:r>
      <w:r>
        <w:t xml:space="preserve">once it is up and running.  </w:t>
      </w:r>
      <w:r w:rsidR="001B4DC2">
        <w:t xml:space="preserve">Two aspects suggested that can improve the </w:t>
      </w:r>
      <w:r w:rsidR="008636B5">
        <w:t>utility</w:t>
      </w:r>
      <w:r w:rsidR="001B4DC2">
        <w:t xml:space="preserve"> of the system would be to geocode all data so that it can be displayed and queried spatially and to facilitate citizen interaction.  Geographic referencing is being considered by MLD for its information system and a request for technical assistance in this area has already been submitted to UNDP.  At present, MLD is </w:t>
      </w:r>
      <w:r w:rsidR="005F7220">
        <w:t xml:space="preserve">suggests that </w:t>
      </w:r>
      <w:r w:rsidR="001B4DC2">
        <w:t>citizen input to the system</w:t>
      </w:r>
      <w:r w:rsidR="005F7220">
        <w:t xml:space="preserve"> can come at a later stage once the system has been stablized</w:t>
      </w:r>
      <w:r w:rsidR="001B4DC2">
        <w:t xml:space="preserve">, but it </w:t>
      </w:r>
      <w:r w:rsidR="001B4DC2">
        <w:lastRenderedPageBreak/>
        <w:t xml:space="preserve">is </w:t>
      </w:r>
      <w:r w:rsidR="005F7220">
        <w:t xml:space="preserve">going ahead to </w:t>
      </w:r>
      <w:r w:rsidR="001B4DC2">
        <w:t>creat</w:t>
      </w:r>
      <w:r w:rsidR="005F7220">
        <w:t>e</w:t>
      </w:r>
      <w:r w:rsidR="001B4DC2">
        <w:t xml:space="preserve"> the system so that the data can be downloaded to other applications to facilitate citizen oversight, business development or other analyses.</w:t>
      </w:r>
      <w:r w:rsidR="005F7220">
        <w:t xml:space="preserve">  </w:t>
      </w:r>
    </w:p>
    <w:p w:rsidR="001B4DC2" w:rsidRDefault="0065475D" w:rsidP="006876C6">
      <w:r>
        <w:t xml:space="preserve">The only system </w:t>
      </w:r>
      <w:r w:rsidR="001D4F29">
        <w:t xml:space="preserve">in a developing country with similar resource constraints and </w:t>
      </w:r>
      <w:r>
        <w:t xml:space="preserve">of similar size and complexity known to the reviewer is </w:t>
      </w:r>
      <w:r w:rsidR="001D4F29">
        <w:t>the one</w:t>
      </w:r>
      <w:r>
        <w:t xml:space="preserve"> created by the Urban Unit of the provincial Government of Punjab in Pakistan</w:t>
      </w:r>
      <w:r w:rsidR="00B640B1">
        <w:t xml:space="preserve">.  </w:t>
      </w:r>
      <w:r w:rsidR="001D4F29">
        <w:t>Punjab</w:t>
      </w:r>
      <w:r w:rsidR="00B640B1">
        <w:t xml:space="preserve"> province has 100 million residents</w:t>
      </w:r>
      <w:r w:rsidR="00547753">
        <w:t xml:space="preserve"> located </w:t>
      </w:r>
      <w:r w:rsidR="00333ECA">
        <w:t xml:space="preserve">in </w:t>
      </w:r>
      <w:r w:rsidR="00547753">
        <w:t>205344</w:t>
      </w:r>
      <w:r w:rsidR="00333ECA" w:rsidRPr="00333ECA">
        <w:t>km</w:t>
      </w:r>
      <w:r w:rsidR="00333ECA" w:rsidRPr="00547753">
        <w:rPr>
          <w:vertAlign w:val="superscript"/>
        </w:rPr>
        <w:t>2</w:t>
      </w:r>
      <w:r w:rsidR="00B640B1">
        <w:t>.</w:t>
      </w:r>
      <w:r w:rsidR="00BC6388">
        <w:t xml:space="preserve"> &lt; </w:t>
      </w:r>
      <w:hyperlink r:id="rId14" w:history="1">
        <w:r w:rsidR="00B640B1">
          <w:rPr>
            <w:rStyle w:val="Hyperlink"/>
          </w:rPr>
          <w:t>http://www.urbanunit.gov.pk/pubpublic/pubcomp/56.pdf</w:t>
        </w:r>
      </w:hyperlink>
      <w:r>
        <w:t xml:space="preserve"> </w:t>
      </w:r>
      <w:r w:rsidR="00BC6388">
        <w:t xml:space="preserve"> &gt; </w:t>
      </w:r>
      <w:r>
        <w:t xml:space="preserve">This system has been expanding over the past six years </w:t>
      </w:r>
      <w:r w:rsidR="00B640B1">
        <w:t xml:space="preserve">using only government resources </w:t>
      </w:r>
      <w:r>
        <w:t xml:space="preserve">and is currently experimenting with appropriate mechanisms to enable citizen input to the system.  </w:t>
      </w:r>
      <w:r w:rsidR="00B640B1">
        <w:t xml:space="preserve">A significant difference is that the Punjab system was built initially as a spatial reference system, rather than a textual/numerical database.  </w:t>
      </w:r>
    </w:p>
    <w:p w:rsidR="002C687C" w:rsidRPr="002C687C" w:rsidRDefault="00B640B1" w:rsidP="006876C6">
      <w:r>
        <w:t xml:space="preserve">Another example, of a much smaller scale, despite being national is scope, is the Singapore OneMap system ( </w:t>
      </w:r>
      <w:hyperlink r:id="rId15" w:history="1">
        <w:r>
          <w:rPr>
            <w:rStyle w:val="Hyperlink"/>
          </w:rPr>
          <w:t>http://www.onemap.sg/index.html</w:t>
        </w:r>
      </w:hyperlink>
      <w:r>
        <w:t xml:space="preserve"> ). </w:t>
      </w:r>
      <w:r w:rsidR="002C687C" w:rsidRPr="002C687C">
        <w:t>The Singapore model has already moved into the citizen interactive mode.  I</w:t>
      </w:r>
      <w:r w:rsidR="006F6CE0">
        <w:t>t</w:t>
      </w:r>
      <w:r w:rsidR="002C687C" w:rsidRPr="002C687C">
        <w:t xml:space="preserve"> uses the Road Network and Land Parcels as base layers as these are critical for many citizen and business location queries.  Services are included that let the user query about land information, search for schools, ask about property prices, look for spaces to lease, trace bus routes. There is also a business map and a map showing water levels.  Tools are available so that users can make bookmarks, add their own drawings, and measure distances on the map. Thematic layers are also viewable, organized into information clusters for the community, culture, education, environment, etc.</w:t>
      </w:r>
    </w:p>
    <w:p w:rsidR="009B5D87" w:rsidRDefault="009B5D87" w:rsidP="006876C6">
      <w:r w:rsidRPr="00C83615">
        <w:t xml:space="preserve">One possible opportunity for citizen input in local information management could be to engage the Egyptian </w:t>
      </w:r>
      <w:r w:rsidR="00FA65B8">
        <w:t>Decentralisation</w:t>
      </w:r>
      <w:r w:rsidRPr="00C83615">
        <w:t xml:space="preserve"> Network (EDN) in a parallel mapping activity that could be used </w:t>
      </w:r>
      <w:r w:rsidR="001B4DC2">
        <w:t>to foster citizen use of the MLD database</w:t>
      </w:r>
      <w:r w:rsidR="009705F0">
        <w:t xml:space="preserve">.  NGOs in Egypt </w:t>
      </w:r>
      <w:r w:rsidRPr="00C83615">
        <w:t xml:space="preserve">are </w:t>
      </w:r>
      <w:r w:rsidR="009705F0">
        <w:t xml:space="preserve">already </w:t>
      </w:r>
      <w:r w:rsidRPr="00C83615">
        <w:t xml:space="preserve">experimenting with a variety of Web2.0forDevelopment tools. The website, </w:t>
      </w:r>
      <w:hyperlink r:id="rId16" w:history="1">
        <w:r w:rsidRPr="00C83615">
          <w:rPr>
            <w:rStyle w:val="Hyperlink"/>
          </w:rPr>
          <w:t>http://harassmap.org/</w:t>
        </w:r>
      </w:hyperlink>
      <w:r w:rsidRPr="00C83615">
        <w:t xml:space="preserve">  , is an excellent example of how these tools have already been used in Egypt.  Another example</w:t>
      </w:r>
      <w:r w:rsidR="009705F0">
        <w:t xml:space="preserve"> from Kenya</w:t>
      </w:r>
      <w:r w:rsidRPr="00C83615">
        <w:t xml:space="preserve">, </w:t>
      </w:r>
      <w:hyperlink r:id="rId17" w:history="1">
        <w:r w:rsidRPr="00C83615">
          <w:rPr>
            <w:rStyle w:val="Hyperlink"/>
          </w:rPr>
          <w:t>www.mapkibera.org</w:t>
        </w:r>
      </w:hyperlink>
      <w:r w:rsidRPr="00C83615">
        <w:t xml:space="preserve"> shows how </w:t>
      </w:r>
      <w:r w:rsidR="00BC6388">
        <w:t xml:space="preserve">poor </w:t>
      </w:r>
      <w:r w:rsidRPr="00C83615">
        <w:t>citizen</w:t>
      </w:r>
      <w:r w:rsidR="00BC6388">
        <w:t>s can become fully</w:t>
      </w:r>
      <w:r w:rsidRPr="00C83615">
        <w:t xml:space="preserve"> involve</w:t>
      </w:r>
      <w:r w:rsidR="00BC6388">
        <w:t>d</w:t>
      </w:r>
      <w:r w:rsidRPr="00C83615">
        <w:t xml:space="preserve"> in their own development</w:t>
      </w:r>
      <w:r w:rsidR="00BC6388">
        <w:t>.</w:t>
      </w:r>
      <w:r w:rsidRPr="00C83615">
        <w:t xml:space="preserve"> </w:t>
      </w:r>
    </w:p>
    <w:p w:rsidR="002C687C" w:rsidRPr="002C687C" w:rsidRDefault="009705F0" w:rsidP="006876C6">
      <w:r>
        <w:t xml:space="preserve">There are literally hundreds of </w:t>
      </w:r>
      <w:r w:rsidR="002C687C">
        <w:t>example</w:t>
      </w:r>
      <w:r>
        <w:t>s</w:t>
      </w:r>
      <w:r w:rsidR="002C687C">
        <w:t xml:space="preserve"> </w:t>
      </w:r>
      <w:r w:rsidR="00BC6388" w:rsidRPr="00BC6388">
        <w:t xml:space="preserve">around the world </w:t>
      </w:r>
      <w:r w:rsidR="002C687C">
        <w:t>of government information systems oriented to facilitate citizen engagement</w:t>
      </w:r>
      <w:r>
        <w:t>.</w:t>
      </w:r>
      <w:r w:rsidR="00BC6388">
        <w:t xml:space="preserve">  </w:t>
      </w:r>
      <w:r>
        <w:t>One is</w:t>
      </w:r>
      <w:r w:rsidR="002C687C">
        <w:t xml:space="preserve"> the </w:t>
      </w:r>
      <w:hyperlink r:id="rId18" w:history="1">
        <w:r w:rsidR="002C687C" w:rsidRPr="009705F0">
          <w:rPr>
            <w:rStyle w:val="Hyperlink"/>
          </w:rPr>
          <w:t>www.checkmyschool.org</w:t>
        </w:r>
      </w:hyperlink>
      <w:r w:rsidR="00BC6388">
        <w:t xml:space="preserve"> </w:t>
      </w:r>
      <w:r w:rsidR="008C2456">
        <w:t>activity</w:t>
      </w:r>
      <w:r w:rsidR="002C687C">
        <w:t xml:space="preserve"> in the Philippines deve</w:t>
      </w:r>
      <w:r w:rsidR="002C687C" w:rsidRPr="002C687C">
        <w:t>loped by the Affiliated Network for Social Accountability in South-East Asia, the Ateneo de Manila University, a</w:t>
      </w:r>
      <w:r w:rsidR="002C687C">
        <w:t xml:space="preserve">nd the Department of Education.  The system </w:t>
      </w:r>
      <w:r w:rsidR="002C687C" w:rsidRPr="002C687C">
        <w:t xml:space="preserve">allows anybody to view data about schools from the </w:t>
      </w:r>
      <w:r w:rsidR="002C687C">
        <w:t>government</w:t>
      </w:r>
      <w:r w:rsidR="002C687C" w:rsidRPr="002C687C">
        <w:t xml:space="preserve"> databases and at the same time engages volunteers to send information about schools anywhere in the Philippines. Volunteers may post the location of schools using GPS data and attributes about these schools such as cleanliness, availability of </w:t>
      </w:r>
      <w:r w:rsidR="002C687C">
        <w:t>teachers</w:t>
      </w:r>
      <w:r w:rsidR="002C687C" w:rsidRPr="002C687C">
        <w:t>, etc.  The objective encourages accountability through transparency</w:t>
      </w:r>
      <w:r w:rsidR="002C687C">
        <w:t xml:space="preserve"> and voluntary citizen involvement</w:t>
      </w:r>
      <w:r w:rsidR="002C687C" w:rsidRPr="002C687C">
        <w:t xml:space="preserve">. </w:t>
      </w:r>
    </w:p>
    <w:p w:rsidR="002C687C" w:rsidRPr="002C687C" w:rsidRDefault="002C687C" w:rsidP="006876C6">
      <w:r w:rsidRPr="002C687C">
        <w:t xml:space="preserve">Place-specific information is critical for local economic development.  The Department of Trade and Industry of the Philippines mapped and categorized over 700 tourist sites </w:t>
      </w:r>
      <w:r w:rsidRPr="002C687C">
        <w:lastRenderedPageBreak/>
        <w:t>in the island Province of Bohol</w:t>
      </w:r>
      <w:r>
        <w:t xml:space="preserve"> (</w:t>
      </w:r>
      <w:hyperlink r:id="rId19" w:history="1">
        <w:r>
          <w:rPr>
            <w:rStyle w:val="Hyperlink"/>
          </w:rPr>
          <w:t>http://maps.google.com/maps/ms?msa=0&amp;msid=211552980494073538542.0004a88092dff5dfdd2c9</w:t>
        </w:r>
      </w:hyperlink>
      <w:r>
        <w:t xml:space="preserve">).  </w:t>
      </w:r>
      <w:r w:rsidRPr="002C687C">
        <w:t xml:space="preserve">They used Google Maps and the Samsung Galaxy Tab, running Open Data Kit (ODK) applications. </w:t>
      </w:r>
    </w:p>
    <w:p w:rsidR="002C687C" w:rsidRDefault="002C687C" w:rsidP="006876C6"/>
    <w:p w:rsidR="00D82357" w:rsidRPr="00B0309B" w:rsidRDefault="00104810" w:rsidP="006876C6">
      <w:pPr>
        <w:pStyle w:val="Heading3"/>
      </w:pPr>
      <w:r>
        <w:tab/>
      </w:r>
      <w:bookmarkStart w:id="97" w:name="_Toc300432390"/>
      <w:bookmarkStart w:id="98" w:name="_Toc300433991"/>
      <w:bookmarkStart w:id="99" w:name="_Toc302386989"/>
      <w:r w:rsidR="009B5D87" w:rsidRPr="00B0309B">
        <w:t xml:space="preserve">Capacity </w:t>
      </w:r>
      <w:r w:rsidR="009B5D87" w:rsidRPr="00104810">
        <w:t>Building</w:t>
      </w:r>
      <w:r w:rsidR="009B5D87" w:rsidRPr="00B0309B">
        <w:t xml:space="preserve"> Recommendations</w:t>
      </w:r>
      <w:bookmarkEnd w:id="97"/>
      <w:bookmarkEnd w:id="98"/>
      <w:bookmarkEnd w:id="99"/>
    </w:p>
    <w:p w:rsidR="00DF485C" w:rsidRPr="00C83615" w:rsidRDefault="00DF07B3" w:rsidP="006876C6">
      <w:r>
        <w:t xml:space="preserve">The reviewer did not have an opportunity to visit the Sakkara training </w:t>
      </w:r>
      <w:r w:rsidR="007964A1">
        <w:t>centre</w:t>
      </w:r>
      <w:r>
        <w:t xml:space="preserve"> (a political disturbance cancelled the visit) and all training materials have been prepared in Arabic.  Nevertheless, the fact that over 20,000 individuals have received training is a credit to the organizational capabilities of the DSU.  However, comments received by the reviewer when visiti</w:t>
      </w:r>
      <w:r w:rsidR="001F5B92">
        <w:t>ng the Governorates indicate</w:t>
      </w:r>
      <w:r>
        <w:t xml:space="preserve"> that a review of the training methods may be warranted.  Criticisms were made that the training is too academic in nature and </w:t>
      </w:r>
      <w:r w:rsidR="00894E94">
        <w:t xml:space="preserve">suggested that </w:t>
      </w:r>
      <w:r>
        <w:t>greater emphasis needs to be placed on basic skill building</w:t>
      </w:r>
      <w:r w:rsidR="00894E94">
        <w:t xml:space="preserve"> through a learning-by-</w:t>
      </w:r>
      <w:r>
        <w:t>doing approach.  Modern adult learning techniques (andragogy) place the primary emphasis on engaging adult learners in methods that require them t</w:t>
      </w:r>
      <w:r w:rsidR="007A7077">
        <w:t>o use the tools being presented and to know why learning them</w:t>
      </w:r>
      <w:r w:rsidR="00BC6388">
        <w:t xml:space="preserve"> </w:t>
      </w:r>
      <w:r w:rsidR="007A7077">
        <w:t xml:space="preserve">is of immediate and practical importance to them.  </w:t>
      </w:r>
      <w:r w:rsidR="00894E94">
        <w:t xml:space="preserve">There are </w:t>
      </w:r>
      <w:r w:rsidR="00DF485C">
        <w:t xml:space="preserve">quality adult learning organizations in Egypt that could carry out an </w:t>
      </w:r>
      <w:r w:rsidR="00104810">
        <w:t>assessment</w:t>
      </w:r>
      <w:r w:rsidR="00DF485C">
        <w:t xml:space="preserve"> of the current training methods and materials to ascertain whether the criticism is valid and, if so, to propose appropriate modifications.</w:t>
      </w:r>
      <w:r w:rsidR="00BC6388">
        <w:t xml:space="preserve">  </w:t>
      </w:r>
      <w:r w:rsidR="00DF485C" w:rsidRPr="00C83615">
        <w:t>Training should be expanded to include CSOs/CDAs so they can play an active role in oversight of project implementation now that LPCs have been dissolved.</w:t>
      </w:r>
    </w:p>
    <w:p w:rsidR="00DF485C" w:rsidRDefault="00DF485C" w:rsidP="006876C6"/>
    <w:p w:rsidR="007A7077" w:rsidRDefault="0081225A" w:rsidP="006876C6">
      <w:r w:rsidRPr="00C83615">
        <w:t xml:space="preserve">The </w:t>
      </w:r>
      <w:r>
        <w:t>TS-MLD</w:t>
      </w:r>
      <w:r w:rsidR="00894E94">
        <w:t xml:space="preserve"> G</w:t>
      </w:r>
      <w:r w:rsidRPr="00C83615">
        <w:t xml:space="preserve">overnorate units </w:t>
      </w:r>
      <w:r w:rsidR="007A7077">
        <w:t xml:space="preserve">appear to be providing a valuable service.  Granted that sufficient additional resources can be obtained, this type of unit </w:t>
      </w:r>
      <w:r w:rsidRPr="00C83615">
        <w:t xml:space="preserve">should be expanded </w:t>
      </w:r>
      <w:r w:rsidR="007A7077">
        <w:t>to reach nationwide</w:t>
      </w:r>
      <w:r w:rsidRPr="00C83615">
        <w:t xml:space="preserve"> coverage by </w:t>
      </w:r>
      <w:r w:rsidR="007A7077">
        <w:t xml:space="preserve">the end of 2012.  One suggestion put forward would be to establish units that are responsible for </w:t>
      </w:r>
      <w:r w:rsidR="00894E94">
        <w:t>more than one Governorate</w:t>
      </w:r>
      <w:r w:rsidR="007A7077">
        <w:t xml:space="preserve">.  This can be immediately tested by changing the scope for the three existing units </w:t>
      </w:r>
      <w:r w:rsidR="00894E94">
        <w:t xml:space="preserve">(and adding resources to fund increased </w:t>
      </w:r>
      <w:r w:rsidR="007A7077">
        <w:t xml:space="preserve">operational expenses) to cover neighboring Governorates.  </w:t>
      </w:r>
    </w:p>
    <w:p w:rsidR="00EF6A3C" w:rsidRDefault="00EF6A3C" w:rsidP="006876C6"/>
    <w:p w:rsidR="0081225A" w:rsidRDefault="00801661" w:rsidP="006876C6">
      <w:r>
        <w:t>The difficulty in fostering structural reform in the MLD illustrates that fact that i</w:t>
      </w:r>
      <w:r w:rsidR="0081225A">
        <w:t xml:space="preserve">n order to </w:t>
      </w:r>
      <w:r>
        <w:t xml:space="preserve">accomplish, and </w:t>
      </w:r>
      <w:r w:rsidR="0081225A">
        <w:t>sustain</w:t>
      </w:r>
      <w:r>
        <w:t>,</w:t>
      </w:r>
      <w:r w:rsidR="0081225A">
        <w:t xml:space="preserve"> any change</w:t>
      </w:r>
      <w:r>
        <w:t xml:space="preserve"> at an organization level</w:t>
      </w:r>
      <w:r w:rsidR="0081225A">
        <w:t xml:space="preserve">, the agents who are in direct contact with the citizen, and most of those who back them up, will need to have a sense </w:t>
      </w:r>
      <w:r>
        <w:t xml:space="preserve">that they have been intimately involved in the design of </w:t>
      </w:r>
      <w:r w:rsidR="0081225A">
        <w:t>their new work arrangement</w:t>
      </w:r>
      <w:r>
        <w:t>s</w:t>
      </w:r>
      <w:r w:rsidR="0081225A">
        <w:t xml:space="preserve">.  </w:t>
      </w:r>
      <w:r>
        <w:t>The Public Service Excellence Program (</w:t>
      </w:r>
      <w:r w:rsidR="0081225A">
        <w:t>PSEP</w:t>
      </w:r>
      <w:r>
        <w:t>)</w:t>
      </w:r>
      <w:r w:rsidR="0081225A">
        <w:t xml:space="preserve"> was introduced to Egypt in 2005 as a part of the USAID Education Reform Program (ERP).  At the time, participants observed that PSEP was an important intervention, but that </w:t>
      </w:r>
      <w:r>
        <w:t>it</w:t>
      </w:r>
      <w:r w:rsidR="0081225A">
        <w:t xml:space="preserve"> was quite difficult for government to allow citizens to measure their performance.  </w:t>
      </w:r>
      <w:r>
        <w:t xml:space="preserve">The Egyptian people’s </w:t>
      </w:r>
      <w:r>
        <w:lastRenderedPageBreak/>
        <w:t>movement has provided an opening to address the public service ethics and incentive structures that may allow for the successful introduction of PSEP or any number of other tested programs that focus on broad</w:t>
      </w:r>
      <w:r w:rsidR="001F5B92">
        <w:t>-</w:t>
      </w:r>
      <w:r>
        <w:t>based participation in redefining service structures and rules in order to reduce corruption and improve citizen satisfaction.</w:t>
      </w:r>
    </w:p>
    <w:p w:rsidR="00DF485C" w:rsidRDefault="00DF485C" w:rsidP="006876C6"/>
    <w:p w:rsidR="00894E94" w:rsidRDefault="009B5D87" w:rsidP="006876C6">
      <w:r w:rsidRPr="00C83615">
        <w:t xml:space="preserve">The LDO should continue to place its greatest attention on indicators that have direct impact on public sector behavior.  Meaningful change in service delivery behavior can inform national policy through tangible results.  </w:t>
      </w:r>
      <w:r w:rsidR="00894E94">
        <w:t>The LDO</w:t>
      </w:r>
      <w:r w:rsidRPr="00C83615">
        <w:t xml:space="preserve"> should be linked with the EDN once that is established in order to expand the range of feedback sources.</w:t>
      </w:r>
      <w:r w:rsidR="00894E94">
        <w:t xml:space="preserve">  The </w:t>
      </w:r>
      <w:r w:rsidR="00801661">
        <w:t xml:space="preserve">LDO </w:t>
      </w:r>
      <w:r w:rsidR="00894E94">
        <w:t>intends to start small. This will be important to ensure that the type of data collected will have a meaningful impact on local p</w:t>
      </w:r>
      <w:r w:rsidR="00894E94" w:rsidRPr="00C83615">
        <w:t>erformance</w:t>
      </w:r>
      <w:r w:rsidR="00894E94">
        <w:t xml:space="preserve">.  This should be closely tied to the establishment of </w:t>
      </w:r>
      <w:r w:rsidR="00894E94" w:rsidRPr="00C83615">
        <w:t xml:space="preserve">quality service </w:t>
      </w:r>
      <w:r w:rsidR="00894E94">
        <w:t>standards</w:t>
      </w:r>
      <w:r w:rsidR="00894E94" w:rsidRPr="00C83615">
        <w:t xml:space="preserve">.  The perception of poor service delivery undermines arguments for further </w:t>
      </w:r>
      <w:r w:rsidR="00FA65B8">
        <w:t>decentralisation</w:t>
      </w:r>
      <w:r w:rsidR="00894E94" w:rsidRPr="00C83615">
        <w:t xml:space="preserve">.  The establishment of service standards based on the experience of </w:t>
      </w:r>
      <w:r w:rsidR="00894E94">
        <w:t>the Education Ministry w</w:t>
      </w:r>
      <w:r w:rsidR="00894E94" w:rsidRPr="00C83615">
        <w:t xml:space="preserve">ould be valuable. </w:t>
      </w:r>
      <w:r w:rsidR="00894E94">
        <w:t xml:space="preserve"> Expansion into new Governorates beyond the three pilots should be delayed until the MLD information system and the Local Development </w:t>
      </w:r>
      <w:r w:rsidR="008C2456">
        <w:t>Programme</w:t>
      </w:r>
      <w:r w:rsidR="00894E94">
        <w:t xml:space="preserve"> M&amp;E system are populated with data from the new locations.  This would focus the LDO on analysis of data rather than creation additional data collection systems.</w:t>
      </w:r>
    </w:p>
    <w:p w:rsidR="00DF485C" w:rsidRDefault="00DF485C" w:rsidP="006876C6"/>
    <w:p w:rsidR="00EC050B" w:rsidRDefault="0031685A" w:rsidP="006876C6">
      <w:r>
        <w:t>There is a critical need to c</w:t>
      </w:r>
      <w:r w:rsidR="005B1881">
        <w:t>arry out an external evaluation of the MLD Local Development programs for absolute i</w:t>
      </w:r>
      <w:r w:rsidR="00894E94">
        <w:t xml:space="preserve">mpact and </w:t>
      </w:r>
      <w:r w:rsidR="00916FE2">
        <w:t xml:space="preserve">differential </w:t>
      </w:r>
      <w:r w:rsidR="00894E94">
        <w:t>equity impact</w:t>
      </w:r>
      <w:r w:rsidR="00916FE2">
        <w:t xml:space="preserve"> on men and women</w:t>
      </w:r>
      <w:r>
        <w:t xml:space="preserve">.  </w:t>
      </w:r>
      <w:r w:rsidR="006C3DF6">
        <w:t>Despite the political upheaval, t</w:t>
      </w:r>
      <w:r w:rsidR="00EC050B">
        <w:t xml:space="preserve">he Government has continued to channel substantial funds into the hands of the local administrators.  The people’s movement already forced the removal of the local elected representatives because of the perception of corruption.  </w:t>
      </w:r>
      <w:r w:rsidR="00C6568F" w:rsidRPr="00C6568F">
        <w:t xml:space="preserve">In order to build Parliamentary support for </w:t>
      </w:r>
      <w:r w:rsidR="00FA65B8">
        <w:t>decentralisation</w:t>
      </w:r>
      <w:r w:rsidR="00C6568F" w:rsidRPr="00C6568F">
        <w:t xml:space="preserve">, </w:t>
      </w:r>
      <w:r w:rsidR="00C6568F">
        <w:t>a</w:t>
      </w:r>
      <w:r w:rsidR="00EC050B">
        <w:t>n in</w:t>
      </w:r>
      <w:r w:rsidR="006C3DF6">
        <w:t>-</w:t>
      </w:r>
      <w:r w:rsidR="00EC050B">
        <w:t>depth impact assessment of this ongoing programme is important at this time to assure the incoming Government that its limited resources have actually been used for the benefit of the people.</w:t>
      </w:r>
      <w:r w:rsidR="00275E41">
        <w:t xml:space="preserve">  </w:t>
      </w:r>
      <w:r w:rsidR="00EC050B">
        <w:t xml:space="preserve">  </w:t>
      </w:r>
    </w:p>
    <w:p w:rsidR="00DB705D" w:rsidRPr="00C83615" w:rsidRDefault="00DB705D" w:rsidP="006876C6">
      <w:r>
        <w:t>TS-MLD</w:t>
      </w:r>
      <w:r w:rsidRPr="00C83615">
        <w:t xml:space="preserve"> appears to have missed an opportunity by not engaging more closely in implementation oversight of the </w:t>
      </w:r>
      <w:r>
        <w:t xml:space="preserve">MLD Local Development </w:t>
      </w:r>
      <w:r w:rsidR="008C2456">
        <w:t>programme</w:t>
      </w:r>
      <w:r w:rsidRPr="00C83615">
        <w:t xml:space="preserve"> by </w:t>
      </w:r>
      <w:r>
        <w:t>assisting at least the pilot Governorates to closely monitor</w:t>
      </w:r>
      <w:r w:rsidRPr="00C83615">
        <w:t xml:space="preserve"> the experiences and </w:t>
      </w:r>
      <w:r>
        <w:t>to use</w:t>
      </w:r>
      <w:r w:rsidR="00BC6388">
        <w:t xml:space="preserve"> </w:t>
      </w:r>
      <w:r>
        <w:t xml:space="preserve">the </w:t>
      </w:r>
      <w:r w:rsidRPr="00C83615">
        <w:t xml:space="preserve">knowledge </w:t>
      </w:r>
      <w:r>
        <w:t xml:space="preserve">gained </w:t>
      </w:r>
      <w:r w:rsidRPr="00C83615">
        <w:t xml:space="preserve">to inform </w:t>
      </w:r>
      <w:r>
        <w:t xml:space="preserve">the ongoing </w:t>
      </w:r>
      <w:r w:rsidRPr="00C83615">
        <w:t>policy reform</w:t>
      </w:r>
      <w:r>
        <w:t xml:space="preserve"> efforts</w:t>
      </w:r>
      <w:r w:rsidRPr="00C83615">
        <w:t xml:space="preserve">. There is little or no documentation available to an external reviewer of changes in peoples’ lives as a result of </w:t>
      </w:r>
      <w:r w:rsidR="002F02A0" w:rsidRPr="00C83615">
        <w:t xml:space="preserve">the </w:t>
      </w:r>
      <w:r w:rsidR="002F02A0">
        <w:t>three</w:t>
      </w:r>
      <w:r w:rsidR="00BA3FFF">
        <w:t>-</w:t>
      </w:r>
      <w:r w:rsidRPr="00C83615">
        <w:t xml:space="preserve">year </w:t>
      </w:r>
      <w:r w:rsidR="00BC6388">
        <w:t xml:space="preserve">old </w:t>
      </w:r>
      <w:r w:rsidRPr="00C83615">
        <w:t xml:space="preserve">Local Development </w:t>
      </w:r>
      <w:r w:rsidR="008C2456">
        <w:t>programme</w:t>
      </w:r>
      <w:r w:rsidRPr="00C83615">
        <w:t>.</w:t>
      </w:r>
    </w:p>
    <w:p w:rsidR="005B1881" w:rsidRDefault="0031685A" w:rsidP="006876C6">
      <w:r>
        <w:t>The DSU M&amp;E specialist mentioned that an impact study would be initiated in December.  UNDP should ensure that this is designed with specific regards to the needs of women and children.</w:t>
      </w:r>
      <w:r w:rsidR="00894E94">
        <w:t xml:space="preserve">  In addition, UNDP should discuss the M&amp;E system with the World Bank so that the SOW can be expanded to ensure proper involvement of citizens </w:t>
      </w:r>
      <w:r w:rsidR="00894E94">
        <w:lastRenderedPageBreak/>
        <w:t>in its design and to add geocoding of project information so that patterns can be tracked spatially.</w:t>
      </w:r>
    </w:p>
    <w:p w:rsidR="00DF485C" w:rsidRDefault="00DF485C" w:rsidP="006876C6"/>
    <w:p w:rsidR="009B5D87" w:rsidRDefault="00DF485C" w:rsidP="006876C6">
      <w:r>
        <w:t xml:space="preserve">There is a serious need for a forum that is led by civil society to press for the creation of an open, democratic and empowered system of local governance.  This will require the engagement of citizens, politicians, bureaucrats, academic and donors.  </w:t>
      </w:r>
      <w:r w:rsidR="009B5D87" w:rsidRPr="00C83615">
        <w:t xml:space="preserve">The Egyptian </w:t>
      </w:r>
      <w:r w:rsidR="00FA65B8">
        <w:t>Decentralisation</w:t>
      </w:r>
      <w:r w:rsidR="009B5D87" w:rsidRPr="00C83615">
        <w:t xml:space="preserve"> Network (EDN) </w:t>
      </w:r>
      <w:r>
        <w:t xml:space="preserve">may be the appropriate vehicle to foster such a targeted consensus building effort.  The EDN has already been included </w:t>
      </w:r>
      <w:r w:rsidR="009B5D87" w:rsidRPr="00C83615">
        <w:t xml:space="preserve">in the 2011 AWP.  A mechanism should to be devised to provide a grant for the establishment and minimal operational expenses of the EDN in 2011.  Perhaps </w:t>
      </w:r>
      <w:r w:rsidR="00A94E04">
        <w:t>an option would be</w:t>
      </w:r>
      <w:r w:rsidR="009B5D87" w:rsidRPr="00C83615">
        <w:t xml:space="preserve"> to initiate the EDN through a non-MLD mechanism in order to avoid the creation of any moral hazard</w:t>
      </w:r>
      <w:r w:rsidR="0031685A">
        <w:t xml:space="preserve"> since one of the </w:t>
      </w:r>
      <w:r>
        <w:t>stated</w:t>
      </w:r>
      <w:r w:rsidR="0031685A">
        <w:t xml:space="preserve"> functions of the EDN is to monitor the utility of the work of the DSU</w:t>
      </w:r>
      <w:r w:rsidR="009B5D87" w:rsidRPr="00C83615">
        <w:t xml:space="preserve">.  If a decision is made to seek an alternative home for the EDN, perhaps funding could be added to the Social Contract Centre project, rather than the </w:t>
      </w:r>
      <w:r w:rsidR="00006BF0">
        <w:t>TS-MLD</w:t>
      </w:r>
      <w:r w:rsidR="009B5D87" w:rsidRPr="00C83615">
        <w:t>, to provide a sub-grant to the EDN.</w:t>
      </w:r>
    </w:p>
    <w:p w:rsidR="0078252E" w:rsidRDefault="0078252E" w:rsidP="006876C6">
      <w:r>
        <w:t xml:space="preserve">The reinstatement of one of the articles of the recently abrogated 1971 constitution that could aid in enhancing the functionality of the EDN is article 28, which authorizes citizens to share in the administration of public projects.  This is the article that enabled the Ministry of Education to establish the school Boards of Trustees.  This article, or a similar enabling authority, will be needed to facilitate EDN </w:t>
      </w:r>
      <w:r w:rsidR="00547753">
        <w:t>members’</w:t>
      </w:r>
      <w:r>
        <w:t xml:space="preserve"> access to government information.  Otherwise, given the 60+ year history of government secrecy and operating in a social environment that gave no spac</w:t>
      </w:r>
      <w:r w:rsidR="00547753">
        <w:t>e to the</w:t>
      </w:r>
      <w:r w:rsidR="001F5B92">
        <w:t xml:space="preserve"> legitimate associational </w:t>
      </w:r>
      <w:r>
        <w:t>aspects of life, EDN may be viewed as merely a bothersome interloper by government agencies at all levels</w:t>
      </w:r>
    </w:p>
    <w:p w:rsidR="0078252E" w:rsidRDefault="0078252E" w:rsidP="006876C6"/>
    <w:p w:rsidR="00E26CC7" w:rsidRDefault="00DF485C" w:rsidP="006876C6">
      <w:r>
        <w:t xml:space="preserve">Prof. Heba Handossa said that she is seeking good ways to improve the ability of citizens to voice their concerns.  </w:t>
      </w:r>
      <w:r w:rsidR="0031685A">
        <w:t>The use of Web2</w:t>
      </w:r>
      <w:r w:rsidR="00E26CC7">
        <w:t>forDev tools can rapidly increase the ability of ordinary citizens to have their voice heard</w:t>
      </w:r>
      <w:r>
        <w:t xml:space="preserve"> and for their individual voices to be aggregated to indicate trends and spatial variation</w:t>
      </w:r>
      <w:r w:rsidR="00E26CC7">
        <w:t xml:space="preserve">.  </w:t>
      </w:r>
      <w:r w:rsidR="0031685A" w:rsidRPr="00DF07B3">
        <w:t xml:space="preserve">Web2forDev is an abbreviation for Participatory Web 2.0 for development.  Web 2.0 refers to the interactive nature of modern websites, particularly those associated with social media.  Web2forDev is an uncoordinated collection of internet applications that are designed to improve information sharing among people who are interested to create an information based that is useful </w:t>
      </w:r>
      <w:r w:rsidR="00DF07B3" w:rsidRPr="00DF07B3">
        <w:t>to facilitate collaborate on identifying and employing solutions to</w:t>
      </w:r>
      <w:r w:rsidR="001F5B92">
        <w:t xml:space="preserve"> common problems.  Many Web2for</w:t>
      </w:r>
      <w:r w:rsidR="00DF07B3" w:rsidRPr="00DF07B3">
        <w:t>Dev application</w:t>
      </w:r>
      <w:r w:rsidR="001F5B92">
        <w:t>s</w:t>
      </w:r>
      <w:r w:rsidR="00DF07B3" w:rsidRPr="00DF07B3">
        <w:t xml:space="preserve"> combine the use of mapping and text messaging to generate</w:t>
      </w:r>
      <w:r w:rsidR="0031685A" w:rsidRPr="00DF07B3">
        <w:t>,</w:t>
      </w:r>
      <w:r w:rsidR="00DF07B3" w:rsidRPr="00DF07B3">
        <w:t xml:space="preserve"> combine and correct data </w:t>
      </w:r>
      <w:r w:rsidR="0031685A" w:rsidRPr="00DF07B3">
        <w:t xml:space="preserve">in order to </w:t>
      </w:r>
      <w:r w:rsidR="00DF07B3" w:rsidRPr="00DF07B3">
        <w:t xml:space="preserve">continuously improve the validity of the system.  </w:t>
      </w:r>
      <w:r w:rsidR="00E26CC7">
        <w:t>There are several web-based text message aggrega</w:t>
      </w:r>
      <w:r w:rsidR="00CA56E0">
        <w:t xml:space="preserve">tors that are </w:t>
      </w:r>
      <w:r w:rsidR="00CA56E0">
        <w:lastRenderedPageBreak/>
        <w:t xml:space="preserve">in use in Egypt, with the </w:t>
      </w:r>
      <w:r w:rsidR="00CA56E0" w:rsidRPr="00CA56E0">
        <w:rPr>
          <w:rStyle w:val="Hyperlink"/>
        </w:rPr>
        <w:t>h</w:t>
      </w:r>
      <w:r w:rsidR="00E26CC7" w:rsidRPr="00CA56E0">
        <w:rPr>
          <w:rStyle w:val="Hyperlink"/>
        </w:rPr>
        <w:t>arassmap</w:t>
      </w:r>
      <w:r w:rsidR="00CA56E0" w:rsidRPr="00CA56E0">
        <w:rPr>
          <w:rStyle w:val="Hyperlink"/>
        </w:rPr>
        <w:t>.org</w:t>
      </w:r>
      <w:r w:rsidR="00275E41">
        <w:rPr>
          <w:rStyle w:val="Hyperlink"/>
        </w:rPr>
        <w:t xml:space="preserve"> </w:t>
      </w:r>
      <w:r w:rsidR="00BC6388">
        <w:rPr>
          <w:rStyle w:val="Hyperlink"/>
        </w:rPr>
        <w:t xml:space="preserve"> </w:t>
      </w:r>
      <w:r w:rsidR="00A558A3">
        <w:t xml:space="preserve">gathering text message data on sexual harassment in Cairo </w:t>
      </w:r>
      <w:r w:rsidR="00CA56E0">
        <w:t xml:space="preserve">as </w:t>
      </w:r>
      <w:r w:rsidR="00E26CC7">
        <w:t>one example.</w:t>
      </w:r>
      <w:r w:rsidR="00275E41">
        <w:rPr>
          <w:rStyle w:val="FootnoteReference"/>
        </w:rPr>
        <w:footnoteReference w:id="6"/>
      </w:r>
      <w:r w:rsidR="00E26CC7">
        <w:t xml:space="preserve">  These tools (mostly using Ushahidi as the core application) have been tested in a number of situations to rapidly aggregate text comments about disasters, elections an</w:t>
      </w:r>
      <w:r w:rsidR="00DF07B3">
        <w:t>d ongoing phenomena.  The EDN c</w:t>
      </w:r>
      <w:r w:rsidR="00E26CC7">
        <w:t xml:space="preserve">ould </w:t>
      </w:r>
      <w:r w:rsidR="00DF07B3">
        <w:t>easily</w:t>
      </w:r>
      <w:r w:rsidR="00E26CC7">
        <w:t xml:space="preserve"> have access to such tools as their cost is minimal</w:t>
      </w:r>
      <w:r w:rsidR="00DF07B3">
        <w:t>,</w:t>
      </w:r>
      <w:r w:rsidR="00BC6388">
        <w:t xml:space="preserve"> </w:t>
      </w:r>
      <w:r w:rsidR="00DF07B3">
        <w:t>yet</w:t>
      </w:r>
      <w:r w:rsidR="00E26CC7">
        <w:t xml:space="preserve"> their impact can be exponential.</w:t>
      </w:r>
    </w:p>
    <w:p w:rsidR="00CA56E0" w:rsidRPr="00CA56E0" w:rsidRDefault="00CA56E0" w:rsidP="006876C6">
      <w:r w:rsidRPr="00CA56E0">
        <w:t>Ushahidi is the Kenyan word for “witness”.  It is also a web service that was created by Kenyan programmers to help monitor a key election in their country a few years back.  Back then users of the information could post notices on the web about election incidents such as vote-buying, intimidation, ballot-snatching or violence. The posts were marked on an online map so everybody could see what was happening where. It became a way of providing information to Kenyans, to the international election monitoring teams, to accountable officials, and to the rest of the world, that could not be tampered with nor censored. It became, indeed, a platform for witnessing.</w:t>
      </w:r>
    </w:p>
    <w:p w:rsidR="00CA56E0" w:rsidRPr="00CA56E0" w:rsidRDefault="00CA56E0" w:rsidP="006876C6">
      <w:r w:rsidRPr="00CA56E0">
        <w:t>Ushahidi was used in other events in other countries, including the post-earthquake relief activities in Haiti.</w:t>
      </w:r>
    </w:p>
    <w:p w:rsidR="00CA56E0" w:rsidRPr="00CA56E0" w:rsidRDefault="00CA56E0" w:rsidP="006876C6">
      <w:r w:rsidRPr="00CA56E0">
        <w:t xml:space="preserve">Crowdmap is a version of Ushahidi that is made available for other users. In the same way that a user creates an email account to send or receive email, a user can create a Crowdmap account to create a “deployment” of a mapping application. Users can map what they will, or share their account with others to map items of common interest. </w:t>
      </w:r>
    </w:p>
    <w:p w:rsidR="00CA56E0" w:rsidRPr="00CA56E0" w:rsidRDefault="00CA56E0" w:rsidP="006876C6">
      <w:r w:rsidRPr="00CA56E0">
        <w:t xml:space="preserve">OpenStreetMap is an international “wiki” map.  It is similar to Crowdmap in that it can be accessed online, users can register to use it, and registered users can add features to the map.  For either technology, a single user or a community of users can create maps covering their own interests. </w:t>
      </w:r>
    </w:p>
    <w:p w:rsidR="00CA56E0" w:rsidRPr="00CA56E0" w:rsidRDefault="00CA56E0" w:rsidP="006876C6">
      <w:r w:rsidRPr="00CA56E0">
        <w:t>Crowdmap, OpenStreetMap and similar web services provide an alternative to expensive GIS software. Moreover, they are online services so they can be used by anybody in the community with an Internet connection</w:t>
      </w:r>
      <w:r w:rsidR="00A558A3">
        <w:t>, which the MLD information System is greatly expanding</w:t>
      </w:r>
      <w:r w:rsidRPr="00CA56E0">
        <w:t>. Some level of administrative supervision may be needed to enforce civility and validate some data, but to a large extent use of the technologies is free not only in terms of cost but also in terms of access.</w:t>
      </w:r>
    </w:p>
    <w:p w:rsidR="005B1881" w:rsidRPr="00C83615" w:rsidRDefault="005B1881" w:rsidP="006876C6"/>
    <w:p w:rsidR="009B5D87" w:rsidRPr="00C83615" w:rsidRDefault="00104810" w:rsidP="006876C6">
      <w:pPr>
        <w:pStyle w:val="Heading3"/>
      </w:pPr>
      <w:r>
        <w:lastRenderedPageBreak/>
        <w:tab/>
      </w:r>
      <w:bookmarkStart w:id="100" w:name="_Toc300432391"/>
      <w:bookmarkStart w:id="101" w:name="_Toc300433992"/>
      <w:bookmarkStart w:id="102" w:name="_Toc302386990"/>
      <w:r w:rsidR="009B5D87" w:rsidRPr="00C83615">
        <w:t>Programme Management</w:t>
      </w:r>
      <w:r w:rsidR="00D82357">
        <w:t xml:space="preserve"> Recommendations</w:t>
      </w:r>
      <w:bookmarkEnd w:id="100"/>
      <w:bookmarkEnd w:id="101"/>
      <w:bookmarkEnd w:id="102"/>
    </w:p>
    <w:p w:rsidR="009B5D87" w:rsidRDefault="009B5D87" w:rsidP="006876C6">
      <w:r w:rsidRPr="00C83615">
        <w:t>The project needs to be brought under UNDP standard, preferably PRINCE2, project management methods</w:t>
      </w:r>
      <w:r w:rsidR="00D466D9">
        <w:t xml:space="preserve"> (which are readily available through UNDP training services)</w:t>
      </w:r>
      <w:r w:rsidRPr="00C83615">
        <w:t>.  In particular, establishing (and regularly convening) a formal Project Board will reduce some of the complaints that project decision making is ad hoc and without clear authorization.  The project also requires significantly improved document configuration, product design, quality control and risk assessment incorporated in its standard operating practices.</w:t>
      </w:r>
    </w:p>
    <w:p w:rsidR="00DB705D" w:rsidRPr="00C83615" w:rsidRDefault="00D05A7F" w:rsidP="006876C6">
      <w:r>
        <w:t>The DSU should be guided to prepare a new Business Case for TS-MLD to bring it in line with the current political environment</w:t>
      </w:r>
      <w:r w:rsidR="00DB705D">
        <w:t xml:space="preserve"> and formally establish</w:t>
      </w:r>
      <w:r w:rsidR="00DB705D" w:rsidRPr="00C83615">
        <w:t xml:space="preserve"> a new project direction along the lines mentioned above.  Once cleared by the Project Board, this note could then be used as a sales piece to engender donor and GOE buy in</w:t>
      </w:r>
      <w:r w:rsidR="00DB705D">
        <w:t xml:space="preserve"> to an expanded mandate</w:t>
      </w:r>
      <w:r w:rsidR="00DB705D" w:rsidRPr="00C83615">
        <w:t>.</w:t>
      </w:r>
    </w:p>
    <w:p w:rsidR="009B5D87" w:rsidRDefault="00D05A7F" w:rsidP="006876C6">
      <w:r>
        <w:t>A</w:t>
      </w:r>
      <w:r w:rsidR="009B5D87" w:rsidRPr="00C83615">
        <w:t xml:space="preserve"> formal Project Board </w:t>
      </w:r>
      <w:r>
        <w:t xml:space="preserve">needs to be established and convened as soon as possible. </w:t>
      </w:r>
      <w:r w:rsidR="00EC050B">
        <w:t>Hopefully, the MLD Minister who was appointed during the time of this review will be willing and able to assist UNDP in establishing this critical</w:t>
      </w:r>
      <w:r w:rsidR="006C3DF6">
        <w:t xml:space="preserve"> process.</w:t>
      </w:r>
      <w:r>
        <w:t xml:space="preserve"> The AWP for 2011 is being implemented, and modified, without reference to Project Board approval.</w:t>
      </w:r>
      <w:r w:rsidR="009B5D87" w:rsidRPr="00C83615">
        <w:t xml:space="preserve"> Attempt to get Deputy PM as Senio</w:t>
      </w:r>
      <w:r>
        <w:t>r User on the Board, but keep</w:t>
      </w:r>
      <w:r w:rsidR="009B5D87" w:rsidRPr="00C83615">
        <w:t xml:space="preserve"> the MLD Minister as the Project Executive.</w:t>
      </w:r>
      <w:r w:rsidR="00AC2475">
        <w:t xml:space="preserve">  The senior individuals selected as members of the Project Board must be the individuals who can attend its meeting.  There is no purpose to have a Project Board if the members do not attend.  It is highly inappropriate for UNDP to suggest that Board members select a junior person to represent them </w:t>
      </w:r>
      <w:r w:rsidR="00A81B2F">
        <w:t xml:space="preserve">in order </w:t>
      </w:r>
      <w:r w:rsidR="00AC2475">
        <w:t xml:space="preserve">to </w:t>
      </w:r>
      <w:r w:rsidR="00A81B2F">
        <w:t xml:space="preserve">ensure </w:t>
      </w:r>
      <w:r w:rsidR="00AC2475">
        <w:t>the meetings</w:t>
      </w:r>
      <w:r w:rsidR="00A81B2F">
        <w:t xml:space="preserve"> happen according to schedule</w:t>
      </w:r>
      <w:r w:rsidR="006C3DF6">
        <w:rPr>
          <w:rStyle w:val="FootnoteReference"/>
        </w:rPr>
        <w:footnoteReference w:id="7"/>
      </w:r>
      <w:r w:rsidR="00AC2475">
        <w:t>.  It is more appropriate for UNDP to spend the extra effort to ensure that the Board members are fully briefed and prepared for the meetings and that they perceive these meetings as an item of high importance on their agendas.</w:t>
      </w:r>
    </w:p>
    <w:p w:rsidR="00D05A7F" w:rsidRPr="00C83615" w:rsidRDefault="00D05A7F" w:rsidP="006876C6">
      <w:r>
        <w:t xml:space="preserve">An MLD functionary </w:t>
      </w:r>
      <w:r w:rsidR="00275E41">
        <w:t xml:space="preserve">has apparently </w:t>
      </w:r>
      <w:r w:rsidR="002F02A0">
        <w:t>been identified</w:t>
      </w:r>
      <w:r>
        <w:t xml:space="preserve"> by the Minister to serve as the NPD.  This is </w:t>
      </w:r>
      <w:r w:rsidR="009473C4">
        <w:t xml:space="preserve">a good move as the NPD is </w:t>
      </w:r>
      <w:r>
        <w:t xml:space="preserve">not a ministerial function.  </w:t>
      </w:r>
    </w:p>
    <w:p w:rsidR="00386773" w:rsidRDefault="00FD46D9" w:rsidP="006876C6">
      <w:r>
        <w:t xml:space="preserve">TS-MLD appears to be in a serious funding crunch.  </w:t>
      </w:r>
      <w:r w:rsidR="00D05A7F">
        <w:t xml:space="preserve">UNDP should </w:t>
      </w:r>
      <w:r>
        <w:t xml:space="preserve">immediately </w:t>
      </w:r>
      <w:r w:rsidR="00D05A7F">
        <w:t>investigate the possibility of preparing an unsolicited proposal to obtain a Public International Organization (PIO) grant from the USAID ‘transitional democracy funds”.  Reference was made</w:t>
      </w:r>
      <w:r>
        <w:t xml:space="preserve"> by USAID</w:t>
      </w:r>
      <w:r w:rsidR="00D05A7F">
        <w:t xml:space="preserve"> to a fund of $65 million.   </w:t>
      </w:r>
    </w:p>
    <w:p w:rsidR="009B5D87" w:rsidRDefault="00FD46D9" w:rsidP="006876C6">
      <w:r>
        <w:t xml:space="preserve">(unsolicited proposals guidelines </w:t>
      </w:r>
      <w:hyperlink r:id="rId20" w:history="1">
        <w:r>
          <w:rPr>
            <w:rStyle w:val="Hyperlink"/>
          </w:rPr>
          <w:t>http://www.usaid.gov/policy/ads/300/302map.pdf</w:t>
        </w:r>
      </w:hyperlink>
      <w:r>
        <w:t xml:space="preserve"> ;                PIO grants </w:t>
      </w:r>
      <w:hyperlink r:id="rId21" w:history="1">
        <w:r>
          <w:rPr>
            <w:rStyle w:val="Hyperlink"/>
          </w:rPr>
          <w:t>http://www.usaid.gov/policy/ads/300/308.pdf</w:t>
        </w:r>
      </w:hyperlink>
      <w:r>
        <w:t xml:space="preserve"> )</w:t>
      </w:r>
    </w:p>
    <w:p w:rsidR="00FD46D9" w:rsidRPr="00FD46D9" w:rsidRDefault="00FD46D9" w:rsidP="006876C6"/>
    <w:p w:rsidR="00D82357" w:rsidRDefault="00FD46D9" w:rsidP="006876C6">
      <w:r>
        <w:lastRenderedPageBreak/>
        <w:t xml:space="preserve">UNDP has a complicated set of procurement procedures.  As much as possible, the project should be assisted to reduce the time and effort required to obtain needed equipment and technical services.  </w:t>
      </w:r>
      <w:r w:rsidR="00D82357">
        <w:t xml:space="preserve">As requested by the </w:t>
      </w:r>
      <w:r>
        <w:t xml:space="preserve">MLD </w:t>
      </w:r>
      <w:r w:rsidR="00D82357">
        <w:t>IT Department chief, the</w:t>
      </w:r>
      <w:r w:rsidR="00D82357" w:rsidRPr="00C83615">
        <w:t xml:space="preserve"> complex nature of IT procurement should be </w:t>
      </w:r>
      <w:r>
        <w:t>recognized and greater use made of</w:t>
      </w:r>
      <w:r w:rsidR="00BA3FFF">
        <w:t xml:space="preserve"> </w:t>
      </w:r>
      <w:r w:rsidR="00D82357">
        <w:t xml:space="preserve">mechanisms such as pre-bid </w:t>
      </w:r>
      <w:r w:rsidR="00D82357" w:rsidRPr="00C83615">
        <w:t xml:space="preserve">Expressions of Interest </w:t>
      </w:r>
      <w:r w:rsidR="00D82357">
        <w:t>to</w:t>
      </w:r>
      <w:r w:rsidR="00D82357" w:rsidRPr="00C83615">
        <w:t xml:space="preserve"> enable the </w:t>
      </w:r>
      <w:r w:rsidR="00D82357">
        <w:t>project teams</w:t>
      </w:r>
      <w:r w:rsidR="00D82357" w:rsidRPr="00C83615">
        <w:t xml:space="preserve"> to dialog with vendors in order to understand their approaches, products and capabilities </w:t>
      </w:r>
      <w:r w:rsidR="00D82357">
        <w:t xml:space="preserve">more completely </w:t>
      </w:r>
      <w:r w:rsidR="00D82357" w:rsidRPr="00C83615">
        <w:t xml:space="preserve">before issuing a formal tender notice and receiving </w:t>
      </w:r>
      <w:r w:rsidR="00D82357">
        <w:t xml:space="preserve">firm price </w:t>
      </w:r>
      <w:r w:rsidR="00D82357" w:rsidRPr="00C83615">
        <w:t>bids.</w:t>
      </w:r>
    </w:p>
    <w:p w:rsidR="00FD46D9" w:rsidRPr="00C83615" w:rsidRDefault="00FD46D9" w:rsidP="006876C6">
      <w:r>
        <w:t xml:space="preserve">UNDP needs to ensure that </w:t>
      </w:r>
      <w:r w:rsidRPr="00C83615">
        <w:t>DSU develop an affirmative action gender policy to mainstream gender in all components/activities of DSU</w:t>
      </w:r>
      <w:r>
        <w:t xml:space="preserve"> and to ensure that gender issues are brought to the forefront in all dialogues on the nature of a future </w:t>
      </w:r>
      <w:r w:rsidR="00C0590B">
        <w:t>sub-national</w:t>
      </w:r>
      <w:r>
        <w:t xml:space="preserve"> governance framework. </w:t>
      </w:r>
      <w:r w:rsidR="00020DFE">
        <w:rPr>
          <w:rStyle w:val="FootnoteReference"/>
        </w:rPr>
        <w:footnoteReference w:id="8"/>
      </w:r>
      <w:r>
        <w:t xml:space="preserve"> </w:t>
      </w:r>
    </w:p>
    <w:p w:rsidR="008F432E" w:rsidRDefault="008F432E">
      <w:pPr>
        <w:autoSpaceDE/>
        <w:autoSpaceDN/>
        <w:adjustRightInd/>
        <w:spacing w:after="0"/>
        <w:rPr>
          <w:rFonts w:ascii="Arial" w:eastAsia="Calibri" w:hAnsi="Arial" w:cs="Times New Roman"/>
          <w:b/>
          <w:color w:val="auto"/>
          <w:sz w:val="32"/>
        </w:rPr>
      </w:pPr>
      <w:bookmarkStart w:id="103" w:name="_Toc300432392"/>
      <w:bookmarkStart w:id="104" w:name="_Toc300433993"/>
      <w:bookmarkStart w:id="105" w:name="_Toc300434997"/>
      <w:bookmarkStart w:id="106" w:name="_Toc302386991"/>
      <w:r>
        <w:br w:type="page"/>
      </w:r>
    </w:p>
    <w:p w:rsidR="002D00BD" w:rsidRPr="00104810" w:rsidRDefault="009C0729" w:rsidP="0062529A">
      <w:pPr>
        <w:pStyle w:val="Heading1"/>
      </w:pPr>
      <w:r>
        <w:lastRenderedPageBreak/>
        <w:t xml:space="preserve">F   </w:t>
      </w:r>
      <w:r w:rsidR="00104810">
        <w:t>Principles of Local Governance</w:t>
      </w:r>
      <w:bookmarkEnd w:id="103"/>
      <w:bookmarkEnd w:id="104"/>
      <w:bookmarkEnd w:id="105"/>
      <w:bookmarkEnd w:id="106"/>
    </w:p>
    <w:p w:rsidR="001212A4" w:rsidRPr="00C9586B" w:rsidRDefault="001212A4" w:rsidP="001212A4">
      <w:pPr>
        <w:rPr>
          <w:sz w:val="18"/>
          <w:szCs w:val="18"/>
        </w:rPr>
      </w:pPr>
      <w:r w:rsidRPr="00C9586B">
        <w:rPr>
          <w:sz w:val="18"/>
          <w:szCs w:val="18"/>
        </w:rPr>
        <w:t xml:space="preserve">“The 1971 constitution recognizes the need for </w:t>
      </w:r>
      <w:r w:rsidR="00FA65B8">
        <w:rPr>
          <w:sz w:val="18"/>
          <w:szCs w:val="18"/>
        </w:rPr>
        <w:t>decentralisation</w:t>
      </w:r>
      <w:r w:rsidRPr="00C9586B">
        <w:rPr>
          <w:sz w:val="18"/>
          <w:szCs w:val="18"/>
        </w:rPr>
        <w:t>, and calls upon the government to transfer authority to local councils which are directly elected by local communities. Since the first unified code for local administration of 1960, several laws have been initiated and enacted, with the purpose of improving the performance of local administration. Nevertheless, local communities, as well as the general public, show very low standards of trust in and support for local authorities. Corruption, mal</w:t>
      </w:r>
      <w:r w:rsidR="00D25413">
        <w:rPr>
          <w:sz w:val="18"/>
          <w:szCs w:val="18"/>
        </w:rPr>
        <w:t>-</w:t>
      </w:r>
      <w:r w:rsidRPr="00C9586B">
        <w:rPr>
          <w:sz w:val="18"/>
          <w:szCs w:val="18"/>
        </w:rPr>
        <w:t>management, and lack of power are the most common factors influencing the public perception of local administration. In addition, the "system" of local administration is itself too complicated and less conducive to effective operation and assessment.</w:t>
      </w:r>
    </w:p>
    <w:p w:rsidR="001212A4" w:rsidRPr="00C9586B" w:rsidRDefault="001212A4" w:rsidP="001212A4">
      <w:pPr>
        <w:rPr>
          <w:sz w:val="18"/>
          <w:szCs w:val="18"/>
        </w:rPr>
      </w:pPr>
      <w:r w:rsidRPr="00C9586B">
        <w:rPr>
          <w:sz w:val="18"/>
          <w:szCs w:val="18"/>
        </w:rPr>
        <w:t>All local units are supplementary agencies helping the central government to conduct public policies at local levels.  Each local unit has an elected council and an executive appointed by the central government, and holds almost all sorts of power at local level, thus leaving the elected members unable to make and implement locally made policies. Voters are requested to elect tiers of those "LPCs", from village to districts and governorate. Because of its complexity and with regard to high rates of illiteracy, local elections cannot be seen as an effective tool for representative democracy. On the other hand, the lack of power of local councils and poor performance of local officials "the executives" challenge the concept of participatory democracy at local level.”</w:t>
      </w:r>
    </w:p>
    <w:p w:rsidR="001212A4" w:rsidRDefault="001212A4" w:rsidP="001212A4">
      <w:pPr>
        <w:jc w:val="right"/>
        <w:rPr>
          <w:sz w:val="18"/>
          <w:szCs w:val="18"/>
        </w:rPr>
      </w:pPr>
      <w:r w:rsidRPr="00C9586B">
        <w:rPr>
          <w:sz w:val="18"/>
          <w:szCs w:val="18"/>
        </w:rPr>
        <w:t>State of Local Democracy in Egypt,  IDEA, 2009.</w:t>
      </w:r>
    </w:p>
    <w:p w:rsidR="001212A4" w:rsidRPr="002F73FD" w:rsidRDefault="001212A4" w:rsidP="001212A4">
      <w:pPr>
        <w:pStyle w:val="Vanligtekst"/>
        <w:rPr>
          <w:rFonts w:ascii="Calibri" w:eastAsia="Calibri" w:hAnsi="Calibri"/>
          <w:sz w:val="18"/>
          <w:szCs w:val="18"/>
          <w:lang w:val="en-US"/>
        </w:rPr>
      </w:pPr>
      <w:r w:rsidRPr="002F73FD">
        <w:rPr>
          <w:rFonts w:ascii="Calibri" w:eastAsia="Calibri" w:hAnsi="Calibri"/>
          <w:sz w:val="18"/>
          <w:szCs w:val="18"/>
          <w:lang w:val="en-US"/>
        </w:rPr>
        <w:t>“Support to decentralisation is not necessarily an effective tool in poverty alleviation…Given the various options available for donors to affect the poverty orientation of decentralisation processes it is difficult to see that these options have been fully utilised…Although some donor programmes have a clear poverty focus, there is little programme output to demonstrate that the support has had a significant bearing on pro-poor decentralisation.”</w:t>
      </w:r>
    </w:p>
    <w:p w:rsidR="001212A4" w:rsidRPr="002F73FD" w:rsidRDefault="001212A4" w:rsidP="00D25413">
      <w:pPr>
        <w:spacing w:after="0"/>
        <w:jc w:val="right"/>
        <w:rPr>
          <w:sz w:val="18"/>
          <w:szCs w:val="18"/>
        </w:rPr>
      </w:pPr>
      <w:r w:rsidRPr="002F73FD">
        <w:rPr>
          <w:sz w:val="18"/>
          <w:szCs w:val="18"/>
        </w:rPr>
        <w:t>DAC Working Party on Aid Evaluation</w:t>
      </w:r>
    </w:p>
    <w:p w:rsidR="001212A4" w:rsidRPr="002F73FD" w:rsidRDefault="001212A4" w:rsidP="00D25413">
      <w:pPr>
        <w:spacing w:after="0"/>
        <w:jc w:val="right"/>
        <w:rPr>
          <w:sz w:val="18"/>
          <w:szCs w:val="18"/>
        </w:rPr>
      </w:pPr>
      <w:r w:rsidRPr="002F73FD">
        <w:rPr>
          <w:sz w:val="18"/>
          <w:szCs w:val="18"/>
        </w:rPr>
        <w:t xml:space="preserve">Workshop on Donor experiences in Supporting Decentralisation and Local Governance: </w:t>
      </w:r>
    </w:p>
    <w:p w:rsidR="001212A4" w:rsidRPr="002F73FD" w:rsidRDefault="001212A4" w:rsidP="00D25413">
      <w:pPr>
        <w:spacing w:after="0"/>
        <w:jc w:val="right"/>
        <w:rPr>
          <w:sz w:val="18"/>
          <w:szCs w:val="18"/>
        </w:rPr>
      </w:pPr>
      <w:r w:rsidRPr="002F73FD">
        <w:rPr>
          <w:sz w:val="18"/>
          <w:szCs w:val="18"/>
        </w:rPr>
        <w:t>Oslo 23-24 September 2002</w:t>
      </w:r>
    </w:p>
    <w:p w:rsidR="00D25413" w:rsidRDefault="00D25413" w:rsidP="001212A4"/>
    <w:p w:rsidR="001212A4" w:rsidRPr="0070288E" w:rsidRDefault="001212A4" w:rsidP="001212A4">
      <w:r w:rsidRPr="0070288E">
        <w:t xml:space="preserve">The donors surveyed in the </w:t>
      </w:r>
      <w:r>
        <w:t>workshop</w:t>
      </w:r>
      <w:r w:rsidRPr="0070288E">
        <w:t xml:space="preserve"> quoted above were </w:t>
      </w:r>
      <w:r>
        <w:t xml:space="preserve">all </w:t>
      </w:r>
      <w:r w:rsidRPr="0070288E">
        <w:t xml:space="preserve">working on </w:t>
      </w:r>
      <w:r w:rsidR="00FA65B8">
        <w:t>decentralisation</w:t>
      </w:r>
      <w:r w:rsidRPr="0070288E">
        <w:t xml:space="preserve">, but, according to their own evaluation, there was little poverty alleviation to show for their efforts.  Was the problem with </w:t>
      </w:r>
      <w:r w:rsidR="00FA65B8">
        <w:t>decentralisation</w:t>
      </w:r>
      <w:r w:rsidRPr="0070288E">
        <w:t xml:space="preserve"> or with donor programmes?  Or did it have more to do with the complex nature of the relationship among all three?  </w:t>
      </w:r>
    </w:p>
    <w:p w:rsidR="001212A4" w:rsidRDefault="001212A4" w:rsidP="001212A4">
      <w:r w:rsidRPr="00AA0113">
        <w:t xml:space="preserve">Given </w:t>
      </w:r>
      <w:r>
        <w:t>the</w:t>
      </w:r>
      <w:r w:rsidRPr="00AA0113">
        <w:t xml:space="preserve"> historic lack of links between decentralized governance and the rights of the individual, the critical message </w:t>
      </w:r>
      <w:r>
        <w:t>in</w:t>
      </w:r>
      <w:r w:rsidRPr="00AA0113">
        <w:t xml:space="preserve"> this </w:t>
      </w:r>
      <w:r>
        <w:t>section</w:t>
      </w:r>
      <w:r w:rsidRPr="00AA0113">
        <w:t xml:space="preserve"> is that </w:t>
      </w:r>
      <w:r w:rsidRPr="00AA0113">
        <w:rPr>
          <w:b/>
        </w:rPr>
        <w:t xml:space="preserve">a human rights approach to decentralized governance is critical to protecting and promoting the freedom of individuals to lead the kind of lives they choose in dignity, free of injustice and humiliation.  </w:t>
      </w:r>
      <w:r w:rsidRPr="00AA0113">
        <w:t>However, the current reality is that the creative process</w:t>
      </w:r>
      <w:r>
        <w:t>es</w:t>
      </w:r>
      <w:r w:rsidRPr="00AA0113">
        <w:t xml:space="preserve"> that lead to individual freedom and development have been constrained (outlawed) by long established institutions for the mass of Egyptian citizens.  </w:t>
      </w:r>
      <w:r>
        <w:t xml:space="preserve">There is absolutely no guarantee, and little probability, that the proposed approach to local governance through civil service reform will greatly improve the current Egyptian reality.  In fact, if care is not given to ensuring citizens have clear and inalienable rights to check the actions of their local </w:t>
      </w:r>
      <w:r w:rsidR="00547753">
        <w:t>governments;</w:t>
      </w:r>
      <w:r>
        <w:t xml:space="preserve"> it could make matters even worse.</w:t>
      </w:r>
    </w:p>
    <w:p w:rsidR="001212A4" w:rsidRDefault="001212A4" w:rsidP="001212A4">
      <w:r>
        <w:t xml:space="preserve">One cannot generalize about </w:t>
      </w:r>
      <w:r w:rsidR="00FA65B8">
        <w:t>decentralisation</w:t>
      </w:r>
      <w:r>
        <w:t xml:space="preserve">, assuming that it will be good or bad for a particular country, because each application is not a single event to be analyzed, but a </w:t>
      </w:r>
      <w:r>
        <w:lastRenderedPageBreak/>
        <w:t xml:space="preserve">multiplicity of contending and contradicting actions, each of which takes its shape from the particular socio-environmental context at a particular period of time.  Thus, the relationship between </w:t>
      </w:r>
      <w:r w:rsidR="00FA65B8">
        <w:t>decentralisation</w:t>
      </w:r>
      <w:r>
        <w:t xml:space="preserve"> and poverty reduction as one of potential rather than fact.</w:t>
      </w:r>
    </w:p>
    <w:p w:rsidR="001212A4" w:rsidRDefault="001212A4" w:rsidP="001212A4">
      <w:r>
        <w:t>Jeni Klugman’s</w:t>
      </w:r>
      <w:r>
        <w:rPr>
          <w:rStyle w:val="FootnoteReference"/>
        </w:rPr>
        <w:footnoteReference w:id="9"/>
      </w:r>
      <w:r>
        <w:t xml:space="preserve"> review for </w:t>
      </w:r>
      <w:r w:rsidR="001D1606">
        <w:t>UNICEF</w:t>
      </w:r>
      <w:r>
        <w:t xml:space="preserve"> of the potential outcomes of </w:t>
      </w:r>
      <w:r w:rsidR="00FA65B8">
        <w:t>decentralisation</w:t>
      </w:r>
      <w:r>
        <w:t xml:space="preserve"> from a child welfare perspective clearly illustrates this point.  (Dr. Klugman earlier did a global review of </w:t>
      </w:r>
      <w:r w:rsidR="00FA65B8">
        <w:t>decentralisation</w:t>
      </w:r>
      <w:r>
        <w:t xml:space="preserve"> as a background paper for the 1993 UNDP HDR.)  In her UNICEF paper, she starts out with the assumption that local governments tend to focus on those services that are of greatest direct relevance to child welfare.  Her concerns, however, are two-fold.  First, she fears that </w:t>
      </w:r>
      <w:r w:rsidR="00FA65B8">
        <w:t>decentralisation</w:t>
      </w:r>
      <w:r>
        <w:t xml:space="preserve"> may not be coupled with equitable distribution of financial resources, such that people living in poorer regions may not have the same opportunities or outcomes as those living in regions with greater local resources.  However, her greater concern is that local communities themselves may not see education, or immunization, or other programmes that do not have immediate, tangible outcomes, as important goals.  They may, therefore, influence local decision makers to minimize the level of resources allocated to those sectors.  Given the current state of the Egyptian economy, with the number of unemployed, this is a very real concern that must be considered when advocating for enhanced decision making at the local level.</w:t>
      </w:r>
    </w:p>
    <w:p w:rsidR="001212A4" w:rsidRDefault="001212A4" w:rsidP="001212A4">
      <w:r>
        <w:t xml:space="preserve">Many reports view </w:t>
      </w:r>
      <w:r w:rsidR="00FA65B8">
        <w:t>decentralisation</w:t>
      </w:r>
      <w:r>
        <w:t xml:space="preserve"> as a process to improve the allocation of resources.  They often argue that this will come about because government is closer to the people.  However, many others argue quite differently, that </w:t>
      </w:r>
      <w:r w:rsidR="00FA65B8">
        <w:t>decentralisation</w:t>
      </w:r>
      <w:r>
        <w:t xml:space="preserve"> is rarely instituted as a result of rational economic analysis and that its impact may not only be questionable, but may clearly be ‘dangerous’.</w:t>
      </w:r>
      <w:r>
        <w:rPr>
          <w:rStyle w:val="FootnoteReference"/>
        </w:rPr>
        <w:footnoteReference w:id="10"/>
      </w:r>
      <w:r>
        <w:t xml:space="preserve"> In fact, there is a lot of confusion regarding what </w:t>
      </w:r>
      <w:r w:rsidR="00FA65B8">
        <w:t>decentralisation</w:t>
      </w:r>
      <w:r>
        <w:t xml:space="preserve"> is and what it can accomplish.     </w:t>
      </w:r>
    </w:p>
    <w:p w:rsidR="001212A4" w:rsidRPr="00AA0113" w:rsidRDefault="001212A4" w:rsidP="001212A4">
      <w:r w:rsidRPr="00AA0113">
        <w:t xml:space="preserve">In practically every nation in the world, there is a continuous debate over the balance between local autonomy and central control.  A </w:t>
      </w:r>
      <w:r w:rsidRPr="0070288E">
        <w:t>basic</w:t>
      </w:r>
      <w:r w:rsidRPr="00AA0113">
        <w:t xml:space="preserve"> principle in understanding decentralized governance in a unitary state is that the term </w:t>
      </w:r>
      <w:r w:rsidR="00FA65B8">
        <w:t>decentralisation</w:t>
      </w:r>
      <w:r w:rsidRPr="00AA0113">
        <w:t xml:space="preserve"> implies the acceptance of a subordinate relationship to a preeminent authority where the decentralized authority is still subject to central control and that any effort to decentralize can be easily aborted by the capacity of central authorities to re-centralize.  This principle characterizes the current situation in Egypt.  Local authorities have been granted their existence and certain rights in the 1971 Constitution and the 1960 administrative code, but have never been clarified or supported fully in practice by the </w:t>
      </w:r>
      <w:r w:rsidR="007964A1">
        <w:t>centre</w:t>
      </w:r>
      <w:r w:rsidRPr="00AA0113">
        <w:t>.</w:t>
      </w:r>
    </w:p>
    <w:p w:rsidR="001212A4" w:rsidRPr="00AA0113" w:rsidRDefault="001212A4" w:rsidP="001212A4">
      <w:r w:rsidRPr="00AA0113">
        <w:lastRenderedPageBreak/>
        <w:t>An additional principle that is important to this discussion of roles and functions of local authorities emphasizes the responsibility of the individual to govern his own affairs in a way that is consistent with the exercise of an equal authority by others.  This principle can be extended to groups of individuals and to their relationship to the Government.  The development of an interdependent relationship between the state and civil society is crucial to the understanding of the value of enhancing self-governing capabilities as an integral component of public administration reform.</w:t>
      </w:r>
    </w:p>
    <w:p w:rsidR="001212A4" w:rsidRPr="00AA0113" w:rsidRDefault="001212A4" w:rsidP="001212A4">
      <w:r w:rsidRPr="00AA0113">
        <w:t xml:space="preserve">Public/private and central/local dichotomies are not particularly meaningful ways of explaining the universe of possible interdependent relationships that are needed to solve particular developmental problems.  Rather than attempting to predetermine certain functions that must, regardless of capability, be performed at a particular level of governance it is more useful to ask context specific questions about </w:t>
      </w:r>
      <w:r w:rsidRPr="00AA0113">
        <w:rPr>
          <w:b/>
        </w:rPr>
        <w:t>who will participate in making what decisions, for whom, with what resources and under what conditions</w:t>
      </w:r>
      <w:r>
        <w:rPr>
          <w:rStyle w:val="FootnoteReference"/>
          <w:b/>
        </w:rPr>
        <w:footnoteReference w:id="11"/>
      </w:r>
      <w:r w:rsidRPr="00AA0113">
        <w:t xml:space="preserve">. </w:t>
      </w:r>
      <w:r>
        <w:t xml:space="preserve"> The attached annex illustrating the variety of decision nodes for education in China and the Philippines (where education is a strictly central subject).</w:t>
      </w:r>
    </w:p>
    <w:p w:rsidR="001212A4" w:rsidRPr="00AA0113" w:rsidRDefault="001212A4" w:rsidP="001212A4">
      <w:r w:rsidRPr="00AA0113">
        <w:t xml:space="preserve">The purpose of this section of this mid-term review is not to undertake </w:t>
      </w:r>
      <w:r w:rsidR="00547753" w:rsidRPr="00AA0113">
        <w:t>an</w:t>
      </w:r>
      <w:r w:rsidRPr="00AA0113">
        <w:t xml:space="preserve"> overview of </w:t>
      </w:r>
      <w:r w:rsidR="00FA65B8">
        <w:t>decentralisation</w:t>
      </w:r>
      <w:r w:rsidR="00547753" w:rsidRPr="00AA0113">
        <w:t>;</w:t>
      </w:r>
      <w:r w:rsidRPr="00AA0113">
        <w:t xml:space="preserve"> rather the purpose is to propose key standards useful in developing constitutional and policy strategies for enhancing the power and authority of </w:t>
      </w:r>
      <w:r w:rsidR="00C0590B">
        <w:t>sub-national</w:t>
      </w:r>
      <w:r w:rsidRPr="00AA0113">
        <w:t xml:space="preserve"> governance bodies in Egypt.  It is proposed that Egypt’s </w:t>
      </w:r>
      <w:r w:rsidR="00FA65B8">
        <w:t>decentralisation</w:t>
      </w:r>
      <w:r w:rsidRPr="00AA0113">
        <w:t xml:space="preserve"> strategy be based on the following standards of operation:  </w:t>
      </w:r>
      <w:r w:rsidRPr="00340DF9">
        <w:rPr>
          <w:b/>
        </w:rPr>
        <w:t>subsidiarity, accountability, and transparency</w:t>
      </w:r>
      <w:r w:rsidRPr="00AA0113">
        <w:t>.  These standards are complementary and mutually reinforcing, but none of these are being used to their fullest extent, either explicitly or implicitly, in Egypt today.</w:t>
      </w:r>
    </w:p>
    <w:p w:rsidR="001212A4" w:rsidRPr="00AA0113" w:rsidRDefault="001212A4" w:rsidP="001212A4">
      <w:r w:rsidRPr="00AA0113">
        <w:t xml:space="preserve">The standard of </w:t>
      </w:r>
      <w:r w:rsidRPr="00AA0113">
        <w:rPr>
          <w:b/>
        </w:rPr>
        <w:t>subsidiarity</w:t>
      </w:r>
      <w:r w:rsidRPr="00AA0113">
        <w:t xml:space="preserve"> is the most important in developing the following assessment methodology.  This standard demands that the ability to make a decision to address a public problem be located at the nearest capable level to the source of the problem that can finance the solution at the least cost, administer it effectively, and achieve its public purposes efficiently.  This means that rather than the </w:t>
      </w:r>
      <w:r w:rsidR="007964A1">
        <w:t>centre</w:t>
      </w:r>
      <w:r w:rsidRPr="00AA0113">
        <w:t xml:space="preserve"> determining what should be done at the local level, it is the local institutions that must act responsibly to inform the </w:t>
      </w:r>
      <w:r w:rsidR="007964A1">
        <w:t>centre</w:t>
      </w:r>
      <w:r w:rsidRPr="00AA0113">
        <w:t xml:space="preserve"> whether they are capable of carrying out the tasks required of them by their constituents.</w:t>
      </w:r>
    </w:p>
    <w:p w:rsidR="001212A4" w:rsidRPr="00AA0113" w:rsidRDefault="001212A4" w:rsidP="001212A4">
      <w:r w:rsidRPr="00AA0113">
        <w:t xml:space="preserve">Closely linked to subsidiarity, the standard of </w:t>
      </w:r>
      <w:r w:rsidRPr="00AA0113">
        <w:rPr>
          <w:b/>
        </w:rPr>
        <w:t>accountability</w:t>
      </w:r>
      <w:r w:rsidRPr="00AA0113">
        <w:t xml:space="preserve"> goes beyond the narrow interpretation traditionally given to it, that elected bodies should be held responsible by their constituents for their decisions and actions (e.g. through elections, transparent budgets, and audits).  </w:t>
      </w:r>
      <w:r w:rsidRPr="005327D4">
        <w:t xml:space="preserve">Accountability, in this case, also means that government is obliged </w:t>
      </w:r>
      <w:r w:rsidRPr="005327D4">
        <w:lastRenderedPageBreak/>
        <w:t>to respect, protect and fulfill human rights.  They are accountable for these obligations to all citizens and to the international community.</w:t>
      </w:r>
      <w:r w:rsidRPr="005327D4">
        <w:rPr>
          <w:rStyle w:val="FootnoteReference"/>
        </w:rPr>
        <w:footnoteReference w:id="12"/>
      </w:r>
    </w:p>
    <w:p w:rsidR="001212A4" w:rsidRPr="00AA0113" w:rsidRDefault="001212A4" w:rsidP="001212A4">
      <w:r w:rsidRPr="00AA0113">
        <w:t xml:space="preserve">The standard of </w:t>
      </w:r>
      <w:r w:rsidRPr="00AA0113">
        <w:rPr>
          <w:b/>
        </w:rPr>
        <w:t>transparency</w:t>
      </w:r>
      <w:r w:rsidRPr="00AA0113">
        <w:t xml:space="preserve"> may appear to be self-evident, but its importance should not be underestimated.  </w:t>
      </w:r>
      <w:r w:rsidR="00FA65B8">
        <w:t>Decentralisation</w:t>
      </w:r>
      <w:r w:rsidRPr="00AA0113">
        <w:t xml:space="preserve"> may provide strong political incentives to bypass transparency.  It is important to define and evaluate options, decision criteria and implementation instruments in transparent ways if the potential benefits of </w:t>
      </w:r>
      <w:r w:rsidR="00FA65B8">
        <w:t>decentralisation</w:t>
      </w:r>
      <w:r w:rsidRPr="00AA0113">
        <w:t xml:space="preserve"> are not to be overcome by the perverse incentives to enhanced local authoritarian control it may promote.  There are many studies that have focused on the concept of ‘local elite capture’ of resources intended to benefit the citizenry at large.</w:t>
      </w:r>
    </w:p>
    <w:p w:rsidR="001212A4" w:rsidRPr="00AA0113" w:rsidRDefault="001212A4" w:rsidP="001212A4">
      <w:r w:rsidRPr="00AA0113">
        <w:t xml:space="preserve">What should be the proper role for the </w:t>
      </w:r>
      <w:r w:rsidR="007964A1">
        <w:t>centre</w:t>
      </w:r>
      <w:r w:rsidRPr="00AA0113">
        <w:t xml:space="preserve">?  There are two critical areas that can have a major impact on both the effectiveness and the efficiency of governance at all levels of society.  These involve (1) designing structures to enhance capacity and (2) designing structures to ensure accountability.   If these two areas are effectively addressed then the types of problem solving decisions made by sub-national governance institutions and elements of civil society will still, in a sense, be controlled by the </w:t>
      </w:r>
      <w:r w:rsidR="007964A1">
        <w:t>centre</w:t>
      </w:r>
      <w:r w:rsidRPr="00AA0113">
        <w:t xml:space="preserve">.  Control in this sense means tightening control over outcomes.  Ensuring that the resulting actions are appropriate over the long run by focusing the attention and the resources of the central government on building the capacity of local institutions to solve their own problems and to be accountable to the beneficiaries of their actions, rather than defining the means by which those problems will be solved, are the most effective activities in which the central government can engage itself in designing a strategy for public administration reform. </w:t>
      </w:r>
    </w:p>
    <w:p w:rsidR="001212A4" w:rsidRPr="00AA0113" w:rsidRDefault="001212A4" w:rsidP="001212A4">
      <w:r w:rsidRPr="00AA0113">
        <w:t>A quote from Alexander Hamilton, the first Secretary of the Treasure of the United States of America</w:t>
      </w:r>
      <w:r>
        <w:t>,</w:t>
      </w:r>
      <w:r w:rsidRPr="00AA0113">
        <w:t xml:space="preserve"> has been placed purposefully on the front page of the MTR.  The quote references the twin factors that must be addressed if a civil administration, whether central or local, can deliver on its promised.  The </w:t>
      </w:r>
      <w:r w:rsidRPr="00AA0113">
        <w:rPr>
          <w:b/>
        </w:rPr>
        <w:t>aptitude</w:t>
      </w:r>
      <w:r w:rsidRPr="00AA0113">
        <w:t xml:space="preserve"> (or capacity) for governance is not well developed among local bodies in Egypt.  Neither the LPC nor the LEC nor civil society has had much opportunity to build their problem solving skills.  There is substantial work that will be required to build the capabilities of these entities to a point where one can speak meaningfully about decentralized decision making.  In addition, there has long been a </w:t>
      </w:r>
      <w:r w:rsidRPr="00AA0113">
        <w:rPr>
          <w:b/>
        </w:rPr>
        <w:t>tendency</w:t>
      </w:r>
      <w:r w:rsidRPr="00AA0113">
        <w:t xml:space="preserve"> (ethical challenge) on the part of Governors, and most subservient officials, to take a self-serving approach to public service at the local level.  This tendency needs to be carefully watched and serious efforts need to be made to avoid replacing one ethically challenged </w:t>
      </w:r>
      <w:r w:rsidR="007964A1">
        <w:t>centre</w:t>
      </w:r>
      <w:r w:rsidRPr="00AA0113">
        <w:t xml:space="preserve"> with twenty-seven similarly challenged </w:t>
      </w:r>
      <w:r w:rsidR="007964A1">
        <w:t>centre</w:t>
      </w:r>
      <w:r w:rsidRPr="00AA0113">
        <w:t xml:space="preserve">s.  Democracy is better characterized by processes of cooperation, competition, compromise, conflict, and conflict resolution rather than the processes of command and control.  The framework for </w:t>
      </w:r>
      <w:r w:rsidR="00C0590B">
        <w:t>sub-national</w:t>
      </w:r>
      <w:r w:rsidRPr="00AA0113">
        <w:t xml:space="preserve"> governance in Egypt will need to carefully weigh both of these challenges in order to ensure that neither the </w:t>
      </w:r>
      <w:r w:rsidRPr="00AA0113">
        <w:lastRenderedPageBreak/>
        <w:t>administration nor the elected officials have a monopoly on power…and that it is impossible for both to collude in order to continue the disenfranchisement of the citizen that has long been the standard practice.</w:t>
      </w:r>
    </w:p>
    <w:p w:rsidR="001212A4" w:rsidRPr="00AA0113" w:rsidRDefault="001212A4" w:rsidP="001212A4">
      <w:r w:rsidRPr="00AA0113">
        <w:t xml:space="preserve">In a democracy, public goods and services are not designed and supplied by public servants.  They result from complex relationships among consumers and producers that mediate the demand and supply for those services.  A decentralized system of service production within a single hierarchy should not be the end result of the current administrative reforms in Egypt.  The entry of a rapidly expanding commercial sector and voluntary associations within the civil society will radically change this ancient equation, requiring an understanding of </w:t>
      </w:r>
      <w:r w:rsidRPr="00AA0113">
        <w:rPr>
          <w:b/>
        </w:rPr>
        <w:t>polycentric</w:t>
      </w:r>
      <w:r w:rsidRPr="00AA0113">
        <w:rPr>
          <w:rStyle w:val="FootnoteReference"/>
          <w:b/>
        </w:rPr>
        <w:footnoteReference w:id="13"/>
      </w:r>
      <w:r w:rsidRPr="00AA0113">
        <w:t xml:space="preserve"> solutions to problems.  Each particular situation will require a particular coupling of central &amp; local, public &amp; private resources and capabilities.  The potential network linkages among all actors (providers, producers, consumers) are diverse.  Once this is understood one quickly begins to recognize that </w:t>
      </w:r>
      <w:r w:rsidR="00FA65B8">
        <w:t>decentralisation</w:t>
      </w:r>
      <w:r w:rsidRPr="00AA0113">
        <w:t xml:space="preserve"> is not a zero sum issue.  The purpose of a decentralized approach to public administrative reform is not to take power from one sector and give it to another.  Positive sum outcomes can be easily obtained by focusing on improving the relationships among all the actors and resources can be more efficiently shepherded when government recognizes that it is strengthened, not weakened, when it involves the public in its activities</w:t>
      </w:r>
      <w:r w:rsidRPr="00AA0113">
        <w:rPr>
          <w:rStyle w:val="FootnoteReference"/>
        </w:rPr>
        <w:footnoteReference w:id="14"/>
      </w:r>
      <w:r w:rsidRPr="00AA0113">
        <w:t>.</w:t>
      </w:r>
    </w:p>
    <w:p w:rsidR="001212A4" w:rsidRDefault="001212A4" w:rsidP="001212A4">
      <w:pPr>
        <w:rPr>
          <w:snapToGrid w:val="0"/>
        </w:rPr>
      </w:pPr>
      <w:r w:rsidRPr="005327D4">
        <w:rPr>
          <w:snapToGrid w:val="0"/>
        </w:rPr>
        <w:t xml:space="preserve">Programming for polycentric solutions requires an understanding of the difference between </w:t>
      </w:r>
      <w:r w:rsidRPr="005327D4">
        <w:rPr>
          <w:b/>
          <w:bCs/>
          <w:snapToGrid w:val="0"/>
        </w:rPr>
        <w:t>provision and production</w:t>
      </w:r>
      <w:r>
        <w:rPr>
          <w:rStyle w:val="FootnoteReference"/>
          <w:b/>
          <w:bCs/>
          <w:snapToGrid w:val="0"/>
        </w:rPr>
        <w:footnoteReference w:id="15"/>
      </w:r>
      <w:r w:rsidRPr="005327D4">
        <w:rPr>
          <w:snapToGrid w:val="0"/>
        </w:rPr>
        <w:t xml:space="preserve">as functions of local governments.A localgovernment does it job best when it </w:t>
      </w:r>
      <w:r w:rsidRPr="005327D4">
        <w:rPr>
          <w:snapToGrid w:val="0"/>
          <w:u w:val="single"/>
        </w:rPr>
        <w:t>provides</w:t>
      </w:r>
      <w:r w:rsidRPr="005327D4">
        <w:rPr>
          <w:snapToGrid w:val="0"/>
        </w:rPr>
        <w:t xml:space="preserve"> the legal, regulatory, and financial framework</w:t>
      </w:r>
      <w:r>
        <w:rPr>
          <w:snapToGrid w:val="0"/>
        </w:rPr>
        <w:t xml:space="preserve"> for private or community entities</w:t>
      </w:r>
      <w:r w:rsidRPr="005327D4">
        <w:rPr>
          <w:snapToGrid w:val="0"/>
        </w:rPr>
        <w:t xml:space="preserve"> to </w:t>
      </w:r>
      <w:r w:rsidRPr="005327D4">
        <w:rPr>
          <w:snapToGrid w:val="0"/>
          <w:u w:val="single"/>
        </w:rPr>
        <w:t>produce</w:t>
      </w:r>
      <w:r w:rsidRPr="005327D4">
        <w:rPr>
          <w:snapToGrid w:val="0"/>
        </w:rPr>
        <w:t xml:space="preserve"> a specified public good.  The responsibility of the local government is to ensure that the availability and quality of the production meets agreed upon standards, that the beneficiaries have recourse if they feel their needs are not being adequately met, and that proper accounting of resource use is undertaken.  </w:t>
      </w:r>
    </w:p>
    <w:p w:rsidR="001212A4" w:rsidRPr="00AA0113" w:rsidRDefault="001212A4" w:rsidP="001212A4">
      <w:r w:rsidRPr="00AA0113">
        <w:t>The employment of a polycentric frame of reference is important in producing the most important element of all in building governance capacity</w:t>
      </w:r>
      <w:r w:rsidRPr="00AA0113">
        <w:rPr>
          <w:b/>
        </w:rPr>
        <w:t>: social capital</w:t>
      </w:r>
      <w:r w:rsidRPr="00AA0113">
        <w:rPr>
          <w:rStyle w:val="FootnoteReference"/>
          <w:b/>
        </w:rPr>
        <w:footnoteReference w:id="16"/>
      </w:r>
      <w:r w:rsidRPr="00AA0113">
        <w:rPr>
          <w:b/>
        </w:rPr>
        <w:t xml:space="preserve">.  </w:t>
      </w:r>
      <w:r w:rsidRPr="00AA0113">
        <w:t xml:space="preserve">Social capital is created when civil societies develop capabilities to solve their own problems and to monitor the actions of their governments to handle those which require additional </w:t>
      </w:r>
      <w:r w:rsidRPr="00AA0113">
        <w:lastRenderedPageBreak/>
        <w:t xml:space="preserve">resources.  Social capital is not built by government.  Government can only provide the environment that will </w:t>
      </w:r>
      <w:r w:rsidRPr="00AA0113">
        <w:rPr>
          <w:u w:val="single"/>
        </w:rPr>
        <w:t>allow</w:t>
      </w:r>
      <w:r w:rsidRPr="00AA0113">
        <w:t xml:space="preserve"> it to grow.  There is evidence of a growth in social capital in Egypt evidenced in the diverse groups that have maintained their coalition and consensus on issues since January 2011.   People are discovering the means by which to involve themselves in local issues, rather than simply waiting passively for government to take action.  This bodes well for the future of Egypt.  However, there are two types of social capital:  one that, as mentioned, fosters relations with diverse groups and a second that build internal group coherence and strengthens the ‘us against them’ attitude.  The latter was prevalent under the previous regime and has been in evidence in certain incidents of religious strife in the chaotic aftermath.</w:t>
      </w:r>
    </w:p>
    <w:p w:rsidR="001212A4" w:rsidRPr="00AA0113" w:rsidRDefault="001212A4" w:rsidP="001212A4">
      <w:r w:rsidRPr="00AA0113">
        <w:t xml:space="preserve">Multiple studies have illustrated that the Egyptian government is over-involved in direct service production, straining its own limited capacities while stunting the potential contributions of others.  Remedying this situation would involve three complementary sets of activities: </w:t>
      </w:r>
    </w:p>
    <w:p w:rsidR="001212A4" w:rsidRPr="002F73FD" w:rsidRDefault="001212A4" w:rsidP="001212A4">
      <w:pPr>
        <w:numPr>
          <w:ilvl w:val="0"/>
          <w:numId w:val="47"/>
        </w:numPr>
        <w:autoSpaceDE/>
        <w:autoSpaceDN/>
        <w:adjustRightInd/>
        <w:spacing w:after="0"/>
      </w:pPr>
      <w:r w:rsidRPr="002F73FD">
        <w:t>Stimulating the emergence of nongovernment service provision</w:t>
      </w:r>
    </w:p>
    <w:p w:rsidR="001212A4" w:rsidRPr="002F73FD" w:rsidRDefault="001212A4" w:rsidP="001212A4">
      <w:pPr>
        <w:numPr>
          <w:ilvl w:val="0"/>
          <w:numId w:val="47"/>
        </w:numPr>
        <w:autoSpaceDE/>
        <w:autoSpaceDN/>
        <w:adjustRightInd/>
        <w:spacing w:after="0"/>
      </w:pPr>
      <w:r w:rsidRPr="002F73FD">
        <w:t>Improving the revenue base for local service production</w:t>
      </w:r>
    </w:p>
    <w:p w:rsidR="001212A4" w:rsidRPr="002F73FD" w:rsidRDefault="001212A4" w:rsidP="001212A4">
      <w:pPr>
        <w:numPr>
          <w:ilvl w:val="0"/>
          <w:numId w:val="47"/>
        </w:numPr>
        <w:autoSpaceDE/>
        <w:autoSpaceDN/>
        <w:adjustRightInd/>
        <w:spacing w:after="120"/>
      </w:pPr>
      <w:r w:rsidRPr="002F73FD">
        <w:t>Restructuring and reform of government programs</w:t>
      </w:r>
    </w:p>
    <w:p w:rsidR="00B0309B" w:rsidRDefault="001F2C49" w:rsidP="006876C6">
      <w:pPr>
        <w:rPr>
          <w:rStyle w:val="Heading1Char"/>
        </w:rPr>
      </w:pPr>
      <w:r w:rsidRPr="00C83615">
        <w:rPr>
          <w:rFonts w:cs="Arial"/>
        </w:rPr>
        <w:br w:type="page"/>
      </w:r>
      <w:bookmarkStart w:id="107" w:name="_Toc300432393"/>
      <w:bookmarkStart w:id="108" w:name="_Toc300433994"/>
      <w:bookmarkStart w:id="109" w:name="_Toc300434998"/>
      <w:bookmarkStart w:id="110" w:name="_Toc302386992"/>
      <w:r w:rsidR="00521EB4" w:rsidRPr="00B0309B">
        <w:rPr>
          <w:rStyle w:val="Heading1Char"/>
        </w:rPr>
        <w:lastRenderedPageBreak/>
        <w:t>Report annexes</w:t>
      </w:r>
      <w:bookmarkEnd w:id="107"/>
      <w:bookmarkEnd w:id="108"/>
      <w:bookmarkEnd w:id="109"/>
      <w:bookmarkEnd w:id="110"/>
    </w:p>
    <w:p w:rsidR="002B4EA6" w:rsidRPr="006C7DD5" w:rsidRDefault="002B4EA6" w:rsidP="006C7DD5">
      <w:pPr>
        <w:spacing w:after="120"/>
        <w:rPr>
          <w:sz w:val="20"/>
          <w:szCs w:val="20"/>
        </w:rPr>
      </w:pPr>
    </w:p>
    <w:p w:rsidR="0051373C" w:rsidRPr="00C83615" w:rsidRDefault="0051373C" w:rsidP="0051373C">
      <w:pPr>
        <w:pStyle w:val="Heading2"/>
      </w:pPr>
      <w:bookmarkStart w:id="111" w:name="_Toc302386993"/>
      <w:r w:rsidRPr="00C83615">
        <w:t>Annex 1: Terms of Reference (edited)</w:t>
      </w:r>
      <w:bookmarkEnd w:id="111"/>
    </w:p>
    <w:p w:rsidR="0051373C" w:rsidRPr="00E65282" w:rsidRDefault="0051373C" w:rsidP="00E65282">
      <w:pPr>
        <w:rPr>
          <w:sz w:val="22"/>
        </w:rPr>
      </w:pPr>
      <w:r w:rsidRPr="00E65282">
        <w:rPr>
          <w:sz w:val="22"/>
        </w:rPr>
        <w:t>Terms of Reference for Mid-term Review</w:t>
      </w:r>
    </w:p>
    <w:p w:rsidR="0051373C" w:rsidRPr="00E65282" w:rsidRDefault="0051373C" w:rsidP="00E65282">
      <w:pPr>
        <w:rPr>
          <w:sz w:val="22"/>
        </w:rPr>
      </w:pPr>
      <w:r w:rsidRPr="00E65282">
        <w:rPr>
          <w:sz w:val="22"/>
        </w:rPr>
        <w:t xml:space="preserve">Technical Support to the Ministry of Local Development </w:t>
      </w:r>
      <w:r w:rsidR="00547753">
        <w:rPr>
          <w:sz w:val="22"/>
        </w:rPr>
        <w:t>(</w:t>
      </w:r>
      <w:r w:rsidR="008C2456">
        <w:rPr>
          <w:sz w:val="22"/>
        </w:rPr>
        <w:t>MLD</w:t>
      </w:r>
      <w:r w:rsidRPr="00E65282">
        <w:rPr>
          <w:sz w:val="22"/>
        </w:rPr>
        <w:t>) in Support of Local Development</w:t>
      </w:r>
    </w:p>
    <w:p w:rsidR="0051373C" w:rsidRPr="00E65282" w:rsidRDefault="0051373C" w:rsidP="00E65282">
      <w:pPr>
        <w:rPr>
          <w:sz w:val="22"/>
        </w:rPr>
      </w:pPr>
      <w:r w:rsidRPr="00E65282">
        <w:rPr>
          <w:sz w:val="22"/>
        </w:rPr>
        <w:t>Award ID: 00036732</w:t>
      </w:r>
    </w:p>
    <w:p w:rsidR="0051373C" w:rsidRPr="00E65282" w:rsidRDefault="0051373C" w:rsidP="00E65282">
      <w:pPr>
        <w:rPr>
          <w:sz w:val="22"/>
        </w:rPr>
      </w:pPr>
      <w:r w:rsidRPr="00E65282">
        <w:rPr>
          <w:sz w:val="22"/>
        </w:rPr>
        <w:t>I. INTRODUCTION:</w:t>
      </w:r>
    </w:p>
    <w:p w:rsidR="0051373C" w:rsidRPr="00E65282" w:rsidRDefault="0051373C" w:rsidP="00E65282">
      <w:pPr>
        <w:rPr>
          <w:sz w:val="22"/>
        </w:rPr>
      </w:pPr>
      <w:r w:rsidRPr="00E65282">
        <w:rPr>
          <w:sz w:val="22"/>
        </w:rPr>
        <w:t>The UNDP supported project “Technical Support to the Ministry of Local Development (</w:t>
      </w:r>
      <w:r w:rsidR="008C2456">
        <w:rPr>
          <w:sz w:val="22"/>
        </w:rPr>
        <w:t>MLD</w:t>
      </w:r>
      <w:r w:rsidRPr="00E65282">
        <w:rPr>
          <w:sz w:val="22"/>
        </w:rPr>
        <w:t xml:space="preserve">) in Support of Local Development” is a nationally executed project implemented by the Ministry of Local Development.  </w:t>
      </w:r>
    </w:p>
    <w:p w:rsidR="0051373C" w:rsidRPr="00E65282" w:rsidRDefault="0051373C" w:rsidP="00E65282">
      <w:pPr>
        <w:rPr>
          <w:rFonts w:eastAsia="Calibri"/>
          <w:sz w:val="22"/>
        </w:rPr>
      </w:pPr>
      <w:r w:rsidRPr="00E65282">
        <w:rPr>
          <w:rFonts w:eastAsia="Calibri"/>
          <w:sz w:val="22"/>
        </w:rPr>
        <w:t>UNDP (supported by UNCDF’s technical expertise) is providing technical support to enable the Ministry of Local Development (</w:t>
      </w:r>
      <w:r w:rsidR="008C2456">
        <w:rPr>
          <w:rFonts w:eastAsia="Calibri"/>
          <w:sz w:val="22"/>
        </w:rPr>
        <w:t>MLD</w:t>
      </w:r>
      <w:r w:rsidRPr="00E65282">
        <w:rPr>
          <w:rFonts w:eastAsia="Calibri"/>
          <w:sz w:val="22"/>
        </w:rPr>
        <w:t xml:space="preserve">) to activate its core functions and operate as the central entity to guide the </w:t>
      </w:r>
      <w:r w:rsidR="00FA65B8">
        <w:rPr>
          <w:rFonts w:eastAsia="Calibri"/>
          <w:sz w:val="22"/>
        </w:rPr>
        <w:t>decentralisation</w:t>
      </w:r>
      <w:r w:rsidRPr="00E65282">
        <w:rPr>
          <w:rFonts w:eastAsia="Calibri"/>
          <w:sz w:val="22"/>
        </w:rPr>
        <w:t xml:space="preserve"> reform and guide the development of a “National </w:t>
      </w:r>
      <w:r w:rsidR="00FA65B8">
        <w:rPr>
          <w:rFonts w:eastAsia="Calibri"/>
          <w:sz w:val="22"/>
        </w:rPr>
        <w:t>Decentralisation</w:t>
      </w:r>
      <w:r w:rsidRPr="00E65282">
        <w:rPr>
          <w:rFonts w:eastAsia="Calibri"/>
          <w:sz w:val="22"/>
        </w:rPr>
        <w:t xml:space="preserve"> Strategy”. The technical support shall house three areas of technical specialization:</w:t>
      </w:r>
    </w:p>
    <w:p w:rsidR="0051373C" w:rsidRPr="00E65282" w:rsidRDefault="0051373C" w:rsidP="00E65282">
      <w:pPr>
        <w:rPr>
          <w:rFonts w:eastAsia="Calibri"/>
          <w:sz w:val="22"/>
        </w:rPr>
      </w:pPr>
      <w:r w:rsidRPr="00E65282">
        <w:rPr>
          <w:rFonts w:eastAsia="Calibri"/>
          <w:sz w:val="22"/>
        </w:rPr>
        <w:t>Coordinate and guide the development and modification of the policy and legal environment for the local authority system.</w:t>
      </w:r>
    </w:p>
    <w:p w:rsidR="0051373C" w:rsidRPr="00E65282" w:rsidRDefault="0051373C" w:rsidP="00E65282">
      <w:pPr>
        <w:rPr>
          <w:rFonts w:eastAsia="Calibri"/>
          <w:sz w:val="22"/>
        </w:rPr>
      </w:pPr>
      <w:r w:rsidRPr="00E65282">
        <w:rPr>
          <w:rFonts w:eastAsia="Calibri"/>
          <w:sz w:val="22"/>
        </w:rPr>
        <w:t xml:space="preserve">Restructuring of </w:t>
      </w:r>
      <w:r w:rsidR="008C2456">
        <w:rPr>
          <w:rFonts w:eastAsia="Calibri"/>
          <w:sz w:val="22"/>
        </w:rPr>
        <w:t>MLD</w:t>
      </w:r>
      <w:r w:rsidRPr="00E65282">
        <w:rPr>
          <w:rFonts w:eastAsia="Calibri"/>
          <w:sz w:val="22"/>
        </w:rPr>
        <w:t xml:space="preserve"> to strengthen its own capacity as the central agency for State’s support and supervision of the sub-national authorities’ system.</w:t>
      </w:r>
    </w:p>
    <w:p w:rsidR="0051373C" w:rsidRPr="00E65282" w:rsidRDefault="0051373C" w:rsidP="00E65282">
      <w:pPr>
        <w:rPr>
          <w:rFonts w:eastAsia="Calibri"/>
          <w:sz w:val="22"/>
        </w:rPr>
      </w:pPr>
      <w:r w:rsidRPr="00E65282">
        <w:rPr>
          <w:rFonts w:eastAsia="Calibri"/>
          <w:sz w:val="22"/>
        </w:rPr>
        <w:t>Guide the capacity development of local authorities on administrative and public expenditure and asset management skills (Re-align MISR)</w:t>
      </w:r>
    </w:p>
    <w:p w:rsidR="0051373C" w:rsidRPr="00E65282" w:rsidRDefault="0051373C" w:rsidP="00E65282">
      <w:pPr>
        <w:rPr>
          <w:sz w:val="22"/>
        </w:rPr>
      </w:pPr>
      <w:r w:rsidRPr="00E65282">
        <w:rPr>
          <w:sz w:val="22"/>
        </w:rPr>
        <w:t xml:space="preserve">NDP’s </w:t>
      </w:r>
      <w:r w:rsidR="00FA65B8">
        <w:rPr>
          <w:sz w:val="22"/>
        </w:rPr>
        <w:t>decentralisation</w:t>
      </w:r>
      <w:r w:rsidR="008C2456">
        <w:rPr>
          <w:sz w:val="22"/>
        </w:rPr>
        <w:t>programme</w:t>
      </w:r>
      <w:r w:rsidRPr="00E65282">
        <w:rPr>
          <w:sz w:val="22"/>
        </w:rPr>
        <w:t xml:space="preserve"> is currently comprised of four main components: policy formulation, institutional support, capacity building and the coordination activities (</w:t>
      </w:r>
      <w:r w:rsidR="00FA65B8">
        <w:rPr>
          <w:sz w:val="22"/>
        </w:rPr>
        <w:t>decentralisation</w:t>
      </w:r>
      <w:r w:rsidRPr="00E65282">
        <w:rPr>
          <w:sz w:val="22"/>
        </w:rPr>
        <w:t xml:space="preserve"> support unit). </w:t>
      </w:r>
    </w:p>
    <w:p w:rsidR="0051373C" w:rsidRPr="00E65282" w:rsidRDefault="0051373C" w:rsidP="00E65282">
      <w:pPr>
        <w:rPr>
          <w:sz w:val="22"/>
        </w:rPr>
      </w:pPr>
      <w:r w:rsidRPr="00E65282">
        <w:rPr>
          <w:sz w:val="22"/>
        </w:rPr>
        <w:t xml:space="preserve">The policy support component is supporting the Ministry of Local Development’s efforts on the Local Administration Law and National </w:t>
      </w:r>
      <w:r w:rsidR="00FA65B8">
        <w:rPr>
          <w:sz w:val="22"/>
        </w:rPr>
        <w:t>Decentralisation</w:t>
      </w:r>
      <w:r w:rsidRPr="00E65282">
        <w:rPr>
          <w:sz w:val="22"/>
        </w:rPr>
        <w:t xml:space="preserve"> Strategy and a national implementation </w:t>
      </w:r>
      <w:r w:rsidR="008C2456">
        <w:rPr>
          <w:sz w:val="22"/>
        </w:rPr>
        <w:t>programme</w:t>
      </w:r>
      <w:r w:rsidRPr="00E65282">
        <w:rPr>
          <w:sz w:val="22"/>
        </w:rPr>
        <w:t xml:space="preserve"> that encompasses the national vision towards the </w:t>
      </w:r>
      <w:r w:rsidR="00FA65B8">
        <w:rPr>
          <w:sz w:val="22"/>
        </w:rPr>
        <w:t>decentralisation</w:t>
      </w:r>
      <w:r w:rsidRPr="00E65282">
        <w:rPr>
          <w:sz w:val="22"/>
        </w:rPr>
        <w:t xml:space="preserve"> process and applies an integrated approach to its implementation within the complex structure of local governance. </w:t>
      </w:r>
    </w:p>
    <w:p w:rsidR="0051373C" w:rsidRPr="00E65282" w:rsidRDefault="0051373C" w:rsidP="00E65282">
      <w:pPr>
        <w:rPr>
          <w:sz w:val="22"/>
        </w:rPr>
      </w:pPr>
      <w:r w:rsidRPr="00E65282">
        <w:rPr>
          <w:sz w:val="22"/>
        </w:rPr>
        <w:t xml:space="preserve"> The coordination component focuses on the effective coordination and consolidation of the various components (tracks) of the National Programme which will be implemented by each of the relevant primary or sector ministries/authorities or central agencies with the support of a range of development partners. </w:t>
      </w:r>
    </w:p>
    <w:p w:rsidR="0051373C" w:rsidRPr="00E65282" w:rsidRDefault="0051373C" w:rsidP="00E65282">
      <w:pPr>
        <w:rPr>
          <w:sz w:val="22"/>
        </w:rPr>
      </w:pPr>
      <w:r w:rsidRPr="00E65282">
        <w:rPr>
          <w:sz w:val="22"/>
        </w:rPr>
        <w:lastRenderedPageBreak/>
        <w:t xml:space="preserve"> The institutional support component deals with the restructuring of the institutional architecture of the local authority at all its tiers and the introduction of their base operating systems and procedures, and the development of necessary capacities.   The capacity building component seeks to support to the capacity development </w:t>
      </w:r>
      <w:r w:rsidR="008C2456">
        <w:rPr>
          <w:sz w:val="22"/>
        </w:rPr>
        <w:t>programme</w:t>
      </w:r>
      <w:r w:rsidRPr="00E65282">
        <w:rPr>
          <w:sz w:val="22"/>
        </w:rPr>
        <w:t xml:space="preserve"> that </w:t>
      </w:r>
      <w:r w:rsidR="008C2456">
        <w:rPr>
          <w:sz w:val="22"/>
        </w:rPr>
        <w:t>MLD</w:t>
      </w:r>
      <w:r w:rsidRPr="00E65282">
        <w:rPr>
          <w:sz w:val="22"/>
        </w:rPr>
        <w:t xml:space="preserve"> leads with the relevant stockholders at the central and local levels.  Such functions would typically include public expenditure management, asset management, revenue management and other basic administrative functions in addition those related to service delivery. The </w:t>
      </w:r>
      <w:r w:rsidR="008C2456">
        <w:rPr>
          <w:sz w:val="22"/>
        </w:rPr>
        <w:t>programme</w:t>
      </w:r>
      <w:r w:rsidRPr="00E65282">
        <w:rPr>
          <w:sz w:val="22"/>
        </w:rPr>
        <w:t xml:space="preserve"> will also focus on defining, introducing and activating the local economic development function of local authorities in the same governorate, districts/towns and villages covered by the capacity development efforts supported by the project.   This would be coupled with the set-up and activation of an LED Fund which will be used to ensure the availability of earmarked resources for financing the implementation of LED related investments to be carried out by LAs.</w:t>
      </w:r>
    </w:p>
    <w:p w:rsidR="0051373C" w:rsidRPr="00E65282" w:rsidRDefault="0051373C" w:rsidP="00E65282">
      <w:pPr>
        <w:rPr>
          <w:sz w:val="22"/>
        </w:rPr>
      </w:pPr>
      <w:r w:rsidRPr="00E65282">
        <w:rPr>
          <w:sz w:val="22"/>
        </w:rPr>
        <w:t xml:space="preserve">The project was initially intended to operate from 2007 to 2010 and was later extended to 2013 based on an additional contribution from the Government of Egypt. This additional contribution served to cover the unfunded portion of the project budgets and allow for implementation of activities as originally envisioned. </w:t>
      </w:r>
    </w:p>
    <w:p w:rsidR="0051373C" w:rsidRPr="00E65282" w:rsidRDefault="0051373C" w:rsidP="00E65282">
      <w:pPr>
        <w:rPr>
          <w:sz w:val="22"/>
        </w:rPr>
      </w:pPr>
      <w:r w:rsidRPr="00E65282">
        <w:rPr>
          <w:sz w:val="22"/>
        </w:rPr>
        <w:t>II. REVIEW AUDIENCE</w:t>
      </w:r>
    </w:p>
    <w:p w:rsidR="0051373C" w:rsidRPr="00E65282" w:rsidRDefault="0051373C" w:rsidP="00E65282">
      <w:pPr>
        <w:rPr>
          <w:rFonts w:eastAsia="Calibri"/>
          <w:sz w:val="22"/>
        </w:rPr>
      </w:pPr>
      <w:r w:rsidRPr="00E65282">
        <w:rPr>
          <w:sz w:val="22"/>
        </w:rPr>
        <w:t>This</w:t>
      </w:r>
      <w:r w:rsidRPr="00E65282">
        <w:rPr>
          <w:rFonts w:eastAsia="Calibri"/>
          <w:sz w:val="22"/>
        </w:rPr>
        <w:t xml:space="preserve"> Review is initiated by UNDP</w:t>
      </w:r>
      <w:r w:rsidRPr="00E65282">
        <w:rPr>
          <w:sz w:val="22"/>
        </w:rPr>
        <w:t xml:space="preserve"> and the Netherlands</w:t>
      </w:r>
      <w:r w:rsidRPr="00E65282">
        <w:rPr>
          <w:rFonts w:eastAsia="Calibri"/>
          <w:sz w:val="22"/>
        </w:rPr>
        <w:t>.  It aims to provide managers (at the</w:t>
      </w:r>
      <w:r w:rsidRPr="00E65282">
        <w:rPr>
          <w:sz w:val="22"/>
        </w:rPr>
        <w:t xml:space="preserve"> Ministry of Local Development,</w:t>
      </w:r>
      <w:r w:rsidR="00FA65B8">
        <w:rPr>
          <w:sz w:val="22"/>
        </w:rPr>
        <w:t>Decentralisation</w:t>
      </w:r>
      <w:r w:rsidRPr="00E65282">
        <w:rPr>
          <w:sz w:val="22"/>
        </w:rPr>
        <w:t xml:space="preserve"> Support Unit,</w:t>
      </w:r>
      <w:r w:rsidRPr="00E65282">
        <w:rPr>
          <w:rFonts w:eastAsia="Calibri"/>
          <w:sz w:val="22"/>
        </w:rPr>
        <w:t xml:space="preserve"> UNDP-Egypt and </w:t>
      </w:r>
      <w:r w:rsidRPr="00E65282">
        <w:rPr>
          <w:sz w:val="22"/>
        </w:rPr>
        <w:t>Donors</w:t>
      </w:r>
      <w:r w:rsidRPr="00E65282">
        <w:rPr>
          <w:rFonts w:eastAsia="Calibri"/>
          <w:sz w:val="22"/>
        </w:rPr>
        <w:t xml:space="preserve">) with strategy and policy options for more effectively and efficiently achieving the project’s expected results and for replicating the results.  </w:t>
      </w:r>
    </w:p>
    <w:p w:rsidR="0051373C" w:rsidRPr="00E65282" w:rsidRDefault="0051373C" w:rsidP="00E65282">
      <w:pPr>
        <w:rPr>
          <w:sz w:val="22"/>
        </w:rPr>
      </w:pPr>
      <w:r w:rsidRPr="00E65282">
        <w:rPr>
          <w:sz w:val="22"/>
        </w:rPr>
        <w:t>III. OBJECTIVES OF THE REVIEW</w:t>
      </w:r>
    </w:p>
    <w:p w:rsidR="0051373C" w:rsidRPr="00E65282" w:rsidRDefault="0051373C" w:rsidP="00E65282">
      <w:pPr>
        <w:rPr>
          <w:rFonts w:eastAsia="Calibri"/>
          <w:sz w:val="22"/>
        </w:rPr>
      </w:pPr>
      <w:r w:rsidRPr="00E65282">
        <w:rPr>
          <w:rFonts w:eastAsia="Calibri"/>
          <w:sz w:val="22"/>
        </w:rPr>
        <w:t xml:space="preserve">Based on the Specific Agreement between the Netherlands Minister for Development and Cooperation and UNDP and as an integral part of the project implementation cycle, UNDP has initiated an review that will analyze the achievements of the project against its original objectives while providing donors, government and project partners with an independent review of project outputs achieved so far and impact on the </w:t>
      </w:r>
      <w:r w:rsidR="00FA65B8">
        <w:rPr>
          <w:rFonts w:eastAsia="Calibri"/>
          <w:sz w:val="22"/>
        </w:rPr>
        <w:t>decentralisation</w:t>
      </w:r>
      <w:r w:rsidRPr="00E65282">
        <w:rPr>
          <w:rFonts w:eastAsia="Calibri"/>
          <w:sz w:val="22"/>
        </w:rPr>
        <w:t xml:space="preserve"> process.  The review will review strategic, procedural, technical, and managerial aspects and consider issues of effectiveness, efficiency, relevance, impact and sustainability.  The review will identify factors that have facilitated and/or impeded the achievement of objectives and should result in recommendations and lessons learned that will help in re-orienting and re-prioritizing project activities and managerial arrangements as needed.</w:t>
      </w:r>
    </w:p>
    <w:p w:rsidR="0051373C" w:rsidRPr="00E65282" w:rsidRDefault="0051373C" w:rsidP="00E65282">
      <w:pPr>
        <w:rPr>
          <w:sz w:val="22"/>
        </w:rPr>
      </w:pPr>
      <w:r w:rsidRPr="00E65282">
        <w:rPr>
          <w:sz w:val="22"/>
        </w:rPr>
        <w:t>IV. SCOPE OF THE REVIEW</w:t>
      </w:r>
    </w:p>
    <w:p w:rsidR="0051373C" w:rsidRPr="00E65282" w:rsidRDefault="0051373C" w:rsidP="00E65282">
      <w:pPr>
        <w:rPr>
          <w:sz w:val="22"/>
        </w:rPr>
      </w:pPr>
      <w:r w:rsidRPr="00E65282">
        <w:rPr>
          <w:rFonts w:eastAsia="Calibri"/>
          <w:sz w:val="22"/>
        </w:rPr>
        <w:t xml:space="preserve">The scope of the review will cover </w:t>
      </w:r>
      <w:r w:rsidRPr="00E65282">
        <w:rPr>
          <w:sz w:val="22"/>
        </w:rPr>
        <w:t>project activities from 2007 to 2010 as well as achieved activities in 2011 including:</w:t>
      </w:r>
    </w:p>
    <w:p w:rsidR="0051373C" w:rsidRPr="00E65282" w:rsidRDefault="0051373C" w:rsidP="00E65282">
      <w:pPr>
        <w:rPr>
          <w:rFonts w:eastAsia="Calibri"/>
          <w:sz w:val="22"/>
        </w:rPr>
      </w:pPr>
      <w:r w:rsidRPr="00E65282">
        <w:rPr>
          <w:rFonts w:eastAsia="Calibri"/>
          <w:sz w:val="22"/>
        </w:rPr>
        <w:t xml:space="preserve">The entire </w:t>
      </w:r>
      <w:r w:rsidRPr="00E65282">
        <w:rPr>
          <w:sz w:val="22"/>
        </w:rPr>
        <w:t>Netherlands</w:t>
      </w:r>
      <w:r w:rsidRPr="00E65282">
        <w:rPr>
          <w:rFonts w:eastAsia="Calibri"/>
          <w:sz w:val="22"/>
        </w:rPr>
        <w:t xml:space="preserve">-funded project components of the project. </w:t>
      </w:r>
    </w:p>
    <w:p w:rsidR="0051373C" w:rsidRPr="00E65282" w:rsidRDefault="0051373C" w:rsidP="00E65282">
      <w:pPr>
        <w:rPr>
          <w:rFonts w:eastAsia="Calibri"/>
          <w:sz w:val="22"/>
        </w:rPr>
      </w:pPr>
      <w:r w:rsidRPr="00E65282">
        <w:rPr>
          <w:rFonts w:eastAsia="Calibri"/>
          <w:sz w:val="22"/>
        </w:rPr>
        <w:t xml:space="preserve">The co-financed components such as the UNDP TRAC fund, the in-kind contributions from donors, which have been included in the project document, as well as Government cost sharing funds. </w:t>
      </w:r>
    </w:p>
    <w:p w:rsidR="0051373C" w:rsidRPr="00E65282" w:rsidRDefault="0051373C" w:rsidP="00E65282">
      <w:pPr>
        <w:rPr>
          <w:rFonts w:eastAsia="Calibri"/>
          <w:sz w:val="22"/>
        </w:rPr>
      </w:pPr>
      <w:r w:rsidRPr="00E65282">
        <w:rPr>
          <w:rFonts w:eastAsia="Calibri"/>
          <w:sz w:val="22"/>
        </w:rPr>
        <w:lastRenderedPageBreak/>
        <w:t>The review will cover the contribution of the project to the following outputs:</w:t>
      </w:r>
    </w:p>
    <w:p w:rsidR="0051373C" w:rsidRPr="00E65282" w:rsidRDefault="0051373C" w:rsidP="00E65282">
      <w:pPr>
        <w:rPr>
          <w:rFonts w:eastAsia="Calibri"/>
          <w:sz w:val="22"/>
        </w:rPr>
      </w:pPr>
      <w:r w:rsidRPr="00E65282">
        <w:rPr>
          <w:rFonts w:eastAsia="Calibri"/>
          <w:sz w:val="22"/>
        </w:rPr>
        <w:t>Coordinate and guide the development and modification of the policy and legal environment for the local authority system.</w:t>
      </w:r>
    </w:p>
    <w:p w:rsidR="0051373C" w:rsidRPr="00E65282" w:rsidRDefault="0051373C" w:rsidP="00E65282">
      <w:pPr>
        <w:rPr>
          <w:rFonts w:eastAsia="Calibri"/>
          <w:sz w:val="22"/>
        </w:rPr>
      </w:pPr>
      <w:r w:rsidRPr="00E65282">
        <w:rPr>
          <w:rFonts w:eastAsia="Calibri"/>
          <w:sz w:val="22"/>
        </w:rPr>
        <w:t xml:space="preserve">Restructuring of </w:t>
      </w:r>
      <w:r w:rsidR="008C2456">
        <w:rPr>
          <w:rFonts w:eastAsia="Calibri"/>
          <w:sz w:val="22"/>
        </w:rPr>
        <w:t>MLD</w:t>
      </w:r>
      <w:r w:rsidRPr="00E65282">
        <w:rPr>
          <w:rFonts w:eastAsia="Calibri"/>
          <w:sz w:val="22"/>
        </w:rPr>
        <w:t xml:space="preserve"> to strengthen its own capacity as the central agency for State’ s support and supervision of the sub-national authorities’ system.</w:t>
      </w:r>
    </w:p>
    <w:p w:rsidR="0051373C" w:rsidRPr="00E65282" w:rsidRDefault="0051373C" w:rsidP="00E65282">
      <w:pPr>
        <w:rPr>
          <w:rFonts w:eastAsia="Calibri"/>
          <w:sz w:val="22"/>
        </w:rPr>
      </w:pPr>
      <w:r w:rsidRPr="00E65282">
        <w:rPr>
          <w:rFonts w:eastAsia="Calibri"/>
          <w:sz w:val="22"/>
        </w:rPr>
        <w:t>Guide the capacity development of local authorities on administrative and public expenditure and asset management skills (Re-align MISR)</w:t>
      </w:r>
    </w:p>
    <w:p w:rsidR="0051373C" w:rsidRPr="00E65282" w:rsidRDefault="0051373C" w:rsidP="00E65282">
      <w:pPr>
        <w:rPr>
          <w:rFonts w:eastAsia="Calibri"/>
          <w:sz w:val="22"/>
        </w:rPr>
      </w:pPr>
      <w:r w:rsidRPr="00E65282">
        <w:rPr>
          <w:rFonts w:eastAsia="Calibri"/>
          <w:sz w:val="22"/>
        </w:rPr>
        <w:t xml:space="preserve">The review will also cover the contribution of the project to the 2007 - 2011 Country </w:t>
      </w:r>
      <w:r w:rsidR="008C2456">
        <w:rPr>
          <w:rFonts w:eastAsia="Calibri"/>
          <w:sz w:val="22"/>
        </w:rPr>
        <w:t>Programme</w:t>
      </w:r>
      <w:r w:rsidRPr="00E65282">
        <w:rPr>
          <w:rFonts w:eastAsia="Calibri"/>
          <w:sz w:val="22"/>
        </w:rPr>
        <w:t xml:space="preserve"> Action Plan Outcome 4: “</w:t>
      </w:r>
      <w:r w:rsidR="00FA65B8">
        <w:rPr>
          <w:rFonts w:eastAsia="Calibri"/>
          <w:sz w:val="22"/>
        </w:rPr>
        <w:t>Decentralisation</w:t>
      </w:r>
      <w:r w:rsidRPr="00E65282">
        <w:rPr>
          <w:rFonts w:eastAsia="Calibri"/>
          <w:sz w:val="22"/>
        </w:rPr>
        <w:t xml:space="preserve"> policies formulated/reformed, adopted &amp; implemented with improved capacity of institutions at the local level in participatory planning, resource management &amp; service delivery”.</w:t>
      </w:r>
    </w:p>
    <w:p w:rsidR="0051373C" w:rsidRPr="00E65282" w:rsidRDefault="0051373C" w:rsidP="00E65282">
      <w:pPr>
        <w:rPr>
          <w:sz w:val="22"/>
        </w:rPr>
      </w:pPr>
      <w:r w:rsidRPr="00E65282">
        <w:rPr>
          <w:sz w:val="22"/>
        </w:rPr>
        <w:t>V. PRODUCTS EXPECTED FROM THE REVIEW</w:t>
      </w:r>
    </w:p>
    <w:p w:rsidR="0051373C" w:rsidRPr="00E65282" w:rsidRDefault="0051373C" w:rsidP="00E65282">
      <w:pPr>
        <w:rPr>
          <w:sz w:val="22"/>
        </w:rPr>
      </w:pPr>
      <w:r w:rsidRPr="00E65282">
        <w:rPr>
          <w:sz w:val="22"/>
        </w:rPr>
        <w:t xml:space="preserve">The main product of the review is expected to be a comprehensive report.   </w:t>
      </w:r>
    </w:p>
    <w:p w:rsidR="0051373C" w:rsidRPr="00E65282" w:rsidRDefault="0051373C" w:rsidP="00E65282">
      <w:pPr>
        <w:rPr>
          <w:sz w:val="22"/>
        </w:rPr>
      </w:pPr>
      <w:r w:rsidRPr="00E65282">
        <w:rPr>
          <w:sz w:val="22"/>
        </w:rPr>
        <w:t>The review should include at least:</w:t>
      </w:r>
    </w:p>
    <w:p w:rsidR="0051373C" w:rsidRPr="00E65282" w:rsidRDefault="0051373C" w:rsidP="00E65282">
      <w:pPr>
        <w:rPr>
          <w:rFonts w:eastAsia="Calibri"/>
          <w:sz w:val="22"/>
        </w:rPr>
      </w:pPr>
      <w:r w:rsidRPr="00E65282">
        <w:rPr>
          <w:rFonts w:eastAsia="Calibri"/>
          <w:sz w:val="22"/>
        </w:rPr>
        <w:t>1</w:t>
      </w:r>
      <w:r w:rsidRPr="00E65282">
        <w:rPr>
          <w:rFonts w:eastAsia="Calibri"/>
          <w:sz w:val="22"/>
        </w:rPr>
        <w:tab/>
        <w:t>Review Inception Report</w:t>
      </w:r>
    </w:p>
    <w:p w:rsidR="0051373C" w:rsidRPr="00E65282" w:rsidRDefault="0051373C" w:rsidP="00E65282">
      <w:pPr>
        <w:rPr>
          <w:rFonts w:eastAsia="Calibri"/>
          <w:sz w:val="22"/>
        </w:rPr>
      </w:pPr>
      <w:r w:rsidRPr="00E65282">
        <w:rPr>
          <w:rFonts w:eastAsia="Calibri"/>
          <w:i/>
          <w:sz w:val="22"/>
        </w:rPr>
        <w:t>2</w:t>
      </w:r>
      <w:r w:rsidRPr="00E65282">
        <w:rPr>
          <w:rFonts w:eastAsia="Calibri"/>
          <w:i/>
          <w:sz w:val="22"/>
        </w:rPr>
        <w:tab/>
      </w:r>
      <w:r w:rsidRPr="00E65282">
        <w:rPr>
          <w:rFonts w:eastAsia="Calibri"/>
          <w:sz w:val="22"/>
        </w:rPr>
        <w:t>Review Report comprised of the following:</w:t>
      </w:r>
    </w:p>
    <w:p w:rsidR="0051373C" w:rsidRPr="00E65282" w:rsidRDefault="0051373C" w:rsidP="00E65282">
      <w:pPr>
        <w:rPr>
          <w:rFonts w:eastAsia="Calibri"/>
          <w:sz w:val="22"/>
        </w:rPr>
      </w:pPr>
      <w:r w:rsidRPr="00E65282">
        <w:rPr>
          <w:rFonts w:eastAsia="Calibri"/>
          <w:sz w:val="22"/>
        </w:rPr>
        <w:t>Executive summary</w:t>
      </w:r>
    </w:p>
    <w:p w:rsidR="0051373C" w:rsidRPr="00E65282" w:rsidRDefault="0051373C" w:rsidP="00E65282">
      <w:pPr>
        <w:rPr>
          <w:rFonts w:eastAsia="Calibri"/>
          <w:sz w:val="22"/>
        </w:rPr>
      </w:pPr>
      <w:r w:rsidRPr="00E65282">
        <w:rPr>
          <w:rFonts w:eastAsia="Calibri"/>
          <w:sz w:val="22"/>
        </w:rPr>
        <w:t>Introduction</w:t>
      </w:r>
    </w:p>
    <w:p w:rsidR="0051373C" w:rsidRPr="00E65282" w:rsidRDefault="0051373C" w:rsidP="00E65282">
      <w:pPr>
        <w:rPr>
          <w:rFonts w:eastAsia="Calibri"/>
          <w:sz w:val="22"/>
        </w:rPr>
      </w:pPr>
      <w:r w:rsidRPr="00E65282">
        <w:rPr>
          <w:rFonts w:eastAsia="Calibri"/>
          <w:sz w:val="22"/>
        </w:rPr>
        <w:t>The project(s) and its development context</w:t>
      </w:r>
    </w:p>
    <w:p w:rsidR="0051373C" w:rsidRPr="00E65282" w:rsidRDefault="0051373C" w:rsidP="00E65282">
      <w:pPr>
        <w:rPr>
          <w:rFonts w:eastAsia="Calibri"/>
          <w:sz w:val="22"/>
        </w:rPr>
      </w:pPr>
      <w:r w:rsidRPr="00E65282">
        <w:rPr>
          <w:rFonts w:eastAsia="Calibri"/>
          <w:sz w:val="22"/>
        </w:rPr>
        <w:t>Findings and Conclusions</w:t>
      </w:r>
    </w:p>
    <w:p w:rsidR="0051373C" w:rsidRPr="00E65282" w:rsidRDefault="0051373C" w:rsidP="00E65282">
      <w:pPr>
        <w:rPr>
          <w:rFonts w:eastAsia="Calibri"/>
          <w:sz w:val="22"/>
        </w:rPr>
      </w:pPr>
      <w:r w:rsidRPr="00E65282">
        <w:rPr>
          <w:rFonts w:eastAsia="Calibri"/>
          <w:sz w:val="22"/>
        </w:rPr>
        <w:tab/>
      </w:r>
      <w:r w:rsidRPr="00E65282">
        <w:rPr>
          <w:rFonts w:eastAsia="Calibri"/>
          <w:sz w:val="22"/>
        </w:rPr>
        <w:tab/>
        <w:t>4.1 Project formulation</w:t>
      </w:r>
    </w:p>
    <w:p w:rsidR="0051373C" w:rsidRPr="00E65282" w:rsidRDefault="0051373C" w:rsidP="00E65282">
      <w:pPr>
        <w:rPr>
          <w:rFonts w:eastAsia="Calibri"/>
          <w:sz w:val="22"/>
        </w:rPr>
      </w:pPr>
      <w:r w:rsidRPr="00E65282">
        <w:rPr>
          <w:rFonts w:eastAsia="Calibri"/>
          <w:sz w:val="22"/>
        </w:rPr>
        <w:tab/>
      </w:r>
      <w:r w:rsidRPr="00E65282">
        <w:rPr>
          <w:rFonts w:eastAsia="Calibri"/>
          <w:sz w:val="22"/>
        </w:rPr>
        <w:tab/>
        <w:t>4.2 Implementation</w:t>
      </w:r>
    </w:p>
    <w:p w:rsidR="0051373C" w:rsidRPr="00E65282" w:rsidRDefault="0051373C" w:rsidP="00E65282">
      <w:pPr>
        <w:rPr>
          <w:rFonts w:eastAsia="Calibri"/>
          <w:sz w:val="22"/>
        </w:rPr>
      </w:pPr>
      <w:r w:rsidRPr="00E65282">
        <w:rPr>
          <w:rFonts w:eastAsia="Calibri"/>
          <w:sz w:val="22"/>
        </w:rPr>
        <w:tab/>
      </w:r>
      <w:r w:rsidRPr="00E65282">
        <w:rPr>
          <w:rFonts w:eastAsia="Calibri"/>
          <w:sz w:val="22"/>
        </w:rPr>
        <w:tab/>
        <w:t>4.3 Results</w:t>
      </w:r>
    </w:p>
    <w:p w:rsidR="0051373C" w:rsidRPr="00E65282" w:rsidRDefault="0051373C" w:rsidP="00E65282">
      <w:pPr>
        <w:rPr>
          <w:rFonts w:eastAsia="Calibri"/>
          <w:sz w:val="22"/>
        </w:rPr>
      </w:pPr>
      <w:r w:rsidRPr="00E65282">
        <w:rPr>
          <w:rFonts w:eastAsia="Calibri"/>
          <w:sz w:val="22"/>
        </w:rPr>
        <w:t>Recommendations</w:t>
      </w:r>
    </w:p>
    <w:p w:rsidR="0051373C" w:rsidRPr="00E65282" w:rsidRDefault="0051373C" w:rsidP="00E65282">
      <w:pPr>
        <w:rPr>
          <w:rFonts w:eastAsia="Calibri"/>
          <w:sz w:val="22"/>
        </w:rPr>
      </w:pPr>
      <w:r w:rsidRPr="00E65282">
        <w:rPr>
          <w:rFonts w:eastAsia="Calibri"/>
          <w:sz w:val="22"/>
        </w:rPr>
        <w:t>Lessons learned</w:t>
      </w:r>
    </w:p>
    <w:p w:rsidR="0051373C" w:rsidRPr="00E65282" w:rsidRDefault="0051373C" w:rsidP="00E65282">
      <w:pPr>
        <w:rPr>
          <w:rFonts w:eastAsia="Calibri"/>
          <w:sz w:val="22"/>
        </w:rPr>
      </w:pPr>
      <w:r w:rsidRPr="00E65282">
        <w:rPr>
          <w:rFonts w:eastAsia="Calibri"/>
          <w:sz w:val="22"/>
        </w:rPr>
        <w:t>Annexes</w:t>
      </w:r>
    </w:p>
    <w:p w:rsidR="0051373C" w:rsidRPr="00E65282" w:rsidRDefault="0051373C" w:rsidP="00E65282">
      <w:pPr>
        <w:rPr>
          <w:rFonts w:eastAsia="Calibri"/>
          <w:sz w:val="22"/>
        </w:rPr>
      </w:pPr>
    </w:p>
    <w:p w:rsidR="0051373C" w:rsidRPr="00E65282" w:rsidRDefault="0051373C" w:rsidP="00E65282">
      <w:pPr>
        <w:rPr>
          <w:sz w:val="22"/>
        </w:rPr>
      </w:pPr>
      <w:r w:rsidRPr="00E65282">
        <w:rPr>
          <w:sz w:val="22"/>
        </w:rPr>
        <w:t xml:space="preserve">3. </w:t>
      </w:r>
      <w:r w:rsidRPr="00E65282">
        <w:rPr>
          <w:sz w:val="22"/>
        </w:rPr>
        <w:tab/>
        <w:t>PowerPoint presentation on findings and recommendations:</w:t>
      </w:r>
    </w:p>
    <w:p w:rsidR="0051373C" w:rsidRPr="00E65282" w:rsidRDefault="0051373C" w:rsidP="00E65282">
      <w:pPr>
        <w:rPr>
          <w:sz w:val="22"/>
        </w:rPr>
      </w:pPr>
      <w:r w:rsidRPr="00E65282">
        <w:rPr>
          <w:sz w:val="22"/>
        </w:rPr>
        <w:lastRenderedPageBreak/>
        <w:t>The review report should not exceed 50 pages excluding annexes and will be submitted to UNDP Egypt, two weeks after the end of the mission.  The draft report will be circulated for two weeks to the government counterparts and project management unit to verify factual statements.  Meanwhile any discrepancies between the impressions and findings of the review team and the aforementioned parties these should be explained in an annex attached to the final report.</w:t>
      </w:r>
    </w:p>
    <w:p w:rsidR="0051373C" w:rsidRPr="00E65282" w:rsidRDefault="0051373C" w:rsidP="00E65282">
      <w:pPr>
        <w:rPr>
          <w:sz w:val="22"/>
        </w:rPr>
      </w:pPr>
      <w:r w:rsidRPr="00E65282">
        <w:rPr>
          <w:sz w:val="22"/>
        </w:rPr>
        <w:t>VI. METHODOLOGY OR REVIEW APPROACH</w:t>
      </w:r>
    </w:p>
    <w:p w:rsidR="0051373C" w:rsidRPr="00E65282" w:rsidRDefault="0051373C" w:rsidP="00E65282">
      <w:pPr>
        <w:rPr>
          <w:sz w:val="22"/>
        </w:rPr>
      </w:pPr>
      <w:r w:rsidRPr="00E65282">
        <w:rPr>
          <w:sz w:val="22"/>
        </w:rPr>
        <w:t>The review will be based on information obtained from reviewing documents such as the project document, project brief, quarterly progress reports, Annual Project Reports (APR), and minutes from relevant meetings and mission reports.  The mission should also rely on information gathered through field visits, and interviews with target beneficiaries and project staff including government officials, and/or consultants.  Interviews should include the Ministry of Local Development, UNDP, Governorates, Local Popular/Executive Councils.  The methodology that will be used by the evaluator should be presented in the inception report in detail. The review shall include scrupulous information on documentation review, interviews held; field visits; participatory techniques and other approaches for the gathering and analysis of data.</w:t>
      </w:r>
    </w:p>
    <w:p w:rsidR="0051373C" w:rsidRPr="00E65282" w:rsidRDefault="0051373C" w:rsidP="00E65282">
      <w:pPr>
        <w:rPr>
          <w:sz w:val="22"/>
        </w:rPr>
      </w:pPr>
      <w:r w:rsidRPr="00E65282">
        <w:rPr>
          <w:sz w:val="22"/>
        </w:rPr>
        <w:t xml:space="preserve">VII. TIME FRAME FOR THE REVIEW PROCESS </w:t>
      </w:r>
    </w:p>
    <w:p w:rsidR="0051373C" w:rsidRPr="00E65282" w:rsidRDefault="0051373C" w:rsidP="00E65282">
      <w:pPr>
        <w:rPr>
          <w:sz w:val="22"/>
        </w:rPr>
      </w:pPr>
      <w:r w:rsidRPr="00E65282">
        <w:rPr>
          <w:sz w:val="22"/>
        </w:rPr>
        <w:t>This section lists and describes all tasks and deliverables for which evaluators or the review team will be responsible and accountable, as well as those involving the commissioning office, indicating for each the due date or time-frame (e.g., work plan, agreements, briefings, draft report, final report), as well as who is responsible for its completion. At a minimum, the time breakdown for the following activities should be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396"/>
      </w:tblGrid>
      <w:tr w:rsidR="0051373C" w:rsidRPr="00E65282" w:rsidTr="003F2FF3">
        <w:trPr>
          <w:trHeight w:val="332"/>
        </w:trPr>
        <w:tc>
          <w:tcPr>
            <w:tcW w:w="4788" w:type="dxa"/>
            <w:vAlign w:val="center"/>
          </w:tcPr>
          <w:p w:rsidR="0051373C" w:rsidRPr="00E65282" w:rsidRDefault="0051373C" w:rsidP="00E65282">
            <w:pPr>
              <w:spacing w:after="0"/>
              <w:rPr>
                <w:sz w:val="22"/>
              </w:rPr>
            </w:pPr>
            <w:r w:rsidRPr="00E65282">
              <w:rPr>
                <w:sz w:val="22"/>
              </w:rPr>
              <w:t>Task</w:t>
            </w:r>
          </w:p>
        </w:tc>
        <w:tc>
          <w:tcPr>
            <w:tcW w:w="4788" w:type="dxa"/>
            <w:vAlign w:val="center"/>
          </w:tcPr>
          <w:p w:rsidR="0051373C" w:rsidRPr="00E65282" w:rsidRDefault="0051373C" w:rsidP="00E65282">
            <w:pPr>
              <w:spacing w:after="0"/>
              <w:rPr>
                <w:sz w:val="22"/>
              </w:rPr>
            </w:pPr>
            <w:r w:rsidRPr="00E65282">
              <w:rPr>
                <w:sz w:val="22"/>
              </w:rPr>
              <w:t>Timeline</w:t>
            </w:r>
          </w:p>
        </w:tc>
      </w:tr>
      <w:tr w:rsidR="0051373C" w:rsidRPr="00E65282" w:rsidTr="00E65282">
        <w:trPr>
          <w:trHeight w:val="287"/>
        </w:trPr>
        <w:tc>
          <w:tcPr>
            <w:tcW w:w="4788" w:type="dxa"/>
            <w:vAlign w:val="center"/>
          </w:tcPr>
          <w:p w:rsidR="0051373C" w:rsidRPr="00E65282" w:rsidRDefault="0051373C" w:rsidP="00E65282">
            <w:pPr>
              <w:spacing w:after="0"/>
              <w:rPr>
                <w:sz w:val="22"/>
              </w:rPr>
            </w:pPr>
            <w:r w:rsidRPr="00E65282">
              <w:rPr>
                <w:sz w:val="22"/>
              </w:rPr>
              <w:t>Desk review /Briefings of evaluators</w:t>
            </w:r>
          </w:p>
        </w:tc>
        <w:tc>
          <w:tcPr>
            <w:tcW w:w="4788" w:type="dxa"/>
            <w:vAlign w:val="center"/>
          </w:tcPr>
          <w:p w:rsidR="0051373C" w:rsidRPr="00E65282" w:rsidRDefault="0051373C" w:rsidP="00E65282">
            <w:pPr>
              <w:spacing w:after="0"/>
              <w:rPr>
                <w:sz w:val="22"/>
              </w:rPr>
            </w:pPr>
            <w:r w:rsidRPr="00E65282">
              <w:rPr>
                <w:sz w:val="22"/>
              </w:rPr>
              <w:t>4 working days</w:t>
            </w:r>
          </w:p>
        </w:tc>
      </w:tr>
      <w:tr w:rsidR="0051373C" w:rsidRPr="00E65282" w:rsidTr="003F2FF3">
        <w:tc>
          <w:tcPr>
            <w:tcW w:w="4788" w:type="dxa"/>
            <w:vAlign w:val="center"/>
          </w:tcPr>
          <w:p w:rsidR="0051373C" w:rsidRPr="00E65282" w:rsidRDefault="0051373C" w:rsidP="00E65282">
            <w:pPr>
              <w:spacing w:after="0"/>
              <w:rPr>
                <w:sz w:val="22"/>
              </w:rPr>
            </w:pPr>
            <w:r w:rsidRPr="00E65282">
              <w:rPr>
                <w:sz w:val="22"/>
              </w:rPr>
              <w:t>Finalizing the review design and methods and preparing the detailed inception report</w:t>
            </w:r>
          </w:p>
        </w:tc>
        <w:tc>
          <w:tcPr>
            <w:tcW w:w="4788" w:type="dxa"/>
            <w:vAlign w:val="center"/>
          </w:tcPr>
          <w:p w:rsidR="0051373C" w:rsidRPr="00E65282" w:rsidRDefault="0051373C" w:rsidP="00E65282">
            <w:pPr>
              <w:spacing w:after="0"/>
              <w:rPr>
                <w:sz w:val="22"/>
              </w:rPr>
            </w:pPr>
            <w:r w:rsidRPr="00E65282">
              <w:rPr>
                <w:sz w:val="22"/>
              </w:rPr>
              <w:t>3 working days</w:t>
            </w:r>
          </w:p>
        </w:tc>
      </w:tr>
      <w:tr w:rsidR="0051373C" w:rsidRPr="00E65282" w:rsidTr="003F2FF3">
        <w:tc>
          <w:tcPr>
            <w:tcW w:w="4788" w:type="dxa"/>
            <w:vAlign w:val="center"/>
          </w:tcPr>
          <w:p w:rsidR="0051373C" w:rsidRPr="00E65282" w:rsidRDefault="0051373C" w:rsidP="00E65282">
            <w:pPr>
              <w:spacing w:after="0"/>
              <w:rPr>
                <w:sz w:val="22"/>
              </w:rPr>
            </w:pPr>
            <w:r w:rsidRPr="00E65282">
              <w:rPr>
                <w:sz w:val="22"/>
              </w:rPr>
              <w:t>In-country review mission (visits to the field, interviews, questionnaires)</w:t>
            </w:r>
          </w:p>
        </w:tc>
        <w:tc>
          <w:tcPr>
            <w:tcW w:w="4788" w:type="dxa"/>
            <w:vAlign w:val="center"/>
          </w:tcPr>
          <w:p w:rsidR="0051373C" w:rsidRPr="00E65282" w:rsidRDefault="0051373C" w:rsidP="00E65282">
            <w:pPr>
              <w:spacing w:after="0"/>
              <w:rPr>
                <w:sz w:val="22"/>
              </w:rPr>
            </w:pPr>
            <w:r w:rsidRPr="00E65282">
              <w:rPr>
                <w:sz w:val="22"/>
              </w:rPr>
              <w:t>10 working days</w:t>
            </w:r>
          </w:p>
        </w:tc>
      </w:tr>
      <w:tr w:rsidR="0051373C" w:rsidRPr="00E65282" w:rsidTr="003F2FF3">
        <w:tc>
          <w:tcPr>
            <w:tcW w:w="4788" w:type="dxa"/>
            <w:vAlign w:val="center"/>
          </w:tcPr>
          <w:p w:rsidR="0051373C" w:rsidRPr="00E65282" w:rsidRDefault="0051373C" w:rsidP="00E65282">
            <w:pPr>
              <w:spacing w:after="0"/>
              <w:rPr>
                <w:sz w:val="22"/>
              </w:rPr>
            </w:pPr>
            <w:r w:rsidRPr="00E65282">
              <w:rPr>
                <w:sz w:val="22"/>
              </w:rPr>
              <w:t>Preparing the draft report / Stakeholder meeting and review of the draft report (for quality assurance)</w:t>
            </w:r>
          </w:p>
        </w:tc>
        <w:tc>
          <w:tcPr>
            <w:tcW w:w="4788" w:type="dxa"/>
            <w:vAlign w:val="center"/>
          </w:tcPr>
          <w:p w:rsidR="0051373C" w:rsidRPr="00E65282" w:rsidRDefault="0051373C" w:rsidP="00E65282">
            <w:pPr>
              <w:spacing w:after="0"/>
              <w:rPr>
                <w:sz w:val="22"/>
              </w:rPr>
            </w:pPr>
            <w:r w:rsidRPr="00E65282">
              <w:rPr>
                <w:sz w:val="22"/>
              </w:rPr>
              <w:t>5 working days</w:t>
            </w:r>
          </w:p>
        </w:tc>
      </w:tr>
      <w:tr w:rsidR="0051373C" w:rsidRPr="00E65282" w:rsidTr="003F2FF3">
        <w:tc>
          <w:tcPr>
            <w:tcW w:w="4788" w:type="dxa"/>
            <w:vAlign w:val="center"/>
          </w:tcPr>
          <w:p w:rsidR="0051373C" w:rsidRPr="00E65282" w:rsidRDefault="0051373C" w:rsidP="00E65282">
            <w:pPr>
              <w:spacing w:after="0"/>
              <w:rPr>
                <w:sz w:val="22"/>
              </w:rPr>
            </w:pPr>
            <w:r w:rsidRPr="00E65282">
              <w:rPr>
                <w:sz w:val="22"/>
              </w:rPr>
              <w:t>Incorporating comments and finalizing the review report</w:t>
            </w:r>
          </w:p>
          <w:p w:rsidR="0051373C" w:rsidRPr="00E65282" w:rsidRDefault="0051373C" w:rsidP="00E65282">
            <w:pPr>
              <w:spacing w:after="0"/>
              <w:rPr>
                <w:sz w:val="22"/>
              </w:rPr>
            </w:pPr>
          </w:p>
        </w:tc>
        <w:tc>
          <w:tcPr>
            <w:tcW w:w="4788" w:type="dxa"/>
            <w:vAlign w:val="center"/>
          </w:tcPr>
          <w:p w:rsidR="0051373C" w:rsidRPr="00E65282" w:rsidRDefault="0051373C" w:rsidP="00E65282">
            <w:pPr>
              <w:spacing w:after="0"/>
              <w:rPr>
                <w:sz w:val="22"/>
              </w:rPr>
            </w:pPr>
            <w:r w:rsidRPr="00E65282">
              <w:rPr>
                <w:sz w:val="22"/>
              </w:rPr>
              <w:t>3 working days</w:t>
            </w:r>
          </w:p>
        </w:tc>
      </w:tr>
    </w:tbl>
    <w:p w:rsidR="0051373C" w:rsidRPr="00E65282" w:rsidRDefault="0051373C" w:rsidP="00E65282">
      <w:pPr>
        <w:rPr>
          <w:rFonts w:cs="Arial"/>
          <w:sz w:val="22"/>
        </w:rPr>
      </w:pPr>
      <w:r w:rsidRPr="00E65282">
        <w:rPr>
          <w:rFonts w:cs="Arial"/>
          <w:sz w:val="22"/>
        </w:rPr>
        <w:t>Required format for the review report is included in the annexes of the ToR for the review being commissioned</w:t>
      </w:r>
    </w:p>
    <w:p w:rsidR="0051373C" w:rsidRPr="00E65282" w:rsidRDefault="0051373C" w:rsidP="00E65282">
      <w:pPr>
        <w:rPr>
          <w:rFonts w:cs="Arial"/>
          <w:sz w:val="22"/>
        </w:rPr>
      </w:pPr>
      <w:r w:rsidRPr="00E65282">
        <w:rPr>
          <w:rFonts w:cs="Arial"/>
          <w:sz w:val="22"/>
        </w:rPr>
        <w:t xml:space="preserve">The time frame above does not include two weeks of unpaid time, during which UNDP Egypt will analyze, provide comments and share the draft report with different stakeholders.  This slot falls between the writing of the draft report and finalization of the review report.  The consultant is expected to send the draft review report two weeks after the end of the mission.  </w:t>
      </w:r>
    </w:p>
    <w:p w:rsidR="0051373C" w:rsidRDefault="0051373C">
      <w:pPr>
        <w:autoSpaceDE/>
        <w:autoSpaceDN/>
        <w:adjustRightInd/>
        <w:spacing w:after="0"/>
      </w:pPr>
      <w:r>
        <w:br w:type="page"/>
      </w:r>
    </w:p>
    <w:p w:rsidR="005F47EA" w:rsidRDefault="0051373C" w:rsidP="0051373C">
      <w:pPr>
        <w:pStyle w:val="Heading2"/>
      </w:pPr>
      <w:bookmarkStart w:id="112" w:name="_Toc302386994"/>
      <w:r>
        <w:lastRenderedPageBreak/>
        <w:t>Annex 2   Mission Agenda</w:t>
      </w:r>
      <w:bookmarkEnd w:id="112"/>
    </w:p>
    <w:p w:rsidR="0051373C" w:rsidRDefault="0051373C">
      <w:pPr>
        <w:autoSpaceDE/>
        <w:autoSpaceDN/>
        <w:adjustRightInd/>
        <w:spacing w:after="0"/>
      </w:pPr>
    </w:p>
    <w:p w:rsidR="005F47EA" w:rsidRPr="00673DE2" w:rsidRDefault="005F47EA" w:rsidP="00E65282">
      <w:pPr>
        <w:rPr>
          <w:kern w:val="36"/>
        </w:rPr>
      </w:pPr>
      <w:r w:rsidRPr="00673DE2">
        <w:rPr>
          <w:kern w:val="36"/>
        </w:rPr>
        <w:t>Ministry of Local Development</w:t>
      </w:r>
    </w:p>
    <w:p w:rsidR="005F47EA" w:rsidRPr="00673DE2" w:rsidRDefault="005F47EA" w:rsidP="00E65282">
      <w:pPr>
        <w:rPr>
          <w:kern w:val="36"/>
        </w:rPr>
      </w:pPr>
      <w:r w:rsidRPr="00673DE2">
        <w:rPr>
          <w:kern w:val="36"/>
        </w:rPr>
        <w:t xml:space="preserve"> Mid-Term Review Mission</w:t>
      </w:r>
    </w:p>
    <w:p w:rsidR="005F47EA" w:rsidRPr="00673DE2" w:rsidRDefault="005F47EA" w:rsidP="00E65282">
      <w:pPr>
        <w:rPr>
          <w:smallCaps/>
          <w:kern w:val="36"/>
          <w:szCs w:val="28"/>
        </w:rPr>
      </w:pPr>
      <w:r w:rsidRPr="00673DE2">
        <w:rPr>
          <w:smallCaps/>
          <w:kern w:val="36"/>
          <w:szCs w:val="28"/>
        </w:rPr>
        <w:t>12 - 22, July, 2011</w:t>
      </w:r>
    </w:p>
    <w:p w:rsidR="005F47EA" w:rsidRPr="00673DE2" w:rsidRDefault="005F47EA" w:rsidP="00E65282">
      <w:pPr>
        <w:rPr>
          <w:smallCaps/>
          <w:kern w:val="36"/>
          <w:sz w:val="32"/>
          <w:szCs w:val="36"/>
        </w:rPr>
      </w:pPr>
      <w:r w:rsidRPr="00673DE2">
        <w:rPr>
          <w:smallCaps/>
          <w:kern w:val="36"/>
          <w:sz w:val="32"/>
          <w:szCs w:val="36"/>
        </w:rPr>
        <w:t>Agenda</w:t>
      </w:r>
    </w:p>
    <w:p w:rsidR="005F47EA" w:rsidRPr="00E65282" w:rsidRDefault="005F47EA" w:rsidP="00E65282">
      <w:pPr>
        <w:rPr>
          <w:b/>
          <w:sz w:val="22"/>
        </w:rPr>
      </w:pPr>
      <w:r w:rsidRPr="00E65282">
        <w:rPr>
          <w:b/>
          <w:sz w:val="22"/>
        </w:rPr>
        <w:t>Tuesday,  12</w:t>
      </w:r>
      <w:r w:rsidRPr="00E65282">
        <w:rPr>
          <w:b/>
          <w:sz w:val="22"/>
          <w:vertAlign w:val="superscript"/>
        </w:rPr>
        <w:t>nd</w:t>
      </w:r>
      <w:r w:rsidRPr="00E65282">
        <w:rPr>
          <w:b/>
          <w:sz w:val="22"/>
        </w:rPr>
        <w:t xml:space="preserve">  July</w:t>
      </w:r>
      <w:r w:rsidRPr="00E65282">
        <w:rPr>
          <w:b/>
          <w:sz w:val="22"/>
        </w:rPr>
        <w:tab/>
      </w:r>
    </w:p>
    <w:p w:rsidR="005F47EA" w:rsidRPr="00673DE2" w:rsidRDefault="005F47EA" w:rsidP="00E65282">
      <w:pPr>
        <w:rPr>
          <w:smallCaps/>
          <w:color w:val="FFFFFF"/>
          <w:szCs w:val="28"/>
        </w:rPr>
      </w:pPr>
      <w:r w:rsidRPr="00673DE2">
        <w:rPr>
          <w:sz w:val="22"/>
        </w:rPr>
        <w:t>9:30 –11:00</w:t>
      </w:r>
      <w:r w:rsidRPr="00673DE2">
        <w:rPr>
          <w:sz w:val="22"/>
        </w:rPr>
        <w:tab/>
        <w:t xml:space="preserve">Mission Briefing </w:t>
      </w:r>
    </w:p>
    <w:p w:rsidR="005F47EA" w:rsidRPr="00673DE2" w:rsidRDefault="005F47EA" w:rsidP="00E65282">
      <w:pPr>
        <w:rPr>
          <w:sz w:val="22"/>
        </w:rPr>
      </w:pPr>
      <w:r w:rsidRPr="00673DE2">
        <w:rPr>
          <w:sz w:val="22"/>
        </w:rPr>
        <w:t xml:space="preserve">Ms. Rania Hedeya, UNDP </w:t>
      </w:r>
      <w:r w:rsidR="008C2456">
        <w:rPr>
          <w:sz w:val="22"/>
        </w:rPr>
        <w:t>Programme</w:t>
      </w:r>
      <w:r w:rsidRPr="00673DE2">
        <w:rPr>
          <w:sz w:val="22"/>
        </w:rPr>
        <w:t xml:space="preserve"> Officer (PO)</w:t>
      </w:r>
      <w:r w:rsidRPr="00673DE2">
        <w:rPr>
          <w:sz w:val="22"/>
        </w:rPr>
        <w:tab/>
      </w:r>
    </w:p>
    <w:p w:rsidR="005F47EA" w:rsidRPr="00673DE2" w:rsidRDefault="005F47EA" w:rsidP="00E65282">
      <w:pPr>
        <w:rPr>
          <w:sz w:val="22"/>
        </w:rPr>
      </w:pPr>
      <w:r w:rsidRPr="00673DE2">
        <w:rPr>
          <w:sz w:val="22"/>
        </w:rPr>
        <w:t>12:00-13:30</w:t>
      </w:r>
      <w:r w:rsidRPr="00673DE2">
        <w:rPr>
          <w:sz w:val="22"/>
        </w:rPr>
        <w:tab/>
        <w:t xml:space="preserve">Mission Briefing </w:t>
      </w:r>
    </w:p>
    <w:p w:rsidR="005F47EA" w:rsidRPr="00673DE2" w:rsidRDefault="005F47EA" w:rsidP="00E65282">
      <w:pPr>
        <w:rPr>
          <w:sz w:val="22"/>
        </w:rPr>
      </w:pPr>
      <w:r w:rsidRPr="00673DE2">
        <w:rPr>
          <w:sz w:val="22"/>
        </w:rPr>
        <w:tab/>
        <w:t>Dr. Nihal El-Megharbel, DSU Director</w:t>
      </w:r>
    </w:p>
    <w:p w:rsidR="005F47EA" w:rsidRPr="00673DE2" w:rsidRDefault="005F47EA" w:rsidP="00E65282">
      <w:pPr>
        <w:rPr>
          <w:sz w:val="22"/>
        </w:rPr>
      </w:pPr>
      <w:r w:rsidRPr="00673DE2">
        <w:rPr>
          <w:sz w:val="22"/>
        </w:rPr>
        <w:t xml:space="preserve">Ms. Rania Hedeya, UNDP </w:t>
      </w:r>
      <w:r w:rsidR="008C2456">
        <w:rPr>
          <w:sz w:val="22"/>
        </w:rPr>
        <w:t>Programme</w:t>
      </w:r>
      <w:r w:rsidRPr="00673DE2">
        <w:rPr>
          <w:sz w:val="22"/>
        </w:rPr>
        <w:t xml:space="preserve"> Officer (PO)</w:t>
      </w:r>
      <w:r w:rsidRPr="00673DE2">
        <w:rPr>
          <w:sz w:val="22"/>
        </w:rPr>
        <w:tab/>
      </w:r>
    </w:p>
    <w:p w:rsidR="005F47EA" w:rsidRPr="00673DE2" w:rsidRDefault="005F47EA" w:rsidP="00E65282">
      <w:pPr>
        <w:rPr>
          <w:sz w:val="22"/>
        </w:rPr>
      </w:pPr>
      <w:r w:rsidRPr="00673DE2">
        <w:rPr>
          <w:sz w:val="22"/>
        </w:rPr>
        <w:t xml:space="preserve">13:30-14:30  </w:t>
      </w:r>
      <w:r w:rsidRPr="00673DE2">
        <w:rPr>
          <w:sz w:val="22"/>
        </w:rPr>
        <w:tab/>
        <w:t>Brain Storming Session on Local Administration System</w:t>
      </w:r>
    </w:p>
    <w:p w:rsidR="005F47EA" w:rsidRPr="00673DE2" w:rsidRDefault="005F47EA" w:rsidP="00E65282">
      <w:pPr>
        <w:rPr>
          <w:sz w:val="22"/>
        </w:rPr>
      </w:pPr>
      <w:r w:rsidRPr="00673DE2">
        <w:rPr>
          <w:sz w:val="22"/>
        </w:rPr>
        <w:tab/>
        <w:t>Gen. Ahmed Maher, Senior Advisor for the Minster of Local Development</w:t>
      </w:r>
    </w:p>
    <w:p w:rsidR="005F47EA" w:rsidRPr="003F2FF3" w:rsidRDefault="005F47EA" w:rsidP="00E65282">
      <w:pPr>
        <w:rPr>
          <w:smallCaps/>
          <w:sz w:val="22"/>
          <w:lang w:val="es-US"/>
        </w:rPr>
      </w:pPr>
      <w:r w:rsidRPr="003F2FF3">
        <w:rPr>
          <w:sz w:val="22"/>
          <w:lang w:val="es-US"/>
        </w:rPr>
        <w:t>Dr. Nihal El-Megharbel, DSU Director</w:t>
      </w:r>
      <w:r w:rsidRPr="003F2FF3">
        <w:rPr>
          <w:sz w:val="22"/>
          <w:lang w:val="es-US"/>
        </w:rPr>
        <w:tab/>
      </w:r>
      <w:r w:rsidRPr="003F2FF3">
        <w:rPr>
          <w:smallCaps/>
          <w:sz w:val="22"/>
          <w:lang w:val="es-US"/>
        </w:rPr>
        <w:t>DSU</w:t>
      </w:r>
    </w:p>
    <w:p w:rsidR="005F47EA" w:rsidRPr="003F2FF3" w:rsidRDefault="005F47EA" w:rsidP="00E65282">
      <w:pPr>
        <w:rPr>
          <w:smallCaps/>
          <w:sz w:val="22"/>
          <w:lang w:val="es-US"/>
        </w:rPr>
      </w:pPr>
    </w:p>
    <w:p w:rsidR="005F47EA" w:rsidRPr="00E65282" w:rsidRDefault="005F47EA" w:rsidP="00E65282">
      <w:pPr>
        <w:rPr>
          <w:b/>
          <w:sz w:val="22"/>
        </w:rPr>
      </w:pPr>
      <w:r w:rsidRPr="00E65282">
        <w:rPr>
          <w:b/>
          <w:sz w:val="22"/>
        </w:rPr>
        <w:t>Wednesday, 13</w:t>
      </w:r>
      <w:r w:rsidRPr="00E65282">
        <w:rPr>
          <w:b/>
          <w:sz w:val="22"/>
          <w:vertAlign w:val="superscript"/>
        </w:rPr>
        <w:t>th</w:t>
      </w:r>
      <w:r w:rsidRPr="00E65282">
        <w:rPr>
          <w:b/>
          <w:sz w:val="22"/>
        </w:rPr>
        <w:t xml:space="preserve"> July</w:t>
      </w:r>
      <w:r w:rsidRPr="00E65282">
        <w:rPr>
          <w:b/>
          <w:sz w:val="22"/>
        </w:rPr>
        <w:tab/>
      </w:r>
    </w:p>
    <w:p w:rsidR="005F47EA" w:rsidRPr="00673DE2" w:rsidRDefault="005F47EA" w:rsidP="00E65282">
      <w:pPr>
        <w:rPr>
          <w:smallCaps/>
          <w:sz w:val="22"/>
        </w:rPr>
      </w:pPr>
      <w:r w:rsidRPr="00673DE2">
        <w:rPr>
          <w:sz w:val="22"/>
        </w:rPr>
        <w:t>9:30 –11:00</w:t>
      </w:r>
      <w:r w:rsidRPr="00673DE2">
        <w:rPr>
          <w:sz w:val="22"/>
        </w:rPr>
        <w:tab/>
        <w:t>Informal Brain Storming Session on Local Administration Law</w:t>
      </w:r>
    </w:p>
    <w:p w:rsidR="005F47EA" w:rsidRPr="00673DE2" w:rsidRDefault="005F47EA" w:rsidP="00E65282">
      <w:pPr>
        <w:rPr>
          <w:sz w:val="22"/>
        </w:rPr>
      </w:pPr>
      <w:r w:rsidRPr="00673DE2">
        <w:rPr>
          <w:sz w:val="22"/>
        </w:rPr>
        <w:tab/>
        <w:t>Rudy Runko ,  Team Leader,  EDI</w:t>
      </w:r>
    </w:p>
    <w:p w:rsidR="005F47EA" w:rsidRPr="00673DE2" w:rsidRDefault="005F47EA" w:rsidP="00E65282">
      <w:pPr>
        <w:rPr>
          <w:sz w:val="22"/>
        </w:rPr>
      </w:pPr>
      <w:r w:rsidRPr="00673DE2">
        <w:rPr>
          <w:sz w:val="22"/>
        </w:rPr>
        <w:t xml:space="preserve">13:30 -15:00  </w:t>
      </w:r>
      <w:r w:rsidRPr="00673DE2">
        <w:rPr>
          <w:sz w:val="22"/>
        </w:rPr>
        <w:tab/>
        <w:t>Participatory Planning</w:t>
      </w:r>
    </w:p>
    <w:p w:rsidR="005F47EA" w:rsidRPr="00673DE2" w:rsidRDefault="005F47EA" w:rsidP="00E65282">
      <w:pPr>
        <w:rPr>
          <w:sz w:val="22"/>
        </w:rPr>
      </w:pPr>
      <w:r w:rsidRPr="00673DE2">
        <w:rPr>
          <w:sz w:val="22"/>
        </w:rPr>
        <w:tab/>
        <w:t xml:space="preserve">Dr. Mohamed Nada, Strategic Planning </w:t>
      </w:r>
      <w:r w:rsidR="008C2456">
        <w:rPr>
          <w:sz w:val="22"/>
        </w:rPr>
        <w:t>programme</w:t>
      </w:r>
      <w:r w:rsidRPr="00673DE2">
        <w:rPr>
          <w:sz w:val="22"/>
        </w:rPr>
        <w:t xml:space="preserve"> for Governorates and Districts, UNHABITAT </w:t>
      </w:r>
    </w:p>
    <w:p w:rsidR="005F47EA" w:rsidRPr="00673DE2" w:rsidRDefault="005F47EA" w:rsidP="00E65282">
      <w:pPr>
        <w:rPr>
          <w:sz w:val="22"/>
        </w:rPr>
      </w:pPr>
      <w:r w:rsidRPr="00673DE2">
        <w:rPr>
          <w:sz w:val="22"/>
        </w:rPr>
        <w:t>15:30-16:30</w:t>
      </w:r>
      <w:r w:rsidRPr="00673DE2">
        <w:rPr>
          <w:sz w:val="22"/>
        </w:rPr>
        <w:tab/>
        <w:t>Mr. James Rawley UNDP Resident Representative (RR) UNDP</w:t>
      </w:r>
    </w:p>
    <w:p w:rsidR="005F47EA" w:rsidRPr="00673DE2" w:rsidRDefault="005F47EA" w:rsidP="00E65282">
      <w:pPr>
        <w:rPr>
          <w:sz w:val="22"/>
        </w:rPr>
      </w:pPr>
      <w:r w:rsidRPr="00673DE2">
        <w:rPr>
          <w:sz w:val="22"/>
        </w:rPr>
        <w:t>17:00-18;00</w:t>
      </w:r>
      <w:r w:rsidRPr="00673DE2">
        <w:rPr>
          <w:sz w:val="22"/>
        </w:rPr>
        <w:tab/>
        <w:t>Teleconference with NYC (UNCDF)</w:t>
      </w:r>
      <w:r w:rsidRPr="00673DE2">
        <w:rPr>
          <w:sz w:val="22"/>
        </w:rPr>
        <w:tab/>
      </w:r>
    </w:p>
    <w:p w:rsidR="005F47EA" w:rsidRPr="00673DE2" w:rsidRDefault="005F47EA" w:rsidP="00E65282">
      <w:pPr>
        <w:rPr>
          <w:sz w:val="22"/>
        </w:rPr>
      </w:pPr>
      <w:r w:rsidRPr="00673DE2">
        <w:rPr>
          <w:sz w:val="22"/>
        </w:rPr>
        <w:tab/>
        <w:t>Dr. Ala Din Shawa</w:t>
      </w:r>
    </w:p>
    <w:p w:rsidR="005F47EA" w:rsidRPr="00673DE2" w:rsidRDefault="005F47EA" w:rsidP="00E65282">
      <w:pPr>
        <w:rPr>
          <w:sz w:val="22"/>
        </w:rPr>
      </w:pPr>
    </w:p>
    <w:p w:rsidR="005F47EA" w:rsidRPr="00E65282" w:rsidRDefault="005F47EA" w:rsidP="00E65282">
      <w:pPr>
        <w:rPr>
          <w:b/>
          <w:sz w:val="22"/>
        </w:rPr>
      </w:pPr>
      <w:r w:rsidRPr="00E65282">
        <w:rPr>
          <w:b/>
          <w:sz w:val="22"/>
        </w:rPr>
        <w:t>Thursday, 14</w:t>
      </w:r>
      <w:r w:rsidRPr="00E65282">
        <w:rPr>
          <w:b/>
          <w:sz w:val="22"/>
          <w:vertAlign w:val="superscript"/>
        </w:rPr>
        <w:t>th</w:t>
      </w:r>
      <w:r w:rsidRPr="00E65282">
        <w:rPr>
          <w:b/>
          <w:sz w:val="22"/>
        </w:rPr>
        <w:t xml:space="preserve"> July</w:t>
      </w:r>
      <w:r w:rsidRPr="00E65282">
        <w:rPr>
          <w:b/>
          <w:sz w:val="22"/>
        </w:rPr>
        <w:tab/>
      </w:r>
    </w:p>
    <w:p w:rsidR="005F47EA" w:rsidRPr="00673DE2" w:rsidRDefault="005F47EA" w:rsidP="00E65282">
      <w:pPr>
        <w:rPr>
          <w:sz w:val="22"/>
        </w:rPr>
      </w:pPr>
      <w:r w:rsidRPr="00673DE2">
        <w:rPr>
          <w:sz w:val="22"/>
        </w:rPr>
        <w:t>10:00–11:00</w:t>
      </w:r>
      <w:r w:rsidRPr="00673DE2">
        <w:rPr>
          <w:sz w:val="22"/>
        </w:rPr>
        <w:tab/>
        <w:t>Information Technology</w:t>
      </w:r>
    </w:p>
    <w:p w:rsidR="005F47EA" w:rsidRPr="00673DE2" w:rsidRDefault="005F47EA" w:rsidP="00E65282">
      <w:pPr>
        <w:rPr>
          <w:sz w:val="22"/>
        </w:rPr>
      </w:pPr>
      <w:r w:rsidRPr="00673DE2">
        <w:rPr>
          <w:sz w:val="22"/>
        </w:rPr>
        <w:t>Eng. Hisham Abdel Rahman, Chief Inform. Officer , MLD</w:t>
      </w:r>
    </w:p>
    <w:p w:rsidR="005F47EA" w:rsidRPr="00673DE2" w:rsidRDefault="005F47EA" w:rsidP="00E65282">
      <w:pPr>
        <w:rPr>
          <w:sz w:val="22"/>
        </w:rPr>
      </w:pPr>
      <w:r w:rsidRPr="00673DE2">
        <w:rPr>
          <w:sz w:val="22"/>
        </w:rPr>
        <w:t>12:00 -13:00</w:t>
      </w:r>
      <w:r w:rsidRPr="00673DE2">
        <w:rPr>
          <w:sz w:val="22"/>
        </w:rPr>
        <w:tab/>
        <w:t xml:space="preserve">Restructuring Local Administration System </w:t>
      </w:r>
    </w:p>
    <w:p w:rsidR="005F47EA" w:rsidRPr="003F2FF3" w:rsidRDefault="005F47EA" w:rsidP="00E65282">
      <w:pPr>
        <w:rPr>
          <w:sz w:val="22"/>
        </w:rPr>
      </w:pPr>
      <w:r w:rsidRPr="003F2FF3">
        <w:rPr>
          <w:sz w:val="22"/>
        </w:rPr>
        <w:tab/>
        <w:t xml:space="preserve">Dr. Randa El-Zoghoby, DSU </w:t>
      </w:r>
    </w:p>
    <w:p w:rsidR="005F47EA" w:rsidRPr="00673DE2" w:rsidRDefault="005F47EA" w:rsidP="00E65282">
      <w:pPr>
        <w:rPr>
          <w:sz w:val="22"/>
        </w:rPr>
      </w:pPr>
      <w:r w:rsidRPr="00673DE2">
        <w:rPr>
          <w:sz w:val="22"/>
        </w:rPr>
        <w:t>Dr. Ibrahim Rehan, Head of Organization for Reconstruction and Development of Egyptian Villages (ORDEV)</w:t>
      </w:r>
      <w:r w:rsidRPr="00673DE2">
        <w:rPr>
          <w:sz w:val="22"/>
        </w:rPr>
        <w:tab/>
      </w:r>
    </w:p>
    <w:p w:rsidR="005F47EA" w:rsidRPr="00673DE2" w:rsidRDefault="005F47EA" w:rsidP="00E65282">
      <w:pPr>
        <w:rPr>
          <w:sz w:val="22"/>
        </w:rPr>
      </w:pPr>
      <w:r w:rsidRPr="00673DE2">
        <w:rPr>
          <w:sz w:val="22"/>
        </w:rPr>
        <w:t xml:space="preserve">13:30-15:30  </w:t>
      </w:r>
      <w:r w:rsidRPr="00673DE2">
        <w:rPr>
          <w:sz w:val="22"/>
        </w:rPr>
        <w:tab/>
        <w:t>Maat Association for peace, Development  and Human Rights</w:t>
      </w:r>
    </w:p>
    <w:p w:rsidR="005F47EA" w:rsidRPr="00673DE2" w:rsidRDefault="005F47EA" w:rsidP="00E65282">
      <w:pPr>
        <w:rPr>
          <w:sz w:val="22"/>
        </w:rPr>
      </w:pPr>
      <w:r w:rsidRPr="00673DE2">
        <w:rPr>
          <w:sz w:val="22"/>
        </w:rPr>
        <w:tab/>
        <w:t>Mr. Wala Gad</w:t>
      </w:r>
    </w:p>
    <w:p w:rsidR="005F47EA" w:rsidRPr="00673DE2" w:rsidRDefault="005F47EA" w:rsidP="00E65282">
      <w:pPr>
        <w:rPr>
          <w:sz w:val="22"/>
        </w:rPr>
      </w:pPr>
      <w:r w:rsidRPr="00673DE2">
        <w:rPr>
          <w:sz w:val="22"/>
        </w:rPr>
        <w:tab/>
        <w:t>Mr. AymanOkail</w:t>
      </w:r>
      <w:r w:rsidRPr="00673DE2">
        <w:rPr>
          <w:sz w:val="22"/>
          <w:rtl/>
        </w:rPr>
        <w:tab/>
      </w:r>
    </w:p>
    <w:p w:rsidR="005F47EA" w:rsidRPr="00FA65B8" w:rsidRDefault="005F47EA" w:rsidP="00E65282">
      <w:pPr>
        <w:rPr>
          <w:sz w:val="22"/>
        </w:rPr>
      </w:pPr>
      <w:r w:rsidRPr="00FA65B8">
        <w:rPr>
          <w:sz w:val="22"/>
        </w:rPr>
        <w:t>16:00 –17:00</w:t>
      </w:r>
      <w:r w:rsidRPr="00FA65B8">
        <w:rPr>
          <w:sz w:val="22"/>
        </w:rPr>
        <w:tab/>
        <w:t xml:space="preserve">Social Contract </w:t>
      </w:r>
      <w:r w:rsidR="007964A1" w:rsidRPr="00FA65B8">
        <w:rPr>
          <w:sz w:val="22"/>
        </w:rPr>
        <w:t>Centre</w:t>
      </w:r>
    </w:p>
    <w:p w:rsidR="005F47EA" w:rsidRPr="00FA65B8" w:rsidRDefault="005F47EA" w:rsidP="00E65282">
      <w:pPr>
        <w:rPr>
          <w:sz w:val="22"/>
        </w:rPr>
      </w:pPr>
      <w:r w:rsidRPr="00FA65B8">
        <w:rPr>
          <w:sz w:val="22"/>
        </w:rPr>
        <w:tab/>
        <w:t xml:space="preserve">Dr. Sahar El-Tawila, Director, Social Contract </w:t>
      </w:r>
      <w:r w:rsidR="007964A1" w:rsidRPr="00FA65B8">
        <w:rPr>
          <w:sz w:val="22"/>
        </w:rPr>
        <w:t>Centre</w:t>
      </w:r>
    </w:p>
    <w:p w:rsidR="005F47EA" w:rsidRPr="00673DE2" w:rsidRDefault="005F47EA" w:rsidP="00E65282">
      <w:pPr>
        <w:rPr>
          <w:sz w:val="22"/>
        </w:rPr>
      </w:pPr>
      <w:r w:rsidRPr="00FA65B8">
        <w:rPr>
          <w:sz w:val="22"/>
        </w:rPr>
        <w:tab/>
      </w:r>
      <w:r w:rsidRPr="00673DE2">
        <w:rPr>
          <w:sz w:val="22"/>
        </w:rPr>
        <w:t xml:space="preserve">Mr. Marcello Giordani, Deputy Director/ Advisor,  </w:t>
      </w:r>
    </w:p>
    <w:p w:rsidR="005F47EA" w:rsidRPr="00673DE2" w:rsidRDefault="005F47EA" w:rsidP="00E65282">
      <w:pPr>
        <w:rPr>
          <w:color w:val="FFFFFF"/>
          <w:szCs w:val="28"/>
        </w:rPr>
      </w:pPr>
      <w:r w:rsidRPr="00673DE2">
        <w:rPr>
          <w:color w:val="FFFFFF"/>
          <w:szCs w:val="28"/>
        </w:rPr>
        <w:t>Friday</w:t>
      </w:r>
      <w:r w:rsidRPr="00673DE2">
        <w:rPr>
          <w:color w:val="FFFFFF"/>
          <w:szCs w:val="28"/>
        </w:rPr>
        <w:tab/>
        <w:t>Day Off</w:t>
      </w:r>
    </w:p>
    <w:p w:rsidR="005F47EA" w:rsidRPr="00E65282" w:rsidRDefault="005F47EA" w:rsidP="00E65282">
      <w:pPr>
        <w:rPr>
          <w:b/>
          <w:sz w:val="22"/>
        </w:rPr>
      </w:pPr>
      <w:r w:rsidRPr="00E65282">
        <w:rPr>
          <w:b/>
          <w:sz w:val="22"/>
        </w:rPr>
        <w:t>Saturday, 16</w:t>
      </w:r>
      <w:r w:rsidRPr="00E65282">
        <w:rPr>
          <w:b/>
          <w:sz w:val="22"/>
          <w:vertAlign w:val="superscript"/>
        </w:rPr>
        <w:t>th</w:t>
      </w:r>
      <w:r w:rsidRPr="00E65282">
        <w:rPr>
          <w:b/>
          <w:sz w:val="22"/>
        </w:rPr>
        <w:t xml:space="preserve"> July </w:t>
      </w:r>
      <w:r w:rsidRPr="00E65282">
        <w:rPr>
          <w:b/>
          <w:sz w:val="22"/>
        </w:rPr>
        <w:tab/>
      </w:r>
    </w:p>
    <w:p w:rsidR="005F47EA" w:rsidRPr="00673DE2" w:rsidRDefault="005F47EA" w:rsidP="00E65282">
      <w:pPr>
        <w:rPr>
          <w:sz w:val="22"/>
        </w:rPr>
      </w:pPr>
      <w:r w:rsidRPr="00673DE2">
        <w:rPr>
          <w:sz w:val="22"/>
        </w:rPr>
        <w:t>9:30 –11:00</w:t>
      </w:r>
      <w:r w:rsidRPr="00673DE2">
        <w:rPr>
          <w:sz w:val="22"/>
        </w:rPr>
        <w:tab/>
        <w:t>Local Administration Law</w:t>
      </w:r>
    </w:p>
    <w:p w:rsidR="005F47EA" w:rsidRPr="00673DE2" w:rsidRDefault="005F47EA" w:rsidP="00E65282">
      <w:pPr>
        <w:rPr>
          <w:sz w:val="22"/>
        </w:rPr>
      </w:pPr>
      <w:r w:rsidRPr="00673DE2">
        <w:rPr>
          <w:sz w:val="22"/>
        </w:rPr>
        <w:tab/>
        <w:t>Dr. Saleh El Sheikh, Manager, Policies and Institutional  Development  Unit, DSU</w:t>
      </w:r>
    </w:p>
    <w:p w:rsidR="005F47EA" w:rsidRPr="00673DE2" w:rsidRDefault="005F47EA" w:rsidP="00E65282">
      <w:pPr>
        <w:rPr>
          <w:sz w:val="22"/>
        </w:rPr>
      </w:pPr>
      <w:r w:rsidRPr="00673DE2">
        <w:rPr>
          <w:sz w:val="22"/>
        </w:rPr>
        <w:t>12:00 – 13:00</w:t>
      </w:r>
      <w:r w:rsidRPr="00673DE2">
        <w:rPr>
          <w:sz w:val="22"/>
        </w:rPr>
        <w:tab/>
        <w:t>Ms. AleyaSarwat, UNDP Project Manager DSU</w:t>
      </w:r>
    </w:p>
    <w:p w:rsidR="005F47EA" w:rsidRPr="00673DE2" w:rsidRDefault="005F47EA" w:rsidP="00E65282">
      <w:pPr>
        <w:rPr>
          <w:sz w:val="22"/>
        </w:rPr>
      </w:pPr>
    </w:p>
    <w:p w:rsidR="005F47EA" w:rsidRPr="00E65282" w:rsidRDefault="005F47EA" w:rsidP="00E65282">
      <w:pPr>
        <w:rPr>
          <w:b/>
          <w:sz w:val="22"/>
        </w:rPr>
      </w:pPr>
      <w:r w:rsidRPr="00E65282">
        <w:rPr>
          <w:b/>
          <w:sz w:val="22"/>
        </w:rPr>
        <w:t>Sunday, 17</w:t>
      </w:r>
      <w:r w:rsidRPr="00E65282">
        <w:rPr>
          <w:b/>
          <w:sz w:val="22"/>
          <w:vertAlign w:val="superscript"/>
        </w:rPr>
        <w:t>th</w:t>
      </w:r>
      <w:r w:rsidRPr="00E65282">
        <w:rPr>
          <w:b/>
          <w:sz w:val="22"/>
        </w:rPr>
        <w:t xml:space="preserve"> July</w:t>
      </w:r>
      <w:r w:rsidRPr="00E65282">
        <w:rPr>
          <w:b/>
          <w:sz w:val="22"/>
        </w:rPr>
        <w:tab/>
      </w:r>
    </w:p>
    <w:p w:rsidR="005F47EA" w:rsidRPr="00673DE2" w:rsidRDefault="005F47EA" w:rsidP="00E65282">
      <w:pPr>
        <w:rPr>
          <w:sz w:val="22"/>
        </w:rPr>
      </w:pPr>
      <w:r w:rsidRPr="00673DE2">
        <w:rPr>
          <w:sz w:val="22"/>
        </w:rPr>
        <w:t>9:30 –12:00</w:t>
      </w:r>
      <w:r w:rsidRPr="00673DE2">
        <w:rPr>
          <w:sz w:val="22"/>
        </w:rPr>
        <w:tab/>
        <w:t>Local Administration Structure</w:t>
      </w:r>
    </w:p>
    <w:p w:rsidR="005F47EA" w:rsidRPr="00673DE2" w:rsidRDefault="005F47EA" w:rsidP="00E65282">
      <w:pPr>
        <w:rPr>
          <w:sz w:val="22"/>
        </w:rPr>
      </w:pPr>
      <w:r w:rsidRPr="00673DE2">
        <w:rPr>
          <w:sz w:val="22"/>
        </w:rPr>
        <w:t>Ms. ShiamAshour, M&amp;E Specialist</w:t>
      </w:r>
    </w:p>
    <w:p w:rsidR="005F47EA" w:rsidRPr="00FA65B8" w:rsidRDefault="005F47EA" w:rsidP="00E65282">
      <w:pPr>
        <w:rPr>
          <w:sz w:val="22"/>
          <w:lang w:val="es-US"/>
        </w:rPr>
      </w:pPr>
      <w:r w:rsidRPr="00FA65B8">
        <w:rPr>
          <w:sz w:val="22"/>
          <w:lang w:val="es-US"/>
        </w:rPr>
        <w:t>13:00 - 14:30</w:t>
      </w:r>
      <w:r w:rsidRPr="00FA65B8">
        <w:rPr>
          <w:sz w:val="22"/>
          <w:lang w:val="es-US"/>
        </w:rPr>
        <w:tab/>
        <w:t xml:space="preserve">Fiscal </w:t>
      </w:r>
      <w:r w:rsidR="00FA65B8" w:rsidRPr="00FA65B8">
        <w:rPr>
          <w:sz w:val="22"/>
          <w:lang w:val="es-US"/>
        </w:rPr>
        <w:t>Decentralisation</w:t>
      </w:r>
    </w:p>
    <w:p w:rsidR="005F47EA" w:rsidRPr="003F2FF3" w:rsidRDefault="005F47EA" w:rsidP="00E65282">
      <w:pPr>
        <w:rPr>
          <w:sz w:val="22"/>
          <w:lang w:val="es-US"/>
        </w:rPr>
      </w:pPr>
      <w:r w:rsidRPr="00FA65B8">
        <w:rPr>
          <w:sz w:val="22"/>
          <w:lang w:val="es-US"/>
        </w:rPr>
        <w:tab/>
      </w:r>
      <w:r w:rsidRPr="003F2FF3">
        <w:rPr>
          <w:sz w:val="22"/>
          <w:lang w:val="es-US"/>
        </w:rPr>
        <w:t>Dr. Nihal  El Megharbel, DSU Director</w:t>
      </w:r>
    </w:p>
    <w:p w:rsidR="005F47EA" w:rsidRPr="00673DE2" w:rsidRDefault="005F47EA" w:rsidP="00E65282">
      <w:pPr>
        <w:rPr>
          <w:sz w:val="22"/>
        </w:rPr>
      </w:pPr>
      <w:r w:rsidRPr="00673DE2">
        <w:rPr>
          <w:sz w:val="22"/>
        </w:rPr>
        <w:lastRenderedPageBreak/>
        <w:t>Ms. AzaaReda, Senior Researcher, Ministry of Finance</w:t>
      </w:r>
      <w:r w:rsidRPr="00673DE2">
        <w:rPr>
          <w:sz w:val="22"/>
        </w:rPr>
        <w:tab/>
      </w:r>
    </w:p>
    <w:p w:rsidR="005F47EA" w:rsidRPr="00673DE2" w:rsidRDefault="005F47EA" w:rsidP="00E65282">
      <w:pPr>
        <w:rPr>
          <w:sz w:val="22"/>
        </w:rPr>
      </w:pPr>
      <w:r w:rsidRPr="00673DE2">
        <w:rPr>
          <w:sz w:val="22"/>
        </w:rPr>
        <w:t>15:00- 17:00</w:t>
      </w:r>
      <w:r w:rsidRPr="00673DE2">
        <w:rPr>
          <w:sz w:val="22"/>
        </w:rPr>
        <w:tab/>
        <w:t>Local Development Observatory and M&amp;E</w:t>
      </w:r>
    </w:p>
    <w:p w:rsidR="005F47EA" w:rsidRPr="00673DE2" w:rsidRDefault="005F47EA" w:rsidP="00E65282">
      <w:pPr>
        <w:rPr>
          <w:sz w:val="22"/>
        </w:rPr>
      </w:pPr>
      <w:r w:rsidRPr="00673DE2">
        <w:rPr>
          <w:sz w:val="22"/>
        </w:rPr>
        <w:tab/>
        <w:t>Mr. Bassem El Shemmy, M&amp;E  Unit Manager, DSU</w:t>
      </w:r>
    </w:p>
    <w:p w:rsidR="005F47EA" w:rsidRPr="00673DE2" w:rsidRDefault="005F47EA" w:rsidP="00E65282">
      <w:pPr>
        <w:rPr>
          <w:sz w:val="22"/>
        </w:rPr>
      </w:pPr>
      <w:r w:rsidRPr="00673DE2">
        <w:rPr>
          <w:sz w:val="22"/>
        </w:rPr>
        <w:t>Dr. Khalid Abdel Halim, Director, Local Development Observatory, DSU</w:t>
      </w:r>
      <w:r w:rsidRPr="00673DE2">
        <w:rPr>
          <w:sz w:val="22"/>
        </w:rPr>
        <w:tab/>
        <w:t>DSU</w:t>
      </w:r>
    </w:p>
    <w:p w:rsidR="005F47EA" w:rsidRPr="00673DE2" w:rsidRDefault="005F47EA" w:rsidP="00E65282">
      <w:pPr>
        <w:rPr>
          <w:sz w:val="22"/>
        </w:rPr>
      </w:pPr>
      <w:r w:rsidRPr="00673DE2">
        <w:rPr>
          <w:sz w:val="22"/>
        </w:rPr>
        <w:t>17:00-18:00</w:t>
      </w:r>
      <w:r w:rsidRPr="00673DE2">
        <w:rPr>
          <w:sz w:val="22"/>
        </w:rPr>
        <w:tab/>
        <w:t>Dr. Noha El-Mikawy</w:t>
      </w:r>
    </w:p>
    <w:p w:rsidR="005F47EA" w:rsidRPr="00673DE2" w:rsidRDefault="005F47EA" w:rsidP="00E65282">
      <w:pPr>
        <w:rPr>
          <w:sz w:val="22"/>
        </w:rPr>
      </w:pPr>
      <w:r w:rsidRPr="00673DE2">
        <w:rPr>
          <w:sz w:val="22"/>
        </w:rPr>
        <w:tab/>
      </w:r>
    </w:p>
    <w:p w:rsidR="005F47EA" w:rsidRPr="00E65282" w:rsidRDefault="005F47EA" w:rsidP="00E65282">
      <w:pPr>
        <w:rPr>
          <w:b/>
          <w:sz w:val="22"/>
        </w:rPr>
      </w:pPr>
      <w:r w:rsidRPr="00E65282">
        <w:rPr>
          <w:b/>
          <w:sz w:val="22"/>
        </w:rPr>
        <w:t>Monday, 18</w:t>
      </w:r>
      <w:r w:rsidRPr="00E65282">
        <w:rPr>
          <w:b/>
          <w:sz w:val="22"/>
          <w:vertAlign w:val="superscript"/>
        </w:rPr>
        <w:t>th</w:t>
      </w:r>
      <w:r w:rsidRPr="00E65282">
        <w:rPr>
          <w:b/>
          <w:sz w:val="22"/>
        </w:rPr>
        <w:t xml:space="preserve"> July</w:t>
      </w:r>
      <w:r w:rsidRPr="00E65282">
        <w:rPr>
          <w:b/>
          <w:sz w:val="22"/>
        </w:rPr>
        <w:tab/>
      </w:r>
    </w:p>
    <w:p w:rsidR="005F47EA" w:rsidRPr="00673DE2" w:rsidRDefault="005F47EA" w:rsidP="00E65282">
      <w:pPr>
        <w:rPr>
          <w:sz w:val="22"/>
        </w:rPr>
      </w:pPr>
      <w:r w:rsidRPr="00673DE2">
        <w:rPr>
          <w:sz w:val="22"/>
        </w:rPr>
        <w:t>8:00-9:30</w:t>
      </w:r>
      <w:r w:rsidRPr="00673DE2">
        <w:rPr>
          <w:sz w:val="22"/>
        </w:rPr>
        <w:tab/>
        <w:t>Meeting with local consultant</w:t>
      </w:r>
    </w:p>
    <w:p w:rsidR="005F47EA" w:rsidRPr="00673DE2" w:rsidRDefault="005F47EA" w:rsidP="00E65282">
      <w:pPr>
        <w:rPr>
          <w:sz w:val="22"/>
        </w:rPr>
      </w:pPr>
      <w:r w:rsidRPr="00673DE2">
        <w:rPr>
          <w:sz w:val="22"/>
        </w:rPr>
        <w:t>Osama Salem, Capacity Building Expert</w:t>
      </w:r>
    </w:p>
    <w:p w:rsidR="005F47EA" w:rsidRPr="00673DE2" w:rsidRDefault="005F47EA" w:rsidP="00E65282">
      <w:pPr>
        <w:rPr>
          <w:sz w:val="22"/>
        </w:rPr>
      </w:pPr>
      <w:r w:rsidRPr="00673DE2">
        <w:rPr>
          <w:sz w:val="22"/>
        </w:rPr>
        <w:t>9:30 –11:00</w:t>
      </w:r>
      <w:r w:rsidRPr="00673DE2">
        <w:rPr>
          <w:sz w:val="22"/>
        </w:rPr>
        <w:tab/>
        <w:t>Meeting with USAID</w:t>
      </w:r>
    </w:p>
    <w:p w:rsidR="005F47EA" w:rsidRPr="00FA65B8" w:rsidRDefault="005F47EA" w:rsidP="00E65282">
      <w:pPr>
        <w:rPr>
          <w:sz w:val="22"/>
        </w:rPr>
      </w:pPr>
      <w:r w:rsidRPr="00673DE2">
        <w:rPr>
          <w:sz w:val="22"/>
        </w:rPr>
        <w:tab/>
      </w:r>
      <w:r w:rsidRPr="00FA65B8">
        <w:rPr>
          <w:sz w:val="22"/>
        </w:rPr>
        <w:t>Dr. Nihal  ElMegharbel, DSU Director</w:t>
      </w:r>
    </w:p>
    <w:p w:rsidR="005F47EA" w:rsidRPr="00673DE2" w:rsidRDefault="005F47EA" w:rsidP="00E65282">
      <w:pPr>
        <w:rPr>
          <w:sz w:val="22"/>
        </w:rPr>
      </w:pPr>
      <w:r w:rsidRPr="00673DE2">
        <w:rPr>
          <w:sz w:val="22"/>
        </w:rPr>
        <w:t>Ms. SalwaTobbala, Local Governance Officer, USAID</w:t>
      </w:r>
    </w:p>
    <w:p w:rsidR="005F47EA" w:rsidRPr="00673DE2" w:rsidRDefault="005F47EA" w:rsidP="00E65282">
      <w:pPr>
        <w:rPr>
          <w:sz w:val="22"/>
        </w:rPr>
      </w:pPr>
      <w:r w:rsidRPr="00673DE2">
        <w:rPr>
          <w:sz w:val="22"/>
        </w:rPr>
        <w:t>12:00 – 13:00</w:t>
      </w:r>
      <w:r w:rsidRPr="00673DE2">
        <w:rPr>
          <w:sz w:val="22"/>
        </w:rPr>
        <w:tab/>
        <w:t>Meeting with local consultant</w:t>
      </w:r>
    </w:p>
    <w:p w:rsidR="005F47EA" w:rsidRPr="00673DE2" w:rsidRDefault="005F47EA" w:rsidP="00E65282">
      <w:pPr>
        <w:rPr>
          <w:sz w:val="22"/>
        </w:rPr>
      </w:pPr>
      <w:r w:rsidRPr="00673DE2">
        <w:rPr>
          <w:sz w:val="22"/>
        </w:rPr>
        <w:t>Eng. Mona Al Gamal,  Megacom Company</w:t>
      </w:r>
    </w:p>
    <w:p w:rsidR="00E65282" w:rsidRDefault="00E65282" w:rsidP="00E65282">
      <w:pPr>
        <w:rPr>
          <w:sz w:val="22"/>
        </w:rPr>
      </w:pPr>
    </w:p>
    <w:p w:rsidR="005F47EA" w:rsidRPr="00E65282" w:rsidRDefault="005F47EA" w:rsidP="00E65282">
      <w:pPr>
        <w:rPr>
          <w:b/>
          <w:sz w:val="22"/>
        </w:rPr>
      </w:pPr>
      <w:r w:rsidRPr="00E65282">
        <w:rPr>
          <w:b/>
          <w:sz w:val="22"/>
        </w:rPr>
        <w:t>Tuesday,  19</w:t>
      </w:r>
      <w:r w:rsidRPr="00E65282">
        <w:rPr>
          <w:b/>
          <w:sz w:val="22"/>
          <w:vertAlign w:val="superscript"/>
        </w:rPr>
        <w:t>th</w:t>
      </w:r>
      <w:r w:rsidRPr="00E65282">
        <w:rPr>
          <w:b/>
          <w:sz w:val="22"/>
        </w:rPr>
        <w:t xml:space="preserve">  July</w:t>
      </w:r>
      <w:r w:rsidRPr="00E65282">
        <w:rPr>
          <w:b/>
          <w:sz w:val="22"/>
        </w:rPr>
        <w:tab/>
      </w:r>
    </w:p>
    <w:p w:rsidR="005F47EA" w:rsidRPr="00673DE2" w:rsidRDefault="005F47EA" w:rsidP="00E65282">
      <w:pPr>
        <w:rPr>
          <w:sz w:val="22"/>
        </w:rPr>
      </w:pPr>
      <w:r w:rsidRPr="00673DE2">
        <w:rPr>
          <w:sz w:val="22"/>
        </w:rPr>
        <w:t>09:00-16:00</w:t>
      </w:r>
      <w:r w:rsidRPr="00673DE2">
        <w:rPr>
          <w:sz w:val="22"/>
        </w:rPr>
        <w:tab/>
        <w:t xml:space="preserve">Fayoum Governorate Field Visit </w:t>
      </w:r>
    </w:p>
    <w:p w:rsidR="005F47EA" w:rsidRPr="00673DE2" w:rsidRDefault="005F47EA" w:rsidP="00E65282">
      <w:pPr>
        <w:rPr>
          <w:sz w:val="22"/>
        </w:rPr>
      </w:pPr>
      <w:r w:rsidRPr="00673DE2">
        <w:rPr>
          <w:sz w:val="22"/>
        </w:rPr>
        <w:tab/>
        <w:t>Mr. Salah Helmy, Head of DSU office in Fayoum Governorate</w:t>
      </w:r>
    </w:p>
    <w:p w:rsidR="005F47EA" w:rsidRPr="00673DE2" w:rsidRDefault="005F47EA" w:rsidP="00E65282">
      <w:pPr>
        <w:rPr>
          <w:sz w:val="22"/>
        </w:rPr>
      </w:pPr>
      <w:r w:rsidRPr="00673DE2">
        <w:rPr>
          <w:sz w:val="22"/>
        </w:rPr>
        <w:tab/>
        <w:t xml:space="preserve">Ms. Rania Hedeya, UNDP </w:t>
      </w:r>
      <w:r w:rsidR="008C2456">
        <w:rPr>
          <w:sz w:val="22"/>
        </w:rPr>
        <w:t>Programme</w:t>
      </w:r>
      <w:r w:rsidRPr="00673DE2">
        <w:rPr>
          <w:sz w:val="22"/>
        </w:rPr>
        <w:t xml:space="preserve"> Officer (PO)</w:t>
      </w:r>
    </w:p>
    <w:p w:rsidR="005F47EA" w:rsidRPr="00673DE2" w:rsidRDefault="005F47EA" w:rsidP="00E65282">
      <w:pPr>
        <w:rPr>
          <w:sz w:val="22"/>
        </w:rPr>
      </w:pPr>
      <w:r w:rsidRPr="00673DE2">
        <w:rPr>
          <w:sz w:val="22"/>
        </w:rPr>
        <w:tab/>
        <w:t>LPC member, Fayoum</w:t>
      </w:r>
    </w:p>
    <w:p w:rsidR="005F47EA" w:rsidRPr="00673DE2" w:rsidRDefault="005F47EA" w:rsidP="00E65282">
      <w:pPr>
        <w:rPr>
          <w:sz w:val="22"/>
        </w:rPr>
      </w:pPr>
      <w:r w:rsidRPr="00673DE2">
        <w:rPr>
          <w:sz w:val="22"/>
        </w:rPr>
        <w:tab/>
        <w:t>Head of the Planning Department, Fayoum Governor’s office</w:t>
      </w:r>
    </w:p>
    <w:p w:rsidR="005F47EA" w:rsidRPr="00673DE2" w:rsidRDefault="005F47EA" w:rsidP="00E65282">
      <w:pPr>
        <w:rPr>
          <w:sz w:val="22"/>
        </w:rPr>
      </w:pPr>
      <w:r w:rsidRPr="00673DE2">
        <w:rPr>
          <w:sz w:val="22"/>
        </w:rPr>
        <w:t xml:space="preserve">Ms. Sherifa Maher, Senior Economist </w:t>
      </w:r>
    </w:p>
    <w:p w:rsidR="005F47EA" w:rsidRPr="00673DE2" w:rsidRDefault="005F47EA" w:rsidP="00E65282">
      <w:pPr>
        <w:rPr>
          <w:sz w:val="22"/>
        </w:rPr>
      </w:pPr>
    </w:p>
    <w:p w:rsidR="005F47EA" w:rsidRPr="00E65282" w:rsidRDefault="005F47EA" w:rsidP="00E65282">
      <w:pPr>
        <w:rPr>
          <w:b/>
          <w:sz w:val="22"/>
        </w:rPr>
      </w:pPr>
      <w:r w:rsidRPr="00E65282">
        <w:rPr>
          <w:b/>
          <w:sz w:val="22"/>
        </w:rPr>
        <w:t>Wednesday, 20</w:t>
      </w:r>
      <w:r w:rsidRPr="00E65282">
        <w:rPr>
          <w:b/>
          <w:sz w:val="22"/>
          <w:vertAlign w:val="superscript"/>
        </w:rPr>
        <w:t>th</w:t>
      </w:r>
      <w:r w:rsidRPr="00E65282">
        <w:rPr>
          <w:b/>
          <w:sz w:val="22"/>
        </w:rPr>
        <w:t xml:space="preserve"> July</w:t>
      </w:r>
      <w:r w:rsidRPr="00E65282">
        <w:rPr>
          <w:b/>
          <w:sz w:val="22"/>
        </w:rPr>
        <w:tab/>
      </w:r>
    </w:p>
    <w:p w:rsidR="005F47EA" w:rsidRPr="00673DE2" w:rsidRDefault="005F47EA" w:rsidP="00E65282">
      <w:pPr>
        <w:rPr>
          <w:sz w:val="22"/>
        </w:rPr>
      </w:pPr>
      <w:r w:rsidRPr="00673DE2">
        <w:rPr>
          <w:sz w:val="22"/>
        </w:rPr>
        <w:t>9.00-10.00</w:t>
      </w:r>
      <w:r w:rsidRPr="00673DE2">
        <w:rPr>
          <w:sz w:val="22"/>
        </w:rPr>
        <w:tab/>
        <w:t>Saleh El Sheikh,  Policies&amp; Inst. Dev. Head, DSU</w:t>
      </w:r>
    </w:p>
    <w:p w:rsidR="00673DE2" w:rsidRDefault="00673DE2" w:rsidP="00E65282">
      <w:pPr>
        <w:rPr>
          <w:sz w:val="22"/>
        </w:rPr>
      </w:pPr>
      <w:r>
        <w:rPr>
          <w:sz w:val="22"/>
        </w:rPr>
        <w:lastRenderedPageBreak/>
        <w:t>1300-1400</w:t>
      </w:r>
      <w:r>
        <w:rPr>
          <w:sz w:val="22"/>
        </w:rPr>
        <w:tab/>
        <w:t>Former Minister of Administrative Reform</w:t>
      </w:r>
    </w:p>
    <w:p w:rsidR="005F47EA" w:rsidRPr="00673DE2" w:rsidRDefault="005F47EA" w:rsidP="00E65282">
      <w:pPr>
        <w:rPr>
          <w:sz w:val="22"/>
        </w:rPr>
      </w:pPr>
      <w:r w:rsidRPr="00673DE2">
        <w:rPr>
          <w:sz w:val="22"/>
        </w:rPr>
        <w:t>16.00-17.00</w:t>
      </w:r>
      <w:r w:rsidRPr="00673DE2">
        <w:rPr>
          <w:sz w:val="22"/>
        </w:rPr>
        <w:tab/>
        <w:t>Dr. RedaAbouSeree, Ministry of Education</w:t>
      </w:r>
    </w:p>
    <w:p w:rsidR="005F47EA" w:rsidRPr="00673DE2" w:rsidRDefault="005F47EA" w:rsidP="00E65282">
      <w:pPr>
        <w:rPr>
          <w:sz w:val="22"/>
        </w:rPr>
      </w:pPr>
      <w:r w:rsidRPr="00673DE2">
        <w:rPr>
          <w:sz w:val="22"/>
        </w:rPr>
        <w:t>Rania Hedeya, PO, UNDP</w:t>
      </w:r>
    </w:p>
    <w:p w:rsidR="005F47EA" w:rsidRPr="00673DE2" w:rsidRDefault="005F47EA" w:rsidP="00E65282">
      <w:pPr>
        <w:rPr>
          <w:sz w:val="22"/>
        </w:rPr>
      </w:pPr>
    </w:p>
    <w:p w:rsidR="00E65282" w:rsidRPr="00E65282" w:rsidRDefault="005F47EA" w:rsidP="00E65282">
      <w:pPr>
        <w:rPr>
          <w:b/>
          <w:sz w:val="22"/>
        </w:rPr>
      </w:pPr>
      <w:r w:rsidRPr="00E65282">
        <w:rPr>
          <w:b/>
          <w:sz w:val="22"/>
        </w:rPr>
        <w:t>Thursday, 21</w:t>
      </w:r>
      <w:r w:rsidRPr="00E65282">
        <w:rPr>
          <w:b/>
          <w:sz w:val="22"/>
          <w:vertAlign w:val="superscript"/>
        </w:rPr>
        <w:t>st</w:t>
      </w:r>
      <w:r w:rsidRPr="00E65282">
        <w:rPr>
          <w:b/>
          <w:sz w:val="22"/>
        </w:rPr>
        <w:t xml:space="preserve"> July</w:t>
      </w:r>
      <w:r w:rsidRPr="00E65282">
        <w:rPr>
          <w:b/>
          <w:sz w:val="22"/>
        </w:rPr>
        <w:tab/>
      </w:r>
    </w:p>
    <w:p w:rsidR="005F47EA" w:rsidRPr="00673DE2" w:rsidRDefault="005F47EA" w:rsidP="00E65282">
      <w:pPr>
        <w:rPr>
          <w:sz w:val="22"/>
        </w:rPr>
      </w:pPr>
      <w:r w:rsidRPr="00673DE2">
        <w:rPr>
          <w:sz w:val="22"/>
        </w:rPr>
        <w:t>9:30-14:00</w:t>
      </w:r>
      <w:r w:rsidRPr="00673DE2">
        <w:rPr>
          <w:sz w:val="22"/>
        </w:rPr>
        <w:tab/>
        <w:t xml:space="preserve"> Ismailia Governorate Field Visit</w:t>
      </w:r>
    </w:p>
    <w:p w:rsidR="005F47EA" w:rsidRPr="00673DE2" w:rsidRDefault="005F47EA" w:rsidP="00E65282">
      <w:pPr>
        <w:rPr>
          <w:sz w:val="22"/>
        </w:rPr>
      </w:pPr>
      <w:r w:rsidRPr="00673DE2">
        <w:rPr>
          <w:sz w:val="22"/>
        </w:rPr>
        <w:tab/>
        <w:t>Ms. HabibaEid, Head of DSU office in Ismailia Governorate</w:t>
      </w:r>
    </w:p>
    <w:p w:rsidR="005F47EA" w:rsidRPr="00673DE2" w:rsidRDefault="005F47EA" w:rsidP="00E65282">
      <w:pPr>
        <w:rPr>
          <w:sz w:val="22"/>
        </w:rPr>
      </w:pPr>
      <w:r w:rsidRPr="00673DE2">
        <w:rPr>
          <w:sz w:val="22"/>
        </w:rPr>
        <w:tab/>
        <w:t>Ismailia City Team</w:t>
      </w:r>
    </w:p>
    <w:p w:rsidR="005F47EA" w:rsidRPr="00673DE2" w:rsidRDefault="005F47EA" w:rsidP="00E65282">
      <w:pPr>
        <w:rPr>
          <w:sz w:val="22"/>
        </w:rPr>
      </w:pPr>
      <w:r w:rsidRPr="00673DE2">
        <w:rPr>
          <w:sz w:val="22"/>
        </w:rPr>
        <w:tab/>
        <w:t>Head of the Planning Department, Ismailia Governor’s office</w:t>
      </w:r>
    </w:p>
    <w:p w:rsidR="005F47EA" w:rsidRPr="00673DE2" w:rsidRDefault="005F47EA" w:rsidP="00E65282">
      <w:pPr>
        <w:rPr>
          <w:sz w:val="22"/>
        </w:rPr>
      </w:pPr>
      <w:r w:rsidRPr="00673DE2">
        <w:rPr>
          <w:sz w:val="22"/>
        </w:rPr>
        <w:t xml:space="preserve">Ms. Yasmin Adel, Senior Economist </w:t>
      </w:r>
    </w:p>
    <w:p w:rsidR="005F47EA" w:rsidRPr="00673DE2" w:rsidRDefault="005F47EA" w:rsidP="00E65282">
      <w:pPr>
        <w:rPr>
          <w:sz w:val="22"/>
        </w:rPr>
      </w:pPr>
      <w:r w:rsidRPr="00673DE2">
        <w:rPr>
          <w:sz w:val="22"/>
        </w:rPr>
        <w:t>16:00-18:00</w:t>
      </w:r>
      <w:r w:rsidRPr="00673DE2">
        <w:rPr>
          <w:sz w:val="22"/>
        </w:rPr>
        <w:tab/>
        <w:t xml:space="preserve">Debriefing at UNDP  </w:t>
      </w:r>
    </w:p>
    <w:p w:rsidR="005F47EA" w:rsidRPr="00673DE2" w:rsidRDefault="005F47EA" w:rsidP="00E65282">
      <w:pPr>
        <w:rPr>
          <w:sz w:val="22"/>
        </w:rPr>
      </w:pPr>
      <w:r w:rsidRPr="00673DE2">
        <w:rPr>
          <w:sz w:val="22"/>
        </w:rPr>
        <w:tab/>
        <w:t>Mr. James Rawley, UNDP RR</w:t>
      </w:r>
    </w:p>
    <w:p w:rsidR="005F47EA" w:rsidRPr="00673DE2" w:rsidRDefault="005F47EA" w:rsidP="00E65282">
      <w:pPr>
        <w:rPr>
          <w:sz w:val="22"/>
        </w:rPr>
      </w:pPr>
      <w:r w:rsidRPr="00673DE2">
        <w:rPr>
          <w:sz w:val="22"/>
        </w:rPr>
        <w:tab/>
        <w:t>Ms Rania Hedeya, Programme Analyst</w:t>
      </w:r>
    </w:p>
    <w:p w:rsidR="005F47EA" w:rsidRPr="00673DE2" w:rsidRDefault="005F47EA" w:rsidP="00E65282">
      <w:pPr>
        <w:rPr>
          <w:sz w:val="22"/>
        </w:rPr>
      </w:pPr>
      <w:r w:rsidRPr="00673DE2">
        <w:rPr>
          <w:sz w:val="22"/>
        </w:rPr>
        <w:t>MsNaglaaArafaa, Chief, Governance Unit</w:t>
      </w:r>
    </w:p>
    <w:p w:rsidR="005F47EA" w:rsidRPr="00673DE2" w:rsidRDefault="005F47EA" w:rsidP="00E65282">
      <w:pPr>
        <w:rPr>
          <w:sz w:val="22"/>
        </w:rPr>
      </w:pPr>
      <w:r w:rsidRPr="00673DE2">
        <w:rPr>
          <w:sz w:val="22"/>
        </w:rPr>
        <w:tab/>
      </w:r>
    </w:p>
    <w:p w:rsidR="00481048" w:rsidRDefault="00481048" w:rsidP="00E65282">
      <w:r>
        <w:br w:type="page"/>
      </w:r>
    </w:p>
    <w:p w:rsidR="00E57726" w:rsidRDefault="00481048" w:rsidP="00673DE2">
      <w:pPr>
        <w:pStyle w:val="Heading2"/>
      </w:pPr>
      <w:bookmarkStart w:id="113" w:name="_Toc302386995"/>
      <w:r>
        <w:lastRenderedPageBreak/>
        <w:t>Annex 3  Local Government in the Philippines</w:t>
      </w:r>
      <w:bookmarkEnd w:id="113"/>
    </w:p>
    <w:p w:rsidR="00481048" w:rsidRDefault="00481048" w:rsidP="006876C6"/>
    <w:p w:rsidR="00481048" w:rsidRDefault="00481048" w:rsidP="00481048">
      <w:pPr>
        <w:spacing w:line="329" w:lineRule="atLeast"/>
        <w:rPr>
          <w:rFonts w:ascii="Verdana" w:hAnsi="Verdana"/>
          <w:color w:val="444444"/>
          <w:sz w:val="19"/>
          <w:szCs w:val="19"/>
          <w:shd w:val="clear" w:color="auto" w:fill="FFFFFF"/>
        </w:rPr>
      </w:pPr>
      <w:r>
        <w:rPr>
          <w:rFonts w:ascii="Verdana" w:hAnsi="Verdana"/>
          <w:color w:val="444444"/>
          <w:sz w:val="19"/>
          <w:szCs w:val="19"/>
          <w:shd w:val="clear" w:color="auto" w:fill="FFFFFF"/>
        </w:rPr>
        <w:t>ARTICLE X</w:t>
      </w:r>
      <w:r>
        <w:rPr>
          <w:rFonts w:ascii="Verdana" w:hAnsi="Verdana"/>
          <w:color w:val="444444"/>
          <w:sz w:val="19"/>
          <w:szCs w:val="19"/>
          <w:shd w:val="clear" w:color="auto" w:fill="FFFFFF"/>
        </w:rPr>
        <w:br/>
      </w:r>
      <w:r>
        <w:rPr>
          <w:rStyle w:val="Strong"/>
          <w:rFonts w:ascii="Verdana" w:hAnsi="Verdana"/>
          <w:color w:val="444444"/>
          <w:sz w:val="19"/>
          <w:szCs w:val="19"/>
          <w:shd w:val="clear" w:color="auto" w:fill="FFFFFF"/>
        </w:rPr>
        <w:t>LOCAL GOVERNMENT</w:t>
      </w:r>
      <w:r>
        <w:rPr>
          <w:rFonts w:ascii="Verdana" w:hAnsi="Verdana"/>
          <w:color w:val="444444"/>
          <w:sz w:val="19"/>
          <w:szCs w:val="19"/>
          <w:shd w:val="clear" w:color="auto" w:fill="FFFFFF"/>
        </w:rPr>
        <w:br/>
        <w:t>(</w:t>
      </w:r>
      <w:hyperlink r:id="rId22" w:history="1">
        <w:r>
          <w:rPr>
            <w:rStyle w:val="Hyperlink"/>
            <w:rFonts w:ascii="Verdana" w:hAnsi="Verdana"/>
            <w:color w:val="2277DD"/>
            <w:sz w:val="19"/>
            <w:szCs w:val="19"/>
            <w:shd w:val="clear" w:color="auto" w:fill="FFFFFF"/>
          </w:rPr>
          <w:t>1987 Philippine Constitution</w:t>
        </w:r>
      </w:hyperlink>
      <w:r>
        <w:rPr>
          <w:rFonts w:ascii="Verdana" w:hAnsi="Verdana"/>
          <w:color w:val="444444"/>
          <w:sz w:val="19"/>
          <w:szCs w:val="19"/>
          <w:shd w:val="clear" w:color="auto" w:fill="FFFFFF"/>
        </w:rPr>
        <w:t>)</w:t>
      </w: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General Provisions</w:t>
      </w:r>
    </w:p>
    <w:p w:rsidR="00673DE2"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1</w:t>
      </w:r>
      <w:r>
        <w:rPr>
          <w:rFonts w:ascii="Verdana" w:hAnsi="Verdana"/>
          <w:color w:val="444444"/>
          <w:sz w:val="19"/>
          <w:szCs w:val="19"/>
          <w:shd w:val="clear" w:color="auto" w:fill="FFFFFF"/>
        </w:rPr>
        <w:t>. The territorial and political subdivisions of the Republic of the Philippines are the provinces, cities, municipalities, and barangays. There shall be autonomous regions in Muslim Mindanao and the Cordilleras as hereinafter provided.</w:t>
      </w: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Fonts w:ascii="Verdana" w:hAnsi="Verdana"/>
          <w:color w:val="444444"/>
          <w:sz w:val="19"/>
          <w:szCs w:val="19"/>
          <w:shd w:val="clear" w:color="auto" w:fill="FFFFFF"/>
        </w:rPr>
        <w:br/>
      </w:r>
      <w:r>
        <w:rPr>
          <w:rStyle w:val="Strong"/>
          <w:rFonts w:ascii="Verdana" w:hAnsi="Verdana"/>
          <w:color w:val="444444"/>
          <w:sz w:val="19"/>
          <w:szCs w:val="19"/>
          <w:shd w:val="clear" w:color="auto" w:fill="FFFFFF"/>
        </w:rPr>
        <w:t>Section 2.</w:t>
      </w:r>
      <w:r>
        <w:rPr>
          <w:rStyle w:val="apple-converted-space"/>
          <w:rFonts w:ascii="Verdana" w:hAnsi="Verdana"/>
          <w:b/>
          <w:bCs/>
          <w:color w:val="444444"/>
          <w:sz w:val="19"/>
          <w:szCs w:val="19"/>
          <w:shd w:val="clear" w:color="auto" w:fill="FFFFFF"/>
        </w:rPr>
        <w:t> </w:t>
      </w:r>
      <w:r>
        <w:rPr>
          <w:rFonts w:ascii="Verdana" w:hAnsi="Verdana"/>
          <w:color w:val="444444"/>
          <w:sz w:val="19"/>
          <w:szCs w:val="19"/>
          <w:shd w:val="clear" w:color="auto" w:fill="FFFFFF"/>
        </w:rPr>
        <w:t>The territorial and political subdivisions shall enjoy local autonomy.</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3</w:t>
      </w:r>
      <w:r>
        <w:rPr>
          <w:rFonts w:ascii="Verdana" w:hAnsi="Verdana"/>
          <w:color w:val="444444"/>
          <w:sz w:val="19"/>
          <w:szCs w:val="19"/>
          <w:shd w:val="clear" w:color="auto" w:fill="FFFFFF"/>
        </w:rPr>
        <w:t xml:space="preserve">. The Congress shall enact a local government code which shall provide for a more responsive and accountable local government structure instituted through a system of </w:t>
      </w:r>
      <w:r w:rsidR="00FA65B8">
        <w:rPr>
          <w:rFonts w:ascii="Verdana" w:hAnsi="Verdana"/>
          <w:color w:val="444444"/>
          <w:sz w:val="19"/>
          <w:szCs w:val="19"/>
          <w:shd w:val="clear" w:color="auto" w:fill="FFFFFF"/>
        </w:rPr>
        <w:t>decentralisation</w:t>
      </w:r>
      <w:r>
        <w:rPr>
          <w:rFonts w:ascii="Verdana" w:hAnsi="Verdana"/>
          <w:color w:val="444444"/>
          <w:sz w:val="19"/>
          <w:szCs w:val="19"/>
          <w:shd w:val="clear" w:color="auto" w:fill="FFFFFF"/>
        </w:rPr>
        <w:t xml:space="preserve"> with effective mechanisms of recall, initiative, and referendum, allocate among the different local government units their powers, responsibilities, and resources, and provide for the qualifications, election, appointment and removal, term, salaries, powers and functions and duties of local officials, and all other matters relating to the organization and operation of the local units.</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4</w:t>
      </w:r>
      <w:r>
        <w:rPr>
          <w:rFonts w:ascii="Verdana" w:hAnsi="Verdana"/>
          <w:color w:val="444444"/>
          <w:sz w:val="19"/>
          <w:szCs w:val="19"/>
          <w:shd w:val="clear" w:color="auto" w:fill="FFFFFF"/>
        </w:rPr>
        <w:t>. The President of the Philippines shall exercise general supervision over local governments. Provinces with respect to component cities an municipalities, and cities and municipalities with respect to component barangays shall ensure that the acts of their component units are within the scope of their prescribed powers and functions.</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5</w:t>
      </w:r>
      <w:r>
        <w:rPr>
          <w:rFonts w:ascii="Verdana" w:hAnsi="Verdana"/>
          <w:color w:val="444444"/>
          <w:sz w:val="19"/>
          <w:szCs w:val="19"/>
          <w:shd w:val="clear" w:color="auto" w:fill="FFFFFF"/>
        </w:rPr>
        <w:t>. Each local government unit shall have the power to create its own sources of revenues and to levy taxes, fees and charges subject to such guidelines and limitations as the Congress may provide, consistent with the basic policy of local autonomy. Such taxes, fees, and charges shall accrue exclusively to the local governments.</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6</w:t>
      </w:r>
      <w:r>
        <w:rPr>
          <w:rFonts w:ascii="Verdana" w:hAnsi="Verdana"/>
          <w:color w:val="444444"/>
          <w:sz w:val="19"/>
          <w:szCs w:val="19"/>
          <w:shd w:val="clear" w:color="auto" w:fill="FFFFFF"/>
        </w:rPr>
        <w:t>. Local government units shall have a just share, as determined by law, in the national taxes which shall be automatically released to them.</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7</w:t>
      </w:r>
      <w:r>
        <w:rPr>
          <w:rFonts w:ascii="Verdana" w:hAnsi="Verdana"/>
          <w:color w:val="444444"/>
          <w:sz w:val="19"/>
          <w:szCs w:val="19"/>
          <w:shd w:val="clear" w:color="auto" w:fill="FFFFFF"/>
        </w:rPr>
        <w:t xml:space="preserve">. Local governments shall be entitled to an equitable share in the proceeds of the utilization and development of the national wealth within their respective areas, in </w:t>
      </w:r>
      <w:r>
        <w:rPr>
          <w:rFonts w:ascii="Verdana" w:hAnsi="Verdana"/>
          <w:color w:val="444444"/>
          <w:sz w:val="19"/>
          <w:szCs w:val="19"/>
          <w:shd w:val="clear" w:color="auto" w:fill="FFFFFF"/>
        </w:rPr>
        <w:lastRenderedPageBreak/>
        <w:t>the manner provided by law, including sharing the same with the inhabitants by way of direct benefits.</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8</w:t>
      </w:r>
      <w:r>
        <w:rPr>
          <w:rFonts w:ascii="Verdana" w:hAnsi="Verdana"/>
          <w:color w:val="444444"/>
          <w:sz w:val="19"/>
          <w:szCs w:val="19"/>
          <w:shd w:val="clear" w:color="auto" w:fill="FFFFFF"/>
        </w:rPr>
        <w:t>. The term of office of elective local officials, except barangay officials, which shall be determined by law, shall be three years and no such official serve for more than three consecutive terms. Voluntary renunciation of the office for any length of time shall not be considered as an interruption in the continuity of his service for the full term for which he was elected.</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9</w:t>
      </w:r>
      <w:r>
        <w:rPr>
          <w:rFonts w:ascii="Verdana" w:hAnsi="Verdana"/>
          <w:color w:val="444444"/>
          <w:sz w:val="19"/>
          <w:szCs w:val="19"/>
          <w:shd w:val="clear" w:color="auto" w:fill="FFFFFF"/>
        </w:rPr>
        <w:t>. Legislative bodies of local governments shall have sectoral representation as may be prescribed by law.</w:t>
      </w:r>
      <w:r>
        <w:rPr>
          <w:rFonts w:ascii="Verdana" w:hAnsi="Verdana"/>
          <w:color w:val="444444"/>
          <w:sz w:val="19"/>
          <w:szCs w:val="19"/>
          <w:shd w:val="clear" w:color="auto" w:fill="FFFFFF"/>
        </w:rPr>
        <w:br/>
      </w:r>
      <w:r>
        <w:rPr>
          <w:rFonts w:ascii="Verdana" w:hAnsi="Verdana"/>
          <w:b/>
          <w:bCs/>
          <w:color w:val="444444"/>
          <w:sz w:val="19"/>
          <w:szCs w:val="19"/>
          <w:shd w:val="clear" w:color="auto" w:fill="FFFFFF"/>
        </w:rPr>
        <w:br/>
      </w:r>
      <w:r>
        <w:rPr>
          <w:rStyle w:val="Strong"/>
          <w:rFonts w:ascii="Verdana" w:hAnsi="Verdana"/>
          <w:color w:val="444444"/>
          <w:sz w:val="19"/>
          <w:szCs w:val="19"/>
          <w:shd w:val="clear" w:color="auto" w:fill="FFFFFF"/>
        </w:rPr>
        <w:t>Section 10</w:t>
      </w:r>
      <w:r>
        <w:rPr>
          <w:rFonts w:ascii="Verdana" w:hAnsi="Verdana"/>
          <w:color w:val="444444"/>
          <w:sz w:val="19"/>
          <w:szCs w:val="19"/>
          <w:shd w:val="clear" w:color="auto" w:fill="FFFFFF"/>
        </w:rPr>
        <w:t>. No province, city, municipality, or barangay may be created, divided, merged, abolished, or its boundary substantially altered, except in accordance with the criteria established in the local government code and subject to approval by a majority of the votes cast in a plebiscite in the political units directly affected.</w:t>
      </w:r>
      <w:r>
        <w:rPr>
          <w:rFonts w:ascii="Verdana" w:hAnsi="Verdana"/>
          <w:color w:val="444444"/>
          <w:sz w:val="19"/>
          <w:szCs w:val="19"/>
          <w:shd w:val="clear" w:color="auto" w:fill="FFFFFF"/>
        </w:rPr>
        <w:br/>
      </w:r>
      <w:r>
        <w:rPr>
          <w:rFonts w:ascii="Verdana" w:hAnsi="Verdana"/>
          <w:b/>
          <w:bCs/>
          <w:color w:val="444444"/>
          <w:sz w:val="19"/>
          <w:szCs w:val="19"/>
          <w:shd w:val="clear" w:color="auto" w:fill="FFFFFF"/>
        </w:rPr>
        <w:br/>
      </w:r>
      <w:r>
        <w:rPr>
          <w:rStyle w:val="Strong"/>
          <w:rFonts w:ascii="Verdana" w:hAnsi="Verdana"/>
          <w:color w:val="444444"/>
          <w:sz w:val="19"/>
          <w:szCs w:val="19"/>
          <w:shd w:val="clear" w:color="auto" w:fill="FFFFFF"/>
        </w:rPr>
        <w:t>Section 11</w:t>
      </w:r>
      <w:r>
        <w:rPr>
          <w:rFonts w:ascii="Verdana" w:hAnsi="Verdana"/>
          <w:color w:val="444444"/>
          <w:sz w:val="19"/>
          <w:szCs w:val="19"/>
          <w:shd w:val="clear" w:color="auto" w:fill="FFFFFF"/>
        </w:rPr>
        <w:t>. The Congress may, by law, create special metropolitan political subdivisions, subject to a plebiscite as set forth in Section 10 hereof. The component cities and municipalities shall retain their basic autonomy and shall be entitled to their own local executives and legislative assemblies. The jurisdiction of the metropolitan authority that will thereby be created shall be limited to basic services requiring coordination.</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12</w:t>
      </w:r>
      <w:r>
        <w:rPr>
          <w:rFonts w:ascii="Verdana" w:hAnsi="Verdana"/>
          <w:color w:val="444444"/>
          <w:sz w:val="19"/>
          <w:szCs w:val="19"/>
          <w:shd w:val="clear" w:color="auto" w:fill="FFFFFF"/>
        </w:rPr>
        <w:t>. Cities that are highly urbanized, as determined by law, and component cities whose charters prohibit their voters from voting for provincial elective officials, shall be independent of the province. The voters of component cities within a province, whose charters contain no such prohibition, shall not be deprived of their right to vote for elective provincial officials.</w:t>
      </w:r>
      <w:r>
        <w:rPr>
          <w:rFonts w:ascii="Verdana" w:hAnsi="Verdana"/>
          <w:color w:val="444444"/>
          <w:sz w:val="19"/>
          <w:szCs w:val="19"/>
          <w:shd w:val="clear" w:color="auto" w:fill="FFFFFF"/>
        </w:rPr>
        <w:br/>
      </w:r>
      <w:r>
        <w:rPr>
          <w:rFonts w:ascii="Verdana" w:hAnsi="Verdana"/>
          <w:b/>
          <w:bCs/>
          <w:color w:val="444444"/>
          <w:sz w:val="19"/>
          <w:szCs w:val="19"/>
          <w:shd w:val="clear" w:color="auto" w:fill="FFFFFF"/>
        </w:rPr>
        <w:br/>
      </w:r>
      <w:r>
        <w:rPr>
          <w:rStyle w:val="Strong"/>
          <w:rFonts w:ascii="Verdana" w:hAnsi="Verdana"/>
          <w:color w:val="444444"/>
          <w:sz w:val="19"/>
          <w:szCs w:val="19"/>
          <w:shd w:val="clear" w:color="auto" w:fill="FFFFFF"/>
        </w:rPr>
        <w:t>Section 13</w:t>
      </w:r>
      <w:r>
        <w:rPr>
          <w:rFonts w:ascii="Verdana" w:hAnsi="Verdana"/>
          <w:color w:val="444444"/>
          <w:sz w:val="19"/>
          <w:szCs w:val="19"/>
          <w:shd w:val="clear" w:color="auto" w:fill="FFFFFF"/>
        </w:rPr>
        <w:t>. Local government units may group themselves, consolidate or coordinate their efforts, services, and resources for purposes commonly beneficial to them in accordance with law.</w:t>
      </w:r>
      <w:r>
        <w:rPr>
          <w:rFonts w:ascii="Verdana" w:hAnsi="Verdana"/>
          <w:color w:val="444444"/>
          <w:sz w:val="19"/>
          <w:szCs w:val="19"/>
          <w:shd w:val="clear" w:color="auto" w:fill="FFFFFF"/>
        </w:rPr>
        <w:br/>
      </w:r>
      <w:r>
        <w:rPr>
          <w:rFonts w:ascii="Verdana" w:hAnsi="Verdana"/>
          <w:b/>
          <w:bCs/>
          <w:color w:val="444444"/>
          <w:sz w:val="19"/>
          <w:szCs w:val="19"/>
          <w:shd w:val="clear" w:color="auto" w:fill="FFFFFF"/>
        </w:rPr>
        <w:br/>
      </w:r>
      <w:r>
        <w:rPr>
          <w:rStyle w:val="Strong"/>
          <w:rFonts w:ascii="Verdana" w:hAnsi="Verdana"/>
          <w:color w:val="444444"/>
          <w:sz w:val="19"/>
          <w:szCs w:val="19"/>
          <w:shd w:val="clear" w:color="auto" w:fill="FFFFFF"/>
        </w:rPr>
        <w:t>Section 14</w:t>
      </w:r>
      <w:r>
        <w:rPr>
          <w:rFonts w:ascii="Verdana" w:hAnsi="Verdana"/>
          <w:color w:val="444444"/>
          <w:sz w:val="19"/>
          <w:szCs w:val="19"/>
          <w:shd w:val="clear" w:color="auto" w:fill="FFFFFF"/>
        </w:rPr>
        <w:t xml:space="preserve">. The President shall provide for regional development councils or other similar bodies composed of local government officials, regional heads of departments and other government offices, and representatives from non-governmental organizations within the regions for purposes of administrative </w:t>
      </w:r>
      <w:r w:rsidR="00FA65B8">
        <w:rPr>
          <w:rFonts w:ascii="Verdana" w:hAnsi="Verdana"/>
          <w:color w:val="444444"/>
          <w:sz w:val="19"/>
          <w:szCs w:val="19"/>
          <w:shd w:val="clear" w:color="auto" w:fill="FFFFFF"/>
        </w:rPr>
        <w:t>decentralisation</w:t>
      </w:r>
      <w:r>
        <w:rPr>
          <w:rFonts w:ascii="Verdana" w:hAnsi="Verdana"/>
          <w:color w:val="444444"/>
          <w:sz w:val="19"/>
          <w:szCs w:val="19"/>
          <w:shd w:val="clear" w:color="auto" w:fill="FFFFFF"/>
        </w:rPr>
        <w:t xml:space="preserve"> to strengthen the </w:t>
      </w:r>
      <w:r>
        <w:rPr>
          <w:rFonts w:ascii="Verdana" w:hAnsi="Verdana"/>
          <w:color w:val="444444"/>
          <w:sz w:val="19"/>
          <w:szCs w:val="19"/>
          <w:shd w:val="clear" w:color="auto" w:fill="FFFFFF"/>
        </w:rPr>
        <w:lastRenderedPageBreak/>
        <w:t>autonomy of the units therein and to accelerate the economic and social growth and development of the units in the region.</w:t>
      </w:r>
    </w:p>
    <w:p w:rsidR="00481048" w:rsidRDefault="00481048" w:rsidP="00481048">
      <w:pPr>
        <w:spacing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Autonomous Regions</w:t>
      </w: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15</w:t>
      </w:r>
      <w:r>
        <w:rPr>
          <w:rFonts w:ascii="Verdana" w:hAnsi="Verdana"/>
          <w:color w:val="444444"/>
          <w:sz w:val="19"/>
          <w:szCs w:val="19"/>
          <w:shd w:val="clear" w:color="auto" w:fill="FFFFFF"/>
        </w:rPr>
        <w:t>. There shall be created autonomous regions in Muslim Mindanao and in the Cordilleras consisting of provinces, cities, municipalities, and geographical areas sharing common and distinctive historical and cultural heritage, economic and social structures, and other relevant characteristics within the framework of this Constitution and the national sovereignty as well as territorial integrity of the Republic of the Philippines.</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16</w:t>
      </w:r>
      <w:r>
        <w:rPr>
          <w:rFonts w:ascii="Verdana" w:hAnsi="Verdana"/>
          <w:color w:val="444444"/>
          <w:sz w:val="19"/>
          <w:szCs w:val="19"/>
          <w:shd w:val="clear" w:color="auto" w:fill="FFFFFF"/>
        </w:rPr>
        <w:t>. The President shall exercise general supervision over autonomous regions to ensure that laws are faithfully executed.</w:t>
      </w:r>
    </w:p>
    <w:p w:rsidR="00673DE2" w:rsidRDefault="00673DE2" w:rsidP="00481048">
      <w:pPr>
        <w:pStyle w:val="NormalWeb"/>
        <w:spacing w:before="0" w:beforeAutospacing="0" w:after="0" w:afterAutospacing="0" w:line="329" w:lineRule="atLeast"/>
        <w:rPr>
          <w:rFonts w:ascii="Verdana" w:hAnsi="Verdana"/>
          <w:color w:val="444444"/>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17</w:t>
      </w:r>
      <w:r>
        <w:rPr>
          <w:rFonts w:ascii="Verdana" w:hAnsi="Verdana"/>
          <w:color w:val="444444"/>
          <w:sz w:val="19"/>
          <w:szCs w:val="19"/>
          <w:shd w:val="clear" w:color="auto" w:fill="FFFFFF"/>
        </w:rPr>
        <w:t>. All powers, functions, and responsibilities not granted by this Constitution or by law to the autonomous regions shall be vested in the National Government.</w:t>
      </w:r>
      <w:r>
        <w:rPr>
          <w:rFonts w:ascii="Verdana" w:hAnsi="Verdana"/>
          <w:color w:val="444444"/>
          <w:sz w:val="19"/>
          <w:szCs w:val="19"/>
          <w:shd w:val="clear" w:color="auto" w:fill="FFFFFF"/>
        </w:rPr>
        <w:br/>
      </w:r>
      <w:r>
        <w:rPr>
          <w:rFonts w:ascii="Verdana" w:hAnsi="Verdana"/>
          <w:b/>
          <w:bCs/>
          <w:color w:val="444444"/>
          <w:sz w:val="19"/>
          <w:szCs w:val="19"/>
          <w:shd w:val="clear" w:color="auto" w:fill="FFFFFF"/>
        </w:rPr>
        <w:br/>
      </w:r>
      <w:r>
        <w:rPr>
          <w:rStyle w:val="Strong"/>
          <w:rFonts w:ascii="Verdana" w:hAnsi="Verdana"/>
          <w:color w:val="444444"/>
          <w:sz w:val="19"/>
          <w:szCs w:val="19"/>
          <w:shd w:val="clear" w:color="auto" w:fill="FFFFFF"/>
        </w:rPr>
        <w:t>Section 18</w:t>
      </w:r>
      <w:r>
        <w:rPr>
          <w:rFonts w:ascii="Verdana" w:hAnsi="Verdana"/>
          <w:color w:val="444444"/>
          <w:sz w:val="19"/>
          <w:szCs w:val="19"/>
          <w:shd w:val="clear" w:color="auto" w:fill="FFFFFF"/>
        </w:rPr>
        <w:t>. The Congress shall enact an organic act for each autonomous region with the assistance and participation of the regional consultative commission composed of representatives appointed by the President from a list of nominees from multisectoral bodies. The organic act shall define the basic structure of government for the region consisting of the executive department and legislative assembly, both of which shall be elective and representative of the constituent political units. The organic acts shall likewise provide for special courts with personal, family, and property law jurisdiction consistent with the provisions of this Constitution and national laws.</w:t>
      </w:r>
    </w:p>
    <w:p w:rsidR="00481048" w:rsidRDefault="00481048" w:rsidP="00481048">
      <w:pPr>
        <w:pStyle w:val="NormalWeb"/>
        <w:spacing w:before="203" w:beforeAutospacing="0" w:after="203" w:afterAutospacing="0" w:line="329" w:lineRule="atLeast"/>
        <w:rPr>
          <w:rFonts w:ascii="Verdana" w:hAnsi="Verdana"/>
          <w:color w:val="444444"/>
          <w:sz w:val="19"/>
          <w:szCs w:val="19"/>
          <w:shd w:val="clear" w:color="auto" w:fill="FFFFFF"/>
        </w:rPr>
      </w:pPr>
      <w:r>
        <w:rPr>
          <w:rFonts w:ascii="Verdana" w:hAnsi="Verdana"/>
          <w:color w:val="444444"/>
          <w:sz w:val="19"/>
          <w:szCs w:val="19"/>
          <w:shd w:val="clear" w:color="auto" w:fill="FFFFFF"/>
        </w:rPr>
        <w:t>The creation of the autonomous region shall be effective when approved by majority of the votes cast by the constituent units in a plebiscite called for the purpose, provided that only provinces, cities, and geographic areas voting favorably in such plebiscite shall be included in the autonomous region.</w:t>
      </w: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19</w:t>
      </w:r>
      <w:r>
        <w:rPr>
          <w:rFonts w:ascii="Verdana" w:hAnsi="Verdana"/>
          <w:color w:val="444444"/>
          <w:sz w:val="19"/>
          <w:szCs w:val="19"/>
          <w:shd w:val="clear" w:color="auto" w:fill="FFFFFF"/>
        </w:rPr>
        <w:t>. The first Congress elected under this Constitution shall, within eighteen months from the time of organization of both Houses, pass the organic acts for the autonomous regions in Muslim Mindanao and the Cordilleras.</w:t>
      </w: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20</w:t>
      </w:r>
      <w:r>
        <w:rPr>
          <w:rFonts w:ascii="Verdana" w:hAnsi="Verdana"/>
          <w:color w:val="444444"/>
          <w:sz w:val="19"/>
          <w:szCs w:val="19"/>
          <w:shd w:val="clear" w:color="auto" w:fill="FFFFFF"/>
        </w:rPr>
        <w:t>. Within its territorial jurisdiction and subject to the provisions of this Constitution and national laws, the organic act of autonomous regions shall provide for legislative powers over:</w:t>
      </w:r>
    </w:p>
    <w:p w:rsidR="00481048" w:rsidRDefault="00481048" w:rsidP="00481048">
      <w:pPr>
        <w:pStyle w:val="NormalWeb"/>
        <w:shd w:val="clear" w:color="auto" w:fill="FFFFFF"/>
        <w:spacing w:before="0" w:beforeAutospacing="0" w:after="0" w:afterAutospacing="0" w:line="329" w:lineRule="atLeast"/>
        <w:rPr>
          <w:rFonts w:ascii="Verdana" w:hAnsi="Verdana"/>
          <w:color w:val="333333"/>
          <w:sz w:val="19"/>
          <w:szCs w:val="19"/>
          <w:shd w:val="clear" w:color="auto" w:fill="FFFFFF"/>
        </w:rPr>
      </w:pPr>
      <w:r>
        <w:rPr>
          <w:rFonts w:ascii="Verdana" w:hAnsi="Verdana"/>
          <w:color w:val="333333"/>
          <w:sz w:val="19"/>
          <w:szCs w:val="19"/>
          <w:shd w:val="clear" w:color="auto" w:fill="FFFFFF"/>
        </w:rPr>
        <w:t>(1) Administrative organization;</w:t>
      </w:r>
      <w:r>
        <w:rPr>
          <w:rFonts w:ascii="Verdana" w:hAnsi="Verdana"/>
          <w:color w:val="333333"/>
          <w:sz w:val="19"/>
          <w:szCs w:val="19"/>
          <w:shd w:val="clear" w:color="auto" w:fill="FFFFFF"/>
        </w:rPr>
        <w:br/>
        <w:t>(2) Creation of sources of revenues;</w:t>
      </w:r>
      <w:r>
        <w:rPr>
          <w:rFonts w:ascii="Verdana" w:hAnsi="Verdana"/>
          <w:color w:val="333333"/>
          <w:sz w:val="19"/>
          <w:szCs w:val="19"/>
          <w:shd w:val="clear" w:color="auto" w:fill="FFFFFF"/>
        </w:rPr>
        <w:br/>
        <w:t>(3) Ancestral domain and natural resources;</w:t>
      </w:r>
      <w:r>
        <w:rPr>
          <w:rFonts w:ascii="Verdana" w:hAnsi="Verdana"/>
          <w:color w:val="333333"/>
          <w:sz w:val="19"/>
          <w:szCs w:val="19"/>
          <w:shd w:val="clear" w:color="auto" w:fill="FFFFFF"/>
        </w:rPr>
        <w:br/>
      </w:r>
      <w:r>
        <w:rPr>
          <w:rFonts w:ascii="Verdana" w:hAnsi="Verdana"/>
          <w:color w:val="333333"/>
          <w:sz w:val="19"/>
          <w:szCs w:val="19"/>
          <w:shd w:val="clear" w:color="auto" w:fill="FFFFFF"/>
        </w:rPr>
        <w:lastRenderedPageBreak/>
        <w:t>(4) Personal, family, and property relations;</w:t>
      </w:r>
      <w:r>
        <w:rPr>
          <w:rFonts w:ascii="Verdana" w:hAnsi="Verdana"/>
          <w:color w:val="333333"/>
          <w:sz w:val="19"/>
          <w:szCs w:val="19"/>
          <w:shd w:val="clear" w:color="auto" w:fill="FFFFFF"/>
        </w:rPr>
        <w:br/>
        <w:t>(5) Regional urban and rural planning development;</w:t>
      </w:r>
      <w:r>
        <w:rPr>
          <w:rFonts w:ascii="Verdana" w:hAnsi="Verdana"/>
          <w:color w:val="333333"/>
          <w:sz w:val="19"/>
          <w:szCs w:val="19"/>
          <w:shd w:val="clear" w:color="auto" w:fill="FFFFFF"/>
        </w:rPr>
        <w:br/>
        <w:t>(6) Economic, social, and tourism development;</w:t>
      </w:r>
      <w:r>
        <w:rPr>
          <w:rFonts w:ascii="Verdana" w:hAnsi="Verdana"/>
          <w:color w:val="333333"/>
          <w:sz w:val="19"/>
          <w:szCs w:val="19"/>
          <w:shd w:val="clear" w:color="auto" w:fill="FFFFFF"/>
        </w:rPr>
        <w:br/>
        <w:t>(7) Educational policies;</w:t>
      </w:r>
      <w:r>
        <w:rPr>
          <w:rFonts w:ascii="Verdana" w:hAnsi="Verdana"/>
          <w:color w:val="333333"/>
          <w:sz w:val="19"/>
          <w:szCs w:val="19"/>
          <w:shd w:val="clear" w:color="auto" w:fill="FFFFFF"/>
        </w:rPr>
        <w:br/>
        <w:t>(8) Preservation and development of the cultural heritage; and</w:t>
      </w:r>
      <w:r>
        <w:rPr>
          <w:rFonts w:ascii="Verdana" w:hAnsi="Verdana"/>
          <w:color w:val="333333"/>
          <w:sz w:val="19"/>
          <w:szCs w:val="19"/>
          <w:shd w:val="clear" w:color="auto" w:fill="FFFFFF"/>
        </w:rPr>
        <w:br/>
        <w:t>(9) Such other matters as may be authorized by law for the promotion of the general welfare of the people of the region.</w:t>
      </w:r>
    </w:p>
    <w:p w:rsidR="00673DE2" w:rsidRDefault="00673DE2" w:rsidP="00481048">
      <w:pPr>
        <w:pStyle w:val="NormalWeb"/>
        <w:shd w:val="clear" w:color="auto" w:fill="FFFFFF"/>
        <w:spacing w:before="0" w:beforeAutospacing="0" w:after="0" w:afterAutospacing="0" w:line="329" w:lineRule="atLeast"/>
        <w:rPr>
          <w:rFonts w:ascii="Verdana" w:hAnsi="Verdana"/>
          <w:color w:val="333333"/>
          <w:sz w:val="19"/>
          <w:szCs w:val="19"/>
          <w:shd w:val="clear" w:color="auto" w:fill="FFFFFF"/>
        </w:rPr>
      </w:pPr>
    </w:p>
    <w:p w:rsidR="00481048" w:rsidRDefault="00481048" w:rsidP="00481048">
      <w:pPr>
        <w:pStyle w:val="NormalWeb"/>
        <w:spacing w:before="0" w:beforeAutospacing="0" w:after="0" w:afterAutospacing="0" w:line="329" w:lineRule="atLeast"/>
        <w:rPr>
          <w:rFonts w:ascii="Verdana" w:hAnsi="Verdana"/>
          <w:color w:val="444444"/>
          <w:sz w:val="19"/>
          <w:szCs w:val="19"/>
          <w:shd w:val="clear" w:color="auto" w:fill="FFFFFF"/>
        </w:rPr>
      </w:pPr>
      <w:r>
        <w:rPr>
          <w:rStyle w:val="Strong"/>
          <w:rFonts w:ascii="Verdana" w:hAnsi="Verdana"/>
          <w:color w:val="444444"/>
          <w:sz w:val="19"/>
          <w:szCs w:val="19"/>
          <w:shd w:val="clear" w:color="auto" w:fill="FFFFFF"/>
        </w:rPr>
        <w:t>Section 21</w:t>
      </w:r>
      <w:r>
        <w:rPr>
          <w:rFonts w:ascii="Verdana" w:hAnsi="Verdana"/>
          <w:color w:val="444444"/>
          <w:sz w:val="19"/>
          <w:szCs w:val="19"/>
          <w:shd w:val="clear" w:color="auto" w:fill="FFFFFF"/>
        </w:rPr>
        <w:t>. The preservation of peace and order within the regions shall be the responsibility of the local police agencies which shall be organized, maintained, supervised, and utilized in accordance with applicable laws. The defense and security of the regions shall be the responsibility of the National Government.</w:t>
      </w:r>
    </w:p>
    <w:p w:rsidR="005A271F" w:rsidRDefault="005A271F">
      <w:pPr>
        <w:autoSpaceDE/>
        <w:autoSpaceDN/>
        <w:adjustRightInd/>
        <w:spacing w:after="0"/>
      </w:pPr>
      <w:r>
        <w:br w:type="page"/>
      </w:r>
    </w:p>
    <w:p w:rsidR="005A271F" w:rsidRDefault="005A271F" w:rsidP="005A271F">
      <w:pPr>
        <w:pStyle w:val="Heading2"/>
      </w:pPr>
      <w:bookmarkStart w:id="114" w:name="_Toc302386996"/>
      <w:r>
        <w:lastRenderedPageBreak/>
        <w:t>Annex 4 Response to UNDP comments on first draft</w:t>
      </w:r>
      <w:bookmarkEnd w:id="114"/>
    </w:p>
    <w:p w:rsidR="005A271F" w:rsidRDefault="005A271F" w:rsidP="005A271F">
      <w:r>
        <w:t>(page numbers from original draft with comments)</w:t>
      </w:r>
    </w:p>
    <w:p w:rsidR="005A271F" w:rsidRDefault="005A271F" w:rsidP="005A271F">
      <w:r>
        <w:t>p.12  NDP was never officially involved in the project.</w:t>
      </w:r>
    </w:p>
    <w:p w:rsidR="005A271F" w:rsidRDefault="005A271F" w:rsidP="005A271F">
      <w:r>
        <w:t>Agreed, changes left in, however, it is clear that the NDP placed Lobna Latif in the MLD to control the policy process so that it conformed to the party’s political agenda</w:t>
      </w:r>
    </w:p>
    <w:p w:rsidR="005A271F" w:rsidRDefault="005A271F" w:rsidP="005A271F"/>
    <w:p w:rsidR="005A271F" w:rsidRDefault="005A271F" w:rsidP="005A271F">
      <w:r>
        <w:t>p. 13  Were there other “flaws’ such as heavy involvement of consultants conducting local needs assessment of planning</w:t>
      </w:r>
    </w:p>
    <w:p w:rsidR="005A271F" w:rsidRDefault="005A271F" w:rsidP="005A271F">
      <w:r>
        <w:tab/>
        <w:t xml:space="preserve">Added:  Thus, plans were prepared, sometimes by external consultants, that could not be funded as there was no devolved source of funds for local authorities to use independently.  </w:t>
      </w:r>
    </w:p>
    <w:p w:rsidR="005A271F" w:rsidRDefault="005A271F" w:rsidP="005A271F"/>
    <w:p w:rsidR="005A271F" w:rsidRDefault="005A271F" w:rsidP="005A271F">
      <w:r>
        <w:t>p. 14   Evidence? This is portrayed as negative while usually alignment with a strategy is positive. Needs clarification please!</w:t>
      </w:r>
    </w:p>
    <w:p w:rsidR="005A271F" w:rsidRDefault="005A271F" w:rsidP="005A271F">
      <w:r>
        <w:t xml:space="preserve">Rephrased:  In early 2007, the GoE made a decision to require a revision in all donor-funded local development planning-type projects, particularly those operating with funds from USAID, World Bank, UNDP. This included MISR.  It was decided that MISR would be substantially revised in order take a slower more cautious approach towards national </w:t>
      </w:r>
      <w:r w:rsidR="00FA65B8">
        <w:t>decentralisation</w:t>
      </w:r>
      <w:r>
        <w:t xml:space="preserve"> policy rather than directly engaging with the citizenry in planning and project implementation.  The USAID Egyptian </w:t>
      </w:r>
      <w:r w:rsidR="00FA65B8">
        <w:t>Decentralisation</w:t>
      </w:r>
      <w:r>
        <w:t xml:space="preserve"> Initiative (EDI) and the World Bank $200 million Upper Egypt </w:t>
      </w:r>
      <w:r w:rsidR="008C2456">
        <w:t>programme</w:t>
      </w:r>
      <w:r>
        <w:t xml:space="preserve"> were also required to be re-aligned with the </w:t>
      </w:r>
      <w:r w:rsidR="00FA65B8">
        <w:t>Decentralisation</w:t>
      </w:r>
      <w:r>
        <w:t xml:space="preserve"> Strategy.  This decision to re-centralize projects designed to foster a decentralized approach to local development was unfortunate because the central government lost the ability to learn from lessons generated through the implementation of locally designed experiments.  Thus, </w:t>
      </w:r>
      <w:r w:rsidR="00FA65B8">
        <w:t>decentralisation</w:t>
      </w:r>
      <w:r>
        <w:t xml:space="preserve"> policy design became a politically-driven, techno-bureaucratic exercise engaged in by only a few articulate, urbanite academics, politicians and donor agency staff rather than a learning process involving all stakeholders.  In hindsight, this move by the centre to neglect the experiences of the periphery (in this and many other instances) served to undermine its credibility among the people.</w:t>
      </w:r>
    </w:p>
    <w:p w:rsidR="005A271F" w:rsidRDefault="005A271F" w:rsidP="005A271F"/>
    <w:p w:rsidR="005A271F" w:rsidRDefault="005A271F" w:rsidP="005A271F"/>
    <w:p w:rsidR="005A271F" w:rsidRDefault="005A271F" w:rsidP="005A271F">
      <w:r>
        <w:lastRenderedPageBreak/>
        <w:t>p. 15   DSU was set up to help in project impementation, not to cover the operational funding gap.</w:t>
      </w:r>
    </w:p>
    <w:p w:rsidR="005A271F" w:rsidRDefault="005A271F" w:rsidP="005A271F">
      <w:r>
        <w:t xml:space="preserve">Rephrased:  In early 2009, a ‘serious funding agreement gap’ between the two governments led to the cancellation of all USG government-to-government Implementation Letters (IL) with the Egyptian Government, including the one with MLD for the DTO.  The UNDP was requested to step in to cover the operational gap left by the departure of the USAID.  The </w:t>
      </w:r>
      <w:r w:rsidR="00FA65B8">
        <w:t>Decentralisation</w:t>
      </w:r>
      <w:r>
        <w:t xml:space="preserve"> Support Unit (DSU), attached to the Ministry of Local Development, was formed under TS-MLD in June 2009 to continue the technical work that had been initiated under the DTO.  </w:t>
      </w:r>
    </w:p>
    <w:p w:rsidR="005A271F" w:rsidRDefault="005A271F" w:rsidP="005A271F"/>
    <w:p w:rsidR="005A271F" w:rsidRDefault="005A271F" w:rsidP="005A271F">
      <w:r>
        <w:t>P17   What is the basis of this statement?</w:t>
      </w:r>
    </w:p>
    <w:p w:rsidR="005A271F" w:rsidRDefault="005A271F" w:rsidP="005A271F">
      <w:r>
        <w:t>This came from a written comment from DSU on the Aide Memoire</w:t>
      </w:r>
    </w:p>
    <w:p w:rsidR="005A271F" w:rsidRDefault="005A271F" w:rsidP="005A271F">
      <w:r>
        <w:t xml:space="preserve">Rephrased: However, aside from a form of participatory planning through ‘elected’ Local Popular Councils the TS-MLD never seriously embraced the concept of enhancing the space for direct citizen engagement with the Government to improve the equity and quality of public service delivery.  Instead, the argument was made by DSU staff that there was no need to directly engage the public because the locally elected councils had the responsibility to represent the people.  This was, and remains, the greatest lacuna of the design, direction and implementation of TS-MLD.  </w:t>
      </w:r>
    </w:p>
    <w:p w:rsidR="005A271F" w:rsidRDefault="005A271F" w:rsidP="005A271F"/>
    <w:p w:rsidR="005A271F" w:rsidRDefault="005A271F" w:rsidP="005A271F">
      <w:r>
        <w:t>P 18  There were significant transparency challenges that should be kept in mind.</w:t>
      </w:r>
    </w:p>
    <w:p w:rsidR="005A271F" w:rsidRDefault="005A271F" w:rsidP="005A271F">
      <w:r>
        <w:t>Rephrased:  The TS-MLD represents a global best practice model for inter-agency (and multi-donor) collaboration towards a common governance objective. The Advisor to the Minister of Local Development in charge of the TS-MLD clearly knew how to focus donor interests on matters that were of greatest importance to the national leadership. Unfortunately, the full gamut of those interests was not fully shared by the majority of the people in Egypt, causing many of the national leadership to end up in jail.  Nevertheless, six months after the Advisor left office, those collaborative relationships still operate with no perceived friction or disputes over policy niches among donor support agencies.  The DSU has remained in the midst of dialogues on the structure of the Egyptian government and the ways and means to improve public service delivery to the masses.</w:t>
      </w:r>
    </w:p>
    <w:p w:rsidR="005A271F" w:rsidRDefault="005A271F" w:rsidP="005A271F"/>
    <w:p w:rsidR="005A271F" w:rsidRDefault="005A271F" w:rsidP="005A271F"/>
    <w:p w:rsidR="005A271F" w:rsidRDefault="005A271F" w:rsidP="005A271F">
      <w:r>
        <w:lastRenderedPageBreak/>
        <w:t>P 19   How and where was this reporting made?</w:t>
      </w:r>
    </w:p>
    <w:p w:rsidR="005A271F" w:rsidRDefault="005A271F" w:rsidP="005A271F">
      <w:r>
        <w:t xml:space="preserve">Rephrased:  The Ministry of Education (repeated in Fayoum Governorate) reported that central agencies such as the General Authority for Education Buildings (GAEB) have used the revolution as an excuse to pull back from </w:t>
      </w:r>
      <w:r w:rsidR="00FA65B8">
        <w:t>decentralisation</w:t>
      </w:r>
      <w:r>
        <w:t xml:space="preserve"> measures forced upon them in past years, arguing that </w:t>
      </w:r>
      <w:r w:rsidR="00FA65B8">
        <w:t>decentralisation</w:t>
      </w:r>
      <w:r>
        <w:t xml:space="preserve"> was a trick played on the people by the NDP.  In this way, GAEB was able to retain several hundred million </w:t>
      </w:r>
      <w:r w:rsidR="00536716">
        <w:t>pounds</w:t>
      </w:r>
      <w:r>
        <w:t xml:space="preserve"> in new school construction funds that were going to be allocated directly to Governorates in this year’s budget.</w:t>
      </w:r>
    </w:p>
    <w:p w:rsidR="005A271F" w:rsidRDefault="005A271F" w:rsidP="005A271F"/>
    <w:p w:rsidR="005A271F" w:rsidRDefault="005A271F" w:rsidP="005A271F">
      <w:r>
        <w:t>P 20  How can you substantiate?</w:t>
      </w:r>
    </w:p>
    <w:p w:rsidR="005A271F" w:rsidRDefault="005A271F" w:rsidP="005A271F">
      <w:r>
        <w:t xml:space="preserve">Rephrased:  This political upheaval initiated by the events of January 2011 provides an opportunity for UNDP and the DSU to establish a new context for </w:t>
      </w:r>
      <w:r w:rsidR="00FA65B8">
        <w:t>decentralisation</w:t>
      </w:r>
      <w:r>
        <w:t>.  The previous context, driven by the NDP regime, was built on a set of corrupt values aimed at retaining control of the center for the benefit of its members.  This view is clearly substantiated by groundswell of public disgust with the NDP’s ability to manipulate government policy for personal gain, which has forced the Government to disband the NDP and place the President and his son on trial.   Although it will take many years to root out the influences of this nefarious regime, the TS-MLD can begin the process by pressing the argument for a completely open, democratic approach to local governance.</w:t>
      </w:r>
    </w:p>
    <w:p w:rsidR="005A271F" w:rsidRDefault="005A271F" w:rsidP="005A271F"/>
    <w:p w:rsidR="005A271F" w:rsidRDefault="005A271F" w:rsidP="005A271F">
      <w:r>
        <w:t>P 28  Was there a 2010 Board meeting?</w:t>
      </w:r>
    </w:p>
    <w:p w:rsidR="005A271F" w:rsidRDefault="005A271F" w:rsidP="005A271F">
      <w:r>
        <w:t>Rephrased:  (According the DSU team, the meeting in 2010 was deemed unofficial.)</w:t>
      </w:r>
    </w:p>
    <w:p w:rsidR="005A271F" w:rsidRDefault="005A271F" w:rsidP="005A271F"/>
    <w:p w:rsidR="005A271F" w:rsidRDefault="005A271F" w:rsidP="005A271F">
      <w:r>
        <w:t>p. 28  copy of risk and issues log to be shared.</w:t>
      </w:r>
    </w:p>
    <w:p w:rsidR="005A271F" w:rsidRDefault="005A271F" w:rsidP="005A271F">
      <w:r>
        <w:t xml:space="preserve">Rephrased:  An argument has been made that UNDP prepared issue and risk logs, but,  this is a record that is to be maintained by the project management, not UNDP.  </w:t>
      </w:r>
    </w:p>
    <w:p w:rsidR="005A271F" w:rsidRDefault="005A271F" w:rsidP="005A271F"/>
    <w:p w:rsidR="005A271F" w:rsidRDefault="005A271F" w:rsidP="005A271F">
      <w:r>
        <w:t xml:space="preserve">P 29 The entire contribution of the </w:t>
      </w:r>
      <w:r w:rsidR="008C2456">
        <w:t>MLD</w:t>
      </w:r>
      <w:r>
        <w:t xml:space="preserve"> although significantly addressing the IT </w:t>
      </w:r>
      <w:r w:rsidR="008C2456">
        <w:t>programme</w:t>
      </w:r>
      <w:r>
        <w:t xml:space="preserve"> was not intended exclusively for this component.</w:t>
      </w:r>
    </w:p>
    <w:p w:rsidR="005A271F" w:rsidRDefault="005A271F" w:rsidP="005A271F">
      <w:r>
        <w:t xml:space="preserve">Please indicate the reference. According to the substantive budget revision signed in May/June 2010 by </w:t>
      </w:r>
      <w:r w:rsidR="008C2456">
        <w:t>MLD</w:t>
      </w:r>
      <w:r>
        <w:t xml:space="preserve">, UNDP and MoFA, the contribution of the </w:t>
      </w:r>
      <w:r w:rsidR="008C2456">
        <w:t>MLD</w:t>
      </w:r>
      <w:r>
        <w:t xml:space="preserve"> was allocated </w:t>
      </w:r>
      <w:r>
        <w:lastRenderedPageBreak/>
        <w:t>across all project activities and served the purpose of closing the funding gap that existed in the project.</w:t>
      </w:r>
    </w:p>
    <w:p w:rsidR="005A271F" w:rsidRDefault="005A271F" w:rsidP="005A271F">
      <w:r>
        <w:t>Rephrased:  Complaints were raised that decisions appear to be ad hoc regarding budget allocation.  The GoE allocation of 32 million Egyptian pounds was apparently contributed to fun</w:t>
      </w:r>
      <w:r w:rsidR="00536716">
        <w:t>d all aspects of the project.  However, w</w:t>
      </w:r>
      <w:r>
        <w:t xml:space="preserve">ithout any documentation of Project Board approval for AWP 2011, there is a level of confusion </w:t>
      </w:r>
      <w:r w:rsidR="00536716">
        <w:t xml:space="preserve">within </w:t>
      </w:r>
      <w:r>
        <w:t>regarding the validity of the allocation among different components of the project, with the IT Department claiming that its funds are being inappropriately spent on other units.</w:t>
      </w:r>
    </w:p>
    <w:p w:rsidR="005A271F" w:rsidRDefault="005A271F" w:rsidP="005A271F"/>
    <w:p w:rsidR="005A271F" w:rsidRDefault="005A271F" w:rsidP="005A271F">
      <w:r>
        <w:t>p. 30   Opinion of the reviewer.</w:t>
      </w:r>
    </w:p>
    <w:p w:rsidR="005A271F" w:rsidRDefault="005A271F" w:rsidP="005A271F">
      <w:r>
        <w:t xml:space="preserve">Rephrased:  The Parliament will need a considerable period of time to put the national framework in place before they can focus on the </w:t>
      </w:r>
      <w:r w:rsidR="00C0590B">
        <w:t>sub-national</w:t>
      </w:r>
      <w:r>
        <w:t xml:space="preserve"> realm.  In fact, if Egypt is like nearly every other newly democratizing country, many of the new parliamentarians may not view </w:t>
      </w:r>
      <w:r w:rsidR="00FA65B8">
        <w:t>decentralisation</w:t>
      </w:r>
      <w:r>
        <w:t xml:space="preserve"> in a positive light as they may be more focused on securing their own powerbase within their electoral constituency.  This is something that will have to be dealt with sensitively.  The focus of the DSU in the coming months should be on ensuring that the next Constitution contains wording that provides the space for the establishment of </w:t>
      </w:r>
      <w:r w:rsidR="00C0590B">
        <w:t>sub-national</w:t>
      </w:r>
      <w:r>
        <w:t xml:space="preserve"> governments that are democratic and have clearly defined administrative, political and financial authorities.  A sudden presentation of a complete Local Administration Bill may unnerve those Parliamentarians who are not firmly committed to </w:t>
      </w:r>
      <w:r w:rsidR="00FA65B8">
        <w:t>decentralisation</w:t>
      </w:r>
      <w:r>
        <w:t xml:space="preserve"> as a principle of governance.</w:t>
      </w:r>
    </w:p>
    <w:p w:rsidR="005A271F" w:rsidRDefault="005A271F" w:rsidP="005A271F"/>
    <w:p w:rsidR="005A271F" w:rsidRDefault="005A271F" w:rsidP="005A271F">
      <w:r>
        <w:t>P 30  Please explain the link with the evaluation findings.</w:t>
      </w:r>
    </w:p>
    <w:p w:rsidR="005A271F" w:rsidRDefault="005A271F" w:rsidP="005A271F">
      <w:r>
        <w:t xml:space="preserve">Rephrased:  In the view of this reviewer, it </w:t>
      </w:r>
      <w:r w:rsidR="00536716">
        <w:t>should not be</w:t>
      </w:r>
      <w:r>
        <w:t xml:space="preserve"> assume</w:t>
      </w:r>
      <w:r w:rsidR="00536716">
        <w:t>d</w:t>
      </w:r>
      <w:r>
        <w:t xml:space="preserve"> that legislation based on global </w:t>
      </w:r>
      <w:r w:rsidR="00FA65B8">
        <w:t>decentralisation</w:t>
      </w:r>
      <w:r>
        <w:t xml:space="preserve"> principles will be sufficient to secure passage of a bill that may be perceived as a move to reduce the role and resources of the centre.  In any democracy, the technical merits of legislation must always be weighed against the interests of the hundreds of Parliamentarians, who will each have a unique set of personal interests and proclivities.  Learning how to achieve a parliamentary consensus will be more important that engineering a seemingly perfect technical design for </w:t>
      </w:r>
      <w:r w:rsidR="00FA65B8">
        <w:t>decentralisation</w:t>
      </w:r>
      <w:r>
        <w:t xml:space="preserve">.  </w:t>
      </w:r>
    </w:p>
    <w:p w:rsidR="005A271F" w:rsidRDefault="005A271F" w:rsidP="005A271F"/>
    <w:p w:rsidR="005A271F" w:rsidRDefault="005A271F" w:rsidP="005A271F">
      <w:r>
        <w:t>p. 31  How can we redress??</w:t>
      </w:r>
    </w:p>
    <w:p w:rsidR="005A271F" w:rsidRDefault="005A271F" w:rsidP="005A271F">
      <w:r>
        <w:t xml:space="preserve">Added:  Some options for consideration could include: 1) Quotas for women’s participation in local legislative bodies, with one-third as an appropriate minimum, 2) A </w:t>
      </w:r>
      <w:r>
        <w:lastRenderedPageBreak/>
        <w:t>minimum percentage of local development projects should be directly linked to women’s empowerment or otherwise clearly linked to women’s social development issues, 3) Other projects should be required to explain how they are addressing women’s, as well as men’s, needs,  4) Any citizen engagement process must ensure a minimum of 30% women’s participation in all events, 5) It would be very good to include gender sensitization for all local council staff, officials and any project staff who are assigned to guide local decision making processes.</w:t>
      </w:r>
    </w:p>
    <w:p w:rsidR="005A271F" w:rsidRDefault="005A271F" w:rsidP="005A271F"/>
    <w:p w:rsidR="005A271F" w:rsidRDefault="005A271F" w:rsidP="005A271F">
      <w:r>
        <w:t>p. 33 Despite that no formal board meeting was held, a high level between the minister, head of dsu,  UNDP CD, UNDP PROG Analyst, &amp; UNCDF whereby the new scope and work-plan were approved by Minister. Minutes were shared earlier.</w:t>
      </w:r>
    </w:p>
    <w:p w:rsidR="005A271F" w:rsidRDefault="005A271F" w:rsidP="005A271F">
      <w:r>
        <w:t>Rephrased:  Although there has been no presentation to a Project Board, UNDP refers to the scope of work prepared by UNCDF as the ‘new direction’ for the project.  There may be an internal consensus on this as the way forward, but in order to keep with what the reviewer understands as UNDP norms of project management under National Execution rules, there needs to be a formal assessment of the proposal and a formal acceptance by a duly constituted Project Board that is recognized as the decision making authority.  It appears that UNDP assumes that informal dialogues between UNDP staffers, successive MLD Ministers and outside agencies (such as UNCDF, which has no official role in any project documents shown to the reviewer) are sufficient to replace formally mandated Project Board decisions.  This review argues that, despite the current upheaval in the Egyptian government, UNDP should not take on the roles of both project executive and project control as would be the case under Direct Execution.  By doing so, UNDP potentially opens itself to criticism by a later government of operating unilaterally on a subject of significant political consequence.</w:t>
      </w:r>
    </w:p>
    <w:p w:rsidR="005A271F" w:rsidRDefault="005A271F" w:rsidP="005A271F"/>
    <w:p w:rsidR="005A271F" w:rsidRDefault="005A271F" w:rsidP="005A271F">
      <w:r>
        <w:t>P 34  Please clarify and explain further what is meant by both execution and control, along the lines of a DEX modality?</w:t>
      </w:r>
    </w:p>
    <w:p w:rsidR="005A271F" w:rsidRDefault="005A271F" w:rsidP="005A271F">
      <w:r>
        <w:t xml:space="preserve">Footnote added:    Project control is the standard UNDP term for the oversight function of the UNDP staff, which must remain separate from both the execution and implementation functions of the project in order to avoid the creation of a moral hazard.  In normal NEX practice, UNDP </w:t>
      </w:r>
      <w:r w:rsidR="008C2456">
        <w:t>Programme</w:t>
      </w:r>
      <w:r>
        <w:t xml:space="preserve"> Officers are not decision makers.</w:t>
      </w:r>
    </w:p>
    <w:p w:rsidR="00C6568F" w:rsidRDefault="00C6568F" w:rsidP="005A271F"/>
    <w:p w:rsidR="005A271F" w:rsidRDefault="005A271F" w:rsidP="005A271F">
      <w:r>
        <w:t xml:space="preserve">P 37  Any appropriate what?  </w:t>
      </w:r>
    </w:p>
    <w:p w:rsidR="005A271F" w:rsidRDefault="005A271F" w:rsidP="005A271F">
      <w:r>
        <w:t>Respelled: appropriation</w:t>
      </w:r>
    </w:p>
    <w:p w:rsidR="005A271F" w:rsidRDefault="005A271F" w:rsidP="005A271F"/>
    <w:p w:rsidR="005A271F" w:rsidRDefault="005A271F" w:rsidP="005A271F">
      <w:r>
        <w:t>P 42  Would this be the right timing?</w:t>
      </w:r>
    </w:p>
    <w:p w:rsidR="005A271F" w:rsidRDefault="005A271F" w:rsidP="005A271F">
      <w:r>
        <w:t xml:space="preserve">Rephrased :  There is a critical need to carry out an external evaluation of the MLD Local Development programs for absolute impact and differential equity impact on men and women.  Despite the political upheaval, the Government has continued to channel substantial funds into the hands of the local administrators.  The people’s movement already forced the removal of the local elected representatives because of the perception of corruption.  </w:t>
      </w:r>
      <w:r w:rsidR="00C6568F">
        <w:t xml:space="preserve">In order to build Parliamentary support for </w:t>
      </w:r>
      <w:r w:rsidR="00FA65B8">
        <w:t>decentralisation</w:t>
      </w:r>
      <w:r w:rsidR="00C6568F">
        <w:t>, a</w:t>
      </w:r>
      <w:r>
        <w:t xml:space="preserve">n in-depth impact assessment of this ongoing programme is important at this time to assure the incoming Government that its limited resources have actually been used for the benefit of the people.  </w:t>
      </w:r>
    </w:p>
    <w:p w:rsidR="005A271F" w:rsidRDefault="005A271F" w:rsidP="005A271F"/>
    <w:p w:rsidR="005A271F" w:rsidRDefault="005A271F" w:rsidP="005A271F">
      <w:r>
        <w:t>P 45  UNDP did submit a request to hold the Board meeting; however due to the changes in the Ministers Council (</w:t>
      </w:r>
      <w:r w:rsidR="008C2456">
        <w:t>MLD</w:t>
      </w:r>
      <w:r>
        <w:t xml:space="preserve"> Minister changed twice since the Revolution) we were not able to hold the meeting.</w:t>
      </w:r>
    </w:p>
    <w:p w:rsidR="005A271F" w:rsidRDefault="005A271F" w:rsidP="005A271F">
      <w:r>
        <w:t>Added   Hopefully, the MLD Minister who was appointed during the time of this review will be willing and able to assist UNDP in establishing this critical process.</w:t>
      </w:r>
    </w:p>
    <w:p w:rsidR="005A271F" w:rsidRDefault="005A271F" w:rsidP="005A271F"/>
    <w:p w:rsidR="005A271F" w:rsidRDefault="005A271F" w:rsidP="005A271F">
      <w:r>
        <w:t xml:space="preserve">P 45  Has this happened? </w:t>
      </w:r>
    </w:p>
    <w:p w:rsidR="00481048" w:rsidRPr="00C83615" w:rsidRDefault="005A271F" w:rsidP="005A271F">
      <w:r>
        <w:t>Footnote added:     Email 13 January 2009, from Rania Hideya in response to NohaRifaat</w:t>
      </w:r>
    </w:p>
    <w:sectPr w:rsidR="00481048" w:rsidRPr="00C83615" w:rsidSect="007E2650">
      <w:headerReference w:type="default" r:id="rId23"/>
      <w:footerReference w:type="default" r:id="rId24"/>
      <w:pgSz w:w="12240" w:h="15840" w:code="1"/>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7B" w:rsidRDefault="00A8627B" w:rsidP="006876C6">
      <w:r>
        <w:separator/>
      </w:r>
    </w:p>
  </w:endnote>
  <w:endnote w:type="continuationSeparator" w:id="0">
    <w:p w:rsidR="00A8627B" w:rsidRDefault="00A8627B" w:rsidP="0068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Caslon-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sGothicBT-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Caslo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0" w:rsidRDefault="00D013F0" w:rsidP="006876C6">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D013F0" w:rsidRDefault="00D013F0" w:rsidP="006876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0" w:rsidRDefault="00D013F0" w:rsidP="006876C6">
    <w:pPr>
      <w:rPr>
        <w:rStyle w:val="PageNumber"/>
      </w:rPr>
    </w:pPr>
  </w:p>
  <w:p w:rsidR="00D013F0" w:rsidRDefault="00D013F0" w:rsidP="006876C6">
    <w:pPr>
      <w:rPr>
        <w:rStyle w:val="PageNumber"/>
      </w:rPr>
    </w:pPr>
  </w:p>
  <w:p w:rsidR="00D013F0" w:rsidRDefault="00D013F0" w:rsidP="006876C6">
    <w:pPr>
      <w:rPr>
        <w:rStyle w:val="PageNumber"/>
      </w:rPr>
    </w:pPr>
  </w:p>
  <w:p w:rsidR="00D013F0" w:rsidRDefault="00A44FB3" w:rsidP="006876C6">
    <w:pPr>
      <w:rPr>
        <w:rStyle w:val="PageNumber"/>
      </w:rPr>
    </w:pPr>
    <w:r>
      <w:rPr>
        <w:noProof/>
      </w:rPr>
      <mc:AlternateContent>
        <mc:Choice Requires="wps">
          <w:drawing>
            <wp:anchor distT="4294967294" distB="4294967294" distL="114300" distR="114300" simplePos="0" relativeHeight="251656704" behindDoc="0" locked="0" layoutInCell="0" allowOverlap="1">
              <wp:simplePos x="0" y="0"/>
              <wp:positionH relativeFrom="column">
                <wp:posOffset>0</wp:posOffset>
              </wp:positionH>
              <wp:positionV relativeFrom="paragraph">
                <wp:posOffset>-107951</wp:posOffset>
              </wp:positionV>
              <wp:extent cx="4663440" cy="0"/>
              <wp:effectExtent l="0" t="0" r="2286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5pt" to="36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l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CfzZ7y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" o:allowincell="f"/>
          </w:pict>
        </mc:Fallback>
      </mc:AlternateContent>
    </w:r>
  </w:p>
  <w:p w:rsidR="00D013F0" w:rsidRDefault="00D013F0" w:rsidP="006876C6">
    <w:pPr>
      <w:rPr>
        <w:rStyle w:val="PageNumber"/>
      </w:rPr>
    </w:pPr>
  </w:p>
  <w:p w:rsidR="00D013F0" w:rsidRDefault="00D013F0" w:rsidP="006876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0" w:rsidRDefault="00A44FB3" w:rsidP="006876C6">
    <w:r>
      <w:rPr>
        <w:noProof/>
      </w:rPr>
      <mc:AlternateContent>
        <mc:Choice Requires="wps">
          <w:drawing>
            <wp:anchor distT="4294967294" distB="4294967294" distL="114300" distR="114300" simplePos="0" relativeHeight="251658752" behindDoc="0" locked="0" layoutInCell="0" allowOverlap="1">
              <wp:simplePos x="0" y="0"/>
              <wp:positionH relativeFrom="column">
                <wp:posOffset>0</wp:posOffset>
              </wp:positionH>
              <wp:positionV relativeFrom="page">
                <wp:posOffset>9875519</wp:posOffset>
              </wp:positionV>
              <wp:extent cx="4572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777.6pt" to="5in,7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xEQ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" o:allowincell="f" strokeweight=".25pt">
              <w10:wrap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0" w:rsidRDefault="00D013F0" w:rsidP="006876C6">
    <w:r w:rsidRPr="002C7EF8">
      <w:rPr>
        <w:rStyle w:val="PageNumber"/>
        <w:sz w:val="22"/>
      </w:rPr>
      <w:fldChar w:fldCharType="begin"/>
    </w:r>
    <w:r w:rsidRPr="002C7EF8">
      <w:rPr>
        <w:rStyle w:val="PageNumber"/>
        <w:sz w:val="22"/>
      </w:rPr>
      <w:instrText xml:space="preserve"> PAGE </w:instrText>
    </w:r>
    <w:r w:rsidRPr="002C7EF8">
      <w:rPr>
        <w:rStyle w:val="PageNumber"/>
        <w:sz w:val="22"/>
      </w:rPr>
      <w:fldChar w:fldCharType="separate"/>
    </w:r>
    <w:r w:rsidR="00A44FB3">
      <w:rPr>
        <w:rStyle w:val="PageNumber"/>
        <w:noProof/>
        <w:sz w:val="22"/>
      </w:rPr>
      <w:t>40</w:t>
    </w:r>
    <w:r w:rsidRPr="002C7EF8">
      <w:rPr>
        <w:rStyle w:val="PageNumber"/>
        <w:sz w:val="22"/>
      </w:rPr>
      <w:fldChar w:fldCharType="end"/>
    </w:r>
  </w:p>
  <w:p w:rsidR="00D013F0" w:rsidRDefault="00D013F0" w:rsidP="006876C6">
    <w:pP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7B" w:rsidRDefault="00A8627B" w:rsidP="006876C6">
      <w:r>
        <w:separator/>
      </w:r>
    </w:p>
  </w:footnote>
  <w:footnote w:type="continuationSeparator" w:id="0">
    <w:p w:rsidR="00A8627B" w:rsidRDefault="00A8627B" w:rsidP="006876C6">
      <w:r>
        <w:continuationSeparator/>
      </w:r>
    </w:p>
  </w:footnote>
  <w:footnote w:id="1">
    <w:p w:rsidR="00D013F0" w:rsidRDefault="00D013F0">
      <w:pPr>
        <w:pStyle w:val="FootnoteText"/>
      </w:pPr>
      <w:r>
        <w:rPr>
          <w:rStyle w:val="FootnoteReference"/>
        </w:rPr>
        <w:footnoteRef/>
      </w:r>
      <w:r>
        <w:t xml:space="preserve"> Comments on the first draft demanded to know why SCC is mentioned.  In the reviewer’s understanding, UNDP has sustained a multi-year effort to build the capacity of the SCC and the SCC now is taking  the role of secretariat in the constitutional deliberations on the future of Egypt.      </w:t>
      </w:r>
    </w:p>
  </w:footnote>
  <w:footnote w:id="2">
    <w:p w:rsidR="00D013F0" w:rsidRDefault="00D013F0">
      <w:pPr>
        <w:pStyle w:val="FootnoteText"/>
      </w:pPr>
      <w:r>
        <w:rPr>
          <w:rStyle w:val="FootnoteReference"/>
        </w:rPr>
        <w:footnoteRef/>
      </w:r>
      <w:r>
        <w:t xml:space="preserve"> For a substantive treatment see:  </w:t>
      </w:r>
      <w:r w:rsidRPr="005E2EC0">
        <w:t>Schwab and Ostrom, ‘The Vital Role of Norms and Rules in Maintaining Open Public and Private Economies,’</w:t>
      </w:r>
      <w:r w:rsidRPr="00523D34">
        <w:t> in The Critical Role of Values in the Economy</w:t>
      </w:r>
      <w:r w:rsidRPr="005E2EC0">
        <w:t>, edited by Paul Zak (Princeton: Princeton University Press, 2008)</w:t>
      </w:r>
      <w:r w:rsidRPr="00523D34">
        <w:t>, </w:t>
      </w:r>
      <w:r w:rsidRPr="005E2EC0">
        <w:t>pp.</w:t>
      </w:r>
      <w:r w:rsidRPr="00523D34">
        <w:t> </w:t>
      </w:r>
      <w:r w:rsidRPr="005E2EC0">
        <w:t>204-227</w:t>
      </w:r>
      <w:r>
        <w:t>.</w:t>
      </w:r>
    </w:p>
  </w:footnote>
  <w:footnote w:id="3">
    <w:p w:rsidR="00D013F0" w:rsidRDefault="00D013F0">
      <w:pPr>
        <w:pStyle w:val="FootnoteText"/>
      </w:pPr>
      <w:r>
        <w:rPr>
          <w:rStyle w:val="FootnoteReference"/>
        </w:rPr>
        <w:footnoteRef/>
      </w:r>
      <w:r>
        <w:t xml:space="preserve"> Project control is the standard UNDP term for the oversight function of the UNDP staff, which must remain separate from both the execution and implementation functions of the project in order to avoid the creation of a moral hazard.  In normal NEX practice, UNDP Programme Officers are not decision makers.</w:t>
      </w:r>
    </w:p>
  </w:footnote>
  <w:footnote w:id="4">
    <w:p w:rsidR="00D013F0" w:rsidRDefault="00D013F0">
      <w:pPr>
        <w:pStyle w:val="FootnoteText"/>
      </w:pPr>
      <w:r>
        <w:rPr>
          <w:rStyle w:val="FootnoteReference"/>
        </w:rPr>
        <w:footnoteRef/>
      </w:r>
      <w:r>
        <w:t>Pressman, Jeffery and Aaron Wildavsky.</w:t>
      </w:r>
      <w:r w:rsidR="00FE0E75">
        <w:t xml:space="preserve"> </w:t>
      </w:r>
      <w:r w:rsidRPr="00277E45">
        <w:t>Implementation: How Great Expectations in Washington Are Dashed in Oakland</w:t>
      </w:r>
      <w:r>
        <w:t>, University of California Press, 1984.</w:t>
      </w:r>
    </w:p>
  </w:footnote>
  <w:footnote w:id="5">
    <w:p w:rsidR="00D013F0" w:rsidRDefault="00D013F0">
      <w:pPr>
        <w:pStyle w:val="FootnoteText"/>
      </w:pPr>
      <w:r>
        <w:rPr>
          <w:rStyle w:val="FootnoteReference"/>
        </w:rPr>
        <w:footnoteRef/>
      </w:r>
      <w:r>
        <w:t xml:space="preserve"> Contact should be made with Noha el-Mikawy in the Arab States Regional Office in Cairo</w:t>
      </w:r>
    </w:p>
  </w:footnote>
  <w:footnote w:id="6">
    <w:p w:rsidR="00D013F0" w:rsidRDefault="00D013F0">
      <w:pPr>
        <w:pStyle w:val="FootnoteText"/>
      </w:pPr>
      <w:r>
        <w:rPr>
          <w:rStyle w:val="FootnoteReference"/>
        </w:rPr>
        <w:footnoteRef/>
      </w:r>
      <w:r>
        <w:t xml:space="preserve"> This example of citizen’s attempting to play a role in improving their own social well-being was marked by the DSU staff for deletion because it was deemed ‘irrelevant’.</w:t>
      </w:r>
      <w:r w:rsidR="00BA3FFF">
        <w:t xml:space="preserve">  The</w:t>
      </w:r>
      <w:r>
        <w:t xml:space="preserve"> reviewer finds that comment curious as this was included as an example of how citizens are already making innovative use of information resources.  How is that irrelevant to the overall purpose of decentralization?  </w:t>
      </w:r>
    </w:p>
  </w:footnote>
  <w:footnote w:id="7">
    <w:p w:rsidR="00D013F0" w:rsidRDefault="00D013F0">
      <w:pPr>
        <w:pStyle w:val="FootnoteText"/>
      </w:pPr>
      <w:r>
        <w:rPr>
          <w:rStyle w:val="FootnoteReference"/>
        </w:rPr>
        <w:footnoteRef/>
      </w:r>
      <w:r>
        <w:t xml:space="preserve"> Email 13 January 2009, from Rania Hideya in response to Noha Rifaat</w:t>
      </w:r>
    </w:p>
  </w:footnote>
  <w:footnote w:id="8">
    <w:p w:rsidR="00D013F0" w:rsidRDefault="00D013F0">
      <w:pPr>
        <w:pStyle w:val="FootnoteText"/>
      </w:pPr>
      <w:r>
        <w:rPr>
          <w:rStyle w:val="FootnoteReference"/>
        </w:rPr>
        <w:footnoteRef/>
      </w:r>
      <w:r>
        <w:t xml:space="preserve"> </w:t>
      </w:r>
      <w:r w:rsidRPr="00020DFE">
        <w:t xml:space="preserve">As with citizen engagement, the DSU team questioned whether this is the appropriate time to ensure gender is fully taken into consideration in the design of any sub-national policy.  </w:t>
      </w:r>
      <w:r w:rsidR="00BA3FFF">
        <w:t xml:space="preserve"> The UNDP CPAP places gender equity at a high level of importance.  The reviewer hopes that UNDP will ensure NEX project personnel are fully aware of this priority.</w:t>
      </w:r>
    </w:p>
  </w:footnote>
  <w:footnote w:id="9">
    <w:p w:rsidR="00D013F0" w:rsidRDefault="00D013F0" w:rsidP="001212A4">
      <w:r w:rsidRPr="002F73FD">
        <w:rPr>
          <w:rStyle w:val="FootnoteReference"/>
          <w:sz w:val="20"/>
        </w:rPr>
        <w:footnoteRef/>
      </w:r>
      <w:r w:rsidRPr="002F73FD">
        <w:rPr>
          <w:sz w:val="20"/>
          <w:szCs w:val="20"/>
        </w:rPr>
        <w:t xml:space="preserve">Klugman, Jeni  (1997) </w:t>
      </w:r>
      <w:r w:rsidRPr="002F73FD">
        <w:rPr>
          <w:sz w:val="20"/>
        </w:rPr>
        <w:t xml:space="preserve">Review of Decentralization:  A survey from a child welfare perspective.  Innocenti Occasional Papers, Unicef. </w:t>
      </w:r>
    </w:p>
  </w:footnote>
  <w:footnote w:id="10">
    <w:p w:rsidR="00D013F0" w:rsidRPr="002F73FD" w:rsidRDefault="00D013F0" w:rsidP="001212A4">
      <w:pPr>
        <w:pStyle w:val="FootnoteText"/>
      </w:pPr>
      <w:r w:rsidRPr="002F73FD">
        <w:rPr>
          <w:rStyle w:val="FootnoteReference"/>
        </w:rPr>
        <w:footnoteRef/>
      </w:r>
      <w:r w:rsidRPr="002F73FD">
        <w:t>Prud’homme, Rene. (1995) The Dangers of Decentralization. World Bank.</w:t>
      </w:r>
    </w:p>
  </w:footnote>
  <w:footnote w:id="11">
    <w:p w:rsidR="00D013F0" w:rsidRDefault="00D013F0" w:rsidP="001212A4">
      <w:r w:rsidRPr="0069010D">
        <w:rPr>
          <w:rStyle w:val="FootnoteReference"/>
          <w:sz w:val="20"/>
        </w:rPr>
        <w:footnoteRef/>
      </w:r>
      <w:r w:rsidRPr="0069010D">
        <w:rPr>
          <w:sz w:val="20"/>
        </w:rPr>
        <w:t xml:space="preserve">Ostrom, Vincent, David Feeny, HartmutPicht, eds. 1993. </w:t>
      </w:r>
      <w:r w:rsidRPr="0069010D">
        <w:rPr>
          <w:sz w:val="20"/>
          <w:u w:val="single"/>
        </w:rPr>
        <w:t>Rethinking Institutional Analysis and Development.</w:t>
      </w:r>
      <w:r w:rsidRPr="0069010D">
        <w:rPr>
          <w:sz w:val="20"/>
        </w:rPr>
        <w:t xml:space="preserve"> Institute for Contemporary Studies Press.</w:t>
      </w:r>
    </w:p>
  </w:footnote>
  <w:footnote w:id="12">
    <w:p w:rsidR="00D013F0" w:rsidRDefault="00D013F0" w:rsidP="001212A4">
      <w:pPr>
        <w:pStyle w:val="FootnoteText"/>
      </w:pPr>
      <w:r>
        <w:rPr>
          <w:rStyle w:val="FootnoteReference"/>
        </w:rPr>
        <w:footnoteRef/>
      </w:r>
      <w:r>
        <w:t xml:space="preserve"> Rights Based Approach to Programming, Unicef Pakistan, December 2000.</w:t>
      </w:r>
    </w:p>
  </w:footnote>
  <w:footnote w:id="13">
    <w:p w:rsidR="00D013F0" w:rsidRPr="0069010D" w:rsidRDefault="00D013F0" w:rsidP="001212A4">
      <w:pPr>
        <w:spacing w:after="0"/>
        <w:rPr>
          <w:sz w:val="20"/>
        </w:rPr>
      </w:pPr>
      <w:r w:rsidRPr="0069010D">
        <w:rPr>
          <w:rStyle w:val="FootnoteReference"/>
          <w:sz w:val="20"/>
        </w:rPr>
        <w:footnoteRef/>
      </w:r>
      <w:r w:rsidRPr="0069010D">
        <w:rPr>
          <w:sz w:val="20"/>
        </w:rPr>
        <w:t xml:space="preserve"> Ostrom, Elinor, Larry Schroeder, Susan Wynne (1993) Institutional Incentives and Sustainable Development:  Infrastructure policies in perspective, Westview Press.</w:t>
      </w:r>
    </w:p>
  </w:footnote>
  <w:footnote w:id="14">
    <w:p w:rsidR="00D013F0" w:rsidRPr="0069010D" w:rsidRDefault="00D013F0" w:rsidP="001212A4">
      <w:pPr>
        <w:pStyle w:val="FootnoteText"/>
      </w:pPr>
      <w:r w:rsidRPr="0069010D">
        <w:rPr>
          <w:rStyle w:val="FootnoteReference"/>
        </w:rPr>
        <w:footnoteRef/>
      </w:r>
      <w:r w:rsidRPr="0069010D">
        <w:t xml:space="preserve"> Tocqueville, Alexis </w:t>
      </w:r>
      <w:r>
        <w:t>de,</w:t>
      </w:r>
      <w:r w:rsidRPr="0069010D">
        <w:t> </w:t>
      </w:r>
      <w:hyperlink r:id="rId1" w:tooltip="Democracy in America" w:history="1">
        <w:r w:rsidRPr="0069010D">
          <w:t>Democracy in America</w:t>
        </w:r>
      </w:hyperlink>
      <w:r w:rsidRPr="0069010D">
        <w:t>,  1835.</w:t>
      </w:r>
    </w:p>
  </w:footnote>
  <w:footnote w:id="15">
    <w:p w:rsidR="00D013F0" w:rsidRPr="0069010D" w:rsidRDefault="00D013F0" w:rsidP="001212A4">
      <w:pPr>
        <w:spacing w:after="0"/>
        <w:rPr>
          <w:sz w:val="20"/>
          <w:szCs w:val="20"/>
        </w:rPr>
      </w:pPr>
      <w:r w:rsidRPr="0069010D">
        <w:rPr>
          <w:rStyle w:val="FootnoteReference"/>
          <w:sz w:val="20"/>
          <w:szCs w:val="20"/>
        </w:rPr>
        <w:footnoteRef/>
      </w:r>
      <w:r w:rsidRPr="0069010D">
        <w:rPr>
          <w:rStyle w:val="citation"/>
          <w:sz w:val="20"/>
          <w:szCs w:val="20"/>
        </w:rPr>
        <w:t>Oakerson, Ronald. (1999) Governing Local Public Economies: Creating the Civic Metropolis. ICS Press, San Francis</w:t>
      </w:r>
      <w:r>
        <w:rPr>
          <w:rStyle w:val="citation"/>
          <w:sz w:val="20"/>
          <w:szCs w:val="20"/>
        </w:rPr>
        <w:t>c</w:t>
      </w:r>
      <w:r w:rsidRPr="0069010D">
        <w:rPr>
          <w:rStyle w:val="citation"/>
          <w:sz w:val="20"/>
          <w:szCs w:val="20"/>
        </w:rPr>
        <w:t>o.</w:t>
      </w:r>
    </w:p>
  </w:footnote>
  <w:footnote w:id="16">
    <w:p w:rsidR="00D013F0" w:rsidRPr="0069010D" w:rsidRDefault="00D013F0" w:rsidP="001212A4">
      <w:pPr>
        <w:rPr>
          <w:sz w:val="20"/>
          <w:szCs w:val="20"/>
        </w:rPr>
      </w:pPr>
      <w:r w:rsidRPr="0069010D">
        <w:rPr>
          <w:rStyle w:val="FootnoteReference"/>
          <w:sz w:val="20"/>
          <w:szCs w:val="20"/>
        </w:rPr>
        <w:footnoteRef/>
      </w:r>
      <w:r w:rsidRPr="0069010D">
        <w:rPr>
          <w:sz w:val="20"/>
          <w:szCs w:val="20"/>
        </w:rPr>
        <w:t>Putnam, Robert, Robert Leonardi, and Raffaella</w:t>
      </w:r>
      <w:r>
        <w:rPr>
          <w:sz w:val="20"/>
          <w:szCs w:val="20"/>
        </w:rPr>
        <w:t xml:space="preserve"> </w:t>
      </w:r>
      <w:r w:rsidRPr="0069010D">
        <w:rPr>
          <w:sz w:val="20"/>
          <w:szCs w:val="20"/>
        </w:rPr>
        <w:t>Nanetti. 1994. Making Democracy Work:  Civic Traditions in Modern Italy.  Princeton U Press.</w:t>
      </w:r>
    </w:p>
    <w:p w:rsidR="00D013F0" w:rsidRDefault="00D013F0" w:rsidP="001212A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0" w:rsidRDefault="00A44FB3" w:rsidP="006876C6">
    <w:r>
      <w:rPr>
        <w:noProof/>
      </w:rPr>
      <mc:AlternateContent>
        <mc:Choice Requires="wps">
          <w:drawing>
            <wp:anchor distT="4294967294" distB="4294967294" distL="114300" distR="114300" simplePos="0" relativeHeight="251655680" behindDoc="0" locked="0" layoutInCell="0" allowOverlap="1">
              <wp:simplePos x="0" y="0"/>
              <wp:positionH relativeFrom="column">
                <wp:posOffset>0</wp:posOffset>
              </wp:positionH>
              <wp:positionV relativeFrom="page">
                <wp:posOffset>640079</wp:posOffset>
              </wp:positionV>
              <wp:extent cx="4572000" cy="0"/>
              <wp:effectExtent l="0" t="0" r="1905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50.4pt" to="5in,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z8EgIAACg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" o:allowincell="f" strokeweight=".25pt">
              <w10:wrap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0" w:rsidRDefault="00A44FB3" w:rsidP="006876C6">
    <w:r>
      <w:rPr>
        <w:noProof/>
      </w:rPr>
      <mc:AlternateContent>
        <mc:Choice Requires="wps">
          <w:drawing>
            <wp:anchor distT="4294967294" distB="4294967294" distL="114300" distR="114300" simplePos="0" relativeHeight="251657728" behindDoc="0" locked="0" layoutInCell="0" allowOverlap="1">
              <wp:simplePos x="0" y="0"/>
              <wp:positionH relativeFrom="column">
                <wp:posOffset>0</wp:posOffset>
              </wp:positionH>
              <wp:positionV relativeFrom="page">
                <wp:posOffset>640079</wp:posOffset>
              </wp:positionV>
              <wp:extent cx="4572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50.4pt" to="5in,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m4EA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" o:allowincell="f" strokeweight=".25pt">
              <w10:wrap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0" w:rsidRDefault="00A44FB3" w:rsidP="006876C6">
    <w:r>
      <w:rPr>
        <w:noProof/>
      </w:rPr>
      <mc:AlternateContent>
        <mc:Choice Requires="wps">
          <w:drawing>
            <wp:anchor distT="4294967294" distB="4294967294" distL="114300" distR="114300" simplePos="0" relativeHeight="251659776" behindDoc="0" locked="0" layoutInCell="0" allowOverlap="1">
              <wp:simplePos x="0" y="0"/>
              <wp:positionH relativeFrom="column">
                <wp:posOffset>0</wp:posOffset>
              </wp:positionH>
              <wp:positionV relativeFrom="page">
                <wp:posOffset>640079</wp:posOffset>
              </wp:positionV>
              <wp:extent cx="45720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50.4pt" to="5in,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L+EA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" o:allowincell="f" strokeweight=".2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FFB"/>
    <w:multiLevelType w:val="hybridMultilevel"/>
    <w:tmpl w:val="2B3AB00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4C07763"/>
    <w:multiLevelType w:val="hybridMultilevel"/>
    <w:tmpl w:val="C6AA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1873B5"/>
    <w:multiLevelType w:val="hybridMultilevel"/>
    <w:tmpl w:val="8A7ADE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85313B6"/>
    <w:multiLevelType w:val="singleLevel"/>
    <w:tmpl w:val="0C09000F"/>
    <w:lvl w:ilvl="0">
      <w:start w:val="1"/>
      <w:numFmt w:val="decimal"/>
      <w:lvlText w:val="%1."/>
      <w:lvlJc w:val="left"/>
      <w:pPr>
        <w:tabs>
          <w:tab w:val="num" w:pos="360"/>
        </w:tabs>
        <w:ind w:left="360" w:hanging="360"/>
      </w:pPr>
    </w:lvl>
  </w:abstractNum>
  <w:abstractNum w:abstractNumId="4">
    <w:nsid w:val="088B5F60"/>
    <w:multiLevelType w:val="hybridMultilevel"/>
    <w:tmpl w:val="759A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D3CE8"/>
    <w:multiLevelType w:val="hybridMultilevel"/>
    <w:tmpl w:val="694C15CA"/>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604614"/>
    <w:multiLevelType w:val="hybridMultilevel"/>
    <w:tmpl w:val="67BC1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F835A7C"/>
    <w:multiLevelType w:val="hybridMultilevel"/>
    <w:tmpl w:val="02164F92"/>
    <w:lvl w:ilvl="0" w:tplc="068EB636">
      <w:numFmt w:val="bullet"/>
      <w:lvlText w:val="-"/>
      <w:lvlJc w:val="left"/>
      <w:pPr>
        <w:tabs>
          <w:tab w:val="num" w:pos="720"/>
        </w:tabs>
        <w:ind w:left="720" w:hanging="360"/>
      </w:pPr>
      <w:rPr>
        <w:rFonts w:ascii="Arial" w:eastAsia="Cambria"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0B40870"/>
    <w:multiLevelType w:val="hybridMultilevel"/>
    <w:tmpl w:val="DCDED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196751"/>
    <w:multiLevelType w:val="hybridMultilevel"/>
    <w:tmpl w:val="3CD04CE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3274B1E"/>
    <w:multiLevelType w:val="hybridMultilevel"/>
    <w:tmpl w:val="E0EC77F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3454DE0"/>
    <w:multiLevelType w:val="hybridMultilevel"/>
    <w:tmpl w:val="92AC4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E79A9"/>
    <w:multiLevelType w:val="hybridMultilevel"/>
    <w:tmpl w:val="D796465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27BA344B"/>
    <w:multiLevelType w:val="hybridMultilevel"/>
    <w:tmpl w:val="B3F668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200306"/>
    <w:multiLevelType w:val="hybridMultilevel"/>
    <w:tmpl w:val="61E4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EE70C2"/>
    <w:multiLevelType w:val="hybridMultilevel"/>
    <w:tmpl w:val="00B439AC"/>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D0C6858"/>
    <w:multiLevelType w:val="hybridMultilevel"/>
    <w:tmpl w:val="084499D8"/>
    <w:lvl w:ilvl="0" w:tplc="9EA238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2413261"/>
    <w:multiLevelType w:val="hybridMultilevel"/>
    <w:tmpl w:val="C22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A822D9"/>
    <w:multiLevelType w:val="hybridMultilevel"/>
    <w:tmpl w:val="100E511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45449DC"/>
    <w:multiLevelType w:val="hybridMultilevel"/>
    <w:tmpl w:val="8288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71580"/>
    <w:multiLevelType w:val="hybridMultilevel"/>
    <w:tmpl w:val="1B0AA6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87C26AA"/>
    <w:multiLevelType w:val="hybridMultilevel"/>
    <w:tmpl w:val="188C0604"/>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92044D3"/>
    <w:multiLevelType w:val="hybridMultilevel"/>
    <w:tmpl w:val="273A609E"/>
    <w:lvl w:ilvl="0" w:tplc="068EB636">
      <w:numFmt w:val="bullet"/>
      <w:lvlText w:val="-"/>
      <w:lvlJc w:val="left"/>
      <w:pPr>
        <w:tabs>
          <w:tab w:val="num" w:pos="720"/>
        </w:tabs>
        <w:ind w:left="720" w:hanging="360"/>
      </w:pPr>
      <w:rPr>
        <w:rFonts w:ascii="Arial" w:eastAsia="Cambria"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FA1C47"/>
    <w:multiLevelType w:val="hybridMultilevel"/>
    <w:tmpl w:val="12EA0328"/>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D6B62AC"/>
    <w:multiLevelType w:val="hybridMultilevel"/>
    <w:tmpl w:val="41941B52"/>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D842E83"/>
    <w:multiLevelType w:val="hybridMultilevel"/>
    <w:tmpl w:val="49E8D81A"/>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F71056C"/>
    <w:multiLevelType w:val="hybridMultilevel"/>
    <w:tmpl w:val="85D6CB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63F2590"/>
    <w:multiLevelType w:val="hybridMultilevel"/>
    <w:tmpl w:val="6E32CF3E"/>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6D757D5"/>
    <w:multiLevelType w:val="hybridMultilevel"/>
    <w:tmpl w:val="BB3C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500CC6"/>
    <w:multiLevelType w:val="hybridMultilevel"/>
    <w:tmpl w:val="6FB4AD5A"/>
    <w:lvl w:ilvl="0" w:tplc="583A2D96">
      <w:start w:val="2"/>
      <w:numFmt w:val="bullet"/>
      <w:lvlText w:val="-"/>
      <w:lvlJc w:val="left"/>
      <w:pPr>
        <w:tabs>
          <w:tab w:val="num" w:pos="780"/>
        </w:tabs>
        <w:ind w:left="780" w:hanging="360"/>
      </w:pPr>
      <w:rPr>
        <w:rFonts w:ascii="Times New Roman" w:eastAsia="Times New Roman" w:hAnsi="Times New Roman"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nsid w:val="4C6C0EA2"/>
    <w:multiLevelType w:val="hybridMultilevel"/>
    <w:tmpl w:val="F8E86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4BF748A"/>
    <w:multiLevelType w:val="hybridMultilevel"/>
    <w:tmpl w:val="487C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D4B7A"/>
    <w:multiLevelType w:val="singleLevel"/>
    <w:tmpl w:val="988A7B96"/>
    <w:lvl w:ilvl="0">
      <w:start w:val="1"/>
      <w:numFmt w:val="bullet"/>
      <w:pStyle w:val="bulletpoints"/>
      <w:lvlText w:val=""/>
      <w:lvlJc w:val="left"/>
      <w:pPr>
        <w:tabs>
          <w:tab w:val="num" w:pos="360"/>
        </w:tabs>
        <w:ind w:left="360" w:hanging="360"/>
      </w:pPr>
      <w:rPr>
        <w:rFonts w:ascii="Symbol" w:hAnsi="Symbol" w:hint="default"/>
      </w:rPr>
    </w:lvl>
  </w:abstractNum>
  <w:abstractNum w:abstractNumId="33">
    <w:nsid w:val="5A792A84"/>
    <w:multiLevelType w:val="singleLevel"/>
    <w:tmpl w:val="04FCA9EC"/>
    <w:lvl w:ilvl="0">
      <w:start w:val="1"/>
      <w:numFmt w:val="decimal"/>
      <w:pStyle w:val="Tableheading"/>
      <w:lvlText w:val="Table %1"/>
      <w:lvlJc w:val="left"/>
      <w:pPr>
        <w:tabs>
          <w:tab w:val="num" w:pos="360"/>
        </w:tabs>
        <w:ind w:left="0" w:hanging="720"/>
      </w:pPr>
    </w:lvl>
  </w:abstractNum>
  <w:abstractNum w:abstractNumId="34">
    <w:nsid w:val="5CCC5AD0"/>
    <w:multiLevelType w:val="hybridMultilevel"/>
    <w:tmpl w:val="445A7EEE"/>
    <w:lvl w:ilvl="0" w:tplc="0C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DBB1A0D"/>
    <w:multiLevelType w:val="hybridMultilevel"/>
    <w:tmpl w:val="0ABAD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3405E14"/>
    <w:multiLevelType w:val="hybridMultilevel"/>
    <w:tmpl w:val="C9D44962"/>
    <w:lvl w:ilvl="0" w:tplc="068EB636">
      <w:numFmt w:val="bullet"/>
      <w:lvlText w:val="-"/>
      <w:lvlJc w:val="left"/>
      <w:pPr>
        <w:tabs>
          <w:tab w:val="num" w:pos="720"/>
        </w:tabs>
        <w:ind w:left="720" w:hanging="360"/>
      </w:pPr>
      <w:rPr>
        <w:rFonts w:ascii="Arial" w:eastAsia="Cambria"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89083A"/>
    <w:multiLevelType w:val="hybridMultilevel"/>
    <w:tmpl w:val="56FC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7010CB"/>
    <w:multiLevelType w:val="multilevel"/>
    <w:tmpl w:val="C8D87D14"/>
    <w:lvl w:ilvl="0">
      <w:start w:val="1"/>
      <w:numFmt w:val="decimal"/>
      <w:lvlText w:val="%1"/>
      <w:lvlJc w:val="left"/>
      <w:pPr>
        <w:tabs>
          <w:tab w:val="num" w:pos="72"/>
        </w:tabs>
        <w:ind w:left="0" w:hanging="288"/>
      </w:p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296"/>
        </w:tabs>
        <w:ind w:left="1296" w:hanging="720"/>
      </w:pPr>
      <w:rPr>
        <w:rFonts w:hint="default"/>
      </w:rPr>
    </w:lvl>
    <w:lvl w:ilvl="4">
      <w:start w:val="1"/>
      <w:numFmt w:val="decimal"/>
      <w:isLgl/>
      <w:lvlText w:val="%1.%2.%3.%4.%5."/>
      <w:lvlJc w:val="left"/>
      <w:pPr>
        <w:tabs>
          <w:tab w:val="num" w:pos="1944"/>
        </w:tabs>
        <w:ind w:left="1944" w:hanging="1080"/>
      </w:pPr>
      <w:rPr>
        <w:rFonts w:hint="default"/>
      </w:rPr>
    </w:lvl>
    <w:lvl w:ilvl="5">
      <w:start w:val="1"/>
      <w:numFmt w:val="decimal"/>
      <w:isLgl/>
      <w:lvlText w:val="%1.%2.%3.%4.%5.%6."/>
      <w:lvlJc w:val="left"/>
      <w:pPr>
        <w:tabs>
          <w:tab w:val="num" w:pos="2232"/>
        </w:tabs>
        <w:ind w:left="2232"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68"/>
        </w:tabs>
        <w:ind w:left="3168"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39">
    <w:nsid w:val="6B1F5038"/>
    <w:multiLevelType w:val="hybridMultilevel"/>
    <w:tmpl w:val="5D0ACB8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C7E664B"/>
    <w:multiLevelType w:val="hybridMultilevel"/>
    <w:tmpl w:val="3FC86334"/>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FF00C80"/>
    <w:multiLevelType w:val="hybridMultilevel"/>
    <w:tmpl w:val="255ED94C"/>
    <w:lvl w:ilvl="0" w:tplc="583A2D9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1081FD3"/>
    <w:multiLevelType w:val="hybridMultilevel"/>
    <w:tmpl w:val="521204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1146D2A"/>
    <w:multiLevelType w:val="hybridMultilevel"/>
    <w:tmpl w:val="80E8CD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4657B8"/>
    <w:multiLevelType w:val="hybridMultilevel"/>
    <w:tmpl w:val="1138F9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432063D"/>
    <w:multiLevelType w:val="hybridMultilevel"/>
    <w:tmpl w:val="65AC0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E962FF"/>
    <w:multiLevelType w:val="hybridMultilevel"/>
    <w:tmpl w:val="390A9D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nsid w:val="7D4174E9"/>
    <w:multiLevelType w:val="hybridMultilevel"/>
    <w:tmpl w:val="C62C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33"/>
  </w:num>
  <w:num w:numId="4">
    <w:abstractNumId w:val="3"/>
  </w:num>
  <w:num w:numId="5">
    <w:abstractNumId w:val="2"/>
  </w:num>
  <w:num w:numId="6">
    <w:abstractNumId w:val="29"/>
  </w:num>
  <w:num w:numId="7">
    <w:abstractNumId w:val="41"/>
  </w:num>
  <w:num w:numId="8">
    <w:abstractNumId w:val="15"/>
  </w:num>
  <w:num w:numId="9">
    <w:abstractNumId w:val="46"/>
  </w:num>
  <w:num w:numId="10">
    <w:abstractNumId w:val="30"/>
  </w:num>
  <w:num w:numId="11">
    <w:abstractNumId w:val="20"/>
  </w:num>
  <w:num w:numId="12">
    <w:abstractNumId w:val="26"/>
  </w:num>
  <w:num w:numId="13">
    <w:abstractNumId w:val="6"/>
  </w:num>
  <w:num w:numId="14">
    <w:abstractNumId w:val="44"/>
  </w:num>
  <w:num w:numId="15">
    <w:abstractNumId w:val="27"/>
  </w:num>
  <w:num w:numId="16">
    <w:abstractNumId w:val="8"/>
  </w:num>
  <w:num w:numId="17">
    <w:abstractNumId w:val="9"/>
  </w:num>
  <w:num w:numId="18">
    <w:abstractNumId w:val="1"/>
  </w:num>
  <w:num w:numId="19">
    <w:abstractNumId w:val="34"/>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num>
  <w:num w:numId="24">
    <w:abstractNumId w:val="21"/>
  </w:num>
  <w:num w:numId="25">
    <w:abstractNumId w:val="24"/>
  </w:num>
  <w:num w:numId="26">
    <w:abstractNumId w:val="25"/>
  </w:num>
  <w:num w:numId="27">
    <w:abstractNumId w:val="40"/>
  </w:num>
  <w:num w:numId="28">
    <w:abstractNumId w:val="39"/>
  </w:num>
  <w:num w:numId="29">
    <w:abstractNumId w:val="36"/>
  </w:num>
  <w:num w:numId="30">
    <w:abstractNumId w:val="10"/>
  </w:num>
  <w:num w:numId="31">
    <w:abstractNumId w:val="13"/>
  </w:num>
  <w:num w:numId="32">
    <w:abstractNumId w:val="35"/>
  </w:num>
  <w:num w:numId="33">
    <w:abstractNumId w:val="22"/>
  </w:num>
  <w:num w:numId="34">
    <w:abstractNumId w:val="7"/>
  </w:num>
  <w:num w:numId="35">
    <w:abstractNumId w:val="1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1"/>
  </w:num>
  <w:num w:numId="39">
    <w:abstractNumId w:val="14"/>
  </w:num>
  <w:num w:numId="40">
    <w:abstractNumId w:val="42"/>
  </w:num>
  <w:num w:numId="41">
    <w:abstractNumId w:val="43"/>
  </w:num>
  <w:num w:numId="42">
    <w:abstractNumId w:val="37"/>
  </w:num>
  <w:num w:numId="43">
    <w:abstractNumId w:val="4"/>
  </w:num>
  <w:num w:numId="44">
    <w:abstractNumId w:val="47"/>
  </w:num>
  <w:num w:numId="45">
    <w:abstractNumId w:val="28"/>
  </w:num>
  <w:num w:numId="46">
    <w:abstractNumId w:val="11"/>
  </w:num>
  <w:num w:numId="47">
    <w:abstractNumId w:val="17"/>
  </w:num>
  <w:num w:numId="48">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FA"/>
    <w:rsid w:val="00003C3F"/>
    <w:rsid w:val="00004254"/>
    <w:rsid w:val="0000446F"/>
    <w:rsid w:val="000063E7"/>
    <w:rsid w:val="00006BF0"/>
    <w:rsid w:val="00020DFE"/>
    <w:rsid w:val="00023CB5"/>
    <w:rsid w:val="00023F5B"/>
    <w:rsid w:val="00024EC5"/>
    <w:rsid w:val="00027099"/>
    <w:rsid w:val="000273C3"/>
    <w:rsid w:val="00030065"/>
    <w:rsid w:val="00030B73"/>
    <w:rsid w:val="000314B1"/>
    <w:rsid w:val="0003288B"/>
    <w:rsid w:val="000342CA"/>
    <w:rsid w:val="00034F2B"/>
    <w:rsid w:val="00040EC2"/>
    <w:rsid w:val="0004225B"/>
    <w:rsid w:val="00045486"/>
    <w:rsid w:val="00047A17"/>
    <w:rsid w:val="000548C1"/>
    <w:rsid w:val="00056A3F"/>
    <w:rsid w:val="00056DFC"/>
    <w:rsid w:val="00064A19"/>
    <w:rsid w:val="00065B60"/>
    <w:rsid w:val="00076358"/>
    <w:rsid w:val="000769CB"/>
    <w:rsid w:val="00077FD2"/>
    <w:rsid w:val="000820AA"/>
    <w:rsid w:val="00082A42"/>
    <w:rsid w:val="000841C5"/>
    <w:rsid w:val="0008472B"/>
    <w:rsid w:val="00084DB3"/>
    <w:rsid w:val="00085A7F"/>
    <w:rsid w:val="00090CE4"/>
    <w:rsid w:val="000917B9"/>
    <w:rsid w:val="00095DC3"/>
    <w:rsid w:val="00096E3F"/>
    <w:rsid w:val="000A504D"/>
    <w:rsid w:val="000A6B2E"/>
    <w:rsid w:val="000A6F62"/>
    <w:rsid w:val="000B53AD"/>
    <w:rsid w:val="000C1686"/>
    <w:rsid w:val="000C219C"/>
    <w:rsid w:val="000C3472"/>
    <w:rsid w:val="000C40C7"/>
    <w:rsid w:val="000C5316"/>
    <w:rsid w:val="000C6041"/>
    <w:rsid w:val="000D4D4C"/>
    <w:rsid w:val="000D55FE"/>
    <w:rsid w:val="000D727F"/>
    <w:rsid w:val="000E1B13"/>
    <w:rsid w:val="000E4E40"/>
    <w:rsid w:val="000E50AE"/>
    <w:rsid w:val="000E7206"/>
    <w:rsid w:val="000F4F27"/>
    <w:rsid w:val="000F782F"/>
    <w:rsid w:val="000F7999"/>
    <w:rsid w:val="00100E58"/>
    <w:rsid w:val="00101D54"/>
    <w:rsid w:val="0010374C"/>
    <w:rsid w:val="00104810"/>
    <w:rsid w:val="001112ED"/>
    <w:rsid w:val="00113702"/>
    <w:rsid w:val="0011381A"/>
    <w:rsid w:val="001155FE"/>
    <w:rsid w:val="001212A4"/>
    <w:rsid w:val="00121D67"/>
    <w:rsid w:val="00124408"/>
    <w:rsid w:val="00131C2C"/>
    <w:rsid w:val="001327EC"/>
    <w:rsid w:val="00132824"/>
    <w:rsid w:val="00146D62"/>
    <w:rsid w:val="00153239"/>
    <w:rsid w:val="00154A5C"/>
    <w:rsid w:val="00162412"/>
    <w:rsid w:val="00162898"/>
    <w:rsid w:val="00166E5B"/>
    <w:rsid w:val="00166F87"/>
    <w:rsid w:val="001754B1"/>
    <w:rsid w:val="00182E45"/>
    <w:rsid w:val="00184143"/>
    <w:rsid w:val="00186CC4"/>
    <w:rsid w:val="00194AEB"/>
    <w:rsid w:val="001A2F1E"/>
    <w:rsid w:val="001A6285"/>
    <w:rsid w:val="001A7170"/>
    <w:rsid w:val="001B4C2B"/>
    <w:rsid w:val="001B4DC2"/>
    <w:rsid w:val="001B6C72"/>
    <w:rsid w:val="001B74A5"/>
    <w:rsid w:val="001C0CE1"/>
    <w:rsid w:val="001C1F64"/>
    <w:rsid w:val="001C283B"/>
    <w:rsid w:val="001C4479"/>
    <w:rsid w:val="001C5F18"/>
    <w:rsid w:val="001D0594"/>
    <w:rsid w:val="001D1606"/>
    <w:rsid w:val="001D4F29"/>
    <w:rsid w:val="001D550E"/>
    <w:rsid w:val="001E08A8"/>
    <w:rsid w:val="001E3048"/>
    <w:rsid w:val="001E343A"/>
    <w:rsid w:val="001F02A0"/>
    <w:rsid w:val="001F2C49"/>
    <w:rsid w:val="001F3C12"/>
    <w:rsid w:val="001F5843"/>
    <w:rsid w:val="001F5B92"/>
    <w:rsid w:val="001F6A9D"/>
    <w:rsid w:val="001F6B94"/>
    <w:rsid w:val="00200AB4"/>
    <w:rsid w:val="002015BD"/>
    <w:rsid w:val="00202B1F"/>
    <w:rsid w:val="00205CE2"/>
    <w:rsid w:val="00206429"/>
    <w:rsid w:val="00206CC4"/>
    <w:rsid w:val="002209EF"/>
    <w:rsid w:val="00224FF7"/>
    <w:rsid w:val="002255C3"/>
    <w:rsid w:val="0022667B"/>
    <w:rsid w:val="002278E6"/>
    <w:rsid w:val="00230C19"/>
    <w:rsid w:val="002319B5"/>
    <w:rsid w:val="00231BAB"/>
    <w:rsid w:val="002323A7"/>
    <w:rsid w:val="0023272F"/>
    <w:rsid w:val="0023332F"/>
    <w:rsid w:val="00245454"/>
    <w:rsid w:val="00245933"/>
    <w:rsid w:val="00245F24"/>
    <w:rsid w:val="00252E58"/>
    <w:rsid w:val="00253612"/>
    <w:rsid w:val="002573D0"/>
    <w:rsid w:val="00262395"/>
    <w:rsid w:val="00262CB8"/>
    <w:rsid w:val="00264DBC"/>
    <w:rsid w:val="002650BC"/>
    <w:rsid w:val="00270005"/>
    <w:rsid w:val="002704F4"/>
    <w:rsid w:val="00271BA2"/>
    <w:rsid w:val="0027396E"/>
    <w:rsid w:val="002746C1"/>
    <w:rsid w:val="00275E41"/>
    <w:rsid w:val="002765B8"/>
    <w:rsid w:val="00277DEB"/>
    <w:rsid w:val="00277E45"/>
    <w:rsid w:val="002863B3"/>
    <w:rsid w:val="00286B7A"/>
    <w:rsid w:val="00292B15"/>
    <w:rsid w:val="002955BB"/>
    <w:rsid w:val="00295E13"/>
    <w:rsid w:val="00297101"/>
    <w:rsid w:val="0029769C"/>
    <w:rsid w:val="002A50E7"/>
    <w:rsid w:val="002A6D97"/>
    <w:rsid w:val="002B18DE"/>
    <w:rsid w:val="002B3211"/>
    <w:rsid w:val="002B4EA6"/>
    <w:rsid w:val="002C2D9B"/>
    <w:rsid w:val="002C6259"/>
    <w:rsid w:val="002C687C"/>
    <w:rsid w:val="002C7AF3"/>
    <w:rsid w:val="002C7EF8"/>
    <w:rsid w:val="002D00BD"/>
    <w:rsid w:val="002D4368"/>
    <w:rsid w:val="002D53C2"/>
    <w:rsid w:val="002E1AEF"/>
    <w:rsid w:val="002E1C4F"/>
    <w:rsid w:val="002E27A6"/>
    <w:rsid w:val="002E2A22"/>
    <w:rsid w:val="002E2E34"/>
    <w:rsid w:val="002E31F6"/>
    <w:rsid w:val="002E3703"/>
    <w:rsid w:val="002E4222"/>
    <w:rsid w:val="002E4AD0"/>
    <w:rsid w:val="002E6E03"/>
    <w:rsid w:val="002F02A0"/>
    <w:rsid w:val="002F423D"/>
    <w:rsid w:val="002F74E1"/>
    <w:rsid w:val="002F7E7A"/>
    <w:rsid w:val="00303995"/>
    <w:rsid w:val="00303F9F"/>
    <w:rsid w:val="00304C03"/>
    <w:rsid w:val="00305B26"/>
    <w:rsid w:val="00306C5B"/>
    <w:rsid w:val="003070D2"/>
    <w:rsid w:val="00311099"/>
    <w:rsid w:val="003134E6"/>
    <w:rsid w:val="00315164"/>
    <w:rsid w:val="003157D3"/>
    <w:rsid w:val="0031685A"/>
    <w:rsid w:val="003275C7"/>
    <w:rsid w:val="00330ABA"/>
    <w:rsid w:val="00332B69"/>
    <w:rsid w:val="00333ECA"/>
    <w:rsid w:val="00334D17"/>
    <w:rsid w:val="0033693D"/>
    <w:rsid w:val="003456B5"/>
    <w:rsid w:val="00352536"/>
    <w:rsid w:val="00354874"/>
    <w:rsid w:val="00360CEB"/>
    <w:rsid w:val="00362609"/>
    <w:rsid w:val="00365566"/>
    <w:rsid w:val="00365B0B"/>
    <w:rsid w:val="00367E4F"/>
    <w:rsid w:val="00373554"/>
    <w:rsid w:val="00374E06"/>
    <w:rsid w:val="003751D6"/>
    <w:rsid w:val="0037683B"/>
    <w:rsid w:val="00381174"/>
    <w:rsid w:val="00384F67"/>
    <w:rsid w:val="003852DD"/>
    <w:rsid w:val="00386773"/>
    <w:rsid w:val="0039622A"/>
    <w:rsid w:val="003A29FE"/>
    <w:rsid w:val="003A2DF8"/>
    <w:rsid w:val="003A3618"/>
    <w:rsid w:val="003B0179"/>
    <w:rsid w:val="003B1CE6"/>
    <w:rsid w:val="003B375E"/>
    <w:rsid w:val="003C135B"/>
    <w:rsid w:val="003C23C5"/>
    <w:rsid w:val="003C2443"/>
    <w:rsid w:val="003C268C"/>
    <w:rsid w:val="003C3A40"/>
    <w:rsid w:val="003C5792"/>
    <w:rsid w:val="003C5F2C"/>
    <w:rsid w:val="003C683F"/>
    <w:rsid w:val="003C7865"/>
    <w:rsid w:val="003D1346"/>
    <w:rsid w:val="003D3895"/>
    <w:rsid w:val="003E1432"/>
    <w:rsid w:val="003E1F13"/>
    <w:rsid w:val="003E376C"/>
    <w:rsid w:val="003E5FA4"/>
    <w:rsid w:val="003E7588"/>
    <w:rsid w:val="003F24F0"/>
    <w:rsid w:val="003F29B4"/>
    <w:rsid w:val="003F2FF3"/>
    <w:rsid w:val="003F4E45"/>
    <w:rsid w:val="003F5643"/>
    <w:rsid w:val="003F7BEE"/>
    <w:rsid w:val="00403554"/>
    <w:rsid w:val="004062B9"/>
    <w:rsid w:val="004064D8"/>
    <w:rsid w:val="00413925"/>
    <w:rsid w:val="00417A2B"/>
    <w:rsid w:val="00430B5A"/>
    <w:rsid w:val="004312BE"/>
    <w:rsid w:val="00433401"/>
    <w:rsid w:val="00442253"/>
    <w:rsid w:val="004458C5"/>
    <w:rsid w:val="004464CF"/>
    <w:rsid w:val="00451194"/>
    <w:rsid w:val="004514A0"/>
    <w:rsid w:val="00453B4A"/>
    <w:rsid w:val="004572EF"/>
    <w:rsid w:val="004639AC"/>
    <w:rsid w:val="00466FCE"/>
    <w:rsid w:val="004754CE"/>
    <w:rsid w:val="00481048"/>
    <w:rsid w:val="00482B04"/>
    <w:rsid w:val="00491248"/>
    <w:rsid w:val="0049230C"/>
    <w:rsid w:val="00492A7C"/>
    <w:rsid w:val="00493763"/>
    <w:rsid w:val="00493A6D"/>
    <w:rsid w:val="00496A6F"/>
    <w:rsid w:val="004A0262"/>
    <w:rsid w:val="004B1488"/>
    <w:rsid w:val="004B234D"/>
    <w:rsid w:val="004B39BA"/>
    <w:rsid w:val="004B4807"/>
    <w:rsid w:val="004B730A"/>
    <w:rsid w:val="004C7AF8"/>
    <w:rsid w:val="004E0705"/>
    <w:rsid w:val="004E3623"/>
    <w:rsid w:val="004E44D3"/>
    <w:rsid w:val="004E507E"/>
    <w:rsid w:val="004E7664"/>
    <w:rsid w:val="004F0FB2"/>
    <w:rsid w:val="004F1DEF"/>
    <w:rsid w:val="004F2ACE"/>
    <w:rsid w:val="004F44EA"/>
    <w:rsid w:val="004F46FB"/>
    <w:rsid w:val="004F6804"/>
    <w:rsid w:val="004F7CF4"/>
    <w:rsid w:val="00500FA2"/>
    <w:rsid w:val="005025C7"/>
    <w:rsid w:val="00512B50"/>
    <w:rsid w:val="00512D3D"/>
    <w:rsid w:val="0051373C"/>
    <w:rsid w:val="00515433"/>
    <w:rsid w:val="00521EB4"/>
    <w:rsid w:val="00522F71"/>
    <w:rsid w:val="00523238"/>
    <w:rsid w:val="00523D34"/>
    <w:rsid w:val="00530FE7"/>
    <w:rsid w:val="00531105"/>
    <w:rsid w:val="00532E40"/>
    <w:rsid w:val="00535C07"/>
    <w:rsid w:val="00536716"/>
    <w:rsid w:val="00537170"/>
    <w:rsid w:val="00540B3C"/>
    <w:rsid w:val="005425CE"/>
    <w:rsid w:val="00547753"/>
    <w:rsid w:val="00551D63"/>
    <w:rsid w:val="00552579"/>
    <w:rsid w:val="0055657E"/>
    <w:rsid w:val="0056201B"/>
    <w:rsid w:val="00562D23"/>
    <w:rsid w:val="0056484D"/>
    <w:rsid w:val="00573072"/>
    <w:rsid w:val="00576448"/>
    <w:rsid w:val="00577119"/>
    <w:rsid w:val="00581D0E"/>
    <w:rsid w:val="00582895"/>
    <w:rsid w:val="00587D5E"/>
    <w:rsid w:val="005A1A76"/>
    <w:rsid w:val="005A271F"/>
    <w:rsid w:val="005A4DCC"/>
    <w:rsid w:val="005A57D8"/>
    <w:rsid w:val="005B1881"/>
    <w:rsid w:val="005B21BD"/>
    <w:rsid w:val="005B2BFE"/>
    <w:rsid w:val="005B4F9D"/>
    <w:rsid w:val="005B617C"/>
    <w:rsid w:val="005C022E"/>
    <w:rsid w:val="005C198E"/>
    <w:rsid w:val="005C2C44"/>
    <w:rsid w:val="005D0A92"/>
    <w:rsid w:val="005D1ABE"/>
    <w:rsid w:val="005D3D89"/>
    <w:rsid w:val="005D5BF8"/>
    <w:rsid w:val="005E0873"/>
    <w:rsid w:val="005E0C00"/>
    <w:rsid w:val="005E6046"/>
    <w:rsid w:val="005F14A6"/>
    <w:rsid w:val="005F47EA"/>
    <w:rsid w:val="005F7220"/>
    <w:rsid w:val="005F7662"/>
    <w:rsid w:val="005F7A37"/>
    <w:rsid w:val="00602241"/>
    <w:rsid w:val="006051B3"/>
    <w:rsid w:val="006112B7"/>
    <w:rsid w:val="006129E9"/>
    <w:rsid w:val="00613260"/>
    <w:rsid w:val="00614E0A"/>
    <w:rsid w:val="006168E5"/>
    <w:rsid w:val="006171B3"/>
    <w:rsid w:val="0061747F"/>
    <w:rsid w:val="006222B0"/>
    <w:rsid w:val="0062529A"/>
    <w:rsid w:val="00625B6D"/>
    <w:rsid w:val="00633AA1"/>
    <w:rsid w:val="0063484B"/>
    <w:rsid w:val="00635ACB"/>
    <w:rsid w:val="00636DB1"/>
    <w:rsid w:val="006376FC"/>
    <w:rsid w:val="006425ED"/>
    <w:rsid w:val="00650BDB"/>
    <w:rsid w:val="006536BC"/>
    <w:rsid w:val="0065475D"/>
    <w:rsid w:val="006547B2"/>
    <w:rsid w:val="00660F33"/>
    <w:rsid w:val="0066428A"/>
    <w:rsid w:val="006659C6"/>
    <w:rsid w:val="00665B94"/>
    <w:rsid w:val="006672E0"/>
    <w:rsid w:val="006721B0"/>
    <w:rsid w:val="006725A4"/>
    <w:rsid w:val="006732A6"/>
    <w:rsid w:val="00673DE2"/>
    <w:rsid w:val="006761CA"/>
    <w:rsid w:val="00677AC5"/>
    <w:rsid w:val="00680FCB"/>
    <w:rsid w:val="00681B4C"/>
    <w:rsid w:val="00681D74"/>
    <w:rsid w:val="00684D21"/>
    <w:rsid w:val="006862E2"/>
    <w:rsid w:val="00686706"/>
    <w:rsid w:val="006876C6"/>
    <w:rsid w:val="00691647"/>
    <w:rsid w:val="00692CD8"/>
    <w:rsid w:val="00693DBA"/>
    <w:rsid w:val="0069750B"/>
    <w:rsid w:val="0069767A"/>
    <w:rsid w:val="006A0814"/>
    <w:rsid w:val="006A1368"/>
    <w:rsid w:val="006A6D3E"/>
    <w:rsid w:val="006A7305"/>
    <w:rsid w:val="006B46D2"/>
    <w:rsid w:val="006B6B48"/>
    <w:rsid w:val="006C290E"/>
    <w:rsid w:val="006C2DD4"/>
    <w:rsid w:val="006C3DF6"/>
    <w:rsid w:val="006C5BC5"/>
    <w:rsid w:val="006C7957"/>
    <w:rsid w:val="006C7DD5"/>
    <w:rsid w:val="006D439F"/>
    <w:rsid w:val="006E0358"/>
    <w:rsid w:val="006E212D"/>
    <w:rsid w:val="006E22CB"/>
    <w:rsid w:val="006F032F"/>
    <w:rsid w:val="006F50F2"/>
    <w:rsid w:val="006F5332"/>
    <w:rsid w:val="006F6CE0"/>
    <w:rsid w:val="00700041"/>
    <w:rsid w:val="00700513"/>
    <w:rsid w:val="0070261F"/>
    <w:rsid w:val="00704B5D"/>
    <w:rsid w:val="00714230"/>
    <w:rsid w:val="00717CEA"/>
    <w:rsid w:val="00720E13"/>
    <w:rsid w:val="00723ADE"/>
    <w:rsid w:val="00734833"/>
    <w:rsid w:val="0073648C"/>
    <w:rsid w:val="00740E02"/>
    <w:rsid w:val="00741C5B"/>
    <w:rsid w:val="00745198"/>
    <w:rsid w:val="00751A7B"/>
    <w:rsid w:val="00752A87"/>
    <w:rsid w:val="00757C2D"/>
    <w:rsid w:val="007619FC"/>
    <w:rsid w:val="00761FBF"/>
    <w:rsid w:val="007636D6"/>
    <w:rsid w:val="00765CF4"/>
    <w:rsid w:val="00765DA1"/>
    <w:rsid w:val="00777D46"/>
    <w:rsid w:val="0078084E"/>
    <w:rsid w:val="00781DCC"/>
    <w:rsid w:val="0078252E"/>
    <w:rsid w:val="0078298D"/>
    <w:rsid w:val="00786804"/>
    <w:rsid w:val="007963E4"/>
    <w:rsid w:val="007964A1"/>
    <w:rsid w:val="007969D9"/>
    <w:rsid w:val="00796B05"/>
    <w:rsid w:val="007A0195"/>
    <w:rsid w:val="007A0637"/>
    <w:rsid w:val="007A0F59"/>
    <w:rsid w:val="007A13AF"/>
    <w:rsid w:val="007A2CCD"/>
    <w:rsid w:val="007A35C4"/>
    <w:rsid w:val="007A3868"/>
    <w:rsid w:val="007A42C4"/>
    <w:rsid w:val="007A7077"/>
    <w:rsid w:val="007B1243"/>
    <w:rsid w:val="007C0464"/>
    <w:rsid w:val="007C0CD1"/>
    <w:rsid w:val="007C3BD3"/>
    <w:rsid w:val="007C5859"/>
    <w:rsid w:val="007D27B5"/>
    <w:rsid w:val="007D2DA0"/>
    <w:rsid w:val="007E2650"/>
    <w:rsid w:val="007F2C45"/>
    <w:rsid w:val="007F4400"/>
    <w:rsid w:val="007F4860"/>
    <w:rsid w:val="007F4BAE"/>
    <w:rsid w:val="00801661"/>
    <w:rsid w:val="00802CD9"/>
    <w:rsid w:val="0080612D"/>
    <w:rsid w:val="008072D3"/>
    <w:rsid w:val="00810929"/>
    <w:rsid w:val="00810E3D"/>
    <w:rsid w:val="0081225A"/>
    <w:rsid w:val="00816CA2"/>
    <w:rsid w:val="00820B5D"/>
    <w:rsid w:val="0082184C"/>
    <w:rsid w:val="008226D6"/>
    <w:rsid w:val="008273A3"/>
    <w:rsid w:val="00827BA3"/>
    <w:rsid w:val="00830B3F"/>
    <w:rsid w:val="008326B1"/>
    <w:rsid w:val="00834D82"/>
    <w:rsid w:val="00834FB1"/>
    <w:rsid w:val="00836367"/>
    <w:rsid w:val="00837322"/>
    <w:rsid w:val="00845E56"/>
    <w:rsid w:val="00847400"/>
    <w:rsid w:val="00851F52"/>
    <w:rsid w:val="008578CD"/>
    <w:rsid w:val="008636B5"/>
    <w:rsid w:val="0086392B"/>
    <w:rsid w:val="00872D6D"/>
    <w:rsid w:val="00873023"/>
    <w:rsid w:val="00873B6E"/>
    <w:rsid w:val="008740E1"/>
    <w:rsid w:val="008748AA"/>
    <w:rsid w:val="0087519D"/>
    <w:rsid w:val="00880B8E"/>
    <w:rsid w:val="00881F51"/>
    <w:rsid w:val="00892E4A"/>
    <w:rsid w:val="00893F41"/>
    <w:rsid w:val="00894E94"/>
    <w:rsid w:val="00895F1B"/>
    <w:rsid w:val="008A2A01"/>
    <w:rsid w:val="008A5251"/>
    <w:rsid w:val="008A73B4"/>
    <w:rsid w:val="008A7A3F"/>
    <w:rsid w:val="008B27EC"/>
    <w:rsid w:val="008B3DCA"/>
    <w:rsid w:val="008B5E08"/>
    <w:rsid w:val="008B7876"/>
    <w:rsid w:val="008C2456"/>
    <w:rsid w:val="008C28E1"/>
    <w:rsid w:val="008C40E3"/>
    <w:rsid w:val="008C4341"/>
    <w:rsid w:val="008C5F4B"/>
    <w:rsid w:val="008C6BE4"/>
    <w:rsid w:val="008D1021"/>
    <w:rsid w:val="008D42BD"/>
    <w:rsid w:val="008D4F83"/>
    <w:rsid w:val="008D5643"/>
    <w:rsid w:val="008E1616"/>
    <w:rsid w:val="008E307E"/>
    <w:rsid w:val="008E723C"/>
    <w:rsid w:val="008F06C5"/>
    <w:rsid w:val="008F1C3B"/>
    <w:rsid w:val="008F432E"/>
    <w:rsid w:val="008F7413"/>
    <w:rsid w:val="00900611"/>
    <w:rsid w:val="00902BAB"/>
    <w:rsid w:val="00907662"/>
    <w:rsid w:val="00911EEC"/>
    <w:rsid w:val="00913FA1"/>
    <w:rsid w:val="00915414"/>
    <w:rsid w:val="00916FE2"/>
    <w:rsid w:val="00924189"/>
    <w:rsid w:val="00931907"/>
    <w:rsid w:val="00931928"/>
    <w:rsid w:val="0093520C"/>
    <w:rsid w:val="00942084"/>
    <w:rsid w:val="00945E4E"/>
    <w:rsid w:val="00947278"/>
    <w:rsid w:val="009473C4"/>
    <w:rsid w:val="00963A36"/>
    <w:rsid w:val="00965DB8"/>
    <w:rsid w:val="00966DB8"/>
    <w:rsid w:val="0097041B"/>
    <w:rsid w:val="009705F0"/>
    <w:rsid w:val="00972760"/>
    <w:rsid w:val="00972FD6"/>
    <w:rsid w:val="0097436E"/>
    <w:rsid w:val="00980A33"/>
    <w:rsid w:val="009933F1"/>
    <w:rsid w:val="00994A39"/>
    <w:rsid w:val="009A3CD6"/>
    <w:rsid w:val="009A799C"/>
    <w:rsid w:val="009B4ECB"/>
    <w:rsid w:val="009B5D87"/>
    <w:rsid w:val="009B5DDE"/>
    <w:rsid w:val="009C0729"/>
    <w:rsid w:val="009C1E6D"/>
    <w:rsid w:val="009C1FA3"/>
    <w:rsid w:val="009C2E30"/>
    <w:rsid w:val="009C42FA"/>
    <w:rsid w:val="009C4DD3"/>
    <w:rsid w:val="009C587E"/>
    <w:rsid w:val="009C60D9"/>
    <w:rsid w:val="009C6EAE"/>
    <w:rsid w:val="009D693E"/>
    <w:rsid w:val="009E1214"/>
    <w:rsid w:val="009E39E0"/>
    <w:rsid w:val="009E48F3"/>
    <w:rsid w:val="009E67F8"/>
    <w:rsid w:val="009F348B"/>
    <w:rsid w:val="009F6483"/>
    <w:rsid w:val="00A0046D"/>
    <w:rsid w:val="00A022BE"/>
    <w:rsid w:val="00A02A9F"/>
    <w:rsid w:val="00A05153"/>
    <w:rsid w:val="00A05206"/>
    <w:rsid w:val="00A06989"/>
    <w:rsid w:val="00A13F65"/>
    <w:rsid w:val="00A13F75"/>
    <w:rsid w:val="00A20030"/>
    <w:rsid w:val="00A220F9"/>
    <w:rsid w:val="00A2392E"/>
    <w:rsid w:val="00A25A6C"/>
    <w:rsid w:val="00A268F2"/>
    <w:rsid w:val="00A27FAD"/>
    <w:rsid w:val="00A34876"/>
    <w:rsid w:val="00A40CDD"/>
    <w:rsid w:val="00A4206D"/>
    <w:rsid w:val="00A44FB3"/>
    <w:rsid w:val="00A52EB8"/>
    <w:rsid w:val="00A53385"/>
    <w:rsid w:val="00A536E5"/>
    <w:rsid w:val="00A53D1E"/>
    <w:rsid w:val="00A558A3"/>
    <w:rsid w:val="00A6033B"/>
    <w:rsid w:val="00A613C9"/>
    <w:rsid w:val="00A625D6"/>
    <w:rsid w:val="00A63EFE"/>
    <w:rsid w:val="00A66F52"/>
    <w:rsid w:val="00A716D0"/>
    <w:rsid w:val="00A71A1F"/>
    <w:rsid w:val="00A74997"/>
    <w:rsid w:val="00A77012"/>
    <w:rsid w:val="00A81B2F"/>
    <w:rsid w:val="00A81C39"/>
    <w:rsid w:val="00A840C4"/>
    <w:rsid w:val="00A84290"/>
    <w:rsid w:val="00A85B26"/>
    <w:rsid w:val="00A8627B"/>
    <w:rsid w:val="00A90972"/>
    <w:rsid w:val="00A94A11"/>
    <w:rsid w:val="00A94E04"/>
    <w:rsid w:val="00AA258F"/>
    <w:rsid w:val="00AA2664"/>
    <w:rsid w:val="00AA339B"/>
    <w:rsid w:val="00AA6FAF"/>
    <w:rsid w:val="00AA767F"/>
    <w:rsid w:val="00AB1310"/>
    <w:rsid w:val="00AB2187"/>
    <w:rsid w:val="00AB6984"/>
    <w:rsid w:val="00AB71FA"/>
    <w:rsid w:val="00AC0698"/>
    <w:rsid w:val="00AC075C"/>
    <w:rsid w:val="00AC1C2B"/>
    <w:rsid w:val="00AC2475"/>
    <w:rsid w:val="00AC295B"/>
    <w:rsid w:val="00AC7572"/>
    <w:rsid w:val="00AD0D8F"/>
    <w:rsid w:val="00AD2461"/>
    <w:rsid w:val="00AD440C"/>
    <w:rsid w:val="00AD711B"/>
    <w:rsid w:val="00AE210C"/>
    <w:rsid w:val="00AE4763"/>
    <w:rsid w:val="00AE4AE2"/>
    <w:rsid w:val="00AE669A"/>
    <w:rsid w:val="00AF26F6"/>
    <w:rsid w:val="00AF4567"/>
    <w:rsid w:val="00AF79D5"/>
    <w:rsid w:val="00B009A7"/>
    <w:rsid w:val="00B0309B"/>
    <w:rsid w:val="00B04DAA"/>
    <w:rsid w:val="00B04E6A"/>
    <w:rsid w:val="00B11734"/>
    <w:rsid w:val="00B12CB1"/>
    <w:rsid w:val="00B16428"/>
    <w:rsid w:val="00B174C3"/>
    <w:rsid w:val="00B20665"/>
    <w:rsid w:val="00B22577"/>
    <w:rsid w:val="00B24513"/>
    <w:rsid w:val="00B249BE"/>
    <w:rsid w:val="00B25882"/>
    <w:rsid w:val="00B31EC2"/>
    <w:rsid w:val="00B34672"/>
    <w:rsid w:val="00B35AA5"/>
    <w:rsid w:val="00B365AF"/>
    <w:rsid w:val="00B4080B"/>
    <w:rsid w:val="00B40AB6"/>
    <w:rsid w:val="00B412DF"/>
    <w:rsid w:val="00B43DE5"/>
    <w:rsid w:val="00B45BD0"/>
    <w:rsid w:val="00B4697E"/>
    <w:rsid w:val="00B477A4"/>
    <w:rsid w:val="00B514C6"/>
    <w:rsid w:val="00B541D9"/>
    <w:rsid w:val="00B54A0E"/>
    <w:rsid w:val="00B578AE"/>
    <w:rsid w:val="00B57A59"/>
    <w:rsid w:val="00B60984"/>
    <w:rsid w:val="00B60BE8"/>
    <w:rsid w:val="00B640B1"/>
    <w:rsid w:val="00B67C74"/>
    <w:rsid w:val="00B72201"/>
    <w:rsid w:val="00B72F00"/>
    <w:rsid w:val="00B73CE1"/>
    <w:rsid w:val="00B83DBB"/>
    <w:rsid w:val="00B85E8E"/>
    <w:rsid w:val="00B86CE4"/>
    <w:rsid w:val="00B93F61"/>
    <w:rsid w:val="00BA3119"/>
    <w:rsid w:val="00BA3FFF"/>
    <w:rsid w:val="00BA45F2"/>
    <w:rsid w:val="00BA651E"/>
    <w:rsid w:val="00BA784D"/>
    <w:rsid w:val="00BB3EA2"/>
    <w:rsid w:val="00BB7D50"/>
    <w:rsid w:val="00BC2EB9"/>
    <w:rsid w:val="00BC4646"/>
    <w:rsid w:val="00BC58B5"/>
    <w:rsid w:val="00BC6271"/>
    <w:rsid w:val="00BC6388"/>
    <w:rsid w:val="00BC7BB8"/>
    <w:rsid w:val="00BD48CB"/>
    <w:rsid w:val="00BD5971"/>
    <w:rsid w:val="00BD7FBA"/>
    <w:rsid w:val="00BE419F"/>
    <w:rsid w:val="00BE6F59"/>
    <w:rsid w:val="00BE77E2"/>
    <w:rsid w:val="00BE7C25"/>
    <w:rsid w:val="00BF0C78"/>
    <w:rsid w:val="00C00BD1"/>
    <w:rsid w:val="00C040F0"/>
    <w:rsid w:val="00C0581F"/>
    <w:rsid w:val="00C0590B"/>
    <w:rsid w:val="00C05A68"/>
    <w:rsid w:val="00C06A65"/>
    <w:rsid w:val="00C13915"/>
    <w:rsid w:val="00C15984"/>
    <w:rsid w:val="00C15B5F"/>
    <w:rsid w:val="00C15CE6"/>
    <w:rsid w:val="00C17525"/>
    <w:rsid w:val="00C177E2"/>
    <w:rsid w:val="00C22115"/>
    <w:rsid w:val="00C2265A"/>
    <w:rsid w:val="00C2735C"/>
    <w:rsid w:val="00C30EDF"/>
    <w:rsid w:val="00C314E9"/>
    <w:rsid w:val="00C32523"/>
    <w:rsid w:val="00C32529"/>
    <w:rsid w:val="00C32A43"/>
    <w:rsid w:val="00C347CF"/>
    <w:rsid w:val="00C355A3"/>
    <w:rsid w:val="00C358C2"/>
    <w:rsid w:val="00C370E6"/>
    <w:rsid w:val="00C3769E"/>
    <w:rsid w:val="00C4310C"/>
    <w:rsid w:val="00C5000B"/>
    <w:rsid w:val="00C5040D"/>
    <w:rsid w:val="00C509FF"/>
    <w:rsid w:val="00C5132D"/>
    <w:rsid w:val="00C53157"/>
    <w:rsid w:val="00C6146E"/>
    <w:rsid w:val="00C639F0"/>
    <w:rsid w:val="00C6521E"/>
    <w:rsid w:val="00C6568F"/>
    <w:rsid w:val="00C6642E"/>
    <w:rsid w:val="00C67535"/>
    <w:rsid w:val="00C67C55"/>
    <w:rsid w:val="00C67E4B"/>
    <w:rsid w:val="00C7548F"/>
    <w:rsid w:val="00C8320E"/>
    <w:rsid w:val="00C83615"/>
    <w:rsid w:val="00C8792D"/>
    <w:rsid w:val="00C9089F"/>
    <w:rsid w:val="00C92996"/>
    <w:rsid w:val="00CA04F5"/>
    <w:rsid w:val="00CA0930"/>
    <w:rsid w:val="00CA1C2C"/>
    <w:rsid w:val="00CA4096"/>
    <w:rsid w:val="00CA56E0"/>
    <w:rsid w:val="00CB0DEE"/>
    <w:rsid w:val="00CB2BA8"/>
    <w:rsid w:val="00CB3CC3"/>
    <w:rsid w:val="00CB4E35"/>
    <w:rsid w:val="00CB525A"/>
    <w:rsid w:val="00CB6638"/>
    <w:rsid w:val="00CC06CD"/>
    <w:rsid w:val="00CC38DA"/>
    <w:rsid w:val="00CC57D8"/>
    <w:rsid w:val="00CD10AB"/>
    <w:rsid w:val="00CD135A"/>
    <w:rsid w:val="00CD2E47"/>
    <w:rsid w:val="00CD4174"/>
    <w:rsid w:val="00CD5053"/>
    <w:rsid w:val="00CD51BC"/>
    <w:rsid w:val="00CD7D5A"/>
    <w:rsid w:val="00CD7E34"/>
    <w:rsid w:val="00CE2819"/>
    <w:rsid w:val="00CE3E6A"/>
    <w:rsid w:val="00CE3EAB"/>
    <w:rsid w:val="00CE7F7E"/>
    <w:rsid w:val="00CF01A7"/>
    <w:rsid w:val="00CF3F39"/>
    <w:rsid w:val="00D01221"/>
    <w:rsid w:val="00D013F0"/>
    <w:rsid w:val="00D0157D"/>
    <w:rsid w:val="00D040B0"/>
    <w:rsid w:val="00D05A7F"/>
    <w:rsid w:val="00D06FF1"/>
    <w:rsid w:val="00D07B4C"/>
    <w:rsid w:val="00D1369B"/>
    <w:rsid w:val="00D15BE7"/>
    <w:rsid w:val="00D2154B"/>
    <w:rsid w:val="00D23AEC"/>
    <w:rsid w:val="00D23CCD"/>
    <w:rsid w:val="00D25413"/>
    <w:rsid w:val="00D254A8"/>
    <w:rsid w:val="00D30307"/>
    <w:rsid w:val="00D3495F"/>
    <w:rsid w:val="00D360B4"/>
    <w:rsid w:val="00D466D9"/>
    <w:rsid w:val="00D4700E"/>
    <w:rsid w:val="00D47020"/>
    <w:rsid w:val="00D50B3F"/>
    <w:rsid w:val="00D50C3E"/>
    <w:rsid w:val="00D517BF"/>
    <w:rsid w:val="00D55D09"/>
    <w:rsid w:val="00D5751B"/>
    <w:rsid w:val="00D6426F"/>
    <w:rsid w:val="00D65824"/>
    <w:rsid w:val="00D65AAE"/>
    <w:rsid w:val="00D67AF4"/>
    <w:rsid w:val="00D75C77"/>
    <w:rsid w:val="00D81069"/>
    <w:rsid w:val="00D81C60"/>
    <w:rsid w:val="00D82357"/>
    <w:rsid w:val="00D82B6A"/>
    <w:rsid w:val="00D8370E"/>
    <w:rsid w:val="00D83F5B"/>
    <w:rsid w:val="00D93B96"/>
    <w:rsid w:val="00D94242"/>
    <w:rsid w:val="00D94916"/>
    <w:rsid w:val="00D9593E"/>
    <w:rsid w:val="00D95D9F"/>
    <w:rsid w:val="00DA2A9B"/>
    <w:rsid w:val="00DA6EBC"/>
    <w:rsid w:val="00DB1D81"/>
    <w:rsid w:val="00DB1DA6"/>
    <w:rsid w:val="00DB22D9"/>
    <w:rsid w:val="00DB2FDE"/>
    <w:rsid w:val="00DB705D"/>
    <w:rsid w:val="00DC0182"/>
    <w:rsid w:val="00DC698C"/>
    <w:rsid w:val="00DC7BD6"/>
    <w:rsid w:val="00DD2E6F"/>
    <w:rsid w:val="00DD6C47"/>
    <w:rsid w:val="00DD750C"/>
    <w:rsid w:val="00DD75DF"/>
    <w:rsid w:val="00DE0797"/>
    <w:rsid w:val="00DE0B60"/>
    <w:rsid w:val="00DE220F"/>
    <w:rsid w:val="00DE2289"/>
    <w:rsid w:val="00DE522A"/>
    <w:rsid w:val="00DE70D4"/>
    <w:rsid w:val="00DE7D6E"/>
    <w:rsid w:val="00DF07B3"/>
    <w:rsid w:val="00DF2DDD"/>
    <w:rsid w:val="00DF2F63"/>
    <w:rsid w:val="00DF485C"/>
    <w:rsid w:val="00DF54F6"/>
    <w:rsid w:val="00E03027"/>
    <w:rsid w:val="00E03242"/>
    <w:rsid w:val="00E03EC2"/>
    <w:rsid w:val="00E053A5"/>
    <w:rsid w:val="00E06C18"/>
    <w:rsid w:val="00E06FA3"/>
    <w:rsid w:val="00E114E4"/>
    <w:rsid w:val="00E12D15"/>
    <w:rsid w:val="00E16461"/>
    <w:rsid w:val="00E20329"/>
    <w:rsid w:val="00E26CC7"/>
    <w:rsid w:val="00E326B0"/>
    <w:rsid w:val="00E32868"/>
    <w:rsid w:val="00E37986"/>
    <w:rsid w:val="00E4180D"/>
    <w:rsid w:val="00E523B7"/>
    <w:rsid w:val="00E5587B"/>
    <w:rsid w:val="00E559C8"/>
    <w:rsid w:val="00E57726"/>
    <w:rsid w:val="00E65282"/>
    <w:rsid w:val="00E6712D"/>
    <w:rsid w:val="00E67882"/>
    <w:rsid w:val="00E71DE4"/>
    <w:rsid w:val="00E727D7"/>
    <w:rsid w:val="00E73841"/>
    <w:rsid w:val="00E74B57"/>
    <w:rsid w:val="00E8132D"/>
    <w:rsid w:val="00E90510"/>
    <w:rsid w:val="00E912E4"/>
    <w:rsid w:val="00E916CC"/>
    <w:rsid w:val="00E9361B"/>
    <w:rsid w:val="00E94E9B"/>
    <w:rsid w:val="00E9618F"/>
    <w:rsid w:val="00EA1501"/>
    <w:rsid w:val="00EB0E69"/>
    <w:rsid w:val="00EB648A"/>
    <w:rsid w:val="00EB7496"/>
    <w:rsid w:val="00EC01E8"/>
    <w:rsid w:val="00EC050B"/>
    <w:rsid w:val="00EC09DE"/>
    <w:rsid w:val="00EC31B1"/>
    <w:rsid w:val="00ED181A"/>
    <w:rsid w:val="00ED4040"/>
    <w:rsid w:val="00ED7C1E"/>
    <w:rsid w:val="00EE0A94"/>
    <w:rsid w:val="00EE3216"/>
    <w:rsid w:val="00EE640C"/>
    <w:rsid w:val="00EF6A3C"/>
    <w:rsid w:val="00F046D7"/>
    <w:rsid w:val="00F13025"/>
    <w:rsid w:val="00F2147F"/>
    <w:rsid w:val="00F25DCA"/>
    <w:rsid w:val="00F25EEE"/>
    <w:rsid w:val="00F2793B"/>
    <w:rsid w:val="00F27DA5"/>
    <w:rsid w:val="00F3052E"/>
    <w:rsid w:val="00F31F54"/>
    <w:rsid w:val="00F34484"/>
    <w:rsid w:val="00F355CB"/>
    <w:rsid w:val="00F36F42"/>
    <w:rsid w:val="00F3735A"/>
    <w:rsid w:val="00F37C9E"/>
    <w:rsid w:val="00F43A07"/>
    <w:rsid w:val="00F4767B"/>
    <w:rsid w:val="00F50AE5"/>
    <w:rsid w:val="00F537BC"/>
    <w:rsid w:val="00F5589D"/>
    <w:rsid w:val="00F55F03"/>
    <w:rsid w:val="00F57400"/>
    <w:rsid w:val="00F64C7C"/>
    <w:rsid w:val="00F65A73"/>
    <w:rsid w:val="00F725AA"/>
    <w:rsid w:val="00F73ABF"/>
    <w:rsid w:val="00F74E1A"/>
    <w:rsid w:val="00F7509F"/>
    <w:rsid w:val="00F827C8"/>
    <w:rsid w:val="00F836F7"/>
    <w:rsid w:val="00F86ABF"/>
    <w:rsid w:val="00F8717E"/>
    <w:rsid w:val="00F8748F"/>
    <w:rsid w:val="00F91AFC"/>
    <w:rsid w:val="00F948D3"/>
    <w:rsid w:val="00FA65B8"/>
    <w:rsid w:val="00FA7FAA"/>
    <w:rsid w:val="00FB2CD9"/>
    <w:rsid w:val="00FB4BA0"/>
    <w:rsid w:val="00FB5AC7"/>
    <w:rsid w:val="00FB65C9"/>
    <w:rsid w:val="00FB7C36"/>
    <w:rsid w:val="00FC0B13"/>
    <w:rsid w:val="00FC145E"/>
    <w:rsid w:val="00FC1C85"/>
    <w:rsid w:val="00FC3E43"/>
    <w:rsid w:val="00FC6D57"/>
    <w:rsid w:val="00FD0A32"/>
    <w:rsid w:val="00FD37FD"/>
    <w:rsid w:val="00FD3F6D"/>
    <w:rsid w:val="00FD46D9"/>
    <w:rsid w:val="00FD588F"/>
    <w:rsid w:val="00FD59B1"/>
    <w:rsid w:val="00FD6362"/>
    <w:rsid w:val="00FD79AA"/>
    <w:rsid w:val="00FE0746"/>
    <w:rsid w:val="00FE0E75"/>
    <w:rsid w:val="00FE33FC"/>
    <w:rsid w:val="00FE6D40"/>
    <w:rsid w:val="00FF0E16"/>
    <w:rsid w:val="00FF2F8B"/>
    <w:rsid w:val="00FF4C79"/>
    <w:rsid w:val="00FF6ACB"/>
    <w:rsid w:val="00FF6B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9D9"/>
    <w:pPr>
      <w:autoSpaceDE w:val="0"/>
      <w:autoSpaceDN w:val="0"/>
      <w:adjustRightInd w:val="0"/>
      <w:spacing w:after="240"/>
    </w:pPr>
    <w:rPr>
      <w:rFonts w:ascii="Calibri" w:hAnsi="Calibri" w:cs="ACaslon-Regular"/>
      <w:color w:val="000000"/>
      <w:sz w:val="24"/>
      <w:szCs w:val="24"/>
    </w:rPr>
  </w:style>
  <w:style w:type="paragraph" w:styleId="Heading1">
    <w:name w:val="heading 1"/>
    <w:basedOn w:val="Normal"/>
    <w:next w:val="Normal"/>
    <w:link w:val="Heading1Char"/>
    <w:qFormat/>
    <w:rsid w:val="0062529A"/>
    <w:pPr>
      <w:keepNext/>
      <w:spacing w:before="600"/>
      <w:ind w:left="-360" w:right="-547"/>
      <w:outlineLvl w:val="0"/>
    </w:pPr>
    <w:rPr>
      <w:rFonts w:ascii="Arial" w:eastAsia="Calibri" w:hAnsi="Arial" w:cs="Times New Roman"/>
      <w:b/>
      <w:color w:val="auto"/>
      <w:sz w:val="32"/>
    </w:rPr>
  </w:style>
  <w:style w:type="paragraph" w:styleId="Heading2">
    <w:name w:val="heading 2"/>
    <w:basedOn w:val="Normal"/>
    <w:next w:val="Normal"/>
    <w:qFormat/>
    <w:rsid w:val="006C7DD5"/>
    <w:pPr>
      <w:keepNext/>
      <w:spacing w:before="360"/>
      <w:outlineLvl w:val="1"/>
    </w:pPr>
    <w:rPr>
      <w:b/>
      <w:sz w:val="28"/>
    </w:rPr>
  </w:style>
  <w:style w:type="paragraph" w:styleId="Heading3">
    <w:name w:val="heading 3"/>
    <w:basedOn w:val="Normal"/>
    <w:next w:val="Normal"/>
    <w:qFormat/>
    <w:rsid w:val="008C5F4B"/>
    <w:pPr>
      <w:keepNext/>
      <w:ind w:left="1008" w:hanging="1008"/>
      <w:jc w:val="both"/>
      <w:outlineLvl w:val="2"/>
    </w:pPr>
    <w:rPr>
      <w:rFonts w:ascii="Arial" w:hAnsi="Arial"/>
      <w:sz w:val="22"/>
      <w:u w:val="words"/>
    </w:rPr>
  </w:style>
  <w:style w:type="paragraph" w:styleId="Heading4">
    <w:name w:val="heading 4"/>
    <w:basedOn w:val="Heading3"/>
    <w:next w:val="Normal"/>
    <w:qFormat/>
    <w:rsid w:val="00CD51BC"/>
    <w:pPr>
      <w:jc w:val="left"/>
      <w:outlineLvl w:val="3"/>
    </w:pPr>
    <w:rPr>
      <w:sz w:val="20"/>
    </w:rPr>
  </w:style>
  <w:style w:type="paragraph" w:styleId="Heading5">
    <w:name w:val="heading 5"/>
    <w:basedOn w:val="Normal"/>
    <w:next w:val="Normal"/>
    <w:qFormat/>
    <w:rsid w:val="00CD51BC"/>
    <w:pPr>
      <w:keepNext/>
      <w:tabs>
        <w:tab w:val="right" w:leader="dot" w:pos="7200"/>
      </w:tabs>
      <w:spacing w:before="60" w:after="60"/>
      <w:ind w:left="720" w:hanging="720"/>
      <w:outlineLvl w:val="4"/>
    </w:pPr>
    <w:rPr>
      <w:b/>
      <w:sz w:val="22"/>
    </w:rPr>
  </w:style>
  <w:style w:type="paragraph" w:styleId="Heading6">
    <w:name w:val="heading 6"/>
    <w:basedOn w:val="Normal"/>
    <w:next w:val="Normal"/>
    <w:qFormat/>
    <w:rsid w:val="00CD51BC"/>
    <w:pPr>
      <w:keepNext/>
      <w:outlineLvl w:val="5"/>
    </w:pPr>
    <w:rPr>
      <w:b/>
      <w:bCs/>
      <w:sz w:val="20"/>
      <w:szCs w:val="20"/>
    </w:rPr>
  </w:style>
  <w:style w:type="paragraph" w:styleId="Heading7">
    <w:name w:val="heading 7"/>
    <w:basedOn w:val="Normal"/>
    <w:next w:val="Normal"/>
    <w:qFormat/>
    <w:rsid w:val="00CD51BC"/>
    <w:pPr>
      <w:keepNext/>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51BC"/>
    <w:pPr>
      <w:spacing w:line="280" w:lineRule="atLeast"/>
    </w:pPr>
    <w:rPr>
      <w:rFonts w:ascii="Arial" w:hAnsi="Arial"/>
      <w:sz w:val="20"/>
    </w:rPr>
  </w:style>
  <w:style w:type="paragraph" w:styleId="Header">
    <w:name w:val="header"/>
    <w:basedOn w:val="Normal"/>
    <w:rsid w:val="00270005"/>
    <w:pPr>
      <w:tabs>
        <w:tab w:val="center" w:pos="4153"/>
        <w:tab w:val="right" w:pos="8306"/>
      </w:tabs>
    </w:pPr>
  </w:style>
  <w:style w:type="character" w:styleId="PageNumber">
    <w:name w:val="page number"/>
    <w:rsid w:val="00CD51BC"/>
    <w:rPr>
      <w:rFonts w:ascii="Arial" w:hAnsi="Arial"/>
      <w:sz w:val="18"/>
    </w:rPr>
  </w:style>
  <w:style w:type="paragraph" w:styleId="Title">
    <w:name w:val="Title"/>
    <w:basedOn w:val="Normal"/>
    <w:qFormat/>
    <w:rsid w:val="00CD51BC"/>
    <w:rPr>
      <w:b/>
      <w:sz w:val="48"/>
    </w:rPr>
  </w:style>
  <w:style w:type="paragraph" w:customStyle="1" w:styleId="bulletpoints">
    <w:name w:val="bullet points"/>
    <w:basedOn w:val="BodyText"/>
    <w:rsid w:val="00CD51BC"/>
    <w:pPr>
      <w:numPr>
        <w:numId w:val="1"/>
      </w:numPr>
      <w:spacing w:before="120"/>
    </w:pPr>
  </w:style>
  <w:style w:type="paragraph" w:customStyle="1" w:styleId="Tableheading">
    <w:name w:val="Table heading"/>
    <w:basedOn w:val="Heading2"/>
    <w:rsid w:val="00CD51BC"/>
    <w:pPr>
      <w:numPr>
        <w:numId w:val="3"/>
      </w:numPr>
      <w:tabs>
        <w:tab w:val="clear" w:pos="360"/>
      </w:tabs>
      <w:ind w:hanging="1080"/>
    </w:pPr>
    <w:rPr>
      <w:sz w:val="22"/>
    </w:rPr>
  </w:style>
  <w:style w:type="paragraph" w:customStyle="1" w:styleId="contentsbody">
    <w:name w:val="contents body"/>
    <w:basedOn w:val="BodyText"/>
    <w:rsid w:val="00CD51BC"/>
    <w:pPr>
      <w:tabs>
        <w:tab w:val="right" w:leader="dot" w:pos="7200"/>
      </w:tabs>
      <w:spacing w:after="0"/>
      <w:ind w:left="720" w:hanging="720"/>
    </w:pPr>
  </w:style>
  <w:style w:type="paragraph" w:customStyle="1" w:styleId="contentsminor">
    <w:name w:val="contents minor"/>
    <w:basedOn w:val="contentsbody"/>
    <w:rsid w:val="00CD51BC"/>
    <w:pPr>
      <w:ind w:left="1440"/>
    </w:pPr>
    <w:rPr>
      <w:i/>
    </w:rPr>
  </w:style>
  <w:style w:type="paragraph" w:customStyle="1" w:styleId="tablebody">
    <w:name w:val="table body"/>
    <w:basedOn w:val="BodyText"/>
    <w:rsid w:val="00CD51BC"/>
    <w:pPr>
      <w:spacing w:before="120" w:after="120"/>
    </w:pPr>
  </w:style>
  <w:style w:type="paragraph" w:customStyle="1" w:styleId="Bullets">
    <w:name w:val="Bullets"/>
    <w:basedOn w:val="Normal"/>
    <w:autoRedefine/>
    <w:rsid w:val="00493A6D"/>
    <w:pPr>
      <w:widowControl w:val="0"/>
      <w:spacing w:after="120"/>
      <w:ind w:left="360"/>
      <w:jc w:val="both"/>
    </w:pPr>
  </w:style>
  <w:style w:type="paragraph" w:styleId="ListParagraph">
    <w:name w:val="List Paragraph"/>
    <w:basedOn w:val="Normal"/>
    <w:qFormat/>
    <w:rsid w:val="00537170"/>
    <w:pPr>
      <w:spacing w:after="200"/>
      <w:ind w:left="720"/>
      <w:contextualSpacing/>
    </w:pPr>
    <w:rPr>
      <w:rFonts w:ascii="Cambria" w:eastAsia="Cambria" w:hAnsi="Cambria"/>
    </w:rPr>
  </w:style>
  <w:style w:type="paragraph" w:customStyle="1" w:styleId="Default">
    <w:name w:val="Default"/>
    <w:rsid w:val="00573072"/>
    <w:pPr>
      <w:autoSpaceDE w:val="0"/>
      <w:autoSpaceDN w:val="0"/>
      <w:adjustRightInd w:val="0"/>
    </w:pPr>
    <w:rPr>
      <w:rFonts w:ascii="Arial" w:hAnsi="Arial" w:cs="Arial"/>
      <w:color w:val="000000"/>
      <w:sz w:val="24"/>
      <w:szCs w:val="24"/>
      <w:lang w:val="en-GB" w:eastAsia="en-GB"/>
    </w:rPr>
  </w:style>
  <w:style w:type="paragraph" w:customStyle="1" w:styleId="Char">
    <w:name w:val="Char"/>
    <w:basedOn w:val="Normal"/>
    <w:rsid w:val="00D67AF4"/>
    <w:pPr>
      <w:spacing w:after="160" w:line="240" w:lineRule="exact"/>
    </w:pPr>
    <w:rPr>
      <w:rFonts w:ascii="Verdana" w:hAnsi="Verdana"/>
    </w:rPr>
  </w:style>
  <w:style w:type="character" w:customStyle="1" w:styleId="Heading1Char">
    <w:name w:val="Heading 1 Char"/>
    <w:link w:val="Heading1"/>
    <w:locked/>
    <w:rsid w:val="0062529A"/>
    <w:rPr>
      <w:rFonts w:ascii="Arial" w:eastAsia="Calibri" w:hAnsi="Arial"/>
      <w:b/>
      <w:sz w:val="32"/>
      <w:szCs w:val="24"/>
    </w:rPr>
  </w:style>
  <w:style w:type="character" w:customStyle="1" w:styleId="yiv550243633812400612-01062011">
    <w:name w:val="yiv550243633812400612-01062011"/>
    <w:basedOn w:val="DefaultParagraphFont"/>
    <w:rsid w:val="008578CD"/>
  </w:style>
  <w:style w:type="paragraph" w:customStyle="1" w:styleId="Text">
    <w:name w:val="Text"/>
    <w:basedOn w:val="Normal"/>
    <w:rsid w:val="00521EB4"/>
    <w:pPr>
      <w:spacing w:before="240" w:after="0" w:line="252" w:lineRule="auto"/>
      <w:jc w:val="both"/>
    </w:pPr>
    <w:rPr>
      <w:rFonts w:ascii="Times New Roman" w:hAnsi="Times New Roman" w:cs="Times New Roman"/>
      <w:sz w:val="22"/>
      <w:szCs w:val="20"/>
    </w:rPr>
  </w:style>
  <w:style w:type="paragraph" w:customStyle="1" w:styleId="report">
    <w:name w:val="report"/>
    <w:basedOn w:val="Normal"/>
    <w:rsid w:val="00752A87"/>
    <w:pPr>
      <w:spacing w:after="0" w:line="360" w:lineRule="auto"/>
    </w:pPr>
    <w:rPr>
      <w:rFonts w:ascii="Arial" w:hAnsi="Arial" w:cs="Arial"/>
      <w:sz w:val="20"/>
    </w:rPr>
  </w:style>
  <w:style w:type="paragraph" w:styleId="NoSpacing">
    <w:name w:val="No Spacing"/>
    <w:uiPriority w:val="1"/>
    <w:qFormat/>
    <w:rsid w:val="005D5BF8"/>
    <w:rPr>
      <w:rFonts w:ascii="Calibri" w:hAnsi="Calibri"/>
      <w:sz w:val="22"/>
      <w:szCs w:val="22"/>
    </w:rPr>
  </w:style>
  <w:style w:type="paragraph" w:styleId="Subtitle">
    <w:name w:val="Subtitle"/>
    <w:basedOn w:val="Normal"/>
    <w:link w:val="SubtitleChar"/>
    <w:qFormat/>
    <w:rsid w:val="005D5BF8"/>
    <w:pPr>
      <w:spacing w:after="0"/>
      <w:jc w:val="center"/>
    </w:pPr>
    <w:rPr>
      <w:rFonts w:ascii="Times New Roman" w:hAnsi="Times New Roman" w:cs="Times New Roman"/>
      <w:b/>
      <w:color w:val="auto"/>
      <w:sz w:val="28"/>
      <w:szCs w:val="20"/>
      <w:u w:val="single"/>
      <w:lang w:val="en-GB" w:eastAsia="en-GB"/>
    </w:rPr>
  </w:style>
  <w:style w:type="character" w:customStyle="1" w:styleId="SubtitleChar">
    <w:name w:val="Subtitle Char"/>
    <w:link w:val="Subtitle"/>
    <w:rsid w:val="005D5BF8"/>
    <w:rPr>
      <w:b/>
      <w:sz w:val="28"/>
      <w:u w:val="single"/>
      <w:lang w:val="en-GB" w:eastAsia="en-GB"/>
    </w:rPr>
  </w:style>
  <w:style w:type="paragraph" w:styleId="FootnoteText">
    <w:name w:val="footnote text"/>
    <w:basedOn w:val="Normal"/>
    <w:link w:val="FootnoteTextChar"/>
    <w:uiPriority w:val="99"/>
    <w:unhideWhenUsed/>
    <w:rsid w:val="005D5BF8"/>
    <w:pPr>
      <w:spacing w:after="0"/>
    </w:pPr>
    <w:rPr>
      <w:rFonts w:cs="Times New Roman"/>
      <w:color w:val="auto"/>
      <w:sz w:val="20"/>
      <w:szCs w:val="20"/>
    </w:rPr>
  </w:style>
  <w:style w:type="character" w:customStyle="1" w:styleId="FootnoteTextChar">
    <w:name w:val="Footnote Text Char"/>
    <w:link w:val="FootnoteText"/>
    <w:uiPriority w:val="99"/>
    <w:rsid w:val="005D5BF8"/>
    <w:rPr>
      <w:rFonts w:ascii="Calibri" w:hAnsi="Calibri"/>
    </w:rPr>
  </w:style>
  <w:style w:type="character" w:styleId="FootnoteReference">
    <w:name w:val="footnote reference"/>
    <w:uiPriority w:val="99"/>
    <w:unhideWhenUsed/>
    <w:rsid w:val="005D5BF8"/>
    <w:rPr>
      <w:vertAlign w:val="superscript"/>
    </w:rPr>
  </w:style>
  <w:style w:type="character" w:styleId="Hyperlink">
    <w:name w:val="Hyperlink"/>
    <w:uiPriority w:val="99"/>
    <w:unhideWhenUsed/>
    <w:rsid w:val="009B5D87"/>
    <w:rPr>
      <w:color w:val="0000FF"/>
      <w:u w:val="single"/>
    </w:rPr>
  </w:style>
  <w:style w:type="table" w:styleId="TableGrid">
    <w:name w:val="Table Grid"/>
    <w:basedOn w:val="TableNormal"/>
    <w:rsid w:val="00E90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66F87"/>
    <w:rPr>
      <w:sz w:val="16"/>
      <w:szCs w:val="16"/>
    </w:rPr>
  </w:style>
  <w:style w:type="paragraph" w:styleId="CommentText">
    <w:name w:val="annotation text"/>
    <w:basedOn w:val="Normal"/>
    <w:link w:val="CommentTextChar"/>
    <w:uiPriority w:val="99"/>
    <w:rsid w:val="00166F87"/>
    <w:rPr>
      <w:rFonts w:ascii="NewsGothicBT-Roman" w:hAnsi="NewsGothicBT-Roman" w:cs="Times New Roman"/>
      <w:color w:val="auto"/>
      <w:sz w:val="20"/>
      <w:szCs w:val="20"/>
    </w:rPr>
  </w:style>
  <w:style w:type="character" w:customStyle="1" w:styleId="CommentTextChar">
    <w:name w:val="Comment Text Char"/>
    <w:link w:val="CommentText"/>
    <w:uiPriority w:val="99"/>
    <w:rsid w:val="00166F87"/>
    <w:rPr>
      <w:rFonts w:ascii="NewsGothicBT-Roman" w:hAnsi="NewsGothicBT-Roman" w:cs="NewsGothicBT-Roman"/>
    </w:rPr>
  </w:style>
  <w:style w:type="paragraph" w:styleId="CommentSubject">
    <w:name w:val="annotation subject"/>
    <w:basedOn w:val="CommentText"/>
    <w:next w:val="CommentText"/>
    <w:link w:val="CommentSubjectChar"/>
    <w:rsid w:val="00166F87"/>
    <w:rPr>
      <w:b/>
      <w:bCs/>
    </w:rPr>
  </w:style>
  <w:style w:type="character" w:customStyle="1" w:styleId="CommentSubjectChar">
    <w:name w:val="Comment Subject Char"/>
    <w:link w:val="CommentSubject"/>
    <w:rsid w:val="00166F87"/>
    <w:rPr>
      <w:rFonts w:ascii="NewsGothicBT-Roman" w:hAnsi="NewsGothicBT-Roman" w:cs="NewsGothicBT-Roman"/>
      <w:b/>
      <w:bCs/>
    </w:rPr>
  </w:style>
  <w:style w:type="paragraph" w:styleId="Revision">
    <w:name w:val="Revision"/>
    <w:hidden/>
    <w:uiPriority w:val="99"/>
    <w:semiHidden/>
    <w:rsid w:val="00166F87"/>
    <w:rPr>
      <w:rFonts w:ascii="NewsGothicBT-Roman" w:hAnsi="NewsGothicBT-Roman" w:cs="NewsGothicBT-Roman"/>
      <w:sz w:val="24"/>
      <w:szCs w:val="24"/>
    </w:rPr>
  </w:style>
  <w:style w:type="paragraph" w:styleId="BalloonText">
    <w:name w:val="Balloon Text"/>
    <w:basedOn w:val="Normal"/>
    <w:link w:val="BalloonTextChar"/>
    <w:rsid w:val="00166F87"/>
    <w:pPr>
      <w:spacing w:after="0"/>
    </w:pPr>
    <w:rPr>
      <w:rFonts w:ascii="Tahoma" w:hAnsi="Tahoma" w:cs="Times New Roman"/>
      <w:color w:val="auto"/>
      <w:sz w:val="16"/>
      <w:szCs w:val="16"/>
    </w:rPr>
  </w:style>
  <w:style w:type="character" w:customStyle="1" w:styleId="BalloonTextChar">
    <w:name w:val="Balloon Text Char"/>
    <w:link w:val="BalloonText"/>
    <w:rsid w:val="00166F87"/>
    <w:rPr>
      <w:rFonts w:ascii="Tahoma" w:hAnsi="Tahoma" w:cs="Tahoma"/>
      <w:sz w:val="16"/>
      <w:szCs w:val="16"/>
    </w:rPr>
  </w:style>
  <w:style w:type="paragraph" w:styleId="TOCHeading">
    <w:name w:val="TOC Heading"/>
    <w:basedOn w:val="Heading1"/>
    <w:next w:val="Normal"/>
    <w:uiPriority w:val="39"/>
    <w:semiHidden/>
    <w:unhideWhenUsed/>
    <w:qFormat/>
    <w:rsid w:val="000C3472"/>
    <w:pPr>
      <w:keepLines/>
      <w:spacing w:before="480" w:after="0" w:line="276" w:lineRule="auto"/>
      <w:ind w:left="0" w:right="0"/>
      <w:outlineLvl w:val="9"/>
    </w:pPr>
    <w:rPr>
      <w:rFonts w:ascii="Cambria" w:eastAsia="MS Gothic" w:hAnsi="Cambria"/>
      <w:bCs/>
      <w:color w:val="365F91"/>
      <w:szCs w:val="28"/>
      <w:lang w:eastAsia="ja-JP"/>
    </w:rPr>
  </w:style>
  <w:style w:type="paragraph" w:styleId="TOC1">
    <w:name w:val="toc 1"/>
    <w:basedOn w:val="Normal"/>
    <w:next w:val="Normal"/>
    <w:autoRedefine/>
    <w:uiPriority w:val="39"/>
    <w:qFormat/>
    <w:rsid w:val="006C7DD5"/>
    <w:pPr>
      <w:spacing w:before="120" w:after="120"/>
    </w:pPr>
    <w:rPr>
      <w:b/>
      <w:bCs/>
      <w:caps/>
      <w:sz w:val="20"/>
      <w:szCs w:val="20"/>
    </w:rPr>
  </w:style>
  <w:style w:type="paragraph" w:styleId="TOC2">
    <w:name w:val="toc 2"/>
    <w:basedOn w:val="Normal"/>
    <w:next w:val="Normal"/>
    <w:autoRedefine/>
    <w:uiPriority w:val="39"/>
    <w:qFormat/>
    <w:rsid w:val="00104810"/>
    <w:pPr>
      <w:spacing w:after="0"/>
      <w:ind w:left="240"/>
    </w:pPr>
    <w:rPr>
      <w:smallCaps/>
      <w:sz w:val="20"/>
      <w:szCs w:val="20"/>
    </w:rPr>
  </w:style>
  <w:style w:type="paragraph" w:styleId="TOC3">
    <w:name w:val="toc 3"/>
    <w:basedOn w:val="Normal"/>
    <w:next w:val="Normal"/>
    <w:autoRedefine/>
    <w:uiPriority w:val="39"/>
    <w:qFormat/>
    <w:rsid w:val="000C3472"/>
    <w:pPr>
      <w:spacing w:after="0"/>
      <w:ind w:left="480"/>
    </w:pPr>
    <w:rPr>
      <w:i/>
      <w:iCs/>
      <w:sz w:val="20"/>
      <w:szCs w:val="20"/>
    </w:rPr>
  </w:style>
  <w:style w:type="character" w:customStyle="1" w:styleId="apple-converted-space">
    <w:name w:val="apple-converted-space"/>
    <w:basedOn w:val="DefaultParagraphFont"/>
    <w:rsid w:val="002B4EA6"/>
  </w:style>
  <w:style w:type="paragraph" w:styleId="NormalWeb">
    <w:name w:val="Normal (Web)"/>
    <w:basedOn w:val="Normal"/>
    <w:uiPriority w:val="99"/>
    <w:unhideWhenUsed/>
    <w:rsid w:val="002B4EA6"/>
    <w:pPr>
      <w:spacing w:before="100" w:beforeAutospacing="1" w:after="100" w:afterAutospacing="1"/>
    </w:pPr>
    <w:rPr>
      <w:rFonts w:ascii="Times New Roman" w:hAnsi="Times New Roman" w:cs="Times New Roman"/>
    </w:rPr>
  </w:style>
  <w:style w:type="character" w:customStyle="1" w:styleId="apple-style-span">
    <w:name w:val="apple-style-span"/>
    <w:basedOn w:val="DefaultParagraphFont"/>
    <w:rsid w:val="00333ECA"/>
  </w:style>
  <w:style w:type="character" w:styleId="Emphasis">
    <w:name w:val="Emphasis"/>
    <w:uiPriority w:val="20"/>
    <w:qFormat/>
    <w:rsid w:val="00333ECA"/>
    <w:rPr>
      <w:i/>
      <w:iCs/>
    </w:rPr>
  </w:style>
  <w:style w:type="paragraph" w:styleId="TOC4">
    <w:name w:val="toc 4"/>
    <w:basedOn w:val="Normal"/>
    <w:next w:val="Normal"/>
    <w:autoRedefine/>
    <w:rsid w:val="006C7DD5"/>
    <w:pPr>
      <w:spacing w:after="0"/>
      <w:ind w:left="720"/>
    </w:pPr>
    <w:rPr>
      <w:sz w:val="18"/>
      <w:szCs w:val="18"/>
    </w:rPr>
  </w:style>
  <w:style w:type="paragraph" w:styleId="TOC5">
    <w:name w:val="toc 5"/>
    <w:basedOn w:val="Normal"/>
    <w:next w:val="Normal"/>
    <w:autoRedefine/>
    <w:rsid w:val="006C7DD5"/>
    <w:pPr>
      <w:spacing w:after="0"/>
      <w:ind w:left="960"/>
    </w:pPr>
    <w:rPr>
      <w:sz w:val="18"/>
      <w:szCs w:val="18"/>
    </w:rPr>
  </w:style>
  <w:style w:type="paragraph" w:styleId="TOC6">
    <w:name w:val="toc 6"/>
    <w:basedOn w:val="Normal"/>
    <w:next w:val="Normal"/>
    <w:autoRedefine/>
    <w:rsid w:val="006C7DD5"/>
    <w:pPr>
      <w:spacing w:after="0"/>
      <w:ind w:left="1200"/>
    </w:pPr>
    <w:rPr>
      <w:sz w:val="18"/>
      <w:szCs w:val="18"/>
    </w:rPr>
  </w:style>
  <w:style w:type="paragraph" w:styleId="TOC7">
    <w:name w:val="toc 7"/>
    <w:basedOn w:val="Normal"/>
    <w:next w:val="Normal"/>
    <w:autoRedefine/>
    <w:rsid w:val="006C7DD5"/>
    <w:pPr>
      <w:spacing w:after="0"/>
      <w:ind w:left="1440"/>
    </w:pPr>
    <w:rPr>
      <w:sz w:val="18"/>
      <w:szCs w:val="18"/>
    </w:rPr>
  </w:style>
  <w:style w:type="paragraph" w:styleId="TOC8">
    <w:name w:val="toc 8"/>
    <w:basedOn w:val="Normal"/>
    <w:next w:val="Normal"/>
    <w:autoRedefine/>
    <w:rsid w:val="006C7DD5"/>
    <w:pPr>
      <w:spacing w:after="0"/>
      <w:ind w:left="1680"/>
    </w:pPr>
    <w:rPr>
      <w:sz w:val="18"/>
      <w:szCs w:val="18"/>
    </w:rPr>
  </w:style>
  <w:style w:type="paragraph" w:styleId="TOC9">
    <w:name w:val="toc 9"/>
    <w:basedOn w:val="Normal"/>
    <w:next w:val="Normal"/>
    <w:autoRedefine/>
    <w:rsid w:val="006C7DD5"/>
    <w:pPr>
      <w:spacing w:after="0"/>
      <w:ind w:left="1920"/>
    </w:pPr>
    <w:rPr>
      <w:sz w:val="18"/>
      <w:szCs w:val="18"/>
    </w:rPr>
  </w:style>
  <w:style w:type="paragraph" w:customStyle="1" w:styleId="Vanligtekst">
    <w:name w:val="Vanlig tekst"/>
    <w:basedOn w:val="Normal"/>
    <w:rsid w:val="001212A4"/>
    <w:pPr>
      <w:autoSpaceDE/>
      <w:autoSpaceDN/>
      <w:adjustRightInd/>
      <w:spacing w:after="160"/>
    </w:pPr>
    <w:rPr>
      <w:rFonts w:ascii="Times New Roman" w:hAnsi="Times New Roman" w:cs="Times New Roman"/>
      <w:color w:val="auto"/>
      <w:szCs w:val="20"/>
      <w:lang w:val="en-GB"/>
    </w:rPr>
  </w:style>
  <w:style w:type="character" w:customStyle="1" w:styleId="citation">
    <w:name w:val="citation"/>
    <w:basedOn w:val="DefaultParagraphFont"/>
    <w:rsid w:val="001212A4"/>
  </w:style>
  <w:style w:type="character" w:styleId="Strong">
    <w:name w:val="Strong"/>
    <w:basedOn w:val="DefaultParagraphFont"/>
    <w:uiPriority w:val="22"/>
    <w:qFormat/>
    <w:rsid w:val="00481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9D9"/>
    <w:pPr>
      <w:autoSpaceDE w:val="0"/>
      <w:autoSpaceDN w:val="0"/>
      <w:adjustRightInd w:val="0"/>
      <w:spacing w:after="240"/>
    </w:pPr>
    <w:rPr>
      <w:rFonts w:ascii="Calibri" w:hAnsi="Calibri" w:cs="ACaslon-Regular"/>
      <w:color w:val="000000"/>
      <w:sz w:val="24"/>
      <w:szCs w:val="24"/>
    </w:rPr>
  </w:style>
  <w:style w:type="paragraph" w:styleId="Heading1">
    <w:name w:val="heading 1"/>
    <w:basedOn w:val="Normal"/>
    <w:next w:val="Normal"/>
    <w:link w:val="Heading1Char"/>
    <w:qFormat/>
    <w:rsid w:val="0062529A"/>
    <w:pPr>
      <w:keepNext/>
      <w:spacing w:before="600"/>
      <w:ind w:left="-360" w:right="-547"/>
      <w:outlineLvl w:val="0"/>
    </w:pPr>
    <w:rPr>
      <w:rFonts w:ascii="Arial" w:eastAsia="Calibri" w:hAnsi="Arial" w:cs="Times New Roman"/>
      <w:b/>
      <w:color w:val="auto"/>
      <w:sz w:val="32"/>
    </w:rPr>
  </w:style>
  <w:style w:type="paragraph" w:styleId="Heading2">
    <w:name w:val="heading 2"/>
    <w:basedOn w:val="Normal"/>
    <w:next w:val="Normal"/>
    <w:qFormat/>
    <w:rsid w:val="006C7DD5"/>
    <w:pPr>
      <w:keepNext/>
      <w:spacing w:before="360"/>
      <w:outlineLvl w:val="1"/>
    </w:pPr>
    <w:rPr>
      <w:b/>
      <w:sz w:val="28"/>
    </w:rPr>
  </w:style>
  <w:style w:type="paragraph" w:styleId="Heading3">
    <w:name w:val="heading 3"/>
    <w:basedOn w:val="Normal"/>
    <w:next w:val="Normal"/>
    <w:qFormat/>
    <w:rsid w:val="008C5F4B"/>
    <w:pPr>
      <w:keepNext/>
      <w:ind w:left="1008" w:hanging="1008"/>
      <w:jc w:val="both"/>
      <w:outlineLvl w:val="2"/>
    </w:pPr>
    <w:rPr>
      <w:rFonts w:ascii="Arial" w:hAnsi="Arial"/>
      <w:sz w:val="22"/>
      <w:u w:val="words"/>
    </w:rPr>
  </w:style>
  <w:style w:type="paragraph" w:styleId="Heading4">
    <w:name w:val="heading 4"/>
    <w:basedOn w:val="Heading3"/>
    <w:next w:val="Normal"/>
    <w:qFormat/>
    <w:rsid w:val="00CD51BC"/>
    <w:pPr>
      <w:jc w:val="left"/>
      <w:outlineLvl w:val="3"/>
    </w:pPr>
    <w:rPr>
      <w:sz w:val="20"/>
    </w:rPr>
  </w:style>
  <w:style w:type="paragraph" w:styleId="Heading5">
    <w:name w:val="heading 5"/>
    <w:basedOn w:val="Normal"/>
    <w:next w:val="Normal"/>
    <w:qFormat/>
    <w:rsid w:val="00CD51BC"/>
    <w:pPr>
      <w:keepNext/>
      <w:tabs>
        <w:tab w:val="right" w:leader="dot" w:pos="7200"/>
      </w:tabs>
      <w:spacing w:before="60" w:after="60"/>
      <w:ind w:left="720" w:hanging="720"/>
      <w:outlineLvl w:val="4"/>
    </w:pPr>
    <w:rPr>
      <w:b/>
      <w:sz w:val="22"/>
    </w:rPr>
  </w:style>
  <w:style w:type="paragraph" w:styleId="Heading6">
    <w:name w:val="heading 6"/>
    <w:basedOn w:val="Normal"/>
    <w:next w:val="Normal"/>
    <w:qFormat/>
    <w:rsid w:val="00CD51BC"/>
    <w:pPr>
      <w:keepNext/>
      <w:outlineLvl w:val="5"/>
    </w:pPr>
    <w:rPr>
      <w:b/>
      <w:bCs/>
      <w:sz w:val="20"/>
      <w:szCs w:val="20"/>
    </w:rPr>
  </w:style>
  <w:style w:type="paragraph" w:styleId="Heading7">
    <w:name w:val="heading 7"/>
    <w:basedOn w:val="Normal"/>
    <w:next w:val="Normal"/>
    <w:qFormat/>
    <w:rsid w:val="00CD51BC"/>
    <w:pPr>
      <w:keepNext/>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51BC"/>
    <w:pPr>
      <w:spacing w:line="280" w:lineRule="atLeast"/>
    </w:pPr>
    <w:rPr>
      <w:rFonts w:ascii="Arial" w:hAnsi="Arial"/>
      <w:sz w:val="20"/>
    </w:rPr>
  </w:style>
  <w:style w:type="paragraph" w:styleId="Header">
    <w:name w:val="header"/>
    <w:basedOn w:val="Normal"/>
    <w:rsid w:val="00270005"/>
    <w:pPr>
      <w:tabs>
        <w:tab w:val="center" w:pos="4153"/>
        <w:tab w:val="right" w:pos="8306"/>
      </w:tabs>
    </w:pPr>
  </w:style>
  <w:style w:type="character" w:styleId="PageNumber">
    <w:name w:val="page number"/>
    <w:rsid w:val="00CD51BC"/>
    <w:rPr>
      <w:rFonts w:ascii="Arial" w:hAnsi="Arial"/>
      <w:sz w:val="18"/>
    </w:rPr>
  </w:style>
  <w:style w:type="paragraph" w:styleId="Title">
    <w:name w:val="Title"/>
    <w:basedOn w:val="Normal"/>
    <w:qFormat/>
    <w:rsid w:val="00CD51BC"/>
    <w:rPr>
      <w:b/>
      <w:sz w:val="48"/>
    </w:rPr>
  </w:style>
  <w:style w:type="paragraph" w:customStyle="1" w:styleId="bulletpoints">
    <w:name w:val="bullet points"/>
    <w:basedOn w:val="BodyText"/>
    <w:rsid w:val="00CD51BC"/>
    <w:pPr>
      <w:numPr>
        <w:numId w:val="1"/>
      </w:numPr>
      <w:spacing w:before="120"/>
    </w:pPr>
  </w:style>
  <w:style w:type="paragraph" w:customStyle="1" w:styleId="Tableheading">
    <w:name w:val="Table heading"/>
    <w:basedOn w:val="Heading2"/>
    <w:rsid w:val="00CD51BC"/>
    <w:pPr>
      <w:numPr>
        <w:numId w:val="3"/>
      </w:numPr>
      <w:tabs>
        <w:tab w:val="clear" w:pos="360"/>
      </w:tabs>
      <w:ind w:hanging="1080"/>
    </w:pPr>
    <w:rPr>
      <w:sz w:val="22"/>
    </w:rPr>
  </w:style>
  <w:style w:type="paragraph" w:customStyle="1" w:styleId="contentsbody">
    <w:name w:val="contents body"/>
    <w:basedOn w:val="BodyText"/>
    <w:rsid w:val="00CD51BC"/>
    <w:pPr>
      <w:tabs>
        <w:tab w:val="right" w:leader="dot" w:pos="7200"/>
      </w:tabs>
      <w:spacing w:after="0"/>
      <w:ind w:left="720" w:hanging="720"/>
    </w:pPr>
  </w:style>
  <w:style w:type="paragraph" w:customStyle="1" w:styleId="contentsminor">
    <w:name w:val="contents minor"/>
    <w:basedOn w:val="contentsbody"/>
    <w:rsid w:val="00CD51BC"/>
    <w:pPr>
      <w:ind w:left="1440"/>
    </w:pPr>
    <w:rPr>
      <w:i/>
    </w:rPr>
  </w:style>
  <w:style w:type="paragraph" w:customStyle="1" w:styleId="tablebody">
    <w:name w:val="table body"/>
    <w:basedOn w:val="BodyText"/>
    <w:rsid w:val="00CD51BC"/>
    <w:pPr>
      <w:spacing w:before="120" w:after="120"/>
    </w:pPr>
  </w:style>
  <w:style w:type="paragraph" w:customStyle="1" w:styleId="Bullets">
    <w:name w:val="Bullets"/>
    <w:basedOn w:val="Normal"/>
    <w:autoRedefine/>
    <w:rsid w:val="00493A6D"/>
    <w:pPr>
      <w:widowControl w:val="0"/>
      <w:spacing w:after="120"/>
      <w:ind w:left="360"/>
      <w:jc w:val="both"/>
    </w:pPr>
  </w:style>
  <w:style w:type="paragraph" w:styleId="ListParagraph">
    <w:name w:val="List Paragraph"/>
    <w:basedOn w:val="Normal"/>
    <w:qFormat/>
    <w:rsid w:val="00537170"/>
    <w:pPr>
      <w:spacing w:after="200"/>
      <w:ind w:left="720"/>
      <w:contextualSpacing/>
    </w:pPr>
    <w:rPr>
      <w:rFonts w:ascii="Cambria" w:eastAsia="Cambria" w:hAnsi="Cambria"/>
    </w:rPr>
  </w:style>
  <w:style w:type="paragraph" w:customStyle="1" w:styleId="Default">
    <w:name w:val="Default"/>
    <w:rsid w:val="00573072"/>
    <w:pPr>
      <w:autoSpaceDE w:val="0"/>
      <w:autoSpaceDN w:val="0"/>
      <w:adjustRightInd w:val="0"/>
    </w:pPr>
    <w:rPr>
      <w:rFonts w:ascii="Arial" w:hAnsi="Arial" w:cs="Arial"/>
      <w:color w:val="000000"/>
      <w:sz w:val="24"/>
      <w:szCs w:val="24"/>
      <w:lang w:val="en-GB" w:eastAsia="en-GB"/>
    </w:rPr>
  </w:style>
  <w:style w:type="paragraph" w:customStyle="1" w:styleId="Char">
    <w:name w:val="Char"/>
    <w:basedOn w:val="Normal"/>
    <w:rsid w:val="00D67AF4"/>
    <w:pPr>
      <w:spacing w:after="160" w:line="240" w:lineRule="exact"/>
    </w:pPr>
    <w:rPr>
      <w:rFonts w:ascii="Verdana" w:hAnsi="Verdana"/>
    </w:rPr>
  </w:style>
  <w:style w:type="character" w:customStyle="1" w:styleId="Heading1Char">
    <w:name w:val="Heading 1 Char"/>
    <w:link w:val="Heading1"/>
    <w:locked/>
    <w:rsid w:val="0062529A"/>
    <w:rPr>
      <w:rFonts w:ascii="Arial" w:eastAsia="Calibri" w:hAnsi="Arial"/>
      <w:b/>
      <w:sz w:val="32"/>
      <w:szCs w:val="24"/>
    </w:rPr>
  </w:style>
  <w:style w:type="character" w:customStyle="1" w:styleId="yiv550243633812400612-01062011">
    <w:name w:val="yiv550243633812400612-01062011"/>
    <w:basedOn w:val="DefaultParagraphFont"/>
    <w:rsid w:val="008578CD"/>
  </w:style>
  <w:style w:type="paragraph" w:customStyle="1" w:styleId="Text">
    <w:name w:val="Text"/>
    <w:basedOn w:val="Normal"/>
    <w:rsid w:val="00521EB4"/>
    <w:pPr>
      <w:spacing w:before="240" w:after="0" w:line="252" w:lineRule="auto"/>
      <w:jc w:val="both"/>
    </w:pPr>
    <w:rPr>
      <w:rFonts w:ascii="Times New Roman" w:hAnsi="Times New Roman" w:cs="Times New Roman"/>
      <w:sz w:val="22"/>
      <w:szCs w:val="20"/>
    </w:rPr>
  </w:style>
  <w:style w:type="paragraph" w:customStyle="1" w:styleId="report">
    <w:name w:val="report"/>
    <w:basedOn w:val="Normal"/>
    <w:rsid w:val="00752A87"/>
    <w:pPr>
      <w:spacing w:after="0" w:line="360" w:lineRule="auto"/>
    </w:pPr>
    <w:rPr>
      <w:rFonts w:ascii="Arial" w:hAnsi="Arial" w:cs="Arial"/>
      <w:sz w:val="20"/>
    </w:rPr>
  </w:style>
  <w:style w:type="paragraph" w:styleId="NoSpacing">
    <w:name w:val="No Spacing"/>
    <w:uiPriority w:val="1"/>
    <w:qFormat/>
    <w:rsid w:val="005D5BF8"/>
    <w:rPr>
      <w:rFonts w:ascii="Calibri" w:hAnsi="Calibri"/>
      <w:sz w:val="22"/>
      <w:szCs w:val="22"/>
    </w:rPr>
  </w:style>
  <w:style w:type="paragraph" w:styleId="Subtitle">
    <w:name w:val="Subtitle"/>
    <w:basedOn w:val="Normal"/>
    <w:link w:val="SubtitleChar"/>
    <w:qFormat/>
    <w:rsid w:val="005D5BF8"/>
    <w:pPr>
      <w:spacing w:after="0"/>
      <w:jc w:val="center"/>
    </w:pPr>
    <w:rPr>
      <w:rFonts w:ascii="Times New Roman" w:hAnsi="Times New Roman" w:cs="Times New Roman"/>
      <w:b/>
      <w:color w:val="auto"/>
      <w:sz w:val="28"/>
      <w:szCs w:val="20"/>
      <w:u w:val="single"/>
      <w:lang w:val="en-GB" w:eastAsia="en-GB"/>
    </w:rPr>
  </w:style>
  <w:style w:type="character" w:customStyle="1" w:styleId="SubtitleChar">
    <w:name w:val="Subtitle Char"/>
    <w:link w:val="Subtitle"/>
    <w:rsid w:val="005D5BF8"/>
    <w:rPr>
      <w:b/>
      <w:sz w:val="28"/>
      <w:u w:val="single"/>
      <w:lang w:val="en-GB" w:eastAsia="en-GB"/>
    </w:rPr>
  </w:style>
  <w:style w:type="paragraph" w:styleId="FootnoteText">
    <w:name w:val="footnote text"/>
    <w:basedOn w:val="Normal"/>
    <w:link w:val="FootnoteTextChar"/>
    <w:uiPriority w:val="99"/>
    <w:unhideWhenUsed/>
    <w:rsid w:val="005D5BF8"/>
    <w:pPr>
      <w:spacing w:after="0"/>
    </w:pPr>
    <w:rPr>
      <w:rFonts w:cs="Times New Roman"/>
      <w:color w:val="auto"/>
      <w:sz w:val="20"/>
      <w:szCs w:val="20"/>
    </w:rPr>
  </w:style>
  <w:style w:type="character" w:customStyle="1" w:styleId="FootnoteTextChar">
    <w:name w:val="Footnote Text Char"/>
    <w:link w:val="FootnoteText"/>
    <w:uiPriority w:val="99"/>
    <w:rsid w:val="005D5BF8"/>
    <w:rPr>
      <w:rFonts w:ascii="Calibri" w:hAnsi="Calibri"/>
    </w:rPr>
  </w:style>
  <w:style w:type="character" w:styleId="FootnoteReference">
    <w:name w:val="footnote reference"/>
    <w:uiPriority w:val="99"/>
    <w:unhideWhenUsed/>
    <w:rsid w:val="005D5BF8"/>
    <w:rPr>
      <w:vertAlign w:val="superscript"/>
    </w:rPr>
  </w:style>
  <w:style w:type="character" w:styleId="Hyperlink">
    <w:name w:val="Hyperlink"/>
    <w:uiPriority w:val="99"/>
    <w:unhideWhenUsed/>
    <w:rsid w:val="009B5D87"/>
    <w:rPr>
      <w:color w:val="0000FF"/>
      <w:u w:val="single"/>
    </w:rPr>
  </w:style>
  <w:style w:type="table" w:styleId="TableGrid">
    <w:name w:val="Table Grid"/>
    <w:basedOn w:val="TableNormal"/>
    <w:rsid w:val="00E90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66F87"/>
    <w:rPr>
      <w:sz w:val="16"/>
      <w:szCs w:val="16"/>
    </w:rPr>
  </w:style>
  <w:style w:type="paragraph" w:styleId="CommentText">
    <w:name w:val="annotation text"/>
    <w:basedOn w:val="Normal"/>
    <w:link w:val="CommentTextChar"/>
    <w:uiPriority w:val="99"/>
    <w:rsid w:val="00166F87"/>
    <w:rPr>
      <w:rFonts w:ascii="NewsGothicBT-Roman" w:hAnsi="NewsGothicBT-Roman" w:cs="Times New Roman"/>
      <w:color w:val="auto"/>
      <w:sz w:val="20"/>
      <w:szCs w:val="20"/>
    </w:rPr>
  </w:style>
  <w:style w:type="character" w:customStyle="1" w:styleId="CommentTextChar">
    <w:name w:val="Comment Text Char"/>
    <w:link w:val="CommentText"/>
    <w:uiPriority w:val="99"/>
    <w:rsid w:val="00166F87"/>
    <w:rPr>
      <w:rFonts w:ascii="NewsGothicBT-Roman" w:hAnsi="NewsGothicBT-Roman" w:cs="NewsGothicBT-Roman"/>
    </w:rPr>
  </w:style>
  <w:style w:type="paragraph" w:styleId="CommentSubject">
    <w:name w:val="annotation subject"/>
    <w:basedOn w:val="CommentText"/>
    <w:next w:val="CommentText"/>
    <w:link w:val="CommentSubjectChar"/>
    <w:rsid w:val="00166F87"/>
    <w:rPr>
      <w:b/>
      <w:bCs/>
    </w:rPr>
  </w:style>
  <w:style w:type="character" w:customStyle="1" w:styleId="CommentSubjectChar">
    <w:name w:val="Comment Subject Char"/>
    <w:link w:val="CommentSubject"/>
    <w:rsid w:val="00166F87"/>
    <w:rPr>
      <w:rFonts w:ascii="NewsGothicBT-Roman" w:hAnsi="NewsGothicBT-Roman" w:cs="NewsGothicBT-Roman"/>
      <w:b/>
      <w:bCs/>
    </w:rPr>
  </w:style>
  <w:style w:type="paragraph" w:styleId="Revision">
    <w:name w:val="Revision"/>
    <w:hidden/>
    <w:uiPriority w:val="99"/>
    <w:semiHidden/>
    <w:rsid w:val="00166F87"/>
    <w:rPr>
      <w:rFonts w:ascii="NewsGothicBT-Roman" w:hAnsi="NewsGothicBT-Roman" w:cs="NewsGothicBT-Roman"/>
      <w:sz w:val="24"/>
      <w:szCs w:val="24"/>
    </w:rPr>
  </w:style>
  <w:style w:type="paragraph" w:styleId="BalloonText">
    <w:name w:val="Balloon Text"/>
    <w:basedOn w:val="Normal"/>
    <w:link w:val="BalloonTextChar"/>
    <w:rsid w:val="00166F87"/>
    <w:pPr>
      <w:spacing w:after="0"/>
    </w:pPr>
    <w:rPr>
      <w:rFonts w:ascii="Tahoma" w:hAnsi="Tahoma" w:cs="Times New Roman"/>
      <w:color w:val="auto"/>
      <w:sz w:val="16"/>
      <w:szCs w:val="16"/>
    </w:rPr>
  </w:style>
  <w:style w:type="character" w:customStyle="1" w:styleId="BalloonTextChar">
    <w:name w:val="Balloon Text Char"/>
    <w:link w:val="BalloonText"/>
    <w:rsid w:val="00166F87"/>
    <w:rPr>
      <w:rFonts w:ascii="Tahoma" w:hAnsi="Tahoma" w:cs="Tahoma"/>
      <w:sz w:val="16"/>
      <w:szCs w:val="16"/>
    </w:rPr>
  </w:style>
  <w:style w:type="paragraph" w:styleId="TOCHeading">
    <w:name w:val="TOC Heading"/>
    <w:basedOn w:val="Heading1"/>
    <w:next w:val="Normal"/>
    <w:uiPriority w:val="39"/>
    <w:semiHidden/>
    <w:unhideWhenUsed/>
    <w:qFormat/>
    <w:rsid w:val="000C3472"/>
    <w:pPr>
      <w:keepLines/>
      <w:spacing w:before="480" w:after="0" w:line="276" w:lineRule="auto"/>
      <w:ind w:left="0" w:right="0"/>
      <w:outlineLvl w:val="9"/>
    </w:pPr>
    <w:rPr>
      <w:rFonts w:ascii="Cambria" w:eastAsia="MS Gothic" w:hAnsi="Cambria"/>
      <w:bCs/>
      <w:color w:val="365F91"/>
      <w:szCs w:val="28"/>
      <w:lang w:eastAsia="ja-JP"/>
    </w:rPr>
  </w:style>
  <w:style w:type="paragraph" w:styleId="TOC1">
    <w:name w:val="toc 1"/>
    <w:basedOn w:val="Normal"/>
    <w:next w:val="Normal"/>
    <w:autoRedefine/>
    <w:uiPriority w:val="39"/>
    <w:qFormat/>
    <w:rsid w:val="006C7DD5"/>
    <w:pPr>
      <w:spacing w:before="120" w:after="120"/>
    </w:pPr>
    <w:rPr>
      <w:b/>
      <w:bCs/>
      <w:caps/>
      <w:sz w:val="20"/>
      <w:szCs w:val="20"/>
    </w:rPr>
  </w:style>
  <w:style w:type="paragraph" w:styleId="TOC2">
    <w:name w:val="toc 2"/>
    <w:basedOn w:val="Normal"/>
    <w:next w:val="Normal"/>
    <w:autoRedefine/>
    <w:uiPriority w:val="39"/>
    <w:qFormat/>
    <w:rsid w:val="00104810"/>
    <w:pPr>
      <w:spacing w:after="0"/>
      <w:ind w:left="240"/>
    </w:pPr>
    <w:rPr>
      <w:smallCaps/>
      <w:sz w:val="20"/>
      <w:szCs w:val="20"/>
    </w:rPr>
  </w:style>
  <w:style w:type="paragraph" w:styleId="TOC3">
    <w:name w:val="toc 3"/>
    <w:basedOn w:val="Normal"/>
    <w:next w:val="Normal"/>
    <w:autoRedefine/>
    <w:uiPriority w:val="39"/>
    <w:qFormat/>
    <w:rsid w:val="000C3472"/>
    <w:pPr>
      <w:spacing w:after="0"/>
      <w:ind w:left="480"/>
    </w:pPr>
    <w:rPr>
      <w:i/>
      <w:iCs/>
      <w:sz w:val="20"/>
      <w:szCs w:val="20"/>
    </w:rPr>
  </w:style>
  <w:style w:type="character" w:customStyle="1" w:styleId="apple-converted-space">
    <w:name w:val="apple-converted-space"/>
    <w:basedOn w:val="DefaultParagraphFont"/>
    <w:rsid w:val="002B4EA6"/>
  </w:style>
  <w:style w:type="paragraph" w:styleId="NormalWeb">
    <w:name w:val="Normal (Web)"/>
    <w:basedOn w:val="Normal"/>
    <w:uiPriority w:val="99"/>
    <w:unhideWhenUsed/>
    <w:rsid w:val="002B4EA6"/>
    <w:pPr>
      <w:spacing w:before="100" w:beforeAutospacing="1" w:after="100" w:afterAutospacing="1"/>
    </w:pPr>
    <w:rPr>
      <w:rFonts w:ascii="Times New Roman" w:hAnsi="Times New Roman" w:cs="Times New Roman"/>
    </w:rPr>
  </w:style>
  <w:style w:type="character" w:customStyle="1" w:styleId="apple-style-span">
    <w:name w:val="apple-style-span"/>
    <w:basedOn w:val="DefaultParagraphFont"/>
    <w:rsid w:val="00333ECA"/>
  </w:style>
  <w:style w:type="character" w:styleId="Emphasis">
    <w:name w:val="Emphasis"/>
    <w:uiPriority w:val="20"/>
    <w:qFormat/>
    <w:rsid w:val="00333ECA"/>
    <w:rPr>
      <w:i/>
      <w:iCs/>
    </w:rPr>
  </w:style>
  <w:style w:type="paragraph" w:styleId="TOC4">
    <w:name w:val="toc 4"/>
    <w:basedOn w:val="Normal"/>
    <w:next w:val="Normal"/>
    <w:autoRedefine/>
    <w:rsid w:val="006C7DD5"/>
    <w:pPr>
      <w:spacing w:after="0"/>
      <w:ind w:left="720"/>
    </w:pPr>
    <w:rPr>
      <w:sz w:val="18"/>
      <w:szCs w:val="18"/>
    </w:rPr>
  </w:style>
  <w:style w:type="paragraph" w:styleId="TOC5">
    <w:name w:val="toc 5"/>
    <w:basedOn w:val="Normal"/>
    <w:next w:val="Normal"/>
    <w:autoRedefine/>
    <w:rsid w:val="006C7DD5"/>
    <w:pPr>
      <w:spacing w:after="0"/>
      <w:ind w:left="960"/>
    </w:pPr>
    <w:rPr>
      <w:sz w:val="18"/>
      <w:szCs w:val="18"/>
    </w:rPr>
  </w:style>
  <w:style w:type="paragraph" w:styleId="TOC6">
    <w:name w:val="toc 6"/>
    <w:basedOn w:val="Normal"/>
    <w:next w:val="Normal"/>
    <w:autoRedefine/>
    <w:rsid w:val="006C7DD5"/>
    <w:pPr>
      <w:spacing w:after="0"/>
      <w:ind w:left="1200"/>
    </w:pPr>
    <w:rPr>
      <w:sz w:val="18"/>
      <w:szCs w:val="18"/>
    </w:rPr>
  </w:style>
  <w:style w:type="paragraph" w:styleId="TOC7">
    <w:name w:val="toc 7"/>
    <w:basedOn w:val="Normal"/>
    <w:next w:val="Normal"/>
    <w:autoRedefine/>
    <w:rsid w:val="006C7DD5"/>
    <w:pPr>
      <w:spacing w:after="0"/>
      <w:ind w:left="1440"/>
    </w:pPr>
    <w:rPr>
      <w:sz w:val="18"/>
      <w:szCs w:val="18"/>
    </w:rPr>
  </w:style>
  <w:style w:type="paragraph" w:styleId="TOC8">
    <w:name w:val="toc 8"/>
    <w:basedOn w:val="Normal"/>
    <w:next w:val="Normal"/>
    <w:autoRedefine/>
    <w:rsid w:val="006C7DD5"/>
    <w:pPr>
      <w:spacing w:after="0"/>
      <w:ind w:left="1680"/>
    </w:pPr>
    <w:rPr>
      <w:sz w:val="18"/>
      <w:szCs w:val="18"/>
    </w:rPr>
  </w:style>
  <w:style w:type="paragraph" w:styleId="TOC9">
    <w:name w:val="toc 9"/>
    <w:basedOn w:val="Normal"/>
    <w:next w:val="Normal"/>
    <w:autoRedefine/>
    <w:rsid w:val="006C7DD5"/>
    <w:pPr>
      <w:spacing w:after="0"/>
      <w:ind w:left="1920"/>
    </w:pPr>
    <w:rPr>
      <w:sz w:val="18"/>
      <w:szCs w:val="18"/>
    </w:rPr>
  </w:style>
  <w:style w:type="paragraph" w:customStyle="1" w:styleId="Vanligtekst">
    <w:name w:val="Vanlig tekst"/>
    <w:basedOn w:val="Normal"/>
    <w:rsid w:val="001212A4"/>
    <w:pPr>
      <w:autoSpaceDE/>
      <w:autoSpaceDN/>
      <w:adjustRightInd/>
      <w:spacing w:after="160"/>
    </w:pPr>
    <w:rPr>
      <w:rFonts w:ascii="Times New Roman" w:hAnsi="Times New Roman" w:cs="Times New Roman"/>
      <w:color w:val="auto"/>
      <w:szCs w:val="20"/>
      <w:lang w:val="en-GB"/>
    </w:rPr>
  </w:style>
  <w:style w:type="character" w:customStyle="1" w:styleId="citation">
    <w:name w:val="citation"/>
    <w:basedOn w:val="DefaultParagraphFont"/>
    <w:rsid w:val="001212A4"/>
  </w:style>
  <w:style w:type="character" w:styleId="Strong">
    <w:name w:val="Strong"/>
    <w:basedOn w:val="DefaultParagraphFont"/>
    <w:uiPriority w:val="22"/>
    <w:qFormat/>
    <w:rsid w:val="00481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4217">
      <w:bodyDiv w:val="1"/>
      <w:marLeft w:val="0"/>
      <w:marRight w:val="0"/>
      <w:marTop w:val="0"/>
      <w:marBottom w:val="0"/>
      <w:divBdr>
        <w:top w:val="none" w:sz="0" w:space="0" w:color="auto"/>
        <w:left w:val="none" w:sz="0" w:space="0" w:color="auto"/>
        <w:bottom w:val="none" w:sz="0" w:space="0" w:color="auto"/>
        <w:right w:val="none" w:sz="0" w:space="0" w:color="auto"/>
      </w:divBdr>
    </w:div>
    <w:div w:id="371196495">
      <w:bodyDiv w:val="1"/>
      <w:marLeft w:val="0"/>
      <w:marRight w:val="0"/>
      <w:marTop w:val="0"/>
      <w:marBottom w:val="0"/>
      <w:divBdr>
        <w:top w:val="none" w:sz="0" w:space="0" w:color="auto"/>
        <w:left w:val="none" w:sz="0" w:space="0" w:color="auto"/>
        <w:bottom w:val="none" w:sz="0" w:space="0" w:color="auto"/>
        <w:right w:val="none" w:sz="0" w:space="0" w:color="auto"/>
      </w:divBdr>
      <w:divsChild>
        <w:div w:id="1777169974">
          <w:marLeft w:val="0"/>
          <w:marRight w:val="0"/>
          <w:marTop w:val="0"/>
          <w:marBottom w:val="0"/>
          <w:divBdr>
            <w:top w:val="none" w:sz="0" w:space="0" w:color="auto"/>
            <w:left w:val="none" w:sz="0" w:space="0" w:color="auto"/>
            <w:bottom w:val="single" w:sz="6" w:space="0" w:color="5F666A"/>
            <w:right w:val="none" w:sz="0" w:space="0" w:color="auto"/>
          </w:divBdr>
        </w:div>
        <w:div w:id="493374073">
          <w:marLeft w:val="0"/>
          <w:marRight w:val="0"/>
          <w:marTop w:val="0"/>
          <w:marBottom w:val="0"/>
          <w:divBdr>
            <w:top w:val="none" w:sz="0" w:space="0" w:color="auto"/>
            <w:left w:val="none" w:sz="0" w:space="0" w:color="auto"/>
            <w:bottom w:val="none" w:sz="0" w:space="0" w:color="auto"/>
            <w:right w:val="none" w:sz="0" w:space="0" w:color="auto"/>
          </w:divBdr>
        </w:div>
      </w:divsChild>
    </w:div>
    <w:div w:id="394009675">
      <w:bodyDiv w:val="1"/>
      <w:marLeft w:val="0"/>
      <w:marRight w:val="0"/>
      <w:marTop w:val="0"/>
      <w:marBottom w:val="0"/>
      <w:divBdr>
        <w:top w:val="none" w:sz="0" w:space="0" w:color="auto"/>
        <w:left w:val="none" w:sz="0" w:space="0" w:color="auto"/>
        <w:bottom w:val="none" w:sz="0" w:space="0" w:color="auto"/>
        <w:right w:val="none" w:sz="0" w:space="0" w:color="auto"/>
      </w:divBdr>
    </w:div>
    <w:div w:id="633213790">
      <w:bodyDiv w:val="1"/>
      <w:marLeft w:val="0"/>
      <w:marRight w:val="0"/>
      <w:marTop w:val="0"/>
      <w:marBottom w:val="0"/>
      <w:divBdr>
        <w:top w:val="none" w:sz="0" w:space="0" w:color="auto"/>
        <w:left w:val="none" w:sz="0" w:space="0" w:color="auto"/>
        <w:bottom w:val="none" w:sz="0" w:space="0" w:color="auto"/>
        <w:right w:val="none" w:sz="0" w:space="0" w:color="auto"/>
      </w:divBdr>
    </w:div>
    <w:div w:id="777259047">
      <w:bodyDiv w:val="1"/>
      <w:marLeft w:val="0"/>
      <w:marRight w:val="0"/>
      <w:marTop w:val="0"/>
      <w:marBottom w:val="0"/>
      <w:divBdr>
        <w:top w:val="none" w:sz="0" w:space="0" w:color="auto"/>
        <w:left w:val="none" w:sz="0" w:space="0" w:color="auto"/>
        <w:bottom w:val="none" w:sz="0" w:space="0" w:color="auto"/>
        <w:right w:val="none" w:sz="0" w:space="0" w:color="auto"/>
      </w:divBdr>
      <w:divsChild>
        <w:div w:id="1010333822">
          <w:marLeft w:val="0"/>
          <w:marRight w:val="0"/>
          <w:marTop w:val="0"/>
          <w:marBottom w:val="0"/>
          <w:divBdr>
            <w:top w:val="none" w:sz="0" w:space="0" w:color="auto"/>
            <w:left w:val="none" w:sz="0" w:space="0" w:color="auto"/>
            <w:bottom w:val="none" w:sz="0" w:space="0" w:color="auto"/>
            <w:right w:val="none" w:sz="0" w:space="0" w:color="auto"/>
          </w:divBdr>
        </w:div>
        <w:div w:id="1526406047">
          <w:marLeft w:val="0"/>
          <w:marRight w:val="0"/>
          <w:marTop w:val="0"/>
          <w:marBottom w:val="0"/>
          <w:divBdr>
            <w:top w:val="none" w:sz="0" w:space="0" w:color="auto"/>
            <w:left w:val="none" w:sz="0" w:space="0" w:color="auto"/>
            <w:bottom w:val="single" w:sz="4" w:space="0" w:color="5F666A"/>
            <w:right w:val="none" w:sz="0" w:space="0" w:color="auto"/>
          </w:divBdr>
        </w:div>
      </w:divsChild>
    </w:div>
    <w:div w:id="1118841831">
      <w:bodyDiv w:val="1"/>
      <w:marLeft w:val="0"/>
      <w:marRight w:val="0"/>
      <w:marTop w:val="0"/>
      <w:marBottom w:val="0"/>
      <w:divBdr>
        <w:top w:val="none" w:sz="0" w:space="0" w:color="auto"/>
        <w:left w:val="none" w:sz="0" w:space="0" w:color="auto"/>
        <w:bottom w:val="none" w:sz="0" w:space="0" w:color="auto"/>
        <w:right w:val="none" w:sz="0" w:space="0" w:color="auto"/>
      </w:divBdr>
    </w:div>
    <w:div w:id="1213882007">
      <w:bodyDiv w:val="1"/>
      <w:marLeft w:val="0"/>
      <w:marRight w:val="0"/>
      <w:marTop w:val="0"/>
      <w:marBottom w:val="0"/>
      <w:divBdr>
        <w:top w:val="none" w:sz="0" w:space="0" w:color="auto"/>
        <w:left w:val="none" w:sz="0" w:space="0" w:color="auto"/>
        <w:bottom w:val="none" w:sz="0" w:space="0" w:color="auto"/>
        <w:right w:val="none" w:sz="0" w:space="0" w:color="auto"/>
      </w:divBdr>
    </w:div>
    <w:div w:id="1217355878">
      <w:bodyDiv w:val="1"/>
      <w:marLeft w:val="0"/>
      <w:marRight w:val="0"/>
      <w:marTop w:val="0"/>
      <w:marBottom w:val="0"/>
      <w:divBdr>
        <w:top w:val="none" w:sz="0" w:space="0" w:color="auto"/>
        <w:left w:val="none" w:sz="0" w:space="0" w:color="auto"/>
        <w:bottom w:val="none" w:sz="0" w:space="0" w:color="auto"/>
        <w:right w:val="none" w:sz="0" w:space="0" w:color="auto"/>
      </w:divBdr>
      <w:divsChild>
        <w:div w:id="249003606">
          <w:marLeft w:val="0"/>
          <w:marRight w:val="0"/>
          <w:marTop w:val="203"/>
          <w:marBottom w:val="203"/>
          <w:divBdr>
            <w:top w:val="none" w:sz="0" w:space="0" w:color="auto"/>
            <w:left w:val="none" w:sz="0" w:space="0" w:color="auto"/>
            <w:bottom w:val="none" w:sz="0" w:space="0" w:color="auto"/>
            <w:right w:val="none" w:sz="0" w:space="0" w:color="auto"/>
          </w:divBdr>
        </w:div>
        <w:div w:id="1463647556">
          <w:marLeft w:val="0"/>
          <w:marRight w:val="0"/>
          <w:marTop w:val="203"/>
          <w:marBottom w:val="203"/>
          <w:divBdr>
            <w:top w:val="none" w:sz="0" w:space="0" w:color="auto"/>
            <w:left w:val="none" w:sz="0" w:space="0" w:color="auto"/>
            <w:bottom w:val="none" w:sz="0" w:space="0" w:color="auto"/>
            <w:right w:val="none" w:sz="0" w:space="0" w:color="auto"/>
          </w:divBdr>
        </w:div>
        <w:div w:id="939072429">
          <w:blockQuote w:val="1"/>
          <w:marLeft w:val="0"/>
          <w:marRight w:val="0"/>
          <w:marTop w:val="203"/>
          <w:marBottom w:val="203"/>
          <w:divBdr>
            <w:top w:val="none" w:sz="0" w:space="0" w:color="auto"/>
            <w:left w:val="none" w:sz="0" w:space="0" w:color="auto"/>
            <w:bottom w:val="none" w:sz="0" w:space="0" w:color="auto"/>
            <w:right w:val="none" w:sz="0" w:space="0" w:color="auto"/>
          </w:divBdr>
        </w:div>
      </w:divsChild>
    </w:div>
    <w:div w:id="1457017637">
      <w:bodyDiv w:val="1"/>
      <w:marLeft w:val="0"/>
      <w:marRight w:val="0"/>
      <w:marTop w:val="0"/>
      <w:marBottom w:val="0"/>
      <w:divBdr>
        <w:top w:val="none" w:sz="0" w:space="0" w:color="auto"/>
        <w:left w:val="none" w:sz="0" w:space="0" w:color="auto"/>
        <w:bottom w:val="none" w:sz="0" w:space="0" w:color="auto"/>
        <w:right w:val="none" w:sz="0" w:space="0" w:color="auto"/>
      </w:divBdr>
    </w:div>
    <w:div w:id="1624116514">
      <w:bodyDiv w:val="1"/>
      <w:marLeft w:val="0"/>
      <w:marRight w:val="0"/>
      <w:marTop w:val="0"/>
      <w:marBottom w:val="0"/>
      <w:divBdr>
        <w:top w:val="none" w:sz="0" w:space="0" w:color="auto"/>
        <w:left w:val="none" w:sz="0" w:space="0" w:color="auto"/>
        <w:bottom w:val="none" w:sz="0" w:space="0" w:color="auto"/>
        <w:right w:val="none" w:sz="0" w:space="0" w:color="auto"/>
      </w:divBdr>
    </w:div>
    <w:div w:id="16951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heckmyschool.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said.gov/policy/ads/300/308.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apkiber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arassmap.org/" TargetMode="External"/><Relationship Id="rId20" Type="http://schemas.openxmlformats.org/officeDocument/2006/relationships/hyperlink" Target="http://www.usaid.gov/policy/ads/300/302ma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onemap.sg/index.html"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maps.google.com/maps/ms?msa=0&amp;msid=211552980494073538542.0004a88092dff5dfdd2c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rbanunit.gov.pk/pubpublic/pubcomp/56.pdf" TargetMode="External"/><Relationship Id="rId22" Type="http://schemas.openxmlformats.org/officeDocument/2006/relationships/hyperlink" Target="http://jlp-law.com/library/?article=constitu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Democracy_i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wacov\Local%20Settings\Temporary%20Internet%20Files\OLK55D\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AE2F-07DB-4203-AD15-B9AFBC4F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0</TotalTime>
  <Pages>71</Pages>
  <Words>25829</Words>
  <Characters>147229</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172713</CharactersWithSpaces>
  <SharedDoc>false</SharedDoc>
  <HLinks>
    <vt:vector size="228" baseType="variant">
      <vt:variant>
        <vt:i4>3407921</vt:i4>
      </vt:variant>
      <vt:variant>
        <vt:i4>198</vt:i4>
      </vt:variant>
      <vt:variant>
        <vt:i4>0</vt:i4>
      </vt:variant>
      <vt:variant>
        <vt:i4>5</vt:i4>
      </vt:variant>
      <vt:variant>
        <vt:lpwstr>http://www.usaid.gov/policy/ads/300/308.pdf</vt:lpwstr>
      </vt:variant>
      <vt:variant>
        <vt:lpwstr/>
      </vt:variant>
      <vt:variant>
        <vt:i4>7667808</vt:i4>
      </vt:variant>
      <vt:variant>
        <vt:i4>195</vt:i4>
      </vt:variant>
      <vt:variant>
        <vt:i4>0</vt:i4>
      </vt:variant>
      <vt:variant>
        <vt:i4>5</vt:i4>
      </vt:variant>
      <vt:variant>
        <vt:lpwstr>http://www.usaid.gov/policy/ads/300/302map.pdf</vt:lpwstr>
      </vt:variant>
      <vt:variant>
        <vt:lpwstr/>
      </vt:variant>
      <vt:variant>
        <vt:i4>1900623</vt:i4>
      </vt:variant>
      <vt:variant>
        <vt:i4>192</vt:i4>
      </vt:variant>
      <vt:variant>
        <vt:i4>0</vt:i4>
      </vt:variant>
      <vt:variant>
        <vt:i4>5</vt:i4>
      </vt:variant>
      <vt:variant>
        <vt:lpwstr>http://maps.google.com/maps/ms?msa=0&amp;msid=211552980494073538542.0004a88092dff5dfdd2c9</vt:lpwstr>
      </vt:variant>
      <vt:variant>
        <vt:lpwstr/>
      </vt:variant>
      <vt:variant>
        <vt:i4>5701662</vt:i4>
      </vt:variant>
      <vt:variant>
        <vt:i4>189</vt:i4>
      </vt:variant>
      <vt:variant>
        <vt:i4>0</vt:i4>
      </vt:variant>
      <vt:variant>
        <vt:i4>5</vt:i4>
      </vt:variant>
      <vt:variant>
        <vt:lpwstr>http://www.checkmyschool.org/</vt:lpwstr>
      </vt:variant>
      <vt:variant>
        <vt:lpwstr/>
      </vt:variant>
      <vt:variant>
        <vt:i4>5439510</vt:i4>
      </vt:variant>
      <vt:variant>
        <vt:i4>186</vt:i4>
      </vt:variant>
      <vt:variant>
        <vt:i4>0</vt:i4>
      </vt:variant>
      <vt:variant>
        <vt:i4>5</vt:i4>
      </vt:variant>
      <vt:variant>
        <vt:lpwstr>http://www.mapkibera.org/</vt:lpwstr>
      </vt:variant>
      <vt:variant>
        <vt:lpwstr/>
      </vt:variant>
      <vt:variant>
        <vt:i4>5701703</vt:i4>
      </vt:variant>
      <vt:variant>
        <vt:i4>183</vt:i4>
      </vt:variant>
      <vt:variant>
        <vt:i4>0</vt:i4>
      </vt:variant>
      <vt:variant>
        <vt:i4>5</vt:i4>
      </vt:variant>
      <vt:variant>
        <vt:lpwstr>http://harassmap.org/</vt:lpwstr>
      </vt:variant>
      <vt:variant>
        <vt:lpwstr/>
      </vt:variant>
      <vt:variant>
        <vt:i4>7929902</vt:i4>
      </vt:variant>
      <vt:variant>
        <vt:i4>180</vt:i4>
      </vt:variant>
      <vt:variant>
        <vt:i4>0</vt:i4>
      </vt:variant>
      <vt:variant>
        <vt:i4>5</vt:i4>
      </vt:variant>
      <vt:variant>
        <vt:lpwstr>http://www.onemap.sg/index.html</vt:lpwstr>
      </vt:variant>
      <vt:variant>
        <vt:lpwstr/>
      </vt:variant>
      <vt:variant>
        <vt:i4>5439553</vt:i4>
      </vt:variant>
      <vt:variant>
        <vt:i4>177</vt:i4>
      </vt:variant>
      <vt:variant>
        <vt:i4>0</vt:i4>
      </vt:variant>
      <vt:variant>
        <vt:i4>5</vt:i4>
      </vt:variant>
      <vt:variant>
        <vt:lpwstr>http://www.urbanunit.gov.pk/pubpublic/pubcomp/56.pdf</vt:lpwstr>
      </vt:variant>
      <vt:variant>
        <vt:lpwstr/>
      </vt:variant>
      <vt:variant>
        <vt:i4>2031665</vt:i4>
      </vt:variant>
      <vt:variant>
        <vt:i4>170</vt:i4>
      </vt:variant>
      <vt:variant>
        <vt:i4>0</vt:i4>
      </vt:variant>
      <vt:variant>
        <vt:i4>5</vt:i4>
      </vt:variant>
      <vt:variant>
        <vt:lpwstr/>
      </vt:variant>
      <vt:variant>
        <vt:lpwstr>_Toc300435190</vt:lpwstr>
      </vt:variant>
      <vt:variant>
        <vt:i4>1966129</vt:i4>
      </vt:variant>
      <vt:variant>
        <vt:i4>164</vt:i4>
      </vt:variant>
      <vt:variant>
        <vt:i4>0</vt:i4>
      </vt:variant>
      <vt:variant>
        <vt:i4>5</vt:i4>
      </vt:variant>
      <vt:variant>
        <vt:lpwstr/>
      </vt:variant>
      <vt:variant>
        <vt:lpwstr>_Toc300435189</vt:lpwstr>
      </vt:variant>
      <vt:variant>
        <vt:i4>1966129</vt:i4>
      </vt:variant>
      <vt:variant>
        <vt:i4>158</vt:i4>
      </vt:variant>
      <vt:variant>
        <vt:i4>0</vt:i4>
      </vt:variant>
      <vt:variant>
        <vt:i4>5</vt:i4>
      </vt:variant>
      <vt:variant>
        <vt:lpwstr/>
      </vt:variant>
      <vt:variant>
        <vt:lpwstr>_Toc300435188</vt:lpwstr>
      </vt:variant>
      <vt:variant>
        <vt:i4>1966129</vt:i4>
      </vt:variant>
      <vt:variant>
        <vt:i4>152</vt:i4>
      </vt:variant>
      <vt:variant>
        <vt:i4>0</vt:i4>
      </vt:variant>
      <vt:variant>
        <vt:i4>5</vt:i4>
      </vt:variant>
      <vt:variant>
        <vt:lpwstr/>
      </vt:variant>
      <vt:variant>
        <vt:lpwstr>_Toc300435187</vt:lpwstr>
      </vt:variant>
      <vt:variant>
        <vt:i4>1966129</vt:i4>
      </vt:variant>
      <vt:variant>
        <vt:i4>146</vt:i4>
      </vt:variant>
      <vt:variant>
        <vt:i4>0</vt:i4>
      </vt:variant>
      <vt:variant>
        <vt:i4>5</vt:i4>
      </vt:variant>
      <vt:variant>
        <vt:lpwstr/>
      </vt:variant>
      <vt:variant>
        <vt:lpwstr>_Toc300435186</vt:lpwstr>
      </vt:variant>
      <vt:variant>
        <vt:i4>1966129</vt:i4>
      </vt:variant>
      <vt:variant>
        <vt:i4>140</vt:i4>
      </vt:variant>
      <vt:variant>
        <vt:i4>0</vt:i4>
      </vt:variant>
      <vt:variant>
        <vt:i4>5</vt:i4>
      </vt:variant>
      <vt:variant>
        <vt:lpwstr/>
      </vt:variant>
      <vt:variant>
        <vt:lpwstr>_Toc300435185</vt:lpwstr>
      </vt:variant>
      <vt:variant>
        <vt:i4>1966129</vt:i4>
      </vt:variant>
      <vt:variant>
        <vt:i4>134</vt:i4>
      </vt:variant>
      <vt:variant>
        <vt:i4>0</vt:i4>
      </vt:variant>
      <vt:variant>
        <vt:i4>5</vt:i4>
      </vt:variant>
      <vt:variant>
        <vt:lpwstr/>
      </vt:variant>
      <vt:variant>
        <vt:lpwstr>_Toc300435184</vt:lpwstr>
      </vt:variant>
      <vt:variant>
        <vt:i4>1966129</vt:i4>
      </vt:variant>
      <vt:variant>
        <vt:i4>128</vt:i4>
      </vt:variant>
      <vt:variant>
        <vt:i4>0</vt:i4>
      </vt:variant>
      <vt:variant>
        <vt:i4>5</vt:i4>
      </vt:variant>
      <vt:variant>
        <vt:lpwstr/>
      </vt:variant>
      <vt:variant>
        <vt:lpwstr>_Toc300435183</vt:lpwstr>
      </vt:variant>
      <vt:variant>
        <vt:i4>1966129</vt:i4>
      </vt:variant>
      <vt:variant>
        <vt:i4>122</vt:i4>
      </vt:variant>
      <vt:variant>
        <vt:i4>0</vt:i4>
      </vt:variant>
      <vt:variant>
        <vt:i4>5</vt:i4>
      </vt:variant>
      <vt:variant>
        <vt:lpwstr/>
      </vt:variant>
      <vt:variant>
        <vt:lpwstr>_Toc300435182</vt:lpwstr>
      </vt:variant>
      <vt:variant>
        <vt:i4>1966129</vt:i4>
      </vt:variant>
      <vt:variant>
        <vt:i4>116</vt:i4>
      </vt:variant>
      <vt:variant>
        <vt:i4>0</vt:i4>
      </vt:variant>
      <vt:variant>
        <vt:i4>5</vt:i4>
      </vt:variant>
      <vt:variant>
        <vt:lpwstr/>
      </vt:variant>
      <vt:variant>
        <vt:lpwstr>_Toc300435181</vt:lpwstr>
      </vt:variant>
      <vt:variant>
        <vt:i4>1966129</vt:i4>
      </vt:variant>
      <vt:variant>
        <vt:i4>110</vt:i4>
      </vt:variant>
      <vt:variant>
        <vt:i4>0</vt:i4>
      </vt:variant>
      <vt:variant>
        <vt:i4>5</vt:i4>
      </vt:variant>
      <vt:variant>
        <vt:lpwstr/>
      </vt:variant>
      <vt:variant>
        <vt:lpwstr>_Toc300435180</vt:lpwstr>
      </vt:variant>
      <vt:variant>
        <vt:i4>1114161</vt:i4>
      </vt:variant>
      <vt:variant>
        <vt:i4>104</vt:i4>
      </vt:variant>
      <vt:variant>
        <vt:i4>0</vt:i4>
      </vt:variant>
      <vt:variant>
        <vt:i4>5</vt:i4>
      </vt:variant>
      <vt:variant>
        <vt:lpwstr/>
      </vt:variant>
      <vt:variant>
        <vt:lpwstr>_Toc300435179</vt:lpwstr>
      </vt:variant>
      <vt:variant>
        <vt:i4>1114161</vt:i4>
      </vt:variant>
      <vt:variant>
        <vt:i4>98</vt:i4>
      </vt:variant>
      <vt:variant>
        <vt:i4>0</vt:i4>
      </vt:variant>
      <vt:variant>
        <vt:i4>5</vt:i4>
      </vt:variant>
      <vt:variant>
        <vt:lpwstr/>
      </vt:variant>
      <vt:variant>
        <vt:lpwstr>_Toc300435178</vt:lpwstr>
      </vt:variant>
      <vt:variant>
        <vt:i4>1114161</vt:i4>
      </vt:variant>
      <vt:variant>
        <vt:i4>92</vt:i4>
      </vt:variant>
      <vt:variant>
        <vt:i4>0</vt:i4>
      </vt:variant>
      <vt:variant>
        <vt:i4>5</vt:i4>
      </vt:variant>
      <vt:variant>
        <vt:lpwstr/>
      </vt:variant>
      <vt:variant>
        <vt:lpwstr>_Toc300435177</vt:lpwstr>
      </vt:variant>
      <vt:variant>
        <vt:i4>1114161</vt:i4>
      </vt:variant>
      <vt:variant>
        <vt:i4>86</vt:i4>
      </vt:variant>
      <vt:variant>
        <vt:i4>0</vt:i4>
      </vt:variant>
      <vt:variant>
        <vt:i4>5</vt:i4>
      </vt:variant>
      <vt:variant>
        <vt:lpwstr/>
      </vt:variant>
      <vt:variant>
        <vt:lpwstr>_Toc300435176</vt:lpwstr>
      </vt:variant>
      <vt:variant>
        <vt:i4>1114161</vt:i4>
      </vt:variant>
      <vt:variant>
        <vt:i4>80</vt:i4>
      </vt:variant>
      <vt:variant>
        <vt:i4>0</vt:i4>
      </vt:variant>
      <vt:variant>
        <vt:i4>5</vt:i4>
      </vt:variant>
      <vt:variant>
        <vt:lpwstr/>
      </vt:variant>
      <vt:variant>
        <vt:lpwstr>_Toc300435175</vt:lpwstr>
      </vt:variant>
      <vt:variant>
        <vt:i4>1114161</vt:i4>
      </vt:variant>
      <vt:variant>
        <vt:i4>74</vt:i4>
      </vt:variant>
      <vt:variant>
        <vt:i4>0</vt:i4>
      </vt:variant>
      <vt:variant>
        <vt:i4>5</vt:i4>
      </vt:variant>
      <vt:variant>
        <vt:lpwstr/>
      </vt:variant>
      <vt:variant>
        <vt:lpwstr>_Toc300435174</vt:lpwstr>
      </vt:variant>
      <vt:variant>
        <vt:i4>1114161</vt:i4>
      </vt:variant>
      <vt:variant>
        <vt:i4>68</vt:i4>
      </vt:variant>
      <vt:variant>
        <vt:i4>0</vt:i4>
      </vt:variant>
      <vt:variant>
        <vt:i4>5</vt:i4>
      </vt:variant>
      <vt:variant>
        <vt:lpwstr/>
      </vt:variant>
      <vt:variant>
        <vt:lpwstr>_Toc300435173</vt:lpwstr>
      </vt:variant>
      <vt:variant>
        <vt:i4>1114161</vt:i4>
      </vt:variant>
      <vt:variant>
        <vt:i4>62</vt:i4>
      </vt:variant>
      <vt:variant>
        <vt:i4>0</vt:i4>
      </vt:variant>
      <vt:variant>
        <vt:i4>5</vt:i4>
      </vt:variant>
      <vt:variant>
        <vt:lpwstr/>
      </vt:variant>
      <vt:variant>
        <vt:lpwstr>_Toc300435172</vt:lpwstr>
      </vt:variant>
      <vt:variant>
        <vt:i4>1114161</vt:i4>
      </vt:variant>
      <vt:variant>
        <vt:i4>56</vt:i4>
      </vt:variant>
      <vt:variant>
        <vt:i4>0</vt:i4>
      </vt:variant>
      <vt:variant>
        <vt:i4>5</vt:i4>
      </vt:variant>
      <vt:variant>
        <vt:lpwstr/>
      </vt:variant>
      <vt:variant>
        <vt:lpwstr>_Toc300435171</vt:lpwstr>
      </vt:variant>
      <vt:variant>
        <vt:i4>1114161</vt:i4>
      </vt:variant>
      <vt:variant>
        <vt:i4>50</vt:i4>
      </vt:variant>
      <vt:variant>
        <vt:i4>0</vt:i4>
      </vt:variant>
      <vt:variant>
        <vt:i4>5</vt:i4>
      </vt:variant>
      <vt:variant>
        <vt:lpwstr/>
      </vt:variant>
      <vt:variant>
        <vt:lpwstr>_Toc300435170</vt:lpwstr>
      </vt:variant>
      <vt:variant>
        <vt:i4>1048625</vt:i4>
      </vt:variant>
      <vt:variant>
        <vt:i4>44</vt:i4>
      </vt:variant>
      <vt:variant>
        <vt:i4>0</vt:i4>
      </vt:variant>
      <vt:variant>
        <vt:i4>5</vt:i4>
      </vt:variant>
      <vt:variant>
        <vt:lpwstr/>
      </vt:variant>
      <vt:variant>
        <vt:lpwstr>_Toc300435169</vt:lpwstr>
      </vt:variant>
      <vt:variant>
        <vt:i4>1048625</vt:i4>
      </vt:variant>
      <vt:variant>
        <vt:i4>38</vt:i4>
      </vt:variant>
      <vt:variant>
        <vt:i4>0</vt:i4>
      </vt:variant>
      <vt:variant>
        <vt:i4>5</vt:i4>
      </vt:variant>
      <vt:variant>
        <vt:lpwstr/>
      </vt:variant>
      <vt:variant>
        <vt:lpwstr>_Toc300435168</vt:lpwstr>
      </vt:variant>
      <vt:variant>
        <vt:i4>1048625</vt:i4>
      </vt:variant>
      <vt:variant>
        <vt:i4>32</vt:i4>
      </vt:variant>
      <vt:variant>
        <vt:i4>0</vt:i4>
      </vt:variant>
      <vt:variant>
        <vt:i4>5</vt:i4>
      </vt:variant>
      <vt:variant>
        <vt:lpwstr/>
      </vt:variant>
      <vt:variant>
        <vt:lpwstr>_Toc300435167</vt:lpwstr>
      </vt:variant>
      <vt:variant>
        <vt:i4>1048625</vt:i4>
      </vt:variant>
      <vt:variant>
        <vt:i4>26</vt:i4>
      </vt:variant>
      <vt:variant>
        <vt:i4>0</vt:i4>
      </vt:variant>
      <vt:variant>
        <vt:i4>5</vt:i4>
      </vt:variant>
      <vt:variant>
        <vt:lpwstr/>
      </vt:variant>
      <vt:variant>
        <vt:lpwstr>_Toc300435166</vt:lpwstr>
      </vt:variant>
      <vt:variant>
        <vt:i4>1048625</vt:i4>
      </vt:variant>
      <vt:variant>
        <vt:i4>20</vt:i4>
      </vt:variant>
      <vt:variant>
        <vt:i4>0</vt:i4>
      </vt:variant>
      <vt:variant>
        <vt:i4>5</vt:i4>
      </vt:variant>
      <vt:variant>
        <vt:lpwstr/>
      </vt:variant>
      <vt:variant>
        <vt:lpwstr>_Toc300435165</vt:lpwstr>
      </vt:variant>
      <vt:variant>
        <vt:i4>1048625</vt:i4>
      </vt:variant>
      <vt:variant>
        <vt:i4>14</vt:i4>
      </vt:variant>
      <vt:variant>
        <vt:i4>0</vt:i4>
      </vt:variant>
      <vt:variant>
        <vt:i4>5</vt:i4>
      </vt:variant>
      <vt:variant>
        <vt:lpwstr/>
      </vt:variant>
      <vt:variant>
        <vt:lpwstr>_Toc300435164</vt:lpwstr>
      </vt:variant>
      <vt:variant>
        <vt:i4>1048625</vt:i4>
      </vt:variant>
      <vt:variant>
        <vt:i4>8</vt:i4>
      </vt:variant>
      <vt:variant>
        <vt:i4>0</vt:i4>
      </vt:variant>
      <vt:variant>
        <vt:i4>5</vt:i4>
      </vt:variant>
      <vt:variant>
        <vt:lpwstr/>
      </vt:variant>
      <vt:variant>
        <vt:lpwstr>_Toc300435163</vt:lpwstr>
      </vt:variant>
      <vt:variant>
        <vt:i4>1048625</vt:i4>
      </vt:variant>
      <vt:variant>
        <vt:i4>2</vt:i4>
      </vt:variant>
      <vt:variant>
        <vt:i4>0</vt:i4>
      </vt:variant>
      <vt:variant>
        <vt:i4>5</vt:i4>
      </vt:variant>
      <vt:variant>
        <vt:lpwstr/>
      </vt:variant>
      <vt:variant>
        <vt:lpwstr>_Toc300435162</vt:lpwstr>
      </vt:variant>
      <vt:variant>
        <vt:i4>2556018</vt:i4>
      </vt:variant>
      <vt:variant>
        <vt:i4>0</vt:i4>
      </vt:variant>
      <vt:variant>
        <vt:i4>0</vt:i4>
      </vt:variant>
      <vt:variant>
        <vt:i4>5</vt:i4>
      </vt:variant>
      <vt:variant>
        <vt:lpwstr>http://en.wikipedia.org/wiki/Democracy_in_America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Lundberg</dc:creator>
  <cp:lastModifiedBy>Noha Rifaat</cp:lastModifiedBy>
  <cp:revision>2</cp:revision>
  <cp:lastPrinted>2011-08-29T03:42:00Z</cp:lastPrinted>
  <dcterms:created xsi:type="dcterms:W3CDTF">2012-06-26T12:53:00Z</dcterms:created>
  <dcterms:modified xsi:type="dcterms:W3CDTF">2012-06-26T12:53:00Z</dcterms:modified>
</cp:coreProperties>
</file>