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74" w:rsidRPr="00331B57" w:rsidRDefault="006A2461" w:rsidP="00331B57">
      <w:pPr>
        <w:rPr>
          <w:lang w:val="fr-FR"/>
        </w:rPr>
      </w:pPr>
      <w:bookmarkStart w:id="0" w:name="_GoBack"/>
      <w:bookmarkEnd w:id="0"/>
      <w:r w:rsidRPr="00875A2C">
        <w:rPr>
          <w:lang w:val="fr-FR"/>
        </w:rPr>
        <w:t xml:space="preserve">  </w:t>
      </w:r>
    </w:p>
    <w:p w:rsidR="00804274" w:rsidRPr="00331B57" w:rsidRDefault="00804274" w:rsidP="00331B57">
      <w:pPr>
        <w:rPr>
          <w:lang w:val="fr-FR"/>
        </w:rPr>
      </w:pPr>
    </w:p>
    <w:p w:rsidR="00804274" w:rsidRPr="00331B57" w:rsidRDefault="00804274" w:rsidP="00331B57">
      <w:pPr>
        <w:rPr>
          <w:lang w:val="fr-FR"/>
        </w:rPr>
      </w:pPr>
    </w:p>
    <w:p w:rsidR="00804274" w:rsidRPr="00331B57" w:rsidRDefault="00804274" w:rsidP="00331B57">
      <w:pPr>
        <w:rPr>
          <w:lang w:val="fr-FR"/>
        </w:rPr>
      </w:pPr>
    </w:p>
    <w:p w:rsidR="00804274" w:rsidRPr="00331B57" w:rsidRDefault="00804274" w:rsidP="00331B57">
      <w:pPr>
        <w:rPr>
          <w:lang w:val="fr-FR"/>
        </w:rPr>
      </w:pPr>
    </w:p>
    <w:p w:rsidR="00804274" w:rsidRPr="00331B57" w:rsidRDefault="00804274" w:rsidP="00331B57">
      <w:pPr>
        <w:rPr>
          <w:rFonts w:ascii="Calibri" w:hAnsi="Calibri"/>
          <w:b/>
          <w:sz w:val="22"/>
          <w:szCs w:val="22"/>
          <w:lang w:val="fr-CA"/>
        </w:rPr>
      </w:pPr>
    </w:p>
    <w:p w:rsidR="00804274" w:rsidRPr="00331B57" w:rsidRDefault="006A2461" w:rsidP="00331B57">
      <w:pPr>
        <w:rPr>
          <w:rFonts w:ascii="Calibri" w:hAnsi="Calibri"/>
          <w:b/>
          <w:sz w:val="22"/>
          <w:szCs w:val="22"/>
          <w:lang w:val="fr-CA"/>
        </w:rPr>
      </w:pPr>
      <w:r w:rsidRPr="00331B57">
        <w:rPr>
          <w:rFonts w:ascii="Calibri" w:hAnsi="Calibri"/>
          <w:b/>
          <w:sz w:val="22"/>
          <w:szCs w:val="22"/>
          <w:lang w:val="fr-CA"/>
        </w:rPr>
        <w:t xml:space="preserve"> </w:t>
      </w:r>
    </w:p>
    <w:p w:rsidR="00804274" w:rsidRPr="00331B57" w:rsidRDefault="00804274" w:rsidP="00331B57">
      <w:pPr>
        <w:rPr>
          <w:rFonts w:ascii="Calibri" w:hAnsi="Calibri"/>
          <w:b/>
          <w:sz w:val="22"/>
          <w:szCs w:val="22"/>
          <w:lang w:val="fr-CA"/>
        </w:rPr>
      </w:pPr>
    </w:p>
    <w:p w:rsidR="001C6059" w:rsidRPr="00331B57" w:rsidRDefault="001C6059" w:rsidP="00331B57">
      <w:pPr>
        <w:rPr>
          <w:rFonts w:ascii="Calibri" w:hAnsi="Calibri"/>
          <w:b/>
          <w:sz w:val="22"/>
          <w:szCs w:val="22"/>
          <w:lang w:val="fr-CA"/>
        </w:rPr>
      </w:pPr>
    </w:p>
    <w:p w:rsidR="001C6059" w:rsidRPr="0031650C" w:rsidRDefault="001C6059" w:rsidP="001C6059">
      <w:pPr>
        <w:jc w:val="right"/>
        <w:rPr>
          <w:rFonts w:ascii="Calibri" w:hAnsi="Calibri"/>
          <w:b/>
          <w:color w:val="FF0000"/>
          <w:sz w:val="18"/>
          <w:szCs w:val="18"/>
          <w:lang w:val="fr-CA"/>
        </w:rPr>
      </w:pPr>
    </w:p>
    <w:p w:rsidR="0031650C" w:rsidRPr="0031650C" w:rsidRDefault="0031650C" w:rsidP="001C6059">
      <w:pPr>
        <w:jc w:val="right"/>
        <w:rPr>
          <w:rFonts w:ascii="Calibri" w:hAnsi="Calibri"/>
          <w:b/>
          <w:color w:val="FF0000"/>
          <w:sz w:val="18"/>
          <w:szCs w:val="18"/>
          <w:lang w:val="fr-CA"/>
        </w:rPr>
      </w:pPr>
    </w:p>
    <w:p w:rsidR="0031650C" w:rsidRPr="001D1FD3" w:rsidRDefault="0031650C" w:rsidP="001C6059">
      <w:pPr>
        <w:jc w:val="right"/>
        <w:rPr>
          <w:rFonts w:ascii="Calibri" w:hAnsi="Calibri"/>
          <w:b/>
          <w:sz w:val="18"/>
          <w:szCs w:val="18"/>
          <w:lang w:val="fr-CA"/>
        </w:rPr>
      </w:pPr>
    </w:p>
    <w:p w:rsidR="0031650C" w:rsidRPr="001D1FD3" w:rsidRDefault="0031650C" w:rsidP="001C6059">
      <w:pPr>
        <w:jc w:val="right"/>
        <w:rPr>
          <w:rFonts w:ascii="Calibri" w:hAnsi="Calibri"/>
          <w:b/>
          <w:sz w:val="18"/>
          <w:szCs w:val="18"/>
          <w:lang w:val="fr-CA"/>
        </w:rPr>
      </w:pPr>
    </w:p>
    <w:p w:rsidR="001C6059" w:rsidRPr="001D1FD3" w:rsidRDefault="001C6059" w:rsidP="001C6059">
      <w:pPr>
        <w:jc w:val="right"/>
        <w:rPr>
          <w:rFonts w:ascii="Calibri" w:hAnsi="Calibri"/>
          <w:b/>
          <w:sz w:val="18"/>
          <w:szCs w:val="18"/>
          <w:lang w:val="fr-CA"/>
        </w:rPr>
      </w:pPr>
    </w:p>
    <w:p w:rsidR="0031650C" w:rsidRPr="001D1FD3" w:rsidRDefault="0031650C" w:rsidP="0031650C">
      <w:pPr>
        <w:jc w:val="both"/>
        <w:rPr>
          <w:rFonts w:ascii="Calibri" w:hAnsi="Calibri"/>
          <w:b/>
          <w:sz w:val="22"/>
          <w:szCs w:val="22"/>
          <w:lang w:val="fr-CA"/>
        </w:rPr>
      </w:pPr>
    </w:p>
    <w:p w:rsidR="0031650C" w:rsidRPr="001D1FD3" w:rsidRDefault="0031650C" w:rsidP="0031650C">
      <w:pPr>
        <w:jc w:val="center"/>
        <w:rPr>
          <w:rFonts w:ascii="Verdana" w:hAnsi="Verdana"/>
          <w:b/>
          <w:lang w:val="fr-CA"/>
        </w:rPr>
      </w:pPr>
      <w:r w:rsidRPr="001D1FD3">
        <w:rPr>
          <w:rFonts w:ascii="Verdana" w:hAnsi="Verdana"/>
          <w:b/>
          <w:lang w:val="fr-CA"/>
        </w:rPr>
        <w:t>EVALUATION A MI-PARCOURS</w:t>
      </w:r>
    </w:p>
    <w:p w:rsidR="0031650C" w:rsidRPr="001D1FD3" w:rsidRDefault="0031650C" w:rsidP="0031650C">
      <w:pPr>
        <w:jc w:val="center"/>
        <w:rPr>
          <w:rFonts w:ascii="Verdana" w:hAnsi="Verdana"/>
          <w:b/>
          <w:lang w:val="fr-CA"/>
        </w:rPr>
      </w:pPr>
      <w:r w:rsidRPr="001D1FD3">
        <w:rPr>
          <w:rFonts w:ascii="Verdana" w:hAnsi="Verdana"/>
          <w:b/>
          <w:lang w:val="fr-CA"/>
        </w:rPr>
        <w:t>DU PROGRAMME CONJOINT POUR</w:t>
      </w:r>
    </w:p>
    <w:p w:rsidR="0031650C" w:rsidRPr="001D1FD3" w:rsidRDefault="0031650C" w:rsidP="0031650C">
      <w:pPr>
        <w:jc w:val="center"/>
        <w:rPr>
          <w:rFonts w:ascii="Verdana" w:hAnsi="Verdana"/>
          <w:b/>
          <w:lang w:val="fr-CA"/>
        </w:rPr>
      </w:pPr>
    </w:p>
    <w:p w:rsidR="0031650C" w:rsidRPr="001D1FD3" w:rsidRDefault="0031650C" w:rsidP="0031650C">
      <w:pPr>
        <w:jc w:val="center"/>
        <w:rPr>
          <w:rFonts w:ascii="Verdana" w:hAnsi="Verdana"/>
          <w:b/>
          <w:lang w:val="fr-CA"/>
        </w:rPr>
      </w:pPr>
    </w:p>
    <w:p w:rsidR="0031650C" w:rsidRPr="001D1FD3" w:rsidRDefault="0031650C" w:rsidP="0031650C">
      <w:pPr>
        <w:jc w:val="center"/>
        <w:rPr>
          <w:rFonts w:ascii="Verdana" w:hAnsi="Verdana"/>
          <w:sz w:val="32"/>
          <w:szCs w:val="32"/>
          <w:lang w:val="fr-CA"/>
        </w:rPr>
      </w:pPr>
    </w:p>
    <w:p w:rsidR="0031650C" w:rsidRPr="001D1FD3" w:rsidRDefault="0031650C" w:rsidP="0031650C">
      <w:pPr>
        <w:jc w:val="center"/>
        <w:rPr>
          <w:rFonts w:ascii="Cambria" w:hAnsi="Cambria"/>
          <w:i/>
          <w:sz w:val="28"/>
          <w:szCs w:val="28"/>
          <w:lang w:val="fr-CA"/>
        </w:rPr>
      </w:pPr>
      <w:r w:rsidRPr="001D1FD3">
        <w:rPr>
          <w:rFonts w:ascii="Verdana" w:hAnsi="Verdana"/>
          <w:sz w:val="28"/>
          <w:szCs w:val="28"/>
          <w:lang w:val="fr-CA"/>
        </w:rPr>
        <w:t>«</w:t>
      </w:r>
      <w:r w:rsidRPr="001D1FD3">
        <w:rPr>
          <w:rFonts w:ascii="Cambria" w:hAnsi="Cambria"/>
          <w:i/>
          <w:sz w:val="28"/>
          <w:szCs w:val="28"/>
          <w:lang w:val="fr-CA"/>
        </w:rPr>
        <w:t xml:space="preserve">L’ÉGALITÉ ENTRE LES GENRES ET L’AUTONOMISATION DES </w:t>
      </w:r>
    </w:p>
    <w:p w:rsidR="0031650C" w:rsidRPr="001D1FD3" w:rsidRDefault="0031650C" w:rsidP="0031650C">
      <w:pPr>
        <w:jc w:val="center"/>
        <w:rPr>
          <w:rFonts w:ascii="Verdana" w:hAnsi="Verdana"/>
          <w:sz w:val="28"/>
          <w:szCs w:val="28"/>
          <w:lang w:val="fr-CA"/>
        </w:rPr>
      </w:pPr>
      <w:r w:rsidRPr="001D1FD3">
        <w:rPr>
          <w:rFonts w:ascii="Cambria" w:hAnsi="Cambria"/>
          <w:i/>
          <w:sz w:val="28"/>
          <w:szCs w:val="28"/>
          <w:lang w:val="fr-CA"/>
        </w:rPr>
        <w:t>FEMMES EN ALGÉRIE</w:t>
      </w:r>
      <w:r w:rsidRPr="001D1FD3">
        <w:rPr>
          <w:rFonts w:ascii="Verdana" w:hAnsi="Verdana"/>
          <w:sz w:val="28"/>
          <w:szCs w:val="28"/>
          <w:lang w:val="fr-CA"/>
        </w:rPr>
        <w:t> »</w:t>
      </w:r>
    </w:p>
    <w:p w:rsidR="0031650C" w:rsidRPr="001D1FD3" w:rsidRDefault="0031650C" w:rsidP="0031650C">
      <w:pPr>
        <w:jc w:val="center"/>
        <w:rPr>
          <w:rFonts w:ascii="Verdana" w:hAnsi="Verdana"/>
          <w:b/>
          <w:lang w:val="fr-CA"/>
        </w:rPr>
      </w:pPr>
    </w:p>
    <w:p w:rsidR="0031650C" w:rsidRPr="001D1FD3" w:rsidRDefault="0031650C" w:rsidP="0031650C">
      <w:pPr>
        <w:jc w:val="center"/>
        <w:rPr>
          <w:rFonts w:ascii="Verdana" w:hAnsi="Verdana"/>
          <w:b/>
          <w:lang w:val="fr-CA"/>
        </w:rPr>
      </w:pPr>
    </w:p>
    <w:p w:rsidR="0031650C" w:rsidRPr="001D1FD3" w:rsidRDefault="0031650C" w:rsidP="0031650C">
      <w:pPr>
        <w:jc w:val="center"/>
        <w:rPr>
          <w:rFonts w:ascii="Verdana" w:hAnsi="Verdana"/>
          <w:b/>
          <w:lang w:val="fr-CA"/>
        </w:rPr>
      </w:pPr>
      <w:r w:rsidRPr="001D1FD3">
        <w:rPr>
          <w:rFonts w:ascii="Verdana" w:hAnsi="Verdana"/>
          <w:b/>
          <w:lang w:val="fr-CA"/>
        </w:rPr>
        <w:t>REPUBLIQUE ALGERIENNE</w:t>
      </w:r>
    </w:p>
    <w:p w:rsidR="0031650C" w:rsidRPr="001D1FD3" w:rsidRDefault="0031650C" w:rsidP="0031650C">
      <w:pPr>
        <w:jc w:val="center"/>
        <w:rPr>
          <w:rFonts w:ascii="Verdana" w:hAnsi="Verdana"/>
          <w:b/>
          <w:lang w:val="fr-CA"/>
        </w:rPr>
      </w:pPr>
    </w:p>
    <w:p w:rsidR="0031650C" w:rsidRPr="001D1FD3" w:rsidRDefault="0031650C" w:rsidP="0031650C">
      <w:pPr>
        <w:jc w:val="center"/>
        <w:rPr>
          <w:rFonts w:ascii="Verdana" w:hAnsi="Verdana"/>
          <w:b/>
          <w:lang w:val="fr-CA"/>
        </w:rPr>
      </w:pPr>
    </w:p>
    <w:p w:rsidR="0031650C" w:rsidRDefault="0031650C" w:rsidP="0031650C">
      <w:pPr>
        <w:jc w:val="center"/>
        <w:rPr>
          <w:rFonts w:ascii="Verdana" w:hAnsi="Verdana"/>
          <w:b/>
          <w:lang w:val="fr-CA"/>
        </w:rPr>
      </w:pPr>
    </w:p>
    <w:p w:rsidR="00331B57" w:rsidRDefault="00331B57" w:rsidP="0031650C">
      <w:pPr>
        <w:jc w:val="center"/>
        <w:rPr>
          <w:rFonts w:ascii="Verdana" w:hAnsi="Verdana"/>
          <w:b/>
          <w:lang w:val="fr-CA"/>
        </w:rPr>
      </w:pPr>
    </w:p>
    <w:p w:rsidR="00331B57" w:rsidRDefault="00331B57" w:rsidP="0031650C">
      <w:pPr>
        <w:jc w:val="center"/>
        <w:rPr>
          <w:rFonts w:ascii="Verdana" w:hAnsi="Verdana"/>
          <w:b/>
          <w:lang w:val="fr-CA"/>
        </w:rPr>
      </w:pPr>
    </w:p>
    <w:p w:rsidR="00331B57" w:rsidRDefault="00331B57" w:rsidP="0031650C">
      <w:pPr>
        <w:jc w:val="center"/>
        <w:rPr>
          <w:rFonts w:ascii="Verdana" w:hAnsi="Verdana"/>
          <w:b/>
          <w:lang w:val="fr-CA"/>
        </w:rPr>
      </w:pPr>
    </w:p>
    <w:p w:rsidR="00331B57" w:rsidRPr="001D1FD3" w:rsidRDefault="00331B57" w:rsidP="0031650C">
      <w:pPr>
        <w:jc w:val="center"/>
        <w:rPr>
          <w:rFonts w:ascii="Verdana" w:hAnsi="Verdana"/>
          <w:b/>
          <w:lang w:val="fr-CA"/>
        </w:rPr>
      </w:pPr>
    </w:p>
    <w:p w:rsidR="0031650C" w:rsidRPr="001D1FD3" w:rsidRDefault="0031650C" w:rsidP="0031650C">
      <w:pPr>
        <w:jc w:val="center"/>
        <w:rPr>
          <w:rFonts w:ascii="Verdana" w:hAnsi="Verdana"/>
          <w:b/>
          <w:lang w:val="fr-CA"/>
        </w:rPr>
      </w:pPr>
    </w:p>
    <w:p w:rsidR="0031650C" w:rsidRPr="00331B57" w:rsidRDefault="0031650C" w:rsidP="0031650C">
      <w:pPr>
        <w:jc w:val="center"/>
        <w:rPr>
          <w:rFonts w:ascii="Verdana" w:hAnsi="Verdana"/>
          <w:b/>
          <w:sz w:val="28"/>
          <w:szCs w:val="28"/>
          <w:lang w:val="fr-CA"/>
        </w:rPr>
      </w:pPr>
      <w:r w:rsidRPr="00331B57">
        <w:rPr>
          <w:rFonts w:ascii="Verdana" w:hAnsi="Verdana"/>
          <w:b/>
          <w:sz w:val="28"/>
          <w:szCs w:val="28"/>
          <w:lang w:val="fr-CA"/>
        </w:rPr>
        <w:t xml:space="preserve">RAPPORT </w:t>
      </w:r>
      <w:r w:rsidR="00AE0E84">
        <w:rPr>
          <w:rFonts w:ascii="Verdana" w:hAnsi="Verdana"/>
          <w:b/>
          <w:sz w:val="28"/>
          <w:szCs w:val="28"/>
          <w:lang w:val="fr-CA"/>
        </w:rPr>
        <w:t xml:space="preserve">FINAL </w:t>
      </w:r>
      <w:r w:rsidR="00331B57" w:rsidRPr="00331B57">
        <w:rPr>
          <w:rFonts w:ascii="Verdana" w:hAnsi="Verdana"/>
          <w:b/>
          <w:sz w:val="28"/>
          <w:szCs w:val="28"/>
          <w:lang w:val="fr-CA"/>
        </w:rPr>
        <w:t>D’EVALUATION</w:t>
      </w:r>
    </w:p>
    <w:p w:rsidR="0031650C" w:rsidRPr="00331B57" w:rsidRDefault="0031650C" w:rsidP="0031650C">
      <w:pPr>
        <w:jc w:val="center"/>
        <w:rPr>
          <w:rFonts w:ascii="Verdana" w:hAnsi="Verdana"/>
          <w:color w:val="FF0000"/>
          <w:sz w:val="28"/>
          <w:szCs w:val="28"/>
          <w:lang w:val="fr-CA"/>
        </w:rPr>
      </w:pPr>
    </w:p>
    <w:p w:rsidR="0031650C" w:rsidRPr="0031650C" w:rsidRDefault="0031650C" w:rsidP="0031650C">
      <w:pPr>
        <w:jc w:val="center"/>
        <w:rPr>
          <w:rFonts w:ascii="Verdana" w:hAnsi="Verdana"/>
          <w:b/>
          <w:color w:val="FF0000"/>
          <w:sz w:val="22"/>
          <w:szCs w:val="22"/>
          <w:lang w:val="fr-CA"/>
        </w:rPr>
      </w:pPr>
    </w:p>
    <w:p w:rsidR="001C6059" w:rsidRPr="0031650C" w:rsidRDefault="001C6059" w:rsidP="001C6059">
      <w:pPr>
        <w:jc w:val="right"/>
        <w:rPr>
          <w:rFonts w:ascii="Calibri" w:hAnsi="Calibri"/>
          <w:b/>
          <w:color w:val="FF0000"/>
          <w:sz w:val="18"/>
          <w:szCs w:val="18"/>
          <w:lang w:val="fr-CA"/>
        </w:rPr>
      </w:pPr>
    </w:p>
    <w:p w:rsidR="001C6059" w:rsidRDefault="001C6059" w:rsidP="001C6059">
      <w:pPr>
        <w:jc w:val="right"/>
        <w:rPr>
          <w:rFonts w:ascii="Calibri" w:hAnsi="Calibri"/>
          <w:b/>
          <w:color w:val="FF0000"/>
          <w:sz w:val="18"/>
          <w:szCs w:val="18"/>
          <w:lang w:val="fr-CA"/>
        </w:rPr>
      </w:pPr>
    </w:p>
    <w:p w:rsidR="00331B57" w:rsidRDefault="00331B57" w:rsidP="001C6059">
      <w:pPr>
        <w:jc w:val="right"/>
        <w:rPr>
          <w:rFonts w:ascii="Calibri" w:hAnsi="Calibri"/>
          <w:b/>
          <w:color w:val="FF0000"/>
          <w:sz w:val="18"/>
          <w:szCs w:val="18"/>
          <w:lang w:val="fr-CA"/>
        </w:rPr>
      </w:pPr>
    </w:p>
    <w:p w:rsidR="00331B57" w:rsidRDefault="00331B57" w:rsidP="001C6059">
      <w:pPr>
        <w:jc w:val="right"/>
        <w:rPr>
          <w:rFonts w:ascii="Calibri" w:hAnsi="Calibri"/>
          <w:b/>
          <w:color w:val="FF0000"/>
          <w:sz w:val="18"/>
          <w:szCs w:val="18"/>
          <w:lang w:val="fr-CA"/>
        </w:rPr>
      </w:pPr>
    </w:p>
    <w:p w:rsidR="00331B57" w:rsidRDefault="00331B57" w:rsidP="001C6059">
      <w:pPr>
        <w:jc w:val="right"/>
        <w:rPr>
          <w:rFonts w:ascii="Calibri" w:hAnsi="Calibri"/>
          <w:b/>
          <w:color w:val="FF0000"/>
          <w:sz w:val="18"/>
          <w:szCs w:val="18"/>
          <w:lang w:val="fr-CA"/>
        </w:rPr>
      </w:pPr>
    </w:p>
    <w:p w:rsidR="00331B57" w:rsidRPr="0031650C" w:rsidRDefault="00331B57" w:rsidP="001C6059">
      <w:pPr>
        <w:jc w:val="right"/>
        <w:rPr>
          <w:rFonts w:ascii="Calibri" w:hAnsi="Calibri"/>
          <w:b/>
          <w:color w:val="FF0000"/>
          <w:sz w:val="18"/>
          <w:szCs w:val="18"/>
          <w:lang w:val="fr-CA"/>
        </w:rPr>
      </w:pPr>
    </w:p>
    <w:p w:rsidR="001C6059" w:rsidRPr="0031650C" w:rsidRDefault="001C6059" w:rsidP="001C6059">
      <w:pPr>
        <w:jc w:val="right"/>
        <w:rPr>
          <w:rFonts w:ascii="Calibri" w:hAnsi="Calibri"/>
          <w:b/>
          <w:color w:val="FF0000"/>
          <w:sz w:val="18"/>
          <w:szCs w:val="18"/>
          <w:lang w:val="fr-CA"/>
        </w:rPr>
      </w:pPr>
    </w:p>
    <w:p w:rsidR="001C6059" w:rsidRPr="00B800A4" w:rsidRDefault="001C6059" w:rsidP="001C6059">
      <w:pPr>
        <w:jc w:val="right"/>
        <w:rPr>
          <w:rFonts w:ascii="Calibri" w:hAnsi="Calibri"/>
          <w:b/>
          <w:sz w:val="18"/>
          <w:szCs w:val="18"/>
          <w:lang w:val="fr-CA"/>
        </w:rPr>
      </w:pPr>
    </w:p>
    <w:p w:rsidR="001C6059" w:rsidRPr="00B800A4" w:rsidRDefault="001C6059" w:rsidP="001C6059">
      <w:pPr>
        <w:jc w:val="right"/>
        <w:rPr>
          <w:rFonts w:ascii="Calibri" w:hAnsi="Calibri"/>
          <w:b/>
          <w:sz w:val="18"/>
          <w:szCs w:val="18"/>
          <w:lang w:val="fr-CA"/>
        </w:rPr>
      </w:pPr>
    </w:p>
    <w:p w:rsidR="001C6059" w:rsidRPr="00B800A4" w:rsidRDefault="001C6059" w:rsidP="001C6059">
      <w:pPr>
        <w:rPr>
          <w:rFonts w:ascii="Calibri" w:hAnsi="Calibri"/>
          <w:b/>
          <w:sz w:val="18"/>
          <w:szCs w:val="18"/>
          <w:lang w:val="fr-CA"/>
        </w:rPr>
      </w:pPr>
    </w:p>
    <w:p w:rsidR="001C6059" w:rsidRPr="00B800A4" w:rsidRDefault="00D43C35" w:rsidP="001C6059">
      <w:pPr>
        <w:jc w:val="right"/>
        <w:rPr>
          <w:rFonts w:ascii="Calibri" w:hAnsi="Calibri"/>
          <w:b/>
          <w:sz w:val="20"/>
          <w:szCs w:val="20"/>
          <w:lang w:val="fr-CA"/>
        </w:rPr>
      </w:pPr>
      <w:r w:rsidRPr="00B800A4">
        <w:rPr>
          <w:rFonts w:ascii="Calibri" w:hAnsi="Calibri"/>
          <w:b/>
          <w:sz w:val="20"/>
          <w:szCs w:val="20"/>
          <w:lang w:val="fr-CA"/>
        </w:rPr>
        <w:t>Maria Donnat</w:t>
      </w:r>
    </w:p>
    <w:p w:rsidR="001C6059" w:rsidRPr="00B800A4" w:rsidRDefault="00D43C35" w:rsidP="001C6059">
      <w:pPr>
        <w:jc w:val="right"/>
        <w:rPr>
          <w:rFonts w:ascii="Calibri" w:hAnsi="Calibri"/>
          <w:b/>
          <w:sz w:val="20"/>
          <w:szCs w:val="20"/>
          <w:lang w:val="fr-CA"/>
        </w:rPr>
      </w:pPr>
      <w:r w:rsidRPr="00B800A4">
        <w:rPr>
          <w:rFonts w:ascii="Calibri" w:hAnsi="Calibri"/>
          <w:b/>
          <w:sz w:val="20"/>
          <w:szCs w:val="20"/>
          <w:lang w:val="fr-CA"/>
        </w:rPr>
        <w:t>Consultante i</w:t>
      </w:r>
      <w:r w:rsidR="001C6059" w:rsidRPr="00B800A4">
        <w:rPr>
          <w:rFonts w:ascii="Calibri" w:hAnsi="Calibri"/>
          <w:b/>
          <w:sz w:val="20"/>
          <w:szCs w:val="20"/>
          <w:lang w:val="fr-CA"/>
        </w:rPr>
        <w:t>nternational</w:t>
      </w:r>
      <w:r w:rsidRPr="00B800A4">
        <w:rPr>
          <w:rFonts w:ascii="Calibri" w:hAnsi="Calibri"/>
          <w:b/>
          <w:sz w:val="20"/>
          <w:szCs w:val="20"/>
          <w:lang w:val="fr-CA"/>
        </w:rPr>
        <w:t>e</w:t>
      </w:r>
    </w:p>
    <w:p w:rsidR="001C6059" w:rsidRPr="00B800A4" w:rsidRDefault="00D43C35" w:rsidP="001C6059">
      <w:pPr>
        <w:jc w:val="right"/>
        <w:rPr>
          <w:rFonts w:ascii="Calibri" w:hAnsi="Calibri"/>
          <w:b/>
          <w:sz w:val="20"/>
          <w:szCs w:val="20"/>
          <w:lang w:val="fr-CA"/>
        </w:rPr>
      </w:pPr>
      <w:r w:rsidRPr="00B800A4">
        <w:rPr>
          <w:rFonts w:ascii="Calibri" w:hAnsi="Calibri"/>
          <w:b/>
          <w:sz w:val="20"/>
          <w:szCs w:val="20"/>
          <w:lang w:val="fr-CA"/>
        </w:rPr>
        <w:t xml:space="preserve">New York,  </w:t>
      </w:r>
      <w:r w:rsidR="00331B57">
        <w:rPr>
          <w:rFonts w:ascii="Calibri" w:hAnsi="Calibri"/>
          <w:b/>
          <w:sz w:val="20"/>
          <w:szCs w:val="20"/>
          <w:lang w:val="fr-CA"/>
        </w:rPr>
        <w:t>février</w:t>
      </w:r>
      <w:r w:rsidR="00402E4F" w:rsidRPr="00B800A4">
        <w:rPr>
          <w:rFonts w:ascii="Calibri" w:hAnsi="Calibri"/>
          <w:b/>
          <w:sz w:val="20"/>
          <w:szCs w:val="20"/>
          <w:lang w:val="fr-CA"/>
        </w:rPr>
        <w:t xml:space="preserve"> 2012</w:t>
      </w:r>
    </w:p>
    <w:p w:rsidR="001C6059" w:rsidRPr="00B800A4" w:rsidRDefault="001C6059" w:rsidP="001C6059">
      <w:pPr>
        <w:rPr>
          <w:rFonts w:ascii="Calibri" w:hAnsi="Calibri"/>
          <w:b/>
          <w:sz w:val="20"/>
          <w:szCs w:val="20"/>
          <w:lang w:val="fr-CA"/>
        </w:rPr>
      </w:pPr>
    </w:p>
    <w:p w:rsidR="001C6059" w:rsidRPr="00B800A4" w:rsidRDefault="001C6059" w:rsidP="001C6059">
      <w:pPr>
        <w:rPr>
          <w:rFonts w:ascii="Calibri" w:hAnsi="Calibri"/>
          <w:b/>
          <w:sz w:val="20"/>
          <w:szCs w:val="20"/>
          <w:lang w:val="fr-CA"/>
        </w:rPr>
      </w:pPr>
    </w:p>
    <w:p w:rsidR="001C6059" w:rsidRPr="002D4EAC" w:rsidRDefault="00B800A4" w:rsidP="00331B57">
      <w:pPr>
        <w:rPr>
          <w:rFonts w:ascii="Calibri" w:hAnsi="Calibri"/>
          <w:b/>
          <w:sz w:val="22"/>
          <w:szCs w:val="22"/>
          <w:lang w:val="fr-CA"/>
        </w:rPr>
      </w:pPr>
      <w:r>
        <w:rPr>
          <w:rFonts w:ascii="Calibri" w:hAnsi="Calibri"/>
          <w:b/>
          <w:color w:val="FF0000"/>
          <w:sz w:val="22"/>
          <w:szCs w:val="22"/>
          <w:lang w:val="fr-CA"/>
        </w:rPr>
        <w:br w:type="page"/>
      </w:r>
      <w:r w:rsidR="001C6059" w:rsidRPr="002D4EAC">
        <w:rPr>
          <w:rFonts w:ascii="Calibri" w:hAnsi="Calibri"/>
          <w:b/>
          <w:sz w:val="22"/>
          <w:szCs w:val="22"/>
          <w:lang w:val="fr-CA"/>
        </w:rPr>
        <w:lastRenderedPageBreak/>
        <w:t>SOMMAIRE</w:t>
      </w:r>
    </w:p>
    <w:p w:rsidR="001C6059" w:rsidRPr="0031650C" w:rsidRDefault="001C6059" w:rsidP="001C6059">
      <w:pPr>
        <w:rPr>
          <w:rFonts w:ascii="Calibri" w:hAnsi="Calibri"/>
          <w:b/>
          <w:color w:val="FF0000"/>
          <w:sz w:val="22"/>
          <w:szCs w:val="22"/>
          <w:lang w:val="fr-CA"/>
        </w:rPr>
      </w:pPr>
    </w:p>
    <w:p w:rsidR="001C6059" w:rsidRPr="0031650C" w:rsidRDefault="001C6059" w:rsidP="001C6059">
      <w:pPr>
        <w:rPr>
          <w:rFonts w:ascii="Calibri" w:hAnsi="Calibri"/>
          <w:b/>
          <w:color w:val="FF0000"/>
          <w:sz w:val="22"/>
          <w:szCs w:val="22"/>
          <w:lang w:val="fr-CA"/>
        </w:rPr>
      </w:pPr>
    </w:p>
    <w:p w:rsidR="001C6059" w:rsidRPr="0031650C" w:rsidRDefault="001C6059" w:rsidP="001C6059">
      <w:pPr>
        <w:rPr>
          <w:rFonts w:ascii="Calibri" w:hAnsi="Calibri"/>
          <w:b/>
          <w:color w:val="FF0000"/>
          <w:sz w:val="22"/>
          <w:szCs w:val="22"/>
          <w:lang w:val="fr-CA"/>
        </w:rPr>
      </w:pPr>
    </w:p>
    <w:p w:rsidR="004D5A29" w:rsidRPr="004D5A29" w:rsidRDefault="00743B59">
      <w:pPr>
        <w:pStyle w:val="TOC1"/>
        <w:rPr>
          <w:rFonts w:asciiTheme="minorHAnsi" w:eastAsiaTheme="minorEastAsia" w:hAnsiTheme="minorHAnsi" w:cstheme="minorBidi"/>
          <w:b w:val="0"/>
          <w:bCs w:val="0"/>
          <w:caps w:val="0"/>
          <w:noProof/>
          <w:sz w:val="22"/>
          <w:szCs w:val="22"/>
          <w:lang w:val="fr-FR"/>
        </w:rPr>
      </w:pPr>
      <w:r w:rsidRPr="0031650C">
        <w:rPr>
          <w:color w:val="FF0000"/>
          <w:sz w:val="22"/>
          <w:szCs w:val="22"/>
          <w:lang w:val="fr-CA"/>
        </w:rPr>
        <w:fldChar w:fldCharType="begin"/>
      </w:r>
      <w:r w:rsidR="00C412FC" w:rsidRPr="0031650C">
        <w:rPr>
          <w:color w:val="FF0000"/>
          <w:sz w:val="22"/>
          <w:szCs w:val="22"/>
          <w:lang w:val="fr-CA"/>
        </w:rPr>
        <w:instrText xml:space="preserve"> TOC \o "1-5" \u </w:instrText>
      </w:r>
      <w:r w:rsidRPr="0031650C">
        <w:rPr>
          <w:color w:val="FF0000"/>
          <w:sz w:val="22"/>
          <w:szCs w:val="22"/>
          <w:lang w:val="fr-CA"/>
        </w:rPr>
        <w:fldChar w:fldCharType="separate"/>
      </w:r>
      <w:r w:rsidR="004D5A29" w:rsidRPr="00A01CDF">
        <w:rPr>
          <w:noProof/>
          <w:lang w:val="fr-CA"/>
        </w:rPr>
        <w:t>RÉSUMÉ EXÉCUTIF</w:t>
      </w:r>
      <w:r w:rsidR="004D5A29" w:rsidRPr="004D5A29">
        <w:rPr>
          <w:noProof/>
          <w:lang w:val="fr-FR"/>
        </w:rPr>
        <w:tab/>
      </w:r>
      <w:r>
        <w:rPr>
          <w:noProof/>
        </w:rPr>
        <w:fldChar w:fldCharType="begin"/>
      </w:r>
      <w:r w:rsidR="004D5A29" w:rsidRPr="004D5A29">
        <w:rPr>
          <w:noProof/>
          <w:lang w:val="fr-FR"/>
        </w:rPr>
        <w:instrText xml:space="preserve"> PAGEREF _Toc322341995 \h </w:instrText>
      </w:r>
      <w:r>
        <w:rPr>
          <w:noProof/>
        </w:rPr>
      </w:r>
      <w:r>
        <w:rPr>
          <w:noProof/>
        </w:rPr>
        <w:fldChar w:fldCharType="separate"/>
      </w:r>
      <w:r w:rsidR="0052245B">
        <w:rPr>
          <w:noProof/>
          <w:lang w:val="fr-FR"/>
        </w:rPr>
        <w:t>3</w:t>
      </w:r>
      <w:r>
        <w:rPr>
          <w:noProof/>
        </w:rPr>
        <w:fldChar w:fldCharType="end"/>
      </w:r>
    </w:p>
    <w:p w:rsidR="004D5A29" w:rsidRPr="004D5A29" w:rsidRDefault="004D5A29">
      <w:pPr>
        <w:pStyle w:val="TOC1"/>
        <w:rPr>
          <w:rFonts w:asciiTheme="minorHAnsi" w:eastAsiaTheme="minorEastAsia" w:hAnsiTheme="minorHAnsi" w:cstheme="minorBidi"/>
          <w:b w:val="0"/>
          <w:bCs w:val="0"/>
          <w:caps w:val="0"/>
          <w:noProof/>
          <w:sz w:val="22"/>
          <w:szCs w:val="22"/>
          <w:lang w:val="fr-FR"/>
        </w:rPr>
      </w:pPr>
      <w:r w:rsidRPr="00A01CDF">
        <w:rPr>
          <w:noProof/>
          <w:lang w:val="fr-CA"/>
        </w:rPr>
        <w:t>I.</w:t>
      </w:r>
      <w:r w:rsidRPr="004D5A29">
        <w:rPr>
          <w:rFonts w:asciiTheme="minorHAnsi" w:eastAsiaTheme="minorEastAsia" w:hAnsiTheme="minorHAnsi" w:cstheme="minorBidi"/>
          <w:b w:val="0"/>
          <w:bCs w:val="0"/>
          <w:caps w:val="0"/>
          <w:noProof/>
          <w:sz w:val="22"/>
          <w:szCs w:val="22"/>
          <w:lang w:val="fr-FR"/>
        </w:rPr>
        <w:tab/>
      </w:r>
      <w:r w:rsidRPr="00A01CDF">
        <w:rPr>
          <w:noProof/>
          <w:lang w:val="fr-CA"/>
        </w:rPr>
        <w:t>Introduction</w:t>
      </w:r>
      <w:r w:rsidRPr="004D5A29">
        <w:rPr>
          <w:noProof/>
          <w:lang w:val="fr-FR"/>
        </w:rPr>
        <w:tab/>
      </w:r>
      <w:r w:rsidR="00743B59">
        <w:rPr>
          <w:noProof/>
        </w:rPr>
        <w:fldChar w:fldCharType="begin"/>
      </w:r>
      <w:r w:rsidRPr="004D5A29">
        <w:rPr>
          <w:noProof/>
          <w:lang w:val="fr-FR"/>
        </w:rPr>
        <w:instrText xml:space="preserve"> PAGEREF _Toc322341996 \h </w:instrText>
      </w:r>
      <w:r w:rsidR="00743B59">
        <w:rPr>
          <w:noProof/>
        </w:rPr>
      </w:r>
      <w:r w:rsidR="00743B59">
        <w:rPr>
          <w:noProof/>
        </w:rPr>
        <w:fldChar w:fldCharType="separate"/>
      </w:r>
      <w:r w:rsidR="0052245B">
        <w:rPr>
          <w:noProof/>
          <w:lang w:val="fr-FR"/>
        </w:rPr>
        <w:t>7</w:t>
      </w:r>
      <w:r w:rsidR="00743B59">
        <w:rPr>
          <w:noProof/>
        </w:rPr>
        <w:fldChar w:fldCharType="end"/>
      </w:r>
    </w:p>
    <w:p w:rsidR="004D5A29" w:rsidRPr="004D5A29" w:rsidRDefault="004D5A29">
      <w:pPr>
        <w:pStyle w:val="TOC2"/>
        <w:tabs>
          <w:tab w:val="left" w:pos="720"/>
          <w:tab w:val="right" w:leader="dot" w:pos="9129"/>
        </w:tabs>
        <w:rPr>
          <w:rFonts w:asciiTheme="minorHAnsi" w:eastAsiaTheme="minorEastAsia" w:hAnsiTheme="minorHAnsi" w:cstheme="minorBidi"/>
          <w:smallCaps w:val="0"/>
          <w:noProof/>
          <w:sz w:val="22"/>
          <w:szCs w:val="22"/>
          <w:lang w:val="fr-FR"/>
        </w:rPr>
      </w:pPr>
      <w:r w:rsidRPr="004D5A29">
        <w:rPr>
          <w:noProof/>
          <w:lang w:val="fr-FR"/>
        </w:rPr>
        <w:t>1.</w:t>
      </w:r>
      <w:r w:rsidRPr="004D5A29">
        <w:rPr>
          <w:rFonts w:asciiTheme="minorHAnsi" w:eastAsiaTheme="minorEastAsia" w:hAnsiTheme="minorHAnsi" w:cstheme="minorBidi"/>
          <w:smallCaps w:val="0"/>
          <w:noProof/>
          <w:sz w:val="22"/>
          <w:szCs w:val="22"/>
          <w:lang w:val="fr-FR"/>
        </w:rPr>
        <w:tab/>
      </w:r>
      <w:r w:rsidRPr="004D5A29">
        <w:rPr>
          <w:noProof/>
          <w:lang w:val="fr-FR"/>
        </w:rPr>
        <w:t>Le contexte de l’évaluation</w:t>
      </w:r>
      <w:r w:rsidRPr="004D5A29">
        <w:rPr>
          <w:noProof/>
          <w:lang w:val="fr-FR"/>
        </w:rPr>
        <w:tab/>
      </w:r>
      <w:r w:rsidR="00743B59">
        <w:rPr>
          <w:noProof/>
        </w:rPr>
        <w:fldChar w:fldCharType="begin"/>
      </w:r>
      <w:r w:rsidRPr="004D5A29">
        <w:rPr>
          <w:noProof/>
          <w:lang w:val="fr-FR"/>
        </w:rPr>
        <w:instrText xml:space="preserve"> PAGEREF _Toc322341997 \h </w:instrText>
      </w:r>
      <w:r w:rsidR="00743B59">
        <w:rPr>
          <w:noProof/>
        </w:rPr>
      </w:r>
      <w:r w:rsidR="00743B59">
        <w:rPr>
          <w:noProof/>
        </w:rPr>
        <w:fldChar w:fldCharType="separate"/>
      </w:r>
      <w:r w:rsidR="0052245B">
        <w:rPr>
          <w:noProof/>
          <w:lang w:val="fr-FR"/>
        </w:rPr>
        <w:t>7</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a.</w:t>
      </w:r>
      <w:r w:rsidRPr="004D5A29">
        <w:rPr>
          <w:rFonts w:asciiTheme="minorHAnsi" w:eastAsiaTheme="minorEastAsia" w:hAnsiTheme="minorHAnsi" w:cstheme="minorBidi"/>
          <w:i w:val="0"/>
          <w:iCs w:val="0"/>
          <w:noProof/>
          <w:sz w:val="22"/>
          <w:szCs w:val="22"/>
          <w:lang w:val="fr-FR"/>
        </w:rPr>
        <w:tab/>
      </w:r>
      <w:r w:rsidRPr="004D5A29">
        <w:rPr>
          <w:noProof/>
          <w:lang w:val="fr-FR"/>
        </w:rPr>
        <w:t>Le contexte général du pays</w:t>
      </w:r>
      <w:r w:rsidRPr="004D5A29">
        <w:rPr>
          <w:noProof/>
          <w:lang w:val="fr-FR"/>
        </w:rPr>
        <w:tab/>
      </w:r>
      <w:r w:rsidR="00743B59">
        <w:rPr>
          <w:noProof/>
        </w:rPr>
        <w:fldChar w:fldCharType="begin"/>
      </w:r>
      <w:r w:rsidRPr="004D5A29">
        <w:rPr>
          <w:noProof/>
          <w:lang w:val="fr-FR"/>
        </w:rPr>
        <w:instrText xml:space="preserve"> PAGEREF _Toc322341998 \h </w:instrText>
      </w:r>
      <w:r w:rsidR="00743B59">
        <w:rPr>
          <w:noProof/>
        </w:rPr>
      </w:r>
      <w:r w:rsidR="00743B59">
        <w:rPr>
          <w:noProof/>
        </w:rPr>
        <w:fldChar w:fldCharType="separate"/>
      </w:r>
      <w:r w:rsidR="0052245B">
        <w:rPr>
          <w:noProof/>
          <w:lang w:val="fr-FR"/>
        </w:rPr>
        <w:t>7</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b.</w:t>
      </w:r>
      <w:r w:rsidRPr="004D5A29">
        <w:rPr>
          <w:rFonts w:asciiTheme="minorHAnsi" w:eastAsiaTheme="minorEastAsia" w:hAnsiTheme="minorHAnsi" w:cstheme="minorBidi"/>
          <w:i w:val="0"/>
          <w:iCs w:val="0"/>
          <w:noProof/>
          <w:sz w:val="22"/>
          <w:szCs w:val="22"/>
          <w:lang w:val="fr-FR"/>
        </w:rPr>
        <w:tab/>
      </w:r>
      <w:r w:rsidRPr="004D5A29">
        <w:rPr>
          <w:noProof/>
          <w:lang w:val="fr-FR"/>
        </w:rPr>
        <w:t>La problématique genre en Algérie</w:t>
      </w:r>
      <w:r w:rsidRPr="004D5A29">
        <w:rPr>
          <w:noProof/>
          <w:lang w:val="fr-FR"/>
        </w:rPr>
        <w:tab/>
      </w:r>
      <w:r w:rsidR="00743B59">
        <w:rPr>
          <w:noProof/>
        </w:rPr>
        <w:fldChar w:fldCharType="begin"/>
      </w:r>
      <w:r w:rsidRPr="004D5A29">
        <w:rPr>
          <w:noProof/>
          <w:lang w:val="fr-FR"/>
        </w:rPr>
        <w:instrText xml:space="preserve"> PAGEREF _Toc322341999 \h </w:instrText>
      </w:r>
      <w:r w:rsidR="00743B59">
        <w:rPr>
          <w:noProof/>
        </w:rPr>
      </w:r>
      <w:r w:rsidR="00743B59">
        <w:rPr>
          <w:noProof/>
        </w:rPr>
        <w:fldChar w:fldCharType="separate"/>
      </w:r>
      <w:r w:rsidR="0052245B">
        <w:rPr>
          <w:noProof/>
          <w:lang w:val="fr-FR"/>
        </w:rPr>
        <w:t>10</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c.</w:t>
      </w:r>
      <w:r w:rsidRPr="004D5A29">
        <w:rPr>
          <w:rFonts w:asciiTheme="minorHAnsi" w:eastAsiaTheme="minorEastAsia" w:hAnsiTheme="minorHAnsi" w:cstheme="minorBidi"/>
          <w:i w:val="0"/>
          <w:iCs w:val="0"/>
          <w:noProof/>
          <w:sz w:val="22"/>
          <w:szCs w:val="22"/>
          <w:lang w:val="fr-FR"/>
        </w:rPr>
        <w:tab/>
      </w:r>
      <w:r w:rsidRPr="004D5A29">
        <w:rPr>
          <w:noProof/>
          <w:lang w:val="fr-FR"/>
        </w:rPr>
        <w:t>Les Nations Unies en Algérie</w:t>
      </w:r>
      <w:r w:rsidRPr="004D5A29">
        <w:rPr>
          <w:noProof/>
          <w:lang w:val="fr-FR"/>
        </w:rPr>
        <w:tab/>
      </w:r>
      <w:r w:rsidR="00743B59">
        <w:rPr>
          <w:noProof/>
        </w:rPr>
        <w:fldChar w:fldCharType="begin"/>
      </w:r>
      <w:r w:rsidRPr="004D5A29">
        <w:rPr>
          <w:noProof/>
          <w:lang w:val="fr-FR"/>
        </w:rPr>
        <w:instrText xml:space="preserve"> PAGEREF _Toc322342000 \h </w:instrText>
      </w:r>
      <w:r w:rsidR="00743B59">
        <w:rPr>
          <w:noProof/>
        </w:rPr>
      </w:r>
      <w:r w:rsidR="00743B59">
        <w:rPr>
          <w:noProof/>
        </w:rPr>
        <w:fldChar w:fldCharType="separate"/>
      </w:r>
      <w:r w:rsidR="0052245B">
        <w:rPr>
          <w:noProof/>
          <w:lang w:val="fr-FR"/>
        </w:rPr>
        <w:t>11</w:t>
      </w:r>
      <w:r w:rsidR="00743B59">
        <w:rPr>
          <w:noProof/>
        </w:rPr>
        <w:fldChar w:fldCharType="end"/>
      </w:r>
    </w:p>
    <w:p w:rsidR="004D5A29" w:rsidRPr="004D5A29" w:rsidRDefault="004D5A29">
      <w:pPr>
        <w:pStyle w:val="TOC2"/>
        <w:tabs>
          <w:tab w:val="left" w:pos="720"/>
          <w:tab w:val="right" w:leader="dot" w:pos="9129"/>
        </w:tabs>
        <w:rPr>
          <w:rFonts w:asciiTheme="minorHAnsi" w:eastAsiaTheme="minorEastAsia" w:hAnsiTheme="minorHAnsi" w:cstheme="minorBidi"/>
          <w:smallCaps w:val="0"/>
          <w:noProof/>
          <w:sz w:val="22"/>
          <w:szCs w:val="22"/>
          <w:lang w:val="fr-FR"/>
        </w:rPr>
      </w:pPr>
      <w:r w:rsidRPr="004D5A29">
        <w:rPr>
          <w:noProof/>
          <w:lang w:val="fr-FR"/>
        </w:rPr>
        <w:t>2.</w:t>
      </w:r>
      <w:r w:rsidRPr="004D5A29">
        <w:rPr>
          <w:rFonts w:asciiTheme="minorHAnsi" w:eastAsiaTheme="minorEastAsia" w:hAnsiTheme="minorHAnsi" w:cstheme="minorBidi"/>
          <w:smallCaps w:val="0"/>
          <w:noProof/>
          <w:sz w:val="22"/>
          <w:szCs w:val="22"/>
          <w:lang w:val="fr-FR"/>
        </w:rPr>
        <w:tab/>
      </w:r>
      <w:r w:rsidRPr="004D5A29">
        <w:rPr>
          <w:noProof/>
          <w:lang w:val="fr-FR"/>
        </w:rPr>
        <w:t>Les objectifs de l’évaluation</w:t>
      </w:r>
      <w:r w:rsidRPr="004D5A29">
        <w:rPr>
          <w:noProof/>
          <w:lang w:val="fr-FR"/>
        </w:rPr>
        <w:tab/>
      </w:r>
      <w:r w:rsidR="00743B59">
        <w:rPr>
          <w:noProof/>
        </w:rPr>
        <w:fldChar w:fldCharType="begin"/>
      </w:r>
      <w:r w:rsidRPr="004D5A29">
        <w:rPr>
          <w:noProof/>
          <w:lang w:val="fr-FR"/>
        </w:rPr>
        <w:instrText xml:space="preserve"> PAGEREF _Toc322342001 \h </w:instrText>
      </w:r>
      <w:r w:rsidR="00743B59">
        <w:rPr>
          <w:noProof/>
        </w:rPr>
      </w:r>
      <w:r w:rsidR="00743B59">
        <w:rPr>
          <w:noProof/>
        </w:rPr>
        <w:fldChar w:fldCharType="separate"/>
      </w:r>
      <w:r w:rsidR="0052245B">
        <w:rPr>
          <w:noProof/>
          <w:lang w:val="fr-FR"/>
        </w:rPr>
        <w:t>12</w:t>
      </w:r>
      <w:r w:rsidR="00743B59">
        <w:rPr>
          <w:noProof/>
        </w:rPr>
        <w:fldChar w:fldCharType="end"/>
      </w:r>
    </w:p>
    <w:p w:rsidR="004D5A29" w:rsidRPr="004D5A29" w:rsidRDefault="004D5A29">
      <w:pPr>
        <w:pStyle w:val="TOC2"/>
        <w:tabs>
          <w:tab w:val="left" w:pos="720"/>
          <w:tab w:val="right" w:leader="dot" w:pos="9129"/>
        </w:tabs>
        <w:rPr>
          <w:rFonts w:asciiTheme="minorHAnsi" w:eastAsiaTheme="minorEastAsia" w:hAnsiTheme="minorHAnsi" w:cstheme="minorBidi"/>
          <w:smallCaps w:val="0"/>
          <w:noProof/>
          <w:sz w:val="22"/>
          <w:szCs w:val="22"/>
          <w:lang w:val="fr-FR"/>
        </w:rPr>
      </w:pPr>
      <w:r w:rsidRPr="004D5A29">
        <w:rPr>
          <w:noProof/>
          <w:lang w:val="fr-FR"/>
        </w:rPr>
        <w:t>3.</w:t>
      </w:r>
      <w:r w:rsidRPr="004D5A29">
        <w:rPr>
          <w:rFonts w:asciiTheme="minorHAnsi" w:eastAsiaTheme="minorEastAsia" w:hAnsiTheme="minorHAnsi" w:cstheme="minorBidi"/>
          <w:smallCaps w:val="0"/>
          <w:noProof/>
          <w:sz w:val="22"/>
          <w:szCs w:val="22"/>
          <w:lang w:val="fr-FR"/>
        </w:rPr>
        <w:tab/>
      </w:r>
      <w:r w:rsidRPr="004D5A29">
        <w:rPr>
          <w:noProof/>
          <w:lang w:val="fr-FR"/>
        </w:rPr>
        <w:t>La méthodologie de l’évaluation</w:t>
      </w:r>
      <w:r w:rsidRPr="004D5A29">
        <w:rPr>
          <w:noProof/>
          <w:lang w:val="fr-FR"/>
        </w:rPr>
        <w:tab/>
      </w:r>
      <w:r w:rsidR="00743B59">
        <w:rPr>
          <w:noProof/>
        </w:rPr>
        <w:fldChar w:fldCharType="begin"/>
      </w:r>
      <w:r w:rsidRPr="004D5A29">
        <w:rPr>
          <w:noProof/>
          <w:lang w:val="fr-FR"/>
        </w:rPr>
        <w:instrText xml:space="preserve"> PAGEREF _Toc322342002 \h </w:instrText>
      </w:r>
      <w:r w:rsidR="00743B59">
        <w:rPr>
          <w:noProof/>
        </w:rPr>
      </w:r>
      <w:r w:rsidR="00743B59">
        <w:rPr>
          <w:noProof/>
        </w:rPr>
        <w:fldChar w:fldCharType="separate"/>
      </w:r>
      <w:r w:rsidR="0052245B">
        <w:rPr>
          <w:noProof/>
          <w:lang w:val="fr-FR"/>
        </w:rPr>
        <w:t>12</w:t>
      </w:r>
      <w:r w:rsidR="00743B59">
        <w:rPr>
          <w:noProof/>
        </w:rPr>
        <w:fldChar w:fldCharType="end"/>
      </w:r>
    </w:p>
    <w:p w:rsidR="004D5A29" w:rsidRPr="004D5A29" w:rsidRDefault="004D5A29">
      <w:pPr>
        <w:pStyle w:val="TOC2"/>
        <w:tabs>
          <w:tab w:val="left" w:pos="720"/>
          <w:tab w:val="right" w:leader="dot" w:pos="9129"/>
        </w:tabs>
        <w:rPr>
          <w:rFonts w:asciiTheme="minorHAnsi" w:eastAsiaTheme="minorEastAsia" w:hAnsiTheme="minorHAnsi" w:cstheme="minorBidi"/>
          <w:smallCaps w:val="0"/>
          <w:noProof/>
          <w:sz w:val="22"/>
          <w:szCs w:val="22"/>
          <w:lang w:val="fr-FR"/>
        </w:rPr>
      </w:pPr>
      <w:r w:rsidRPr="004D5A29">
        <w:rPr>
          <w:noProof/>
          <w:lang w:val="fr-FR"/>
        </w:rPr>
        <w:t>4.</w:t>
      </w:r>
      <w:r w:rsidRPr="004D5A29">
        <w:rPr>
          <w:rFonts w:asciiTheme="minorHAnsi" w:eastAsiaTheme="minorEastAsia" w:hAnsiTheme="minorHAnsi" w:cstheme="minorBidi"/>
          <w:smallCaps w:val="0"/>
          <w:noProof/>
          <w:sz w:val="22"/>
          <w:szCs w:val="22"/>
          <w:lang w:val="fr-FR"/>
        </w:rPr>
        <w:tab/>
      </w:r>
      <w:r w:rsidRPr="004D5A29">
        <w:rPr>
          <w:noProof/>
          <w:lang w:val="fr-FR"/>
        </w:rPr>
        <w:t>Les principales questions de l’évaluation</w:t>
      </w:r>
      <w:r w:rsidRPr="004D5A29">
        <w:rPr>
          <w:noProof/>
          <w:lang w:val="fr-FR"/>
        </w:rPr>
        <w:tab/>
      </w:r>
      <w:r w:rsidR="00743B59">
        <w:rPr>
          <w:noProof/>
        </w:rPr>
        <w:fldChar w:fldCharType="begin"/>
      </w:r>
      <w:r w:rsidRPr="004D5A29">
        <w:rPr>
          <w:noProof/>
          <w:lang w:val="fr-FR"/>
        </w:rPr>
        <w:instrText xml:space="preserve"> PAGEREF _Toc322342003 \h </w:instrText>
      </w:r>
      <w:r w:rsidR="00743B59">
        <w:rPr>
          <w:noProof/>
        </w:rPr>
      </w:r>
      <w:r w:rsidR="00743B59">
        <w:rPr>
          <w:noProof/>
        </w:rPr>
        <w:fldChar w:fldCharType="separate"/>
      </w:r>
      <w:r w:rsidR="0052245B">
        <w:rPr>
          <w:noProof/>
          <w:lang w:val="fr-FR"/>
        </w:rPr>
        <w:t>13</w:t>
      </w:r>
      <w:r w:rsidR="00743B59">
        <w:rPr>
          <w:noProof/>
        </w:rPr>
        <w:fldChar w:fldCharType="end"/>
      </w:r>
    </w:p>
    <w:p w:rsidR="004D5A29" w:rsidRPr="004D5A29" w:rsidRDefault="004D5A29">
      <w:pPr>
        <w:pStyle w:val="TOC2"/>
        <w:tabs>
          <w:tab w:val="left" w:pos="720"/>
          <w:tab w:val="right" w:leader="dot" w:pos="9129"/>
        </w:tabs>
        <w:rPr>
          <w:rFonts w:asciiTheme="minorHAnsi" w:eastAsiaTheme="minorEastAsia" w:hAnsiTheme="minorHAnsi" w:cstheme="minorBidi"/>
          <w:smallCaps w:val="0"/>
          <w:noProof/>
          <w:sz w:val="22"/>
          <w:szCs w:val="22"/>
          <w:lang w:val="fr-FR"/>
        </w:rPr>
      </w:pPr>
      <w:r w:rsidRPr="004D5A29">
        <w:rPr>
          <w:noProof/>
          <w:lang w:val="fr-FR"/>
        </w:rPr>
        <w:t>5.</w:t>
      </w:r>
      <w:r w:rsidRPr="004D5A29">
        <w:rPr>
          <w:rFonts w:asciiTheme="minorHAnsi" w:eastAsiaTheme="minorEastAsia" w:hAnsiTheme="minorHAnsi" w:cstheme="minorBidi"/>
          <w:smallCaps w:val="0"/>
          <w:noProof/>
          <w:sz w:val="22"/>
          <w:szCs w:val="22"/>
          <w:lang w:val="fr-FR"/>
        </w:rPr>
        <w:tab/>
      </w:r>
      <w:r w:rsidRPr="004D5A29">
        <w:rPr>
          <w:noProof/>
          <w:lang w:val="fr-FR"/>
        </w:rPr>
        <w:t>Les contraintes et les limites de l’évaluation</w:t>
      </w:r>
      <w:r w:rsidRPr="004D5A29">
        <w:rPr>
          <w:noProof/>
          <w:lang w:val="fr-FR"/>
        </w:rPr>
        <w:tab/>
      </w:r>
      <w:r w:rsidR="00743B59">
        <w:rPr>
          <w:noProof/>
        </w:rPr>
        <w:fldChar w:fldCharType="begin"/>
      </w:r>
      <w:r w:rsidRPr="004D5A29">
        <w:rPr>
          <w:noProof/>
          <w:lang w:val="fr-FR"/>
        </w:rPr>
        <w:instrText xml:space="preserve"> PAGEREF _Toc322342004 \h </w:instrText>
      </w:r>
      <w:r w:rsidR="00743B59">
        <w:rPr>
          <w:noProof/>
        </w:rPr>
      </w:r>
      <w:r w:rsidR="00743B59">
        <w:rPr>
          <w:noProof/>
        </w:rPr>
        <w:fldChar w:fldCharType="separate"/>
      </w:r>
      <w:r w:rsidR="0052245B">
        <w:rPr>
          <w:noProof/>
          <w:lang w:val="fr-FR"/>
        </w:rPr>
        <w:t>14</w:t>
      </w:r>
      <w:r w:rsidR="00743B59">
        <w:rPr>
          <w:noProof/>
        </w:rPr>
        <w:fldChar w:fldCharType="end"/>
      </w:r>
    </w:p>
    <w:p w:rsidR="004D5A29" w:rsidRPr="004D5A29" w:rsidRDefault="004D5A29">
      <w:pPr>
        <w:pStyle w:val="TOC1"/>
        <w:rPr>
          <w:rFonts w:asciiTheme="minorHAnsi" w:eastAsiaTheme="minorEastAsia" w:hAnsiTheme="minorHAnsi" w:cstheme="minorBidi"/>
          <w:b w:val="0"/>
          <w:bCs w:val="0"/>
          <w:caps w:val="0"/>
          <w:noProof/>
          <w:sz w:val="22"/>
          <w:szCs w:val="22"/>
          <w:lang w:val="fr-FR"/>
        </w:rPr>
      </w:pPr>
      <w:r w:rsidRPr="00A01CDF">
        <w:rPr>
          <w:noProof/>
          <w:lang w:val="fr-CA"/>
        </w:rPr>
        <w:t>II.</w:t>
      </w:r>
      <w:r w:rsidRPr="004D5A29">
        <w:rPr>
          <w:rFonts w:asciiTheme="minorHAnsi" w:eastAsiaTheme="minorEastAsia" w:hAnsiTheme="minorHAnsi" w:cstheme="minorBidi"/>
          <w:b w:val="0"/>
          <w:bCs w:val="0"/>
          <w:caps w:val="0"/>
          <w:noProof/>
          <w:sz w:val="22"/>
          <w:szCs w:val="22"/>
          <w:lang w:val="fr-FR"/>
        </w:rPr>
        <w:tab/>
      </w:r>
      <w:r w:rsidRPr="00A01CDF">
        <w:rPr>
          <w:noProof/>
          <w:lang w:val="fr-CA"/>
        </w:rPr>
        <w:t>Description des interventions</w:t>
      </w:r>
      <w:r w:rsidRPr="004D5A29">
        <w:rPr>
          <w:noProof/>
          <w:lang w:val="fr-FR"/>
        </w:rPr>
        <w:tab/>
      </w:r>
      <w:r w:rsidR="00743B59">
        <w:rPr>
          <w:noProof/>
        </w:rPr>
        <w:fldChar w:fldCharType="begin"/>
      </w:r>
      <w:r w:rsidRPr="004D5A29">
        <w:rPr>
          <w:noProof/>
          <w:lang w:val="fr-FR"/>
        </w:rPr>
        <w:instrText xml:space="preserve"> PAGEREF _Toc322342005 \h </w:instrText>
      </w:r>
      <w:r w:rsidR="00743B59">
        <w:rPr>
          <w:noProof/>
        </w:rPr>
      </w:r>
      <w:r w:rsidR="00743B59">
        <w:rPr>
          <w:noProof/>
        </w:rPr>
        <w:fldChar w:fldCharType="separate"/>
      </w:r>
      <w:r w:rsidR="0052245B">
        <w:rPr>
          <w:noProof/>
          <w:lang w:val="fr-FR"/>
        </w:rPr>
        <w:t>15</w:t>
      </w:r>
      <w:r w:rsidR="00743B59">
        <w:rPr>
          <w:noProof/>
        </w:rPr>
        <w:fldChar w:fldCharType="end"/>
      </w:r>
    </w:p>
    <w:p w:rsidR="004D5A29" w:rsidRPr="004D5A29" w:rsidRDefault="004D5A29">
      <w:pPr>
        <w:pStyle w:val="TOC2"/>
        <w:tabs>
          <w:tab w:val="left" w:pos="720"/>
          <w:tab w:val="right" w:leader="dot" w:pos="9129"/>
        </w:tabs>
        <w:rPr>
          <w:rFonts w:asciiTheme="minorHAnsi" w:eastAsiaTheme="minorEastAsia" w:hAnsiTheme="minorHAnsi" w:cstheme="minorBidi"/>
          <w:smallCaps w:val="0"/>
          <w:noProof/>
          <w:sz w:val="22"/>
          <w:szCs w:val="22"/>
          <w:lang w:val="fr-FR"/>
        </w:rPr>
      </w:pPr>
      <w:r w:rsidRPr="004D5A29">
        <w:rPr>
          <w:noProof/>
          <w:lang w:val="fr-FR"/>
        </w:rPr>
        <w:t>1.</w:t>
      </w:r>
      <w:r w:rsidRPr="004D5A29">
        <w:rPr>
          <w:rFonts w:asciiTheme="minorHAnsi" w:eastAsiaTheme="minorEastAsia" w:hAnsiTheme="minorHAnsi" w:cstheme="minorBidi"/>
          <w:smallCaps w:val="0"/>
          <w:noProof/>
          <w:sz w:val="22"/>
          <w:szCs w:val="22"/>
          <w:lang w:val="fr-FR"/>
        </w:rPr>
        <w:tab/>
      </w:r>
      <w:r w:rsidRPr="004D5A29">
        <w:rPr>
          <w:noProof/>
          <w:lang w:val="fr-FR"/>
        </w:rPr>
        <w:t>Les objectifs du programme conjoint</w:t>
      </w:r>
      <w:r w:rsidRPr="004D5A29">
        <w:rPr>
          <w:noProof/>
          <w:lang w:val="fr-FR"/>
        </w:rPr>
        <w:tab/>
      </w:r>
      <w:r w:rsidR="00743B59">
        <w:rPr>
          <w:noProof/>
        </w:rPr>
        <w:fldChar w:fldCharType="begin"/>
      </w:r>
      <w:r w:rsidRPr="004D5A29">
        <w:rPr>
          <w:noProof/>
          <w:lang w:val="fr-FR"/>
        </w:rPr>
        <w:instrText xml:space="preserve"> PAGEREF _Toc322342006 \h </w:instrText>
      </w:r>
      <w:r w:rsidR="00743B59">
        <w:rPr>
          <w:noProof/>
        </w:rPr>
      </w:r>
      <w:r w:rsidR="00743B59">
        <w:rPr>
          <w:noProof/>
        </w:rPr>
        <w:fldChar w:fldCharType="separate"/>
      </w:r>
      <w:r w:rsidR="0052245B">
        <w:rPr>
          <w:noProof/>
          <w:lang w:val="fr-FR"/>
        </w:rPr>
        <w:t>15</w:t>
      </w:r>
      <w:r w:rsidR="00743B59">
        <w:rPr>
          <w:noProof/>
        </w:rPr>
        <w:fldChar w:fldCharType="end"/>
      </w:r>
    </w:p>
    <w:p w:rsidR="004D5A29" w:rsidRPr="00C07262" w:rsidRDefault="004D5A29">
      <w:pPr>
        <w:pStyle w:val="TOC1"/>
        <w:rPr>
          <w:rFonts w:asciiTheme="minorHAnsi" w:eastAsiaTheme="minorEastAsia" w:hAnsiTheme="minorHAnsi" w:cstheme="minorBidi"/>
          <w:b w:val="0"/>
          <w:bCs w:val="0"/>
          <w:caps w:val="0"/>
          <w:noProof/>
          <w:sz w:val="22"/>
          <w:szCs w:val="22"/>
          <w:lang w:val="fr-FR"/>
        </w:rPr>
      </w:pPr>
      <w:r w:rsidRPr="00A01CDF">
        <w:rPr>
          <w:noProof/>
          <w:lang w:val="fr-CA"/>
        </w:rPr>
        <w:t>III.</w:t>
      </w:r>
      <w:r w:rsidRPr="00C07262">
        <w:rPr>
          <w:rFonts w:asciiTheme="minorHAnsi" w:eastAsiaTheme="minorEastAsia" w:hAnsiTheme="minorHAnsi" w:cstheme="minorBidi"/>
          <w:b w:val="0"/>
          <w:bCs w:val="0"/>
          <w:caps w:val="0"/>
          <w:noProof/>
          <w:sz w:val="22"/>
          <w:szCs w:val="22"/>
          <w:lang w:val="fr-FR"/>
        </w:rPr>
        <w:tab/>
      </w:r>
      <w:r w:rsidRPr="00A01CDF">
        <w:rPr>
          <w:noProof/>
          <w:lang w:val="fr-CA"/>
        </w:rPr>
        <w:t>Conclusions de l’évaluation</w:t>
      </w:r>
      <w:r w:rsidRPr="00C07262">
        <w:rPr>
          <w:noProof/>
          <w:lang w:val="fr-FR"/>
        </w:rPr>
        <w:tab/>
      </w:r>
      <w:r w:rsidR="00743B59">
        <w:rPr>
          <w:noProof/>
        </w:rPr>
        <w:fldChar w:fldCharType="begin"/>
      </w:r>
      <w:r w:rsidRPr="00C07262">
        <w:rPr>
          <w:noProof/>
          <w:lang w:val="fr-FR"/>
        </w:rPr>
        <w:instrText xml:space="preserve"> PAGEREF _Toc322342007 \h </w:instrText>
      </w:r>
      <w:r w:rsidR="00743B59">
        <w:rPr>
          <w:noProof/>
        </w:rPr>
      </w:r>
      <w:r w:rsidR="00743B59">
        <w:rPr>
          <w:noProof/>
        </w:rPr>
        <w:fldChar w:fldCharType="separate"/>
      </w:r>
      <w:r w:rsidR="0052245B">
        <w:rPr>
          <w:noProof/>
          <w:lang w:val="fr-FR"/>
        </w:rPr>
        <w:t>17</w:t>
      </w:r>
      <w:r w:rsidR="00743B59">
        <w:rPr>
          <w:noProof/>
        </w:rPr>
        <w:fldChar w:fldCharType="end"/>
      </w:r>
    </w:p>
    <w:p w:rsidR="004D5A29" w:rsidRPr="004D5A29" w:rsidRDefault="004D5A29">
      <w:pPr>
        <w:pStyle w:val="TOC2"/>
        <w:tabs>
          <w:tab w:val="left" w:pos="720"/>
          <w:tab w:val="right" w:leader="dot" w:pos="9129"/>
        </w:tabs>
        <w:rPr>
          <w:rFonts w:asciiTheme="minorHAnsi" w:eastAsiaTheme="minorEastAsia" w:hAnsiTheme="minorHAnsi" w:cstheme="minorBidi"/>
          <w:smallCaps w:val="0"/>
          <w:noProof/>
          <w:sz w:val="22"/>
          <w:szCs w:val="22"/>
          <w:lang w:val="fr-FR"/>
        </w:rPr>
      </w:pPr>
      <w:r w:rsidRPr="004D5A29">
        <w:rPr>
          <w:noProof/>
          <w:lang w:val="fr-FR"/>
        </w:rPr>
        <w:t>1.</w:t>
      </w:r>
      <w:r w:rsidRPr="004D5A29">
        <w:rPr>
          <w:rFonts w:asciiTheme="minorHAnsi" w:eastAsiaTheme="minorEastAsia" w:hAnsiTheme="minorHAnsi" w:cstheme="minorBidi"/>
          <w:smallCaps w:val="0"/>
          <w:noProof/>
          <w:sz w:val="22"/>
          <w:szCs w:val="22"/>
          <w:lang w:val="fr-FR"/>
        </w:rPr>
        <w:tab/>
      </w:r>
      <w:r w:rsidRPr="004D5A29">
        <w:rPr>
          <w:noProof/>
          <w:lang w:val="fr-FR"/>
        </w:rPr>
        <w:t>Pertinence, qualité et appropriation de la conception</w:t>
      </w:r>
      <w:r w:rsidRPr="004D5A29">
        <w:rPr>
          <w:noProof/>
          <w:lang w:val="fr-FR"/>
        </w:rPr>
        <w:tab/>
      </w:r>
      <w:r w:rsidR="00743B59">
        <w:rPr>
          <w:noProof/>
        </w:rPr>
        <w:fldChar w:fldCharType="begin"/>
      </w:r>
      <w:r w:rsidRPr="004D5A29">
        <w:rPr>
          <w:noProof/>
          <w:lang w:val="fr-FR"/>
        </w:rPr>
        <w:instrText xml:space="preserve"> PAGEREF _Toc322342008 \h </w:instrText>
      </w:r>
      <w:r w:rsidR="00743B59">
        <w:rPr>
          <w:noProof/>
        </w:rPr>
      </w:r>
      <w:r w:rsidR="00743B59">
        <w:rPr>
          <w:noProof/>
        </w:rPr>
        <w:fldChar w:fldCharType="separate"/>
      </w:r>
      <w:r w:rsidR="0052245B">
        <w:rPr>
          <w:noProof/>
          <w:lang w:val="fr-FR"/>
        </w:rPr>
        <w:t>17</w:t>
      </w:r>
      <w:r w:rsidR="00743B59">
        <w:rPr>
          <w:noProof/>
        </w:rPr>
        <w:fldChar w:fldCharType="end"/>
      </w:r>
    </w:p>
    <w:p w:rsidR="004D5A29" w:rsidRPr="004D5A29" w:rsidRDefault="004D5A29">
      <w:pPr>
        <w:pStyle w:val="TOC2"/>
        <w:tabs>
          <w:tab w:val="left" w:pos="720"/>
          <w:tab w:val="right" w:leader="dot" w:pos="9129"/>
        </w:tabs>
        <w:rPr>
          <w:rFonts w:asciiTheme="minorHAnsi" w:eastAsiaTheme="minorEastAsia" w:hAnsiTheme="minorHAnsi" w:cstheme="minorBidi"/>
          <w:smallCaps w:val="0"/>
          <w:noProof/>
          <w:sz w:val="22"/>
          <w:szCs w:val="22"/>
          <w:lang w:val="fr-FR"/>
        </w:rPr>
      </w:pPr>
      <w:r w:rsidRPr="004D5A29">
        <w:rPr>
          <w:noProof/>
          <w:lang w:val="fr-FR"/>
        </w:rPr>
        <w:t>2.</w:t>
      </w:r>
      <w:r w:rsidRPr="004D5A29">
        <w:rPr>
          <w:rFonts w:asciiTheme="minorHAnsi" w:eastAsiaTheme="minorEastAsia" w:hAnsiTheme="minorHAnsi" w:cstheme="minorBidi"/>
          <w:smallCaps w:val="0"/>
          <w:noProof/>
          <w:sz w:val="22"/>
          <w:szCs w:val="22"/>
          <w:lang w:val="fr-FR"/>
        </w:rPr>
        <w:tab/>
      </w:r>
      <w:r w:rsidRPr="004D5A29">
        <w:rPr>
          <w:noProof/>
          <w:lang w:val="fr-FR"/>
        </w:rPr>
        <w:t>État d’avancement du programme</w:t>
      </w:r>
      <w:r w:rsidRPr="004D5A29">
        <w:rPr>
          <w:noProof/>
          <w:lang w:val="fr-FR"/>
        </w:rPr>
        <w:tab/>
      </w:r>
      <w:r w:rsidR="00743B59">
        <w:rPr>
          <w:noProof/>
        </w:rPr>
        <w:fldChar w:fldCharType="begin"/>
      </w:r>
      <w:r w:rsidRPr="004D5A29">
        <w:rPr>
          <w:noProof/>
          <w:lang w:val="fr-FR"/>
        </w:rPr>
        <w:instrText xml:space="preserve"> PAGEREF _Toc322342009 \h </w:instrText>
      </w:r>
      <w:r w:rsidR="00743B59">
        <w:rPr>
          <w:noProof/>
        </w:rPr>
      </w:r>
      <w:r w:rsidR="00743B59">
        <w:rPr>
          <w:noProof/>
        </w:rPr>
        <w:fldChar w:fldCharType="separate"/>
      </w:r>
      <w:r w:rsidR="0052245B">
        <w:rPr>
          <w:noProof/>
          <w:lang w:val="fr-FR"/>
        </w:rPr>
        <w:t>20</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A01CDF">
        <w:rPr>
          <w:noProof/>
          <w:lang w:val="fr-FR"/>
        </w:rPr>
        <w:t>a.</w:t>
      </w:r>
      <w:r w:rsidRPr="004D5A29">
        <w:rPr>
          <w:rFonts w:asciiTheme="minorHAnsi" w:eastAsiaTheme="minorEastAsia" w:hAnsiTheme="minorHAnsi" w:cstheme="minorBidi"/>
          <w:i w:val="0"/>
          <w:iCs w:val="0"/>
          <w:noProof/>
          <w:sz w:val="22"/>
          <w:szCs w:val="22"/>
          <w:lang w:val="fr-FR"/>
        </w:rPr>
        <w:tab/>
      </w:r>
      <w:r w:rsidRPr="00A01CDF">
        <w:rPr>
          <w:noProof/>
          <w:lang w:val="fr-FR"/>
        </w:rPr>
        <w:t>Taux d’exécution budgétaire</w:t>
      </w:r>
      <w:r w:rsidRPr="004D5A29">
        <w:rPr>
          <w:noProof/>
          <w:lang w:val="fr-FR"/>
        </w:rPr>
        <w:tab/>
      </w:r>
      <w:r w:rsidR="00743B59">
        <w:rPr>
          <w:noProof/>
        </w:rPr>
        <w:fldChar w:fldCharType="begin"/>
      </w:r>
      <w:r w:rsidRPr="004D5A29">
        <w:rPr>
          <w:noProof/>
          <w:lang w:val="fr-FR"/>
        </w:rPr>
        <w:instrText xml:space="preserve"> PAGEREF _Toc322342010 \h </w:instrText>
      </w:r>
      <w:r w:rsidR="00743B59">
        <w:rPr>
          <w:noProof/>
        </w:rPr>
      </w:r>
      <w:r w:rsidR="00743B59">
        <w:rPr>
          <w:noProof/>
        </w:rPr>
        <w:fldChar w:fldCharType="separate"/>
      </w:r>
      <w:r w:rsidR="0052245B">
        <w:rPr>
          <w:noProof/>
          <w:lang w:val="fr-FR"/>
        </w:rPr>
        <w:t>20</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b.</w:t>
      </w:r>
      <w:r w:rsidRPr="004D5A29">
        <w:rPr>
          <w:rFonts w:asciiTheme="minorHAnsi" w:eastAsiaTheme="minorEastAsia" w:hAnsiTheme="minorHAnsi" w:cstheme="minorBidi"/>
          <w:i w:val="0"/>
          <w:iCs w:val="0"/>
          <w:noProof/>
          <w:sz w:val="22"/>
          <w:szCs w:val="22"/>
          <w:lang w:val="fr-FR"/>
        </w:rPr>
        <w:tab/>
      </w:r>
      <w:r w:rsidRPr="004D5A29">
        <w:rPr>
          <w:noProof/>
          <w:lang w:val="fr-FR"/>
        </w:rPr>
        <w:t>Les principales réalisations</w:t>
      </w:r>
      <w:r w:rsidRPr="004D5A29">
        <w:rPr>
          <w:noProof/>
          <w:lang w:val="fr-FR"/>
        </w:rPr>
        <w:tab/>
      </w:r>
      <w:r w:rsidR="00743B59">
        <w:rPr>
          <w:noProof/>
        </w:rPr>
        <w:fldChar w:fldCharType="begin"/>
      </w:r>
      <w:r w:rsidRPr="004D5A29">
        <w:rPr>
          <w:noProof/>
          <w:lang w:val="fr-FR"/>
        </w:rPr>
        <w:instrText xml:space="preserve"> PAGEREF _Toc322342011 \h </w:instrText>
      </w:r>
      <w:r w:rsidR="00743B59">
        <w:rPr>
          <w:noProof/>
        </w:rPr>
      </w:r>
      <w:r w:rsidR="00743B59">
        <w:rPr>
          <w:noProof/>
        </w:rPr>
        <w:fldChar w:fldCharType="separate"/>
      </w:r>
      <w:r w:rsidR="0052245B">
        <w:rPr>
          <w:noProof/>
          <w:lang w:val="fr-FR"/>
        </w:rPr>
        <w:t>22</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i.</w:t>
      </w:r>
      <w:r w:rsidRPr="004D5A29">
        <w:rPr>
          <w:rFonts w:asciiTheme="minorHAnsi" w:eastAsiaTheme="minorEastAsia" w:hAnsiTheme="minorHAnsi" w:cstheme="minorBidi"/>
          <w:i w:val="0"/>
          <w:iCs w:val="0"/>
          <w:noProof/>
          <w:sz w:val="22"/>
          <w:szCs w:val="22"/>
          <w:lang w:val="fr-FR"/>
        </w:rPr>
        <w:tab/>
      </w:r>
      <w:r w:rsidRPr="004D5A29">
        <w:rPr>
          <w:noProof/>
          <w:lang w:val="fr-FR"/>
        </w:rPr>
        <w:t>Effet 1 – Renforcement du processus de prise de décision équitable en matière de stratégies et de programmes de développement</w:t>
      </w:r>
      <w:r w:rsidRPr="004D5A29">
        <w:rPr>
          <w:noProof/>
          <w:lang w:val="fr-FR"/>
        </w:rPr>
        <w:tab/>
      </w:r>
      <w:r w:rsidR="00743B59">
        <w:rPr>
          <w:noProof/>
        </w:rPr>
        <w:fldChar w:fldCharType="begin"/>
      </w:r>
      <w:r w:rsidRPr="004D5A29">
        <w:rPr>
          <w:noProof/>
          <w:lang w:val="fr-FR"/>
        </w:rPr>
        <w:instrText xml:space="preserve"> PAGEREF _Toc322342012 \h </w:instrText>
      </w:r>
      <w:r w:rsidR="00743B59">
        <w:rPr>
          <w:noProof/>
        </w:rPr>
      </w:r>
      <w:r w:rsidR="00743B59">
        <w:rPr>
          <w:noProof/>
        </w:rPr>
        <w:fldChar w:fldCharType="separate"/>
      </w:r>
      <w:r w:rsidR="0052245B">
        <w:rPr>
          <w:noProof/>
          <w:lang w:val="fr-FR"/>
        </w:rPr>
        <w:t>22</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ii.</w:t>
      </w:r>
      <w:r w:rsidRPr="004D5A29">
        <w:rPr>
          <w:rFonts w:asciiTheme="minorHAnsi" w:eastAsiaTheme="minorEastAsia" w:hAnsiTheme="minorHAnsi" w:cstheme="minorBidi"/>
          <w:i w:val="0"/>
          <w:iCs w:val="0"/>
          <w:noProof/>
          <w:sz w:val="22"/>
          <w:szCs w:val="22"/>
          <w:lang w:val="fr-FR"/>
        </w:rPr>
        <w:tab/>
      </w:r>
      <w:r w:rsidRPr="004D5A29">
        <w:rPr>
          <w:noProof/>
          <w:lang w:val="fr-FR"/>
        </w:rPr>
        <w:t xml:space="preserve">Effet 2 – </w:t>
      </w:r>
      <w:r w:rsidRPr="00A01CDF">
        <w:rPr>
          <w:noProof/>
          <w:lang w:val="fr-FR"/>
        </w:rPr>
        <w:t>Amélioration de l’employabilité des femmes, en particulier les femmes rurales et vulnérables, et le renforcement de leur accès à un travail décent</w:t>
      </w:r>
      <w:r w:rsidRPr="004D5A29">
        <w:rPr>
          <w:noProof/>
          <w:lang w:val="fr-FR"/>
        </w:rPr>
        <w:tab/>
      </w:r>
      <w:r w:rsidR="00743B59">
        <w:rPr>
          <w:noProof/>
        </w:rPr>
        <w:fldChar w:fldCharType="begin"/>
      </w:r>
      <w:r w:rsidRPr="004D5A29">
        <w:rPr>
          <w:noProof/>
          <w:lang w:val="fr-FR"/>
        </w:rPr>
        <w:instrText xml:space="preserve"> PAGEREF _Toc322342013 \h </w:instrText>
      </w:r>
      <w:r w:rsidR="00743B59">
        <w:rPr>
          <w:noProof/>
        </w:rPr>
      </w:r>
      <w:r w:rsidR="00743B59">
        <w:rPr>
          <w:noProof/>
        </w:rPr>
        <w:fldChar w:fldCharType="separate"/>
      </w:r>
      <w:r w:rsidR="0052245B">
        <w:rPr>
          <w:noProof/>
          <w:lang w:val="fr-FR"/>
        </w:rPr>
        <w:t>34</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iii.</w:t>
      </w:r>
      <w:r w:rsidRPr="004D5A29">
        <w:rPr>
          <w:rFonts w:asciiTheme="minorHAnsi" w:eastAsiaTheme="minorEastAsia" w:hAnsiTheme="minorHAnsi" w:cstheme="minorBidi"/>
          <w:i w:val="0"/>
          <w:iCs w:val="0"/>
          <w:noProof/>
          <w:sz w:val="22"/>
          <w:szCs w:val="22"/>
          <w:lang w:val="fr-FR"/>
        </w:rPr>
        <w:tab/>
      </w:r>
      <w:r w:rsidRPr="004D5A29">
        <w:rPr>
          <w:noProof/>
          <w:lang w:val="fr-FR"/>
        </w:rPr>
        <w:t xml:space="preserve">Effet 3 – </w:t>
      </w:r>
      <w:r w:rsidRPr="00A01CDF">
        <w:rPr>
          <w:noProof/>
          <w:lang w:val="fr-FR"/>
        </w:rPr>
        <w:t>La promotion de l’image de la femme active et le renforcement des valeurs d’équité et d’égalité à travers une diffusion de l’information sensible au genre</w:t>
      </w:r>
      <w:r w:rsidRPr="004D5A29">
        <w:rPr>
          <w:noProof/>
          <w:lang w:val="fr-FR"/>
        </w:rPr>
        <w:tab/>
      </w:r>
      <w:r w:rsidR="00743B59">
        <w:rPr>
          <w:noProof/>
        </w:rPr>
        <w:fldChar w:fldCharType="begin"/>
      </w:r>
      <w:r w:rsidRPr="004D5A29">
        <w:rPr>
          <w:noProof/>
          <w:lang w:val="fr-FR"/>
        </w:rPr>
        <w:instrText xml:space="preserve"> PAGEREF _Toc322342014 \h </w:instrText>
      </w:r>
      <w:r w:rsidR="00743B59">
        <w:rPr>
          <w:noProof/>
        </w:rPr>
      </w:r>
      <w:r w:rsidR="00743B59">
        <w:rPr>
          <w:noProof/>
        </w:rPr>
        <w:fldChar w:fldCharType="separate"/>
      </w:r>
      <w:r w:rsidR="0052245B">
        <w:rPr>
          <w:noProof/>
          <w:lang w:val="fr-FR"/>
        </w:rPr>
        <w:t>47</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c.</w:t>
      </w:r>
      <w:r w:rsidRPr="004D5A29">
        <w:rPr>
          <w:rFonts w:asciiTheme="minorHAnsi" w:eastAsiaTheme="minorEastAsia" w:hAnsiTheme="minorHAnsi" w:cstheme="minorBidi"/>
          <w:i w:val="0"/>
          <w:iCs w:val="0"/>
          <w:noProof/>
          <w:sz w:val="22"/>
          <w:szCs w:val="22"/>
          <w:lang w:val="fr-FR"/>
        </w:rPr>
        <w:tab/>
      </w:r>
      <w:r w:rsidRPr="004D5A29">
        <w:rPr>
          <w:noProof/>
          <w:lang w:val="fr-FR"/>
        </w:rPr>
        <w:t>Atteinte des objectifs et perspectives de pérennité</w:t>
      </w:r>
      <w:r w:rsidRPr="004D5A29">
        <w:rPr>
          <w:noProof/>
          <w:lang w:val="fr-FR"/>
        </w:rPr>
        <w:tab/>
      </w:r>
      <w:r w:rsidR="00743B59">
        <w:rPr>
          <w:noProof/>
        </w:rPr>
        <w:fldChar w:fldCharType="begin"/>
      </w:r>
      <w:r w:rsidRPr="004D5A29">
        <w:rPr>
          <w:noProof/>
          <w:lang w:val="fr-FR"/>
        </w:rPr>
        <w:instrText xml:space="preserve"> PAGEREF _Toc322342015 \h </w:instrText>
      </w:r>
      <w:r w:rsidR="00743B59">
        <w:rPr>
          <w:noProof/>
        </w:rPr>
      </w:r>
      <w:r w:rsidR="00743B59">
        <w:rPr>
          <w:noProof/>
        </w:rPr>
        <w:fldChar w:fldCharType="separate"/>
      </w:r>
      <w:r w:rsidR="0052245B">
        <w:rPr>
          <w:noProof/>
          <w:lang w:val="fr-FR"/>
        </w:rPr>
        <w:t>47</w:t>
      </w:r>
      <w:r w:rsidR="00743B59">
        <w:rPr>
          <w:noProof/>
        </w:rPr>
        <w:fldChar w:fldCharType="end"/>
      </w:r>
    </w:p>
    <w:p w:rsidR="004D5A29" w:rsidRPr="004D5A29" w:rsidRDefault="004D5A29">
      <w:pPr>
        <w:pStyle w:val="TOC2"/>
        <w:tabs>
          <w:tab w:val="left" w:pos="720"/>
          <w:tab w:val="right" w:leader="dot" w:pos="9129"/>
        </w:tabs>
        <w:rPr>
          <w:rFonts w:asciiTheme="minorHAnsi" w:eastAsiaTheme="minorEastAsia" w:hAnsiTheme="minorHAnsi" w:cstheme="minorBidi"/>
          <w:smallCaps w:val="0"/>
          <w:noProof/>
          <w:sz w:val="22"/>
          <w:szCs w:val="22"/>
          <w:lang w:val="fr-FR"/>
        </w:rPr>
      </w:pPr>
      <w:r w:rsidRPr="004D5A29">
        <w:rPr>
          <w:noProof/>
          <w:lang w:val="fr-FR"/>
        </w:rPr>
        <w:t>3.</w:t>
      </w:r>
      <w:r w:rsidRPr="004D5A29">
        <w:rPr>
          <w:rFonts w:asciiTheme="minorHAnsi" w:eastAsiaTheme="minorEastAsia" w:hAnsiTheme="minorHAnsi" w:cstheme="minorBidi"/>
          <w:smallCaps w:val="0"/>
          <w:noProof/>
          <w:sz w:val="22"/>
          <w:szCs w:val="22"/>
          <w:lang w:val="fr-FR"/>
        </w:rPr>
        <w:tab/>
      </w:r>
      <w:r w:rsidRPr="004D5A29">
        <w:rPr>
          <w:noProof/>
          <w:lang w:val="fr-FR"/>
        </w:rPr>
        <w:t>Efficie</w:t>
      </w:r>
      <w:r w:rsidRPr="00A01CDF">
        <w:rPr>
          <w:noProof/>
          <w:lang w:val="fr-FR"/>
        </w:rPr>
        <w:t>n</w:t>
      </w:r>
      <w:r w:rsidRPr="004D5A29">
        <w:rPr>
          <w:noProof/>
          <w:lang w:val="fr-FR"/>
        </w:rPr>
        <w:t>ce des processus de mise en œuvre</w:t>
      </w:r>
      <w:r w:rsidRPr="004D5A29">
        <w:rPr>
          <w:noProof/>
          <w:lang w:val="fr-FR"/>
        </w:rPr>
        <w:tab/>
      </w:r>
      <w:r w:rsidR="00743B59">
        <w:rPr>
          <w:noProof/>
        </w:rPr>
        <w:fldChar w:fldCharType="begin"/>
      </w:r>
      <w:r w:rsidRPr="004D5A29">
        <w:rPr>
          <w:noProof/>
          <w:lang w:val="fr-FR"/>
        </w:rPr>
        <w:instrText xml:space="preserve"> PAGEREF _Toc322342016 \h </w:instrText>
      </w:r>
      <w:r w:rsidR="00743B59">
        <w:rPr>
          <w:noProof/>
        </w:rPr>
      </w:r>
      <w:r w:rsidR="00743B59">
        <w:rPr>
          <w:noProof/>
        </w:rPr>
        <w:fldChar w:fldCharType="separate"/>
      </w:r>
      <w:r w:rsidR="0052245B">
        <w:rPr>
          <w:noProof/>
          <w:lang w:val="fr-FR"/>
        </w:rPr>
        <w:t>50</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a.</w:t>
      </w:r>
      <w:r w:rsidRPr="004D5A29">
        <w:rPr>
          <w:rFonts w:asciiTheme="minorHAnsi" w:eastAsiaTheme="minorEastAsia" w:hAnsiTheme="minorHAnsi" w:cstheme="minorBidi"/>
          <w:i w:val="0"/>
          <w:iCs w:val="0"/>
          <w:noProof/>
          <w:sz w:val="22"/>
          <w:szCs w:val="22"/>
          <w:lang w:val="fr-FR"/>
        </w:rPr>
        <w:tab/>
      </w:r>
      <w:r w:rsidRPr="004D5A29">
        <w:rPr>
          <w:noProof/>
          <w:lang w:val="fr-FR"/>
        </w:rPr>
        <w:t>Efficience d’ensemble</w:t>
      </w:r>
      <w:r w:rsidRPr="004D5A29">
        <w:rPr>
          <w:noProof/>
          <w:lang w:val="fr-FR"/>
        </w:rPr>
        <w:tab/>
      </w:r>
      <w:r w:rsidR="00743B59">
        <w:rPr>
          <w:noProof/>
        </w:rPr>
        <w:fldChar w:fldCharType="begin"/>
      </w:r>
      <w:r w:rsidRPr="004D5A29">
        <w:rPr>
          <w:noProof/>
          <w:lang w:val="fr-FR"/>
        </w:rPr>
        <w:instrText xml:space="preserve"> PAGEREF _Toc322342017 \h </w:instrText>
      </w:r>
      <w:r w:rsidR="00743B59">
        <w:rPr>
          <w:noProof/>
        </w:rPr>
      </w:r>
      <w:r w:rsidR="00743B59">
        <w:rPr>
          <w:noProof/>
        </w:rPr>
        <w:fldChar w:fldCharType="separate"/>
      </w:r>
      <w:r w:rsidR="0052245B">
        <w:rPr>
          <w:noProof/>
          <w:lang w:val="fr-FR"/>
        </w:rPr>
        <w:t>50</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b.</w:t>
      </w:r>
      <w:r w:rsidRPr="004D5A29">
        <w:rPr>
          <w:rFonts w:asciiTheme="minorHAnsi" w:eastAsiaTheme="minorEastAsia" w:hAnsiTheme="minorHAnsi" w:cstheme="minorBidi"/>
          <w:i w:val="0"/>
          <w:iCs w:val="0"/>
          <w:noProof/>
          <w:sz w:val="22"/>
          <w:szCs w:val="22"/>
          <w:lang w:val="fr-FR"/>
        </w:rPr>
        <w:tab/>
      </w:r>
      <w:r w:rsidRPr="004D5A29">
        <w:rPr>
          <w:noProof/>
          <w:lang w:val="fr-FR"/>
        </w:rPr>
        <w:t>La surveillance et le pilotage</w:t>
      </w:r>
      <w:r w:rsidRPr="004D5A29">
        <w:rPr>
          <w:noProof/>
          <w:lang w:val="fr-FR"/>
        </w:rPr>
        <w:tab/>
      </w:r>
      <w:r w:rsidR="00743B59">
        <w:rPr>
          <w:noProof/>
        </w:rPr>
        <w:fldChar w:fldCharType="begin"/>
      </w:r>
      <w:r w:rsidRPr="004D5A29">
        <w:rPr>
          <w:noProof/>
          <w:lang w:val="fr-FR"/>
        </w:rPr>
        <w:instrText xml:space="preserve"> PAGEREF _Toc322342018 \h </w:instrText>
      </w:r>
      <w:r w:rsidR="00743B59">
        <w:rPr>
          <w:noProof/>
        </w:rPr>
      </w:r>
      <w:r w:rsidR="00743B59">
        <w:rPr>
          <w:noProof/>
        </w:rPr>
        <w:fldChar w:fldCharType="separate"/>
      </w:r>
      <w:r w:rsidR="0052245B">
        <w:rPr>
          <w:noProof/>
          <w:lang w:val="fr-FR"/>
        </w:rPr>
        <w:t>52</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c.</w:t>
      </w:r>
      <w:r w:rsidRPr="004D5A29">
        <w:rPr>
          <w:rFonts w:asciiTheme="minorHAnsi" w:eastAsiaTheme="minorEastAsia" w:hAnsiTheme="minorHAnsi" w:cstheme="minorBidi"/>
          <w:i w:val="0"/>
          <w:iCs w:val="0"/>
          <w:noProof/>
          <w:sz w:val="22"/>
          <w:szCs w:val="22"/>
          <w:lang w:val="fr-FR"/>
        </w:rPr>
        <w:tab/>
      </w:r>
      <w:r w:rsidRPr="004D5A29">
        <w:rPr>
          <w:noProof/>
          <w:lang w:val="fr-FR"/>
        </w:rPr>
        <w:t>La mise en œuvre</w:t>
      </w:r>
      <w:r w:rsidRPr="004D5A29">
        <w:rPr>
          <w:noProof/>
          <w:lang w:val="fr-FR"/>
        </w:rPr>
        <w:tab/>
      </w:r>
      <w:r w:rsidR="00743B59">
        <w:rPr>
          <w:noProof/>
        </w:rPr>
        <w:fldChar w:fldCharType="begin"/>
      </w:r>
      <w:r w:rsidRPr="004D5A29">
        <w:rPr>
          <w:noProof/>
          <w:lang w:val="fr-FR"/>
        </w:rPr>
        <w:instrText xml:space="preserve"> PAGEREF _Toc322342019 \h </w:instrText>
      </w:r>
      <w:r w:rsidR="00743B59">
        <w:rPr>
          <w:noProof/>
        </w:rPr>
      </w:r>
      <w:r w:rsidR="00743B59">
        <w:rPr>
          <w:noProof/>
        </w:rPr>
        <w:fldChar w:fldCharType="separate"/>
      </w:r>
      <w:r w:rsidR="0052245B">
        <w:rPr>
          <w:noProof/>
          <w:lang w:val="fr-FR"/>
        </w:rPr>
        <w:t>56</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d.</w:t>
      </w:r>
      <w:r w:rsidRPr="004D5A29">
        <w:rPr>
          <w:rFonts w:asciiTheme="minorHAnsi" w:eastAsiaTheme="minorEastAsia" w:hAnsiTheme="minorHAnsi" w:cstheme="minorBidi"/>
          <w:i w:val="0"/>
          <w:iCs w:val="0"/>
          <w:noProof/>
          <w:sz w:val="22"/>
          <w:szCs w:val="22"/>
          <w:lang w:val="fr-FR"/>
        </w:rPr>
        <w:tab/>
      </w:r>
      <w:r w:rsidRPr="004D5A29">
        <w:rPr>
          <w:noProof/>
          <w:lang w:val="fr-FR"/>
        </w:rPr>
        <w:t>La coordination</w:t>
      </w:r>
      <w:r w:rsidRPr="004D5A29">
        <w:rPr>
          <w:noProof/>
          <w:lang w:val="fr-FR"/>
        </w:rPr>
        <w:tab/>
      </w:r>
      <w:r w:rsidR="00743B59">
        <w:rPr>
          <w:noProof/>
        </w:rPr>
        <w:fldChar w:fldCharType="begin"/>
      </w:r>
      <w:r w:rsidRPr="004D5A29">
        <w:rPr>
          <w:noProof/>
          <w:lang w:val="fr-FR"/>
        </w:rPr>
        <w:instrText xml:space="preserve"> PAGEREF _Toc322342020 \h </w:instrText>
      </w:r>
      <w:r w:rsidR="00743B59">
        <w:rPr>
          <w:noProof/>
        </w:rPr>
      </w:r>
      <w:r w:rsidR="00743B59">
        <w:rPr>
          <w:noProof/>
        </w:rPr>
        <w:fldChar w:fldCharType="separate"/>
      </w:r>
      <w:r w:rsidR="0052245B">
        <w:rPr>
          <w:noProof/>
          <w:lang w:val="fr-FR"/>
        </w:rPr>
        <w:t>58</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e.</w:t>
      </w:r>
      <w:r w:rsidRPr="004D5A29">
        <w:rPr>
          <w:rFonts w:asciiTheme="minorHAnsi" w:eastAsiaTheme="minorEastAsia" w:hAnsiTheme="minorHAnsi" w:cstheme="minorBidi"/>
          <w:i w:val="0"/>
          <w:iCs w:val="0"/>
          <w:noProof/>
          <w:sz w:val="22"/>
          <w:szCs w:val="22"/>
          <w:lang w:val="fr-FR"/>
        </w:rPr>
        <w:tab/>
      </w:r>
      <w:r w:rsidRPr="004D5A29">
        <w:rPr>
          <w:noProof/>
          <w:lang w:val="fr-FR"/>
        </w:rPr>
        <w:t>La planification</w:t>
      </w:r>
      <w:r w:rsidRPr="004D5A29">
        <w:rPr>
          <w:noProof/>
          <w:lang w:val="fr-FR"/>
        </w:rPr>
        <w:tab/>
      </w:r>
      <w:r w:rsidR="00743B59">
        <w:rPr>
          <w:noProof/>
        </w:rPr>
        <w:fldChar w:fldCharType="begin"/>
      </w:r>
      <w:r w:rsidRPr="004D5A29">
        <w:rPr>
          <w:noProof/>
          <w:lang w:val="fr-FR"/>
        </w:rPr>
        <w:instrText xml:space="preserve"> PAGEREF _Toc322342021 \h </w:instrText>
      </w:r>
      <w:r w:rsidR="00743B59">
        <w:rPr>
          <w:noProof/>
        </w:rPr>
      </w:r>
      <w:r w:rsidR="00743B59">
        <w:rPr>
          <w:noProof/>
        </w:rPr>
        <w:fldChar w:fldCharType="separate"/>
      </w:r>
      <w:r w:rsidR="0052245B">
        <w:rPr>
          <w:noProof/>
          <w:lang w:val="fr-FR"/>
        </w:rPr>
        <w:t>59</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f.</w:t>
      </w:r>
      <w:r w:rsidRPr="004D5A29">
        <w:rPr>
          <w:rFonts w:asciiTheme="minorHAnsi" w:eastAsiaTheme="minorEastAsia" w:hAnsiTheme="minorHAnsi" w:cstheme="minorBidi"/>
          <w:i w:val="0"/>
          <w:iCs w:val="0"/>
          <w:noProof/>
          <w:sz w:val="22"/>
          <w:szCs w:val="22"/>
          <w:lang w:val="fr-FR"/>
        </w:rPr>
        <w:tab/>
      </w:r>
      <w:r w:rsidRPr="004D5A29">
        <w:rPr>
          <w:noProof/>
          <w:lang w:val="fr-FR"/>
        </w:rPr>
        <w:t>Le suivi et l’évaluation</w:t>
      </w:r>
      <w:r w:rsidRPr="004D5A29">
        <w:rPr>
          <w:noProof/>
          <w:lang w:val="fr-FR"/>
        </w:rPr>
        <w:tab/>
      </w:r>
      <w:r w:rsidR="00743B59">
        <w:rPr>
          <w:noProof/>
        </w:rPr>
        <w:fldChar w:fldCharType="begin"/>
      </w:r>
      <w:r w:rsidRPr="004D5A29">
        <w:rPr>
          <w:noProof/>
          <w:lang w:val="fr-FR"/>
        </w:rPr>
        <w:instrText xml:space="preserve"> PAGEREF _Toc322342022 \h </w:instrText>
      </w:r>
      <w:r w:rsidR="00743B59">
        <w:rPr>
          <w:noProof/>
        </w:rPr>
      </w:r>
      <w:r w:rsidR="00743B59">
        <w:rPr>
          <w:noProof/>
        </w:rPr>
        <w:fldChar w:fldCharType="separate"/>
      </w:r>
      <w:r w:rsidR="0052245B">
        <w:rPr>
          <w:noProof/>
          <w:lang w:val="fr-FR"/>
        </w:rPr>
        <w:t>60</w:t>
      </w:r>
      <w:r w:rsidR="00743B59">
        <w:rPr>
          <w:noProof/>
        </w:rPr>
        <w:fldChar w:fldCharType="end"/>
      </w:r>
    </w:p>
    <w:p w:rsidR="004D5A29" w:rsidRPr="004D5A29" w:rsidRDefault="004D5A29">
      <w:pPr>
        <w:pStyle w:val="TOC3"/>
        <w:tabs>
          <w:tab w:val="left" w:pos="960"/>
          <w:tab w:val="right" w:leader="dot" w:pos="9129"/>
        </w:tabs>
        <w:rPr>
          <w:rFonts w:asciiTheme="minorHAnsi" w:eastAsiaTheme="minorEastAsia" w:hAnsiTheme="minorHAnsi" w:cstheme="minorBidi"/>
          <w:i w:val="0"/>
          <w:iCs w:val="0"/>
          <w:noProof/>
          <w:sz w:val="22"/>
          <w:szCs w:val="22"/>
          <w:lang w:val="fr-FR"/>
        </w:rPr>
      </w:pPr>
      <w:r w:rsidRPr="004D5A29">
        <w:rPr>
          <w:noProof/>
          <w:lang w:val="fr-FR"/>
        </w:rPr>
        <w:t>g.</w:t>
      </w:r>
      <w:r w:rsidRPr="004D5A29">
        <w:rPr>
          <w:rFonts w:asciiTheme="minorHAnsi" w:eastAsiaTheme="minorEastAsia" w:hAnsiTheme="minorHAnsi" w:cstheme="minorBidi"/>
          <w:i w:val="0"/>
          <w:iCs w:val="0"/>
          <w:noProof/>
          <w:sz w:val="22"/>
          <w:szCs w:val="22"/>
          <w:lang w:val="fr-FR"/>
        </w:rPr>
        <w:tab/>
      </w:r>
      <w:r w:rsidRPr="004D5A29">
        <w:rPr>
          <w:noProof/>
          <w:lang w:val="fr-FR"/>
        </w:rPr>
        <w:t>La communication</w:t>
      </w:r>
      <w:r w:rsidRPr="004D5A29">
        <w:rPr>
          <w:noProof/>
          <w:lang w:val="fr-FR"/>
        </w:rPr>
        <w:tab/>
      </w:r>
      <w:r w:rsidR="00743B59">
        <w:rPr>
          <w:noProof/>
        </w:rPr>
        <w:fldChar w:fldCharType="begin"/>
      </w:r>
      <w:r w:rsidRPr="004D5A29">
        <w:rPr>
          <w:noProof/>
          <w:lang w:val="fr-FR"/>
        </w:rPr>
        <w:instrText xml:space="preserve"> PAGEREF _Toc322342023 \h </w:instrText>
      </w:r>
      <w:r w:rsidR="00743B59">
        <w:rPr>
          <w:noProof/>
        </w:rPr>
      </w:r>
      <w:r w:rsidR="00743B59">
        <w:rPr>
          <w:noProof/>
        </w:rPr>
        <w:fldChar w:fldCharType="separate"/>
      </w:r>
      <w:r w:rsidR="0052245B">
        <w:rPr>
          <w:noProof/>
          <w:lang w:val="fr-FR"/>
        </w:rPr>
        <w:t>60</w:t>
      </w:r>
      <w:r w:rsidR="00743B59">
        <w:rPr>
          <w:noProof/>
        </w:rPr>
        <w:fldChar w:fldCharType="end"/>
      </w:r>
    </w:p>
    <w:p w:rsidR="004D5A29" w:rsidRPr="004D5A29" w:rsidRDefault="004D5A29">
      <w:pPr>
        <w:pStyle w:val="TOC2"/>
        <w:tabs>
          <w:tab w:val="left" w:pos="720"/>
          <w:tab w:val="right" w:leader="dot" w:pos="9129"/>
        </w:tabs>
        <w:rPr>
          <w:rFonts w:asciiTheme="minorHAnsi" w:eastAsiaTheme="minorEastAsia" w:hAnsiTheme="minorHAnsi" w:cstheme="minorBidi"/>
          <w:smallCaps w:val="0"/>
          <w:noProof/>
          <w:sz w:val="22"/>
          <w:szCs w:val="22"/>
          <w:lang w:val="fr-FR"/>
        </w:rPr>
      </w:pPr>
      <w:r w:rsidRPr="004D5A29">
        <w:rPr>
          <w:noProof/>
          <w:lang w:val="fr-FR"/>
        </w:rPr>
        <w:t>4.</w:t>
      </w:r>
      <w:r w:rsidRPr="004D5A29">
        <w:rPr>
          <w:rFonts w:asciiTheme="minorHAnsi" w:eastAsiaTheme="minorEastAsia" w:hAnsiTheme="minorHAnsi" w:cstheme="minorBidi"/>
          <w:smallCaps w:val="0"/>
          <w:noProof/>
          <w:sz w:val="22"/>
          <w:szCs w:val="22"/>
          <w:lang w:val="fr-FR"/>
        </w:rPr>
        <w:tab/>
      </w:r>
      <w:r w:rsidRPr="004D5A29">
        <w:rPr>
          <w:noProof/>
          <w:lang w:val="fr-FR"/>
        </w:rPr>
        <w:t>Conclusions générales</w:t>
      </w:r>
      <w:r w:rsidRPr="004D5A29">
        <w:rPr>
          <w:noProof/>
          <w:lang w:val="fr-FR"/>
        </w:rPr>
        <w:tab/>
      </w:r>
      <w:r w:rsidR="00743B59">
        <w:rPr>
          <w:noProof/>
        </w:rPr>
        <w:fldChar w:fldCharType="begin"/>
      </w:r>
      <w:r w:rsidRPr="004D5A29">
        <w:rPr>
          <w:noProof/>
          <w:lang w:val="fr-FR"/>
        </w:rPr>
        <w:instrText xml:space="preserve"> PAGEREF _Toc322342024 \h </w:instrText>
      </w:r>
      <w:r w:rsidR="00743B59">
        <w:rPr>
          <w:noProof/>
        </w:rPr>
      </w:r>
      <w:r w:rsidR="00743B59">
        <w:rPr>
          <w:noProof/>
        </w:rPr>
        <w:fldChar w:fldCharType="separate"/>
      </w:r>
      <w:r w:rsidR="0052245B">
        <w:rPr>
          <w:noProof/>
          <w:lang w:val="fr-FR"/>
        </w:rPr>
        <w:t>62</w:t>
      </w:r>
      <w:r w:rsidR="00743B59">
        <w:rPr>
          <w:noProof/>
        </w:rPr>
        <w:fldChar w:fldCharType="end"/>
      </w:r>
    </w:p>
    <w:p w:rsidR="004D5A29" w:rsidRPr="004D5A29" w:rsidRDefault="004D5A29">
      <w:pPr>
        <w:pStyle w:val="TOC1"/>
        <w:rPr>
          <w:rFonts w:asciiTheme="minorHAnsi" w:eastAsiaTheme="minorEastAsia" w:hAnsiTheme="minorHAnsi" w:cstheme="minorBidi"/>
          <w:b w:val="0"/>
          <w:bCs w:val="0"/>
          <w:caps w:val="0"/>
          <w:noProof/>
          <w:sz w:val="22"/>
          <w:szCs w:val="22"/>
          <w:lang w:val="fr-FR"/>
        </w:rPr>
      </w:pPr>
      <w:r w:rsidRPr="00A01CDF">
        <w:rPr>
          <w:noProof/>
          <w:lang w:val="fr-CA"/>
        </w:rPr>
        <w:t>IV.</w:t>
      </w:r>
      <w:r w:rsidRPr="004D5A29">
        <w:rPr>
          <w:rFonts w:asciiTheme="minorHAnsi" w:eastAsiaTheme="minorEastAsia" w:hAnsiTheme="minorHAnsi" w:cstheme="minorBidi"/>
          <w:b w:val="0"/>
          <w:bCs w:val="0"/>
          <w:caps w:val="0"/>
          <w:noProof/>
          <w:sz w:val="22"/>
          <w:szCs w:val="22"/>
          <w:lang w:val="fr-FR"/>
        </w:rPr>
        <w:tab/>
      </w:r>
      <w:r w:rsidRPr="00A01CDF">
        <w:rPr>
          <w:noProof/>
          <w:lang w:val="fr-CA"/>
        </w:rPr>
        <w:t>Recommandations</w:t>
      </w:r>
      <w:r w:rsidRPr="004D5A29">
        <w:rPr>
          <w:noProof/>
          <w:lang w:val="fr-FR"/>
        </w:rPr>
        <w:tab/>
      </w:r>
      <w:r w:rsidR="00743B59">
        <w:rPr>
          <w:noProof/>
        </w:rPr>
        <w:fldChar w:fldCharType="begin"/>
      </w:r>
      <w:r w:rsidRPr="004D5A29">
        <w:rPr>
          <w:noProof/>
          <w:lang w:val="fr-FR"/>
        </w:rPr>
        <w:instrText xml:space="preserve"> PAGEREF _Toc322342025 \h </w:instrText>
      </w:r>
      <w:r w:rsidR="00743B59">
        <w:rPr>
          <w:noProof/>
        </w:rPr>
      </w:r>
      <w:r w:rsidR="00743B59">
        <w:rPr>
          <w:noProof/>
        </w:rPr>
        <w:fldChar w:fldCharType="separate"/>
      </w:r>
      <w:r w:rsidR="0052245B">
        <w:rPr>
          <w:noProof/>
          <w:lang w:val="fr-FR"/>
        </w:rPr>
        <w:t>66</w:t>
      </w:r>
      <w:r w:rsidR="00743B59">
        <w:rPr>
          <w:noProof/>
        </w:rPr>
        <w:fldChar w:fldCharType="end"/>
      </w:r>
    </w:p>
    <w:p w:rsidR="004D5A29" w:rsidRPr="004D5A29" w:rsidRDefault="004D5A29">
      <w:pPr>
        <w:pStyle w:val="TOC1"/>
        <w:rPr>
          <w:rFonts w:asciiTheme="minorHAnsi" w:eastAsiaTheme="minorEastAsia" w:hAnsiTheme="minorHAnsi" w:cstheme="minorBidi"/>
          <w:b w:val="0"/>
          <w:bCs w:val="0"/>
          <w:caps w:val="0"/>
          <w:noProof/>
          <w:sz w:val="22"/>
          <w:szCs w:val="22"/>
          <w:lang w:val="fr-FR"/>
        </w:rPr>
      </w:pPr>
      <w:r w:rsidRPr="00A01CDF">
        <w:rPr>
          <w:noProof/>
          <w:lang w:val="fr-CA"/>
        </w:rPr>
        <w:t>Annexe 1 – Les réalisations du programme</w:t>
      </w:r>
      <w:r w:rsidRPr="004D5A29">
        <w:rPr>
          <w:noProof/>
          <w:lang w:val="fr-FR"/>
        </w:rPr>
        <w:tab/>
      </w:r>
      <w:r w:rsidR="00743B59">
        <w:rPr>
          <w:noProof/>
        </w:rPr>
        <w:fldChar w:fldCharType="begin"/>
      </w:r>
      <w:r w:rsidRPr="004D5A29">
        <w:rPr>
          <w:noProof/>
          <w:lang w:val="fr-FR"/>
        </w:rPr>
        <w:instrText xml:space="preserve"> PAGEREF _Toc322342026 \h </w:instrText>
      </w:r>
      <w:r w:rsidR="00743B59">
        <w:rPr>
          <w:noProof/>
        </w:rPr>
      </w:r>
      <w:r w:rsidR="00743B59">
        <w:rPr>
          <w:noProof/>
        </w:rPr>
        <w:fldChar w:fldCharType="separate"/>
      </w:r>
      <w:r w:rsidR="0052245B">
        <w:rPr>
          <w:noProof/>
          <w:lang w:val="fr-FR"/>
        </w:rPr>
        <w:t>74</w:t>
      </w:r>
      <w:r w:rsidR="00743B59">
        <w:rPr>
          <w:noProof/>
        </w:rPr>
        <w:fldChar w:fldCharType="end"/>
      </w:r>
    </w:p>
    <w:p w:rsidR="004D5A29" w:rsidRPr="004D5A29" w:rsidRDefault="004D5A29">
      <w:pPr>
        <w:pStyle w:val="TOC1"/>
        <w:rPr>
          <w:rFonts w:asciiTheme="minorHAnsi" w:eastAsiaTheme="minorEastAsia" w:hAnsiTheme="minorHAnsi" w:cstheme="minorBidi"/>
          <w:b w:val="0"/>
          <w:bCs w:val="0"/>
          <w:caps w:val="0"/>
          <w:noProof/>
          <w:sz w:val="22"/>
          <w:szCs w:val="22"/>
          <w:lang w:val="fr-FR"/>
        </w:rPr>
      </w:pPr>
      <w:r w:rsidRPr="00A01CDF">
        <w:rPr>
          <w:noProof/>
          <w:lang w:val="fr-CA"/>
        </w:rPr>
        <w:t>Annexe 2 - Proposition de reformulation du Cadre Logique</w:t>
      </w:r>
      <w:r w:rsidRPr="004D5A29">
        <w:rPr>
          <w:noProof/>
          <w:lang w:val="fr-FR"/>
        </w:rPr>
        <w:tab/>
      </w:r>
      <w:r w:rsidR="00743B59">
        <w:rPr>
          <w:noProof/>
        </w:rPr>
        <w:fldChar w:fldCharType="begin"/>
      </w:r>
      <w:r w:rsidRPr="004D5A29">
        <w:rPr>
          <w:noProof/>
          <w:lang w:val="fr-FR"/>
        </w:rPr>
        <w:instrText xml:space="preserve"> PAGEREF _Toc322342027 \h </w:instrText>
      </w:r>
      <w:r w:rsidR="00743B59">
        <w:rPr>
          <w:noProof/>
        </w:rPr>
      </w:r>
      <w:r w:rsidR="00743B59">
        <w:rPr>
          <w:noProof/>
        </w:rPr>
        <w:fldChar w:fldCharType="separate"/>
      </w:r>
      <w:r w:rsidR="0052245B">
        <w:rPr>
          <w:noProof/>
          <w:lang w:val="fr-FR"/>
        </w:rPr>
        <w:t>76</w:t>
      </w:r>
      <w:r w:rsidR="00743B59">
        <w:rPr>
          <w:noProof/>
        </w:rPr>
        <w:fldChar w:fldCharType="end"/>
      </w:r>
    </w:p>
    <w:p w:rsidR="004D5A29" w:rsidRPr="004D5A29" w:rsidRDefault="004D5A29">
      <w:pPr>
        <w:pStyle w:val="TOC1"/>
        <w:rPr>
          <w:rFonts w:asciiTheme="minorHAnsi" w:eastAsiaTheme="minorEastAsia" w:hAnsiTheme="minorHAnsi" w:cstheme="minorBidi"/>
          <w:b w:val="0"/>
          <w:bCs w:val="0"/>
          <w:caps w:val="0"/>
          <w:noProof/>
          <w:sz w:val="22"/>
          <w:szCs w:val="22"/>
          <w:lang w:val="fr-FR"/>
        </w:rPr>
      </w:pPr>
      <w:r w:rsidRPr="00A01CDF">
        <w:rPr>
          <w:noProof/>
          <w:lang w:val="fr-CA"/>
        </w:rPr>
        <w:t>Annexe 3 - Liste des Points Focaux du programme conjoint</w:t>
      </w:r>
      <w:r w:rsidRPr="004D5A29">
        <w:rPr>
          <w:noProof/>
          <w:lang w:val="fr-FR"/>
        </w:rPr>
        <w:tab/>
      </w:r>
      <w:r w:rsidR="00743B59">
        <w:rPr>
          <w:noProof/>
        </w:rPr>
        <w:fldChar w:fldCharType="begin"/>
      </w:r>
      <w:r w:rsidRPr="004D5A29">
        <w:rPr>
          <w:noProof/>
          <w:lang w:val="fr-FR"/>
        </w:rPr>
        <w:instrText xml:space="preserve"> PAGEREF _Toc322342028 \h </w:instrText>
      </w:r>
      <w:r w:rsidR="00743B59">
        <w:rPr>
          <w:noProof/>
        </w:rPr>
      </w:r>
      <w:r w:rsidR="00743B59">
        <w:rPr>
          <w:noProof/>
        </w:rPr>
        <w:fldChar w:fldCharType="separate"/>
      </w:r>
      <w:r w:rsidR="0052245B">
        <w:rPr>
          <w:noProof/>
          <w:lang w:val="fr-FR"/>
        </w:rPr>
        <w:t>82</w:t>
      </w:r>
      <w:r w:rsidR="00743B59">
        <w:rPr>
          <w:noProof/>
        </w:rPr>
        <w:fldChar w:fldCharType="end"/>
      </w:r>
    </w:p>
    <w:p w:rsidR="004D5A29" w:rsidRPr="004D5A29" w:rsidRDefault="004D5A29">
      <w:pPr>
        <w:pStyle w:val="TOC1"/>
        <w:rPr>
          <w:rFonts w:asciiTheme="minorHAnsi" w:eastAsiaTheme="minorEastAsia" w:hAnsiTheme="minorHAnsi" w:cstheme="minorBidi"/>
          <w:b w:val="0"/>
          <w:bCs w:val="0"/>
          <w:caps w:val="0"/>
          <w:noProof/>
          <w:sz w:val="22"/>
          <w:szCs w:val="22"/>
          <w:lang w:val="fr-FR"/>
        </w:rPr>
      </w:pPr>
      <w:r w:rsidRPr="00A01CDF">
        <w:rPr>
          <w:noProof/>
          <w:lang w:val="fr-CA"/>
        </w:rPr>
        <w:t>Annexe 4 – Programme la mission d’évaluation</w:t>
      </w:r>
      <w:r w:rsidRPr="004D5A29">
        <w:rPr>
          <w:noProof/>
          <w:lang w:val="fr-FR"/>
        </w:rPr>
        <w:tab/>
      </w:r>
      <w:r w:rsidR="00743B59">
        <w:rPr>
          <w:noProof/>
        </w:rPr>
        <w:fldChar w:fldCharType="begin"/>
      </w:r>
      <w:r w:rsidRPr="004D5A29">
        <w:rPr>
          <w:noProof/>
          <w:lang w:val="fr-FR"/>
        </w:rPr>
        <w:instrText xml:space="preserve"> PAGEREF _Toc322342029 \h </w:instrText>
      </w:r>
      <w:r w:rsidR="00743B59">
        <w:rPr>
          <w:noProof/>
        </w:rPr>
      </w:r>
      <w:r w:rsidR="00743B59">
        <w:rPr>
          <w:noProof/>
        </w:rPr>
        <w:fldChar w:fldCharType="separate"/>
      </w:r>
      <w:r w:rsidR="0052245B">
        <w:rPr>
          <w:noProof/>
          <w:lang w:val="fr-FR"/>
        </w:rPr>
        <w:t>83</w:t>
      </w:r>
      <w:r w:rsidR="00743B59">
        <w:rPr>
          <w:noProof/>
        </w:rPr>
        <w:fldChar w:fldCharType="end"/>
      </w:r>
    </w:p>
    <w:p w:rsidR="004D5A29" w:rsidRPr="004D5A29" w:rsidRDefault="004D5A29">
      <w:pPr>
        <w:pStyle w:val="TOC1"/>
        <w:rPr>
          <w:rFonts w:asciiTheme="minorHAnsi" w:eastAsiaTheme="minorEastAsia" w:hAnsiTheme="minorHAnsi" w:cstheme="minorBidi"/>
          <w:b w:val="0"/>
          <w:bCs w:val="0"/>
          <w:caps w:val="0"/>
          <w:noProof/>
          <w:sz w:val="22"/>
          <w:szCs w:val="22"/>
          <w:lang w:val="fr-FR"/>
        </w:rPr>
      </w:pPr>
      <w:r w:rsidRPr="00A01CDF">
        <w:rPr>
          <w:noProof/>
          <w:lang w:val="fr-CA"/>
        </w:rPr>
        <w:t>Annexe 5  – Liste des personnes rencontrées</w:t>
      </w:r>
      <w:r w:rsidRPr="004D5A29">
        <w:rPr>
          <w:noProof/>
          <w:lang w:val="fr-FR"/>
        </w:rPr>
        <w:tab/>
      </w:r>
      <w:r w:rsidR="00743B59">
        <w:rPr>
          <w:noProof/>
        </w:rPr>
        <w:fldChar w:fldCharType="begin"/>
      </w:r>
      <w:r w:rsidRPr="004D5A29">
        <w:rPr>
          <w:noProof/>
          <w:lang w:val="fr-FR"/>
        </w:rPr>
        <w:instrText xml:space="preserve"> PAGEREF _Toc322342030 \h </w:instrText>
      </w:r>
      <w:r w:rsidR="00743B59">
        <w:rPr>
          <w:noProof/>
        </w:rPr>
      </w:r>
      <w:r w:rsidR="00743B59">
        <w:rPr>
          <w:noProof/>
        </w:rPr>
        <w:fldChar w:fldCharType="separate"/>
      </w:r>
      <w:r w:rsidR="0052245B">
        <w:rPr>
          <w:noProof/>
          <w:lang w:val="fr-FR"/>
        </w:rPr>
        <w:t>84</w:t>
      </w:r>
      <w:r w:rsidR="00743B59">
        <w:rPr>
          <w:noProof/>
        </w:rPr>
        <w:fldChar w:fldCharType="end"/>
      </w:r>
    </w:p>
    <w:p w:rsidR="004D5A29" w:rsidRPr="004D5A29" w:rsidRDefault="004D5A29">
      <w:pPr>
        <w:pStyle w:val="TOC1"/>
        <w:rPr>
          <w:rFonts w:asciiTheme="minorHAnsi" w:eastAsiaTheme="minorEastAsia" w:hAnsiTheme="minorHAnsi" w:cstheme="minorBidi"/>
          <w:b w:val="0"/>
          <w:bCs w:val="0"/>
          <w:caps w:val="0"/>
          <w:noProof/>
          <w:sz w:val="22"/>
          <w:szCs w:val="22"/>
          <w:lang w:val="fr-FR"/>
        </w:rPr>
      </w:pPr>
      <w:r w:rsidRPr="00A01CDF">
        <w:rPr>
          <w:noProof/>
          <w:lang w:val="fr-CA"/>
        </w:rPr>
        <w:t>Annexe 6 – Liste de la documentation consultée</w:t>
      </w:r>
      <w:r w:rsidRPr="004D5A29">
        <w:rPr>
          <w:noProof/>
          <w:lang w:val="fr-FR"/>
        </w:rPr>
        <w:tab/>
      </w:r>
      <w:r w:rsidR="00743B59">
        <w:rPr>
          <w:noProof/>
        </w:rPr>
        <w:fldChar w:fldCharType="begin"/>
      </w:r>
      <w:r w:rsidRPr="004D5A29">
        <w:rPr>
          <w:noProof/>
          <w:lang w:val="fr-FR"/>
        </w:rPr>
        <w:instrText xml:space="preserve"> PAGEREF _Toc322342031 \h </w:instrText>
      </w:r>
      <w:r w:rsidR="00743B59">
        <w:rPr>
          <w:noProof/>
        </w:rPr>
      </w:r>
      <w:r w:rsidR="00743B59">
        <w:rPr>
          <w:noProof/>
        </w:rPr>
        <w:fldChar w:fldCharType="separate"/>
      </w:r>
      <w:r w:rsidR="0052245B">
        <w:rPr>
          <w:noProof/>
          <w:lang w:val="fr-FR"/>
        </w:rPr>
        <w:t>86</w:t>
      </w:r>
      <w:r w:rsidR="00743B59">
        <w:rPr>
          <w:noProof/>
        </w:rPr>
        <w:fldChar w:fldCharType="end"/>
      </w:r>
    </w:p>
    <w:p w:rsidR="004D5A29" w:rsidRPr="004D5A29" w:rsidRDefault="004D5A29">
      <w:pPr>
        <w:pStyle w:val="TOC1"/>
        <w:rPr>
          <w:rFonts w:asciiTheme="minorHAnsi" w:eastAsiaTheme="minorEastAsia" w:hAnsiTheme="minorHAnsi" w:cstheme="minorBidi"/>
          <w:b w:val="0"/>
          <w:bCs w:val="0"/>
          <w:caps w:val="0"/>
          <w:noProof/>
          <w:sz w:val="22"/>
          <w:szCs w:val="22"/>
          <w:lang w:val="fr-FR"/>
        </w:rPr>
      </w:pPr>
      <w:r w:rsidRPr="00A01CDF">
        <w:rPr>
          <w:noProof/>
          <w:lang w:val="fr-CA"/>
        </w:rPr>
        <w:t>Annexe 7a – Liste des participants à la formations des cadres des OSC</w:t>
      </w:r>
      <w:r w:rsidRPr="004D5A29">
        <w:rPr>
          <w:noProof/>
          <w:lang w:val="fr-FR"/>
        </w:rPr>
        <w:tab/>
      </w:r>
      <w:r w:rsidR="00743B59">
        <w:rPr>
          <w:noProof/>
        </w:rPr>
        <w:fldChar w:fldCharType="begin"/>
      </w:r>
      <w:r w:rsidRPr="004D5A29">
        <w:rPr>
          <w:noProof/>
          <w:lang w:val="fr-FR"/>
        </w:rPr>
        <w:instrText xml:space="preserve"> PAGEREF _Toc322342032 \h </w:instrText>
      </w:r>
      <w:r w:rsidR="00743B59">
        <w:rPr>
          <w:noProof/>
        </w:rPr>
      </w:r>
      <w:r w:rsidR="00743B59">
        <w:rPr>
          <w:noProof/>
        </w:rPr>
        <w:fldChar w:fldCharType="separate"/>
      </w:r>
      <w:r w:rsidR="0052245B">
        <w:rPr>
          <w:noProof/>
          <w:lang w:val="fr-FR"/>
        </w:rPr>
        <w:t>87</w:t>
      </w:r>
      <w:r w:rsidR="00743B59">
        <w:rPr>
          <w:noProof/>
        </w:rPr>
        <w:fldChar w:fldCharType="end"/>
      </w:r>
    </w:p>
    <w:p w:rsidR="004D5A29" w:rsidRPr="004D5A29" w:rsidRDefault="004D5A29">
      <w:pPr>
        <w:pStyle w:val="TOC1"/>
        <w:rPr>
          <w:rFonts w:asciiTheme="minorHAnsi" w:eastAsiaTheme="minorEastAsia" w:hAnsiTheme="minorHAnsi" w:cstheme="minorBidi"/>
          <w:b w:val="0"/>
          <w:bCs w:val="0"/>
          <w:caps w:val="0"/>
          <w:noProof/>
          <w:sz w:val="22"/>
          <w:szCs w:val="22"/>
          <w:lang w:val="fr-FR"/>
        </w:rPr>
      </w:pPr>
      <w:r w:rsidRPr="00A01CDF">
        <w:rPr>
          <w:noProof/>
          <w:lang w:val="fr-CA"/>
        </w:rPr>
        <w:t>Annexe 7b – Conditions des prêts de l’ANGEM</w:t>
      </w:r>
      <w:r w:rsidRPr="004D5A29">
        <w:rPr>
          <w:noProof/>
          <w:lang w:val="fr-FR"/>
        </w:rPr>
        <w:tab/>
      </w:r>
      <w:r w:rsidR="00743B59">
        <w:rPr>
          <w:noProof/>
        </w:rPr>
        <w:fldChar w:fldCharType="begin"/>
      </w:r>
      <w:r w:rsidRPr="004D5A29">
        <w:rPr>
          <w:noProof/>
          <w:lang w:val="fr-FR"/>
        </w:rPr>
        <w:instrText xml:space="preserve"> PAGEREF _Toc322342033 \h </w:instrText>
      </w:r>
      <w:r w:rsidR="00743B59">
        <w:rPr>
          <w:noProof/>
        </w:rPr>
      </w:r>
      <w:r w:rsidR="00743B59">
        <w:rPr>
          <w:noProof/>
        </w:rPr>
        <w:fldChar w:fldCharType="separate"/>
      </w:r>
      <w:r w:rsidR="0052245B">
        <w:rPr>
          <w:noProof/>
          <w:lang w:val="fr-FR"/>
        </w:rPr>
        <w:t>89</w:t>
      </w:r>
      <w:r w:rsidR="00743B59">
        <w:rPr>
          <w:noProof/>
        </w:rPr>
        <w:fldChar w:fldCharType="end"/>
      </w:r>
    </w:p>
    <w:p w:rsidR="0082250B" w:rsidRPr="0031650C" w:rsidRDefault="00743B59" w:rsidP="001C6059">
      <w:pPr>
        <w:rPr>
          <w:rFonts w:ascii="Calibri" w:hAnsi="Calibri"/>
          <w:b/>
          <w:color w:val="FF0000"/>
          <w:sz w:val="22"/>
          <w:szCs w:val="22"/>
          <w:lang w:val="fr-CA"/>
        </w:rPr>
      </w:pPr>
      <w:r w:rsidRPr="0031650C">
        <w:rPr>
          <w:rFonts w:ascii="Calibri" w:hAnsi="Calibri"/>
          <w:b/>
          <w:color w:val="FF0000"/>
          <w:sz w:val="22"/>
          <w:szCs w:val="22"/>
          <w:lang w:val="fr-CA"/>
        </w:rPr>
        <w:fldChar w:fldCharType="end"/>
      </w:r>
    </w:p>
    <w:p w:rsidR="005C5DC4" w:rsidRPr="0031650C" w:rsidRDefault="005C5DC4" w:rsidP="007A00B3">
      <w:pPr>
        <w:rPr>
          <w:rFonts w:ascii="Calibri" w:hAnsi="Calibri"/>
          <w:b/>
          <w:color w:val="FF0000"/>
          <w:sz w:val="22"/>
          <w:szCs w:val="22"/>
          <w:lang w:val="fr-CA"/>
        </w:rPr>
        <w:sectPr w:rsidR="005C5DC4" w:rsidRPr="0031650C" w:rsidSect="00031371">
          <w:headerReference w:type="default" r:id="rId9"/>
          <w:footerReference w:type="default" r:id="rId10"/>
          <w:pgSz w:w="11906" w:h="16838"/>
          <w:pgMar w:top="1417" w:right="1417" w:bottom="1417" w:left="1350" w:header="708" w:footer="708" w:gutter="0"/>
          <w:pgNumType w:start="1"/>
          <w:cols w:space="708"/>
          <w:titlePg/>
          <w:docGrid w:linePitch="360"/>
        </w:sectPr>
      </w:pPr>
      <w:bookmarkStart w:id="1" w:name="_Toc309023404"/>
    </w:p>
    <w:p w:rsidR="005C5DC4" w:rsidRPr="0031650C" w:rsidRDefault="00654A74" w:rsidP="007A00B3">
      <w:pPr>
        <w:rPr>
          <w:color w:val="FF0000"/>
          <w:lang w:val="fr-FR"/>
        </w:rPr>
      </w:pPr>
      <w:r w:rsidRPr="0031650C">
        <w:rPr>
          <w:color w:val="FF0000"/>
          <w:lang w:val="fr-CA"/>
        </w:rPr>
        <w:lastRenderedPageBreak/>
        <w:t xml:space="preserve">   </w:t>
      </w:r>
    </w:p>
    <w:p w:rsidR="005C5DC4" w:rsidRDefault="00B800A4" w:rsidP="007A00B3">
      <w:pPr>
        <w:rPr>
          <w:rFonts w:asciiTheme="minorHAnsi" w:hAnsiTheme="minorHAnsi" w:cstheme="minorHAnsi"/>
          <w:b/>
          <w:sz w:val="28"/>
          <w:szCs w:val="28"/>
          <w:lang w:val="fr-CA"/>
        </w:rPr>
      </w:pPr>
      <w:r w:rsidRPr="003F6824">
        <w:rPr>
          <w:rFonts w:asciiTheme="minorHAnsi" w:hAnsiTheme="minorHAnsi" w:cstheme="minorHAnsi"/>
          <w:b/>
          <w:sz w:val="28"/>
          <w:szCs w:val="28"/>
          <w:lang w:val="fr-CA"/>
        </w:rPr>
        <w:t>Carte du pays et des zones d’interventions</w:t>
      </w:r>
    </w:p>
    <w:p w:rsidR="001E5FF1" w:rsidRDefault="001E5FF1" w:rsidP="007A00B3">
      <w:pPr>
        <w:rPr>
          <w:rFonts w:asciiTheme="minorHAnsi" w:hAnsiTheme="minorHAnsi" w:cstheme="minorHAnsi"/>
          <w:b/>
          <w:sz w:val="28"/>
          <w:szCs w:val="28"/>
          <w:lang w:val="fr-CA"/>
        </w:rPr>
      </w:pPr>
    </w:p>
    <w:p w:rsidR="001E5FF1" w:rsidRPr="00AE26BC" w:rsidRDefault="001E5FF1" w:rsidP="001E5FF1">
      <w:pPr>
        <w:rPr>
          <w:lang w:val="fr-FR"/>
        </w:rPr>
      </w:pPr>
    </w:p>
    <w:p w:rsidR="003F6824" w:rsidRDefault="00B233DD" w:rsidP="003F6824">
      <w:pPr>
        <w:jc w:val="center"/>
        <w:rPr>
          <w:lang w:val="fr-CA"/>
        </w:rPr>
      </w:pPr>
      <w:r>
        <w:rPr>
          <w:noProof/>
        </w:rPr>
        <mc:AlternateContent>
          <mc:Choice Requires="wps">
            <w:drawing>
              <wp:anchor distT="0" distB="0" distL="114300" distR="114300" simplePos="0" relativeHeight="251709440" behindDoc="0" locked="0" layoutInCell="1" allowOverlap="1">
                <wp:simplePos x="0" y="0"/>
                <wp:positionH relativeFrom="column">
                  <wp:posOffset>3371850</wp:posOffset>
                </wp:positionH>
                <wp:positionV relativeFrom="paragraph">
                  <wp:posOffset>753110</wp:posOffset>
                </wp:positionV>
                <wp:extent cx="331470" cy="294640"/>
                <wp:effectExtent l="0" t="0" r="11430" b="10160"/>
                <wp:wrapNone/>
                <wp:docPr id="23" name="El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 cy="29464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265.5pt;margin-top:59.3pt;width:26.1pt;height:2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" filled="f" strokecolor="red" strokeweight="2pt">
                <v:path arrowok="t"/>
              </v:oval>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4019550</wp:posOffset>
                </wp:positionH>
                <wp:positionV relativeFrom="paragraph">
                  <wp:posOffset>3982720</wp:posOffset>
                </wp:positionV>
                <wp:extent cx="487045" cy="304800"/>
                <wp:effectExtent l="0" t="0" r="27305" b="19050"/>
                <wp:wrapNone/>
                <wp:docPr id="291" name="Ellips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91" o:spid="_x0000_s1026" style="position:absolute;margin-left:316.5pt;margin-top:313.6pt;width:38.35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" filled="f" strokecolor="red" strokeweight="2pt">
                <v:path arrowok="t"/>
              </v:oval>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3139440</wp:posOffset>
                </wp:positionH>
                <wp:positionV relativeFrom="paragraph">
                  <wp:posOffset>323850</wp:posOffset>
                </wp:positionV>
                <wp:extent cx="170180" cy="150495"/>
                <wp:effectExtent l="0" t="0" r="20320" b="20955"/>
                <wp:wrapNone/>
                <wp:docPr id="292" name="Ellips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 cy="15049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92" o:spid="_x0000_s1026" style="position:absolute;margin-left:247.2pt;margin-top:25.5pt;width:13.4pt;height:1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" filled="f" strokecolor="red" strokeweight="2pt">
                <v:path arrowok="t"/>
              </v:oval>
            </w:pict>
          </mc:Fallback>
        </mc:AlternateContent>
      </w:r>
      <w:r w:rsidR="00437DE9" w:rsidRPr="00437DE9">
        <w:rPr>
          <w:noProof/>
        </w:rPr>
        <w:drawing>
          <wp:inline distT="0" distB="0" distL="0" distR="0">
            <wp:extent cx="5803265" cy="5260669"/>
            <wp:effectExtent l="0" t="0" r="6985" b="0"/>
            <wp:docPr id="294" name="Grafik 294" descr="General Map of Alg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l Map of Alge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3265" cy="5260669"/>
                    </a:xfrm>
                    <a:prstGeom prst="rect">
                      <a:avLst/>
                    </a:prstGeom>
                    <a:noFill/>
                    <a:ln>
                      <a:noFill/>
                    </a:ln>
                  </pic:spPr>
                </pic:pic>
              </a:graphicData>
            </a:graphic>
          </wp:inline>
        </w:drawing>
      </w:r>
    </w:p>
    <w:p w:rsidR="003F6824" w:rsidRDefault="003F6824">
      <w:pPr>
        <w:rPr>
          <w:lang w:val="fr-CA"/>
        </w:rPr>
      </w:pPr>
      <w:r>
        <w:rPr>
          <w:lang w:val="fr-CA"/>
        </w:rPr>
        <w:br w:type="page"/>
      </w:r>
    </w:p>
    <w:p w:rsidR="007A00B3" w:rsidRPr="00437DE9" w:rsidRDefault="00DD137C" w:rsidP="003F6824">
      <w:pPr>
        <w:jc w:val="center"/>
        <w:rPr>
          <w:rFonts w:asciiTheme="minorHAnsi" w:hAnsiTheme="minorHAnsi" w:cstheme="minorHAnsi"/>
          <w:lang w:val="fr-CA"/>
        </w:rPr>
      </w:pPr>
      <w:r w:rsidRPr="00437DE9">
        <w:rPr>
          <w:rFonts w:asciiTheme="minorHAnsi" w:hAnsiTheme="minorHAnsi" w:cstheme="minorHAnsi"/>
          <w:lang w:val="fr-CA"/>
        </w:rPr>
        <w:lastRenderedPageBreak/>
        <w:t>Acronymes</w:t>
      </w:r>
    </w:p>
    <w:p w:rsidR="00DD137C" w:rsidRPr="00437DE9" w:rsidRDefault="00DD137C" w:rsidP="00DD137C">
      <w:pPr>
        <w:rPr>
          <w:lang w:val="fr-CA"/>
        </w:rPr>
      </w:pPr>
    </w:p>
    <w:tbl>
      <w:tblPr>
        <w:tblW w:w="9663" w:type="dxa"/>
        <w:tblInd w:w="93" w:type="dxa"/>
        <w:tblLook w:val="04A0" w:firstRow="1" w:lastRow="0" w:firstColumn="1" w:lastColumn="0" w:noHBand="0" w:noVBand="1"/>
      </w:tblPr>
      <w:tblGrid>
        <w:gridCol w:w="1327"/>
        <w:gridCol w:w="8336"/>
      </w:tblGrid>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AECID</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Agence Espagnole pour la Coopération Internationale au Développement</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ANGEM</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Agence Nationale pour la Gestion du Microcrédit</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ANSEJ</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 xml:space="preserve">Agence Nationale de Soutien d'Emploi des Jeunes </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BIT</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Bureau International du Travail</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BSG</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Budgétisation Sensible au Genre</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CCA</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Bilan Commun de Pays (Common Country Assessment)</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CEDAW</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Convention Internationale sur l’Elimination de toutes les formes de Discrimination à l’égard des Femmes</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CGP</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Pr>
                <w:rFonts w:ascii="Calibri" w:hAnsi="Calibri" w:cs="Calibri"/>
                <w:color w:val="000000"/>
                <w:sz w:val="20"/>
                <w:szCs w:val="20"/>
                <w:lang w:val="fr-FR"/>
              </w:rPr>
              <w:t>Comité</w:t>
            </w:r>
            <w:r w:rsidRPr="001E5FF1">
              <w:rPr>
                <w:rFonts w:ascii="Calibri" w:hAnsi="Calibri" w:cs="Calibri"/>
                <w:color w:val="000000"/>
                <w:sz w:val="20"/>
                <w:szCs w:val="20"/>
                <w:lang w:val="fr-FR"/>
              </w:rPr>
              <w:t xml:space="preserve"> de Gestion du Programme</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CIREM</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 xml:space="preserve">Centre d’Initiatives et Recherches Européennes pour la Méditerranée </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CNP</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Comité National de Pilotage</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CV</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Curriculum Vitae</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DNP</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Directrice Nationale du Programme</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EP</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Equipe de Programme</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FAO</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Food and Agriculture Organisation</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MADR</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Ministre de l’Agriculture et du Développement Rural</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MAE</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Ministère des Affaires Etrangères</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MDCFCF</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Ministère Délégué Chargé de la Famille et de la Condition Féminine</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MESRS</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Ministre de l’Enseignement Supérieur et de la Recherche Scientifique</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MF</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Ministère des Finances</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MFEP</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Ministère de la Formation et de l’Enseignement professionnel</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MIPIPME</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Ministère de l’Industrie, de la Petite et moyenne entreprise et de la Promotion de l'investissement</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MPS</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Ministère de la Prospective et des statistiques</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MSNF</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Ministère de la Solidarité Nationale et de la famille</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MTA</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Ministère du Tourisme et de l’Artisanat</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MTESS</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Ministère du Travail, de l’Emploi et de la Sécurité sociale</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NU</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Nations Unies</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OMD</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Objectifs du Millénaire pour le Développement</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OMS</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O</w:t>
            </w:r>
            <w:r>
              <w:rPr>
                <w:rFonts w:ascii="Calibri" w:hAnsi="Calibri" w:cs="Calibri"/>
                <w:color w:val="000000"/>
                <w:sz w:val="20"/>
                <w:szCs w:val="20"/>
                <w:lang w:val="fr-FR"/>
              </w:rPr>
              <w:t>rganisation Mondiale de la Santé</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ONG</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Organisation Non Gouvernementale</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ONS</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Office National des Statistiques</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ONUDI</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Organisation des Nations Unies pour le Développement Industriel</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ONUFEMMES</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Entité des Nations Unies pour l’égalité des sexes et l'autonomisation des femmes</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ONUSIDA</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Programme Commun des Nations Unies sur le VIH/SIDA</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OSC</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Organisation de la Société Civile</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PAMT</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Politiques Actives du Marche du Travail</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PIB</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Produit Intérieur Brut</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PNUD</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Programme des Nations Unies pour le Développement</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PTBA</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Plan de Travail et Budget Annuel</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SNU</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Système des Nations Unies</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TdR</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Termes de Reference</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UNDAF</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Plan cadre des Nations Unies pour la coopération au développement (UN Development Assistance Framework)</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UNDSS</w:t>
            </w:r>
          </w:p>
        </w:tc>
        <w:tc>
          <w:tcPr>
            <w:tcW w:w="8336" w:type="dxa"/>
            <w:tcBorders>
              <w:top w:val="nil"/>
              <w:left w:val="nil"/>
              <w:bottom w:val="nil"/>
              <w:right w:val="nil"/>
            </w:tcBorders>
            <w:shd w:val="clear" w:color="auto" w:fill="auto"/>
            <w:noWrap/>
            <w:vAlign w:val="bottom"/>
            <w:hideMark/>
          </w:tcPr>
          <w:p w:rsidR="001E5FF1" w:rsidRPr="00AE26BC" w:rsidRDefault="001E5FF1" w:rsidP="001E5FF1">
            <w:pPr>
              <w:rPr>
                <w:rFonts w:ascii="Calibri" w:hAnsi="Calibri" w:cs="Calibri"/>
                <w:color w:val="000000"/>
                <w:sz w:val="20"/>
                <w:szCs w:val="20"/>
              </w:rPr>
            </w:pPr>
            <w:r w:rsidRPr="00AE26BC">
              <w:rPr>
                <w:rFonts w:ascii="Calibri" w:hAnsi="Calibri" w:cs="Calibri"/>
                <w:color w:val="000000"/>
                <w:sz w:val="20"/>
                <w:szCs w:val="20"/>
              </w:rPr>
              <w:t>United Nations Department of Safety and Security</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UNFPA</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United Nations Population Fund</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UNFPA</w:t>
            </w:r>
          </w:p>
        </w:tc>
        <w:tc>
          <w:tcPr>
            <w:tcW w:w="8336" w:type="dxa"/>
            <w:tcBorders>
              <w:top w:val="nil"/>
              <w:left w:val="nil"/>
              <w:bottom w:val="nil"/>
              <w:right w:val="nil"/>
            </w:tcBorders>
            <w:shd w:val="clear" w:color="auto" w:fill="auto"/>
            <w:noWrap/>
            <w:vAlign w:val="bottom"/>
            <w:hideMark/>
          </w:tcPr>
          <w:p w:rsidR="001E5FF1" w:rsidRPr="00AE26BC" w:rsidRDefault="001E5FF1" w:rsidP="001E5FF1">
            <w:pPr>
              <w:rPr>
                <w:rFonts w:ascii="Calibri" w:hAnsi="Calibri" w:cs="Calibri"/>
                <w:color w:val="000000"/>
                <w:sz w:val="20"/>
                <w:szCs w:val="20"/>
              </w:rPr>
            </w:pPr>
            <w:r w:rsidRPr="00AE26BC">
              <w:rPr>
                <w:rFonts w:ascii="Calibri" w:hAnsi="Calibri" w:cs="Calibri"/>
                <w:color w:val="000000"/>
                <w:sz w:val="20"/>
                <w:szCs w:val="20"/>
              </w:rPr>
              <w:t>United Nations Fund for Population Activities</w:t>
            </w:r>
          </w:p>
        </w:tc>
      </w:tr>
      <w:tr w:rsidR="001E5FF1" w:rsidRPr="001E5FF1"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UNICEF</w:t>
            </w:r>
          </w:p>
        </w:tc>
        <w:tc>
          <w:tcPr>
            <w:tcW w:w="8336" w:type="dxa"/>
            <w:tcBorders>
              <w:top w:val="nil"/>
              <w:left w:val="nil"/>
              <w:bottom w:val="nil"/>
              <w:right w:val="nil"/>
            </w:tcBorders>
            <w:shd w:val="clear" w:color="auto" w:fill="auto"/>
            <w:noWrap/>
            <w:vAlign w:val="bottom"/>
            <w:hideMark/>
          </w:tcPr>
          <w:p w:rsidR="001E5FF1" w:rsidRPr="00AE26BC" w:rsidRDefault="001E5FF1" w:rsidP="001E5FF1">
            <w:pPr>
              <w:rPr>
                <w:rFonts w:ascii="Calibri" w:hAnsi="Calibri" w:cs="Calibri"/>
                <w:color w:val="000000"/>
                <w:sz w:val="20"/>
                <w:szCs w:val="20"/>
              </w:rPr>
            </w:pPr>
            <w:r w:rsidRPr="00AE26BC">
              <w:rPr>
                <w:rFonts w:ascii="Calibri" w:hAnsi="Calibri" w:cs="Calibri"/>
                <w:color w:val="000000"/>
                <w:sz w:val="20"/>
                <w:szCs w:val="20"/>
              </w:rPr>
              <w:t>United Nations International Children's Emergency Fund</w:t>
            </w:r>
          </w:p>
        </w:tc>
      </w:tr>
      <w:tr w:rsidR="001E5FF1" w:rsidRPr="0052245B" w:rsidTr="001E5FF1">
        <w:trPr>
          <w:trHeight w:val="255"/>
        </w:trPr>
        <w:tc>
          <w:tcPr>
            <w:tcW w:w="1327"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rPr>
            </w:pPr>
            <w:r w:rsidRPr="001E5FF1">
              <w:rPr>
                <w:rFonts w:ascii="Calibri" w:hAnsi="Calibri" w:cs="Calibri"/>
                <w:color w:val="000000"/>
                <w:sz w:val="20"/>
                <w:szCs w:val="20"/>
              </w:rPr>
              <w:t>VIH-SIDA</w:t>
            </w:r>
          </w:p>
        </w:tc>
        <w:tc>
          <w:tcPr>
            <w:tcW w:w="8336" w:type="dxa"/>
            <w:tcBorders>
              <w:top w:val="nil"/>
              <w:left w:val="nil"/>
              <w:bottom w:val="nil"/>
              <w:right w:val="nil"/>
            </w:tcBorders>
            <w:shd w:val="clear" w:color="auto" w:fill="auto"/>
            <w:noWrap/>
            <w:vAlign w:val="bottom"/>
            <w:hideMark/>
          </w:tcPr>
          <w:p w:rsidR="001E5FF1" w:rsidRPr="001E5FF1" w:rsidRDefault="001E5FF1" w:rsidP="001E5FF1">
            <w:pPr>
              <w:rPr>
                <w:rFonts w:ascii="Calibri" w:hAnsi="Calibri" w:cs="Calibri"/>
                <w:color w:val="000000"/>
                <w:sz w:val="20"/>
                <w:szCs w:val="20"/>
                <w:lang w:val="fr-FR"/>
              </w:rPr>
            </w:pPr>
            <w:r w:rsidRPr="001E5FF1">
              <w:rPr>
                <w:rFonts w:ascii="Calibri" w:hAnsi="Calibri" w:cs="Calibri"/>
                <w:color w:val="000000"/>
                <w:sz w:val="20"/>
                <w:szCs w:val="20"/>
                <w:lang w:val="fr-FR"/>
              </w:rPr>
              <w:t>Virus de l'Immunodéficience Humaine - Syndrome d'Immunodéficience Acquis</w:t>
            </w:r>
          </w:p>
        </w:tc>
      </w:tr>
    </w:tbl>
    <w:p w:rsidR="007A00B3" w:rsidRPr="00B800A4" w:rsidRDefault="007A00B3" w:rsidP="005365E9">
      <w:pPr>
        <w:rPr>
          <w:lang w:val="fr-FR"/>
        </w:rPr>
      </w:pPr>
    </w:p>
    <w:p w:rsidR="00DD137C" w:rsidRPr="00B800A4" w:rsidRDefault="00DD137C" w:rsidP="005365E9">
      <w:pPr>
        <w:rPr>
          <w:lang w:val="fr-FR"/>
        </w:rPr>
      </w:pPr>
      <w:r w:rsidRPr="00B800A4">
        <w:rPr>
          <w:lang w:val="fr-FR"/>
        </w:rPr>
        <w:br w:type="page"/>
      </w:r>
    </w:p>
    <w:p w:rsidR="00654A74" w:rsidRPr="00DF5ACA" w:rsidRDefault="006B0BE3" w:rsidP="00654A74">
      <w:pPr>
        <w:pStyle w:val="Heading1"/>
        <w:numPr>
          <w:ilvl w:val="0"/>
          <w:numId w:val="0"/>
        </w:numPr>
        <w:ind w:left="360"/>
        <w:rPr>
          <w:lang w:val="fr-CA"/>
        </w:rPr>
      </w:pPr>
      <w:bookmarkStart w:id="2" w:name="_Toc322341995"/>
      <w:r w:rsidRPr="00AE0E84">
        <w:rPr>
          <w:lang w:val="fr-CA"/>
        </w:rPr>
        <w:lastRenderedPageBreak/>
        <w:t>RÉSUMÉ EXÉ</w:t>
      </w:r>
      <w:r w:rsidR="00654A74" w:rsidRPr="00AE0E84">
        <w:rPr>
          <w:lang w:val="fr-CA"/>
        </w:rPr>
        <w:t>CUTIF</w:t>
      </w:r>
      <w:bookmarkEnd w:id="2"/>
    </w:p>
    <w:p w:rsidR="001731EC" w:rsidRDefault="001731EC" w:rsidP="00AE0E84">
      <w:pPr>
        <w:spacing w:before="120" w:after="120"/>
        <w:jc w:val="both"/>
        <w:rPr>
          <w:rFonts w:ascii="Calibri" w:hAnsi="Calibri"/>
          <w:b/>
          <w:sz w:val="22"/>
          <w:lang w:val="fr-CA"/>
        </w:rPr>
      </w:pPr>
      <w:r>
        <w:rPr>
          <w:rFonts w:ascii="Calibri" w:hAnsi="Calibri"/>
          <w:b/>
          <w:sz w:val="22"/>
          <w:lang w:val="fr-CA"/>
        </w:rPr>
        <w:t>Le c</w:t>
      </w:r>
      <w:r w:rsidRPr="001731EC">
        <w:rPr>
          <w:rFonts w:ascii="Calibri" w:hAnsi="Calibri"/>
          <w:b/>
          <w:sz w:val="22"/>
          <w:lang w:val="fr-CA"/>
        </w:rPr>
        <w:t>ontexte</w:t>
      </w:r>
    </w:p>
    <w:p w:rsidR="00AE0E84" w:rsidRPr="00AE0E84" w:rsidRDefault="00AE0E84" w:rsidP="00AE0E84">
      <w:pPr>
        <w:spacing w:before="120" w:after="120"/>
        <w:jc w:val="both"/>
        <w:rPr>
          <w:rFonts w:ascii="Calibri" w:hAnsi="Calibri"/>
          <w:sz w:val="22"/>
          <w:lang w:val="fr-FR"/>
        </w:rPr>
      </w:pPr>
      <w:r w:rsidRPr="00AE0E84">
        <w:rPr>
          <w:rFonts w:ascii="Calibri" w:hAnsi="Calibri"/>
          <w:sz w:val="22"/>
          <w:lang w:val="fr-CA"/>
        </w:rPr>
        <w:t xml:space="preserve">A la demande du Secrétariat du </w:t>
      </w:r>
      <w:r w:rsidRPr="00AE0E84">
        <w:rPr>
          <w:rFonts w:ascii="Calibri" w:hAnsi="Calibri"/>
          <w:noProof/>
          <w:sz w:val="22"/>
          <w:lang w:val="fr-CA"/>
        </w:rPr>
        <w:t xml:space="preserve">Fonds pour la réalisation des Objectifs du Millénaire pour le Développement (Fonds-OMD), </w:t>
      </w:r>
      <w:r w:rsidRPr="00AE0E84">
        <w:rPr>
          <w:rFonts w:ascii="Calibri" w:hAnsi="Calibri"/>
          <w:sz w:val="22"/>
          <w:lang w:val="fr-FR"/>
        </w:rPr>
        <w:t>une mission d’évaluation à mi-parcours</w:t>
      </w:r>
      <w:r w:rsidRPr="00AE0E84">
        <w:rPr>
          <w:rFonts w:ascii="Calibri" w:hAnsi="Calibri"/>
          <w:sz w:val="22"/>
          <w:vertAlign w:val="superscript"/>
          <w:lang w:val="fr-FR"/>
        </w:rPr>
        <w:footnoteReference w:id="1"/>
      </w:r>
      <w:r w:rsidRPr="00AE0E84">
        <w:rPr>
          <w:rFonts w:ascii="Calibri" w:hAnsi="Calibri"/>
          <w:sz w:val="22"/>
          <w:lang w:val="fr-FR"/>
        </w:rPr>
        <w:t xml:space="preserve"> s’est rendue en Algérie du 15 au 25 janvier 2012 pour apprécier les réalisations du programme conjoint pour « </w:t>
      </w:r>
      <w:r w:rsidRPr="00AE0E84">
        <w:rPr>
          <w:rFonts w:ascii="Calibri" w:hAnsi="Calibri"/>
          <w:i/>
          <w:sz w:val="22"/>
          <w:lang w:val="fr-FR"/>
        </w:rPr>
        <w:t>l’Egalité entre les genres et l’autonomisation des femmes en Algérie</w:t>
      </w:r>
      <w:r w:rsidRPr="00AE0E84">
        <w:rPr>
          <w:rFonts w:ascii="Calibri" w:hAnsi="Calibri"/>
          <w:sz w:val="22"/>
          <w:lang w:val="fr-FR"/>
        </w:rPr>
        <w:t> »  financé par le gouverneme</w:t>
      </w:r>
      <w:r w:rsidR="005030CA">
        <w:rPr>
          <w:rFonts w:ascii="Calibri" w:hAnsi="Calibri"/>
          <w:sz w:val="22"/>
          <w:lang w:val="fr-FR"/>
        </w:rPr>
        <w:t>nt espagnol à travers le Fonds.</w:t>
      </w:r>
      <w:r w:rsidRPr="00AE0E84">
        <w:rPr>
          <w:rFonts w:ascii="Calibri" w:hAnsi="Calibri"/>
          <w:sz w:val="22"/>
          <w:lang w:val="fr-FR"/>
        </w:rPr>
        <w:t xml:space="preserve"> </w:t>
      </w:r>
    </w:p>
    <w:p w:rsidR="00691BAD" w:rsidRDefault="00AE0E84" w:rsidP="00691BAD">
      <w:pPr>
        <w:spacing w:before="120" w:after="120"/>
        <w:jc w:val="both"/>
        <w:rPr>
          <w:rFonts w:ascii="Calibri" w:hAnsi="Calibri"/>
          <w:sz w:val="22"/>
          <w:lang w:val="fr-FR"/>
        </w:rPr>
      </w:pPr>
      <w:r w:rsidRPr="00AE0E84">
        <w:rPr>
          <w:rFonts w:ascii="Calibri" w:hAnsi="Calibri"/>
          <w:sz w:val="22"/>
          <w:lang w:val="fr-FR"/>
        </w:rPr>
        <w:t>Ce programme fait partie des quelques 128 programmes conjoints financés dans 50 pays par le Gouvernement espagnol à travers le Fonds-OMD. Plus précisément, il fait partie des 13 programmes conjoints du volet « Egalité des sexes et autonomisation des femmes », lequel vise à accélérer l’atteinte de l’OMD 3</w:t>
      </w:r>
      <w:r>
        <w:rPr>
          <w:rFonts w:ascii="Calibri" w:hAnsi="Calibri"/>
          <w:sz w:val="22"/>
          <w:lang w:val="fr-FR"/>
        </w:rPr>
        <w:t>.</w:t>
      </w:r>
      <w:r w:rsidRPr="00AE0E84">
        <w:rPr>
          <w:lang w:val="fr-FR"/>
        </w:rPr>
        <w:t xml:space="preserve"> </w:t>
      </w:r>
      <w:r w:rsidR="00691BAD">
        <w:rPr>
          <w:rFonts w:ascii="Calibri" w:hAnsi="Calibri"/>
          <w:sz w:val="22"/>
          <w:lang w:val="fr-FR"/>
        </w:rPr>
        <w:t>Conçu entre juillet 2007 et janvier 2008, doté d’un budget de 3,6 million</w:t>
      </w:r>
      <w:r w:rsidR="005030CA">
        <w:rPr>
          <w:rFonts w:ascii="Calibri" w:hAnsi="Calibri"/>
          <w:sz w:val="22"/>
          <w:lang w:val="fr-FR"/>
        </w:rPr>
        <w:t>s</w:t>
      </w:r>
      <w:r w:rsidR="00691BAD">
        <w:rPr>
          <w:rFonts w:ascii="Calibri" w:hAnsi="Calibri"/>
          <w:sz w:val="22"/>
          <w:lang w:val="fr-FR"/>
        </w:rPr>
        <w:t xml:space="preserve"> de dollars US pour une durée de mise en œuvre </w:t>
      </w:r>
      <w:r w:rsidR="005030CA">
        <w:rPr>
          <w:rFonts w:ascii="Calibri" w:hAnsi="Calibri"/>
          <w:sz w:val="22"/>
          <w:lang w:val="fr-FR"/>
        </w:rPr>
        <w:t xml:space="preserve">initiale </w:t>
      </w:r>
      <w:r w:rsidR="00691BAD">
        <w:rPr>
          <w:rFonts w:ascii="Calibri" w:hAnsi="Calibri"/>
          <w:sz w:val="22"/>
          <w:lang w:val="fr-FR"/>
        </w:rPr>
        <w:t>de trois ans, le p</w:t>
      </w:r>
      <w:r w:rsidR="005030CA">
        <w:rPr>
          <w:rFonts w:ascii="Calibri" w:hAnsi="Calibri"/>
          <w:sz w:val="22"/>
          <w:lang w:val="fr-FR"/>
        </w:rPr>
        <w:t xml:space="preserve">rogramme conjoint vise à </w:t>
      </w:r>
      <w:r w:rsidR="00691BAD" w:rsidRPr="005030CA">
        <w:rPr>
          <w:rFonts w:ascii="Calibri" w:hAnsi="Calibri"/>
          <w:sz w:val="22"/>
          <w:lang w:val="fr-FR"/>
        </w:rPr>
        <w:t>appuyer les efforts nationaux pour l’égalité des genres et l’autonomisation des femmes, avec un accent particulier sur l’accès amélioré à l’emploi pou</w:t>
      </w:r>
      <w:r w:rsidR="005030CA">
        <w:rPr>
          <w:rFonts w:ascii="Calibri" w:hAnsi="Calibri"/>
          <w:sz w:val="22"/>
          <w:lang w:val="fr-FR"/>
        </w:rPr>
        <w:t>r les femmes</w:t>
      </w:r>
      <w:r w:rsidR="00691BAD" w:rsidRPr="005030CA">
        <w:rPr>
          <w:rFonts w:ascii="Calibri" w:hAnsi="Calibri"/>
          <w:i/>
          <w:sz w:val="22"/>
          <w:lang w:val="fr-FR"/>
        </w:rPr>
        <w:t>.</w:t>
      </w:r>
      <w:r w:rsidR="00691BAD">
        <w:rPr>
          <w:rFonts w:ascii="Calibri" w:hAnsi="Calibri"/>
          <w:i/>
          <w:sz w:val="22"/>
          <w:lang w:val="fr-FR"/>
        </w:rPr>
        <w:t xml:space="preserve"> </w:t>
      </w:r>
      <w:r w:rsidR="00691BAD">
        <w:rPr>
          <w:rFonts w:ascii="Calibri" w:hAnsi="Calibri"/>
          <w:sz w:val="22"/>
          <w:lang w:val="fr-FR"/>
        </w:rPr>
        <w:t>Pour ce faire, les concepteurs ont prévu la réalisation de 13 produits principaux et la mise en œuvre de quelques 35 activités regroupées sous trois principaux volets</w:t>
      </w:r>
      <w:r w:rsidR="002938D4">
        <w:rPr>
          <w:rFonts w:ascii="Calibri" w:hAnsi="Calibri"/>
          <w:sz w:val="22"/>
          <w:lang w:val="fr-FR"/>
        </w:rPr>
        <w:t>. Il réunit comme</w:t>
      </w:r>
      <w:r w:rsidR="001731EC">
        <w:rPr>
          <w:rFonts w:ascii="Calibri" w:hAnsi="Calibri"/>
          <w:sz w:val="22"/>
          <w:lang w:val="fr-FR"/>
        </w:rPr>
        <w:t xml:space="preserve"> principaux partenaires d’exécution sept agences des Nations Unies et douze ministères, </w:t>
      </w:r>
      <w:r w:rsidR="002938D4">
        <w:rPr>
          <w:rFonts w:ascii="Calibri" w:hAnsi="Calibri"/>
          <w:sz w:val="22"/>
          <w:lang w:val="fr-FR"/>
        </w:rPr>
        <w:t xml:space="preserve">avec le MDCFCF nommé comme Agent d’Exécution, </w:t>
      </w:r>
      <w:r w:rsidR="001731EC">
        <w:rPr>
          <w:rFonts w:ascii="Calibri" w:hAnsi="Calibri"/>
          <w:sz w:val="22"/>
          <w:lang w:val="fr-FR"/>
        </w:rPr>
        <w:t>sous l’égide  d’une Equipe de Programme (EP), d’un Comité de Gestion du Programme (CGP) et d’un Comité Nation</w:t>
      </w:r>
      <w:r w:rsidR="002938D4">
        <w:rPr>
          <w:rFonts w:ascii="Calibri" w:hAnsi="Calibri"/>
          <w:sz w:val="22"/>
          <w:lang w:val="fr-FR"/>
        </w:rPr>
        <w:t xml:space="preserve">al de Pilotage (CNP), </w:t>
      </w:r>
    </w:p>
    <w:p w:rsidR="001731EC" w:rsidRDefault="001731EC" w:rsidP="004E3ACA">
      <w:pPr>
        <w:spacing w:before="120" w:after="120"/>
        <w:jc w:val="both"/>
        <w:rPr>
          <w:rFonts w:ascii="Calibri" w:hAnsi="Calibri"/>
          <w:sz w:val="22"/>
          <w:lang w:val="fr-FR"/>
        </w:rPr>
      </w:pPr>
      <w:r>
        <w:rPr>
          <w:rFonts w:ascii="Calibri" w:hAnsi="Calibri"/>
          <w:b/>
          <w:sz w:val="22"/>
          <w:lang w:val="fr-FR"/>
        </w:rPr>
        <w:t xml:space="preserve">Objectifs et méthodologie </w:t>
      </w:r>
      <w:r w:rsidRPr="001731EC">
        <w:rPr>
          <w:rFonts w:ascii="Calibri" w:hAnsi="Calibri"/>
          <w:b/>
          <w:sz w:val="22"/>
          <w:lang w:val="fr-FR"/>
        </w:rPr>
        <w:t>de l’évaluation</w:t>
      </w:r>
    </w:p>
    <w:p w:rsidR="00407D4E" w:rsidRDefault="002938D4" w:rsidP="004E3ACA">
      <w:pPr>
        <w:spacing w:before="120" w:after="120"/>
        <w:jc w:val="both"/>
        <w:rPr>
          <w:rFonts w:ascii="Calibri" w:hAnsi="Calibri"/>
          <w:sz w:val="22"/>
          <w:lang w:val="fr-FR"/>
        </w:rPr>
      </w:pPr>
      <w:r>
        <w:rPr>
          <w:rFonts w:ascii="Calibri" w:hAnsi="Calibri"/>
          <w:sz w:val="22"/>
          <w:lang w:val="fr-FR"/>
        </w:rPr>
        <w:t>Sur</w:t>
      </w:r>
      <w:r w:rsidR="00AE0E84" w:rsidRPr="00AE0E84">
        <w:rPr>
          <w:rFonts w:ascii="Calibri" w:hAnsi="Calibri"/>
          <w:sz w:val="22"/>
          <w:lang w:val="fr-FR"/>
        </w:rPr>
        <w:t xml:space="preserve"> la base des Termes de Référence de l’évaluation et du rapport préliminaire qui fixaient le cadre général de l’évalu</w:t>
      </w:r>
      <w:r w:rsidR="00AE0E84">
        <w:rPr>
          <w:rFonts w:ascii="Calibri" w:hAnsi="Calibri"/>
          <w:sz w:val="22"/>
          <w:lang w:val="fr-FR"/>
        </w:rPr>
        <w:t xml:space="preserve">ation et sa méthodologie, la mission d’évaluation a cherché à apprécier la qualité de la conception du programme et sa pertinence, l’efficacité d’ensemble du programme – notamment l’état d’avancement et les perspectives de pérennité </w:t>
      </w:r>
      <w:r w:rsidR="00DC2EA5" w:rsidRPr="00DC2EA5">
        <w:rPr>
          <w:rFonts w:ascii="Calibri" w:hAnsi="Calibri"/>
          <w:sz w:val="22"/>
          <w:lang w:val="fr-FR"/>
        </w:rPr>
        <w:t>–</w:t>
      </w:r>
      <w:r w:rsidR="00DC2EA5">
        <w:rPr>
          <w:rFonts w:ascii="Calibri" w:hAnsi="Calibri"/>
          <w:sz w:val="22"/>
          <w:lang w:val="fr-FR"/>
        </w:rPr>
        <w:t xml:space="preserve"> </w:t>
      </w:r>
      <w:r w:rsidR="00AE0E84">
        <w:rPr>
          <w:rFonts w:ascii="Calibri" w:hAnsi="Calibri"/>
          <w:sz w:val="22"/>
          <w:lang w:val="fr-FR"/>
        </w:rPr>
        <w:t xml:space="preserve">ainsi que l’efficience des principaux processus de mise en œuvre. Pour ce faire, l’ensemble </w:t>
      </w:r>
      <w:r w:rsidR="00DC2EA5">
        <w:rPr>
          <w:rFonts w:ascii="Calibri" w:hAnsi="Calibri"/>
          <w:sz w:val="22"/>
          <w:lang w:val="fr-FR"/>
        </w:rPr>
        <w:t>de la documentation produite par le programme a été consulté</w:t>
      </w:r>
      <w:r w:rsidR="005030CA">
        <w:rPr>
          <w:rFonts w:ascii="Calibri" w:hAnsi="Calibri"/>
          <w:sz w:val="22"/>
          <w:lang w:val="fr-FR"/>
        </w:rPr>
        <w:t>e</w:t>
      </w:r>
      <w:r w:rsidR="00DC2EA5">
        <w:rPr>
          <w:rFonts w:ascii="Calibri" w:hAnsi="Calibri"/>
          <w:sz w:val="22"/>
          <w:lang w:val="fr-FR"/>
        </w:rPr>
        <w:t xml:space="preserve"> et </w:t>
      </w:r>
      <w:r w:rsidR="005030CA">
        <w:rPr>
          <w:rFonts w:ascii="Calibri" w:hAnsi="Calibri"/>
          <w:sz w:val="22"/>
          <w:lang w:val="fr-FR"/>
        </w:rPr>
        <w:t xml:space="preserve">la mission a rencontré à Alger </w:t>
      </w:r>
      <w:r w:rsidR="00DC2EA5">
        <w:rPr>
          <w:rFonts w:ascii="Calibri" w:hAnsi="Calibri"/>
          <w:sz w:val="22"/>
          <w:lang w:val="fr-FR"/>
        </w:rPr>
        <w:t xml:space="preserve">les </w:t>
      </w:r>
      <w:r w:rsidR="005030CA">
        <w:rPr>
          <w:rFonts w:ascii="Calibri" w:hAnsi="Calibri"/>
          <w:sz w:val="22"/>
          <w:lang w:val="fr-FR"/>
        </w:rPr>
        <w:t xml:space="preserve">principales </w:t>
      </w:r>
      <w:r w:rsidR="00AE0E84">
        <w:rPr>
          <w:rFonts w:ascii="Calibri" w:hAnsi="Calibri"/>
          <w:sz w:val="22"/>
          <w:lang w:val="fr-FR"/>
        </w:rPr>
        <w:t xml:space="preserve">parties prenantes et personnes ressources </w:t>
      </w:r>
      <w:r w:rsidR="005030CA">
        <w:rPr>
          <w:rFonts w:ascii="Calibri" w:hAnsi="Calibri"/>
          <w:sz w:val="22"/>
          <w:lang w:val="fr-FR"/>
        </w:rPr>
        <w:t>l</w:t>
      </w:r>
      <w:r w:rsidR="00AE0E84">
        <w:rPr>
          <w:rFonts w:ascii="Calibri" w:hAnsi="Calibri"/>
          <w:sz w:val="22"/>
          <w:lang w:val="fr-FR"/>
        </w:rPr>
        <w:t>ors d’entretien individuels</w:t>
      </w:r>
      <w:r w:rsidR="00DC2EA5">
        <w:rPr>
          <w:rFonts w:ascii="Calibri" w:hAnsi="Calibri"/>
          <w:sz w:val="22"/>
          <w:lang w:val="fr-FR"/>
        </w:rPr>
        <w:t>. A Tamanrasset, d</w:t>
      </w:r>
      <w:r w:rsidR="006F54B5">
        <w:rPr>
          <w:rFonts w:ascii="Calibri" w:hAnsi="Calibri"/>
          <w:sz w:val="22"/>
          <w:lang w:val="fr-FR"/>
        </w:rPr>
        <w:t>es entretiens de groupe ont été organisés avec des bénéficiaires directs du programme</w:t>
      </w:r>
      <w:r w:rsidR="00DC2EA5">
        <w:rPr>
          <w:rFonts w:ascii="Calibri" w:hAnsi="Calibri"/>
          <w:sz w:val="22"/>
          <w:lang w:val="fr-FR"/>
        </w:rPr>
        <w:t>.</w:t>
      </w:r>
      <w:r w:rsidR="006F54B5">
        <w:rPr>
          <w:rFonts w:ascii="Calibri" w:hAnsi="Calibri"/>
          <w:sz w:val="22"/>
          <w:lang w:val="fr-FR"/>
        </w:rPr>
        <w:t xml:space="preserve"> Les limites de cette évaluation </w:t>
      </w:r>
      <w:r w:rsidR="004E3ACA">
        <w:rPr>
          <w:rFonts w:ascii="Calibri" w:hAnsi="Calibri"/>
          <w:sz w:val="22"/>
          <w:lang w:val="fr-FR"/>
        </w:rPr>
        <w:t xml:space="preserve">découlent du peu de temps consacré aux entretiens individuels (étant donné la durée des travaux dans le pays et le grand nombre de parties prenantes à </w:t>
      </w:r>
      <w:r w:rsidR="00DC2EA5">
        <w:rPr>
          <w:rFonts w:ascii="Calibri" w:hAnsi="Calibri"/>
          <w:sz w:val="22"/>
          <w:lang w:val="fr-FR"/>
        </w:rPr>
        <w:t>rencontrer)</w:t>
      </w:r>
      <w:r w:rsidR="001731EC">
        <w:rPr>
          <w:rFonts w:ascii="Calibri" w:hAnsi="Calibri"/>
          <w:sz w:val="22"/>
          <w:lang w:val="fr-FR"/>
        </w:rPr>
        <w:t>,</w:t>
      </w:r>
      <w:r w:rsidR="004E3ACA">
        <w:rPr>
          <w:rFonts w:ascii="Calibri" w:hAnsi="Calibri"/>
          <w:sz w:val="22"/>
          <w:lang w:val="fr-FR"/>
        </w:rPr>
        <w:t xml:space="preserve"> du fai</w:t>
      </w:r>
      <w:r w:rsidR="001731EC">
        <w:rPr>
          <w:rFonts w:ascii="Calibri" w:hAnsi="Calibri"/>
          <w:sz w:val="22"/>
          <w:lang w:val="fr-FR"/>
        </w:rPr>
        <w:t>ble</w:t>
      </w:r>
      <w:r w:rsidR="004E3ACA">
        <w:rPr>
          <w:rFonts w:ascii="Calibri" w:hAnsi="Calibri"/>
          <w:sz w:val="22"/>
          <w:lang w:val="fr-FR"/>
        </w:rPr>
        <w:t xml:space="preserve"> niveau d’activité</w:t>
      </w:r>
      <w:r w:rsidR="00DC2EA5">
        <w:rPr>
          <w:rFonts w:ascii="Calibri" w:hAnsi="Calibri"/>
          <w:sz w:val="22"/>
          <w:lang w:val="fr-FR"/>
        </w:rPr>
        <w:t xml:space="preserve"> qui n’a pas permis à la mission d’utiliser la méthode d’observation directe pour constater la qualité des réalisations</w:t>
      </w:r>
      <w:r w:rsidR="001731EC">
        <w:rPr>
          <w:rFonts w:ascii="Calibri" w:hAnsi="Calibri"/>
          <w:sz w:val="22"/>
          <w:lang w:val="fr-FR"/>
        </w:rPr>
        <w:t xml:space="preserve"> et des lacunes dans la documentation des processus et activités en cours</w:t>
      </w:r>
      <w:r w:rsidR="00DC2EA5">
        <w:rPr>
          <w:rFonts w:ascii="Calibri" w:hAnsi="Calibri"/>
          <w:sz w:val="22"/>
          <w:lang w:val="fr-FR"/>
        </w:rPr>
        <w:t>.</w:t>
      </w:r>
    </w:p>
    <w:p w:rsidR="001731EC" w:rsidRDefault="001731EC" w:rsidP="004E3ACA">
      <w:pPr>
        <w:spacing w:before="120" w:after="120"/>
        <w:jc w:val="both"/>
        <w:rPr>
          <w:rFonts w:ascii="Calibri" w:hAnsi="Calibri"/>
          <w:b/>
          <w:sz w:val="22"/>
          <w:lang w:val="fr-FR"/>
        </w:rPr>
      </w:pPr>
      <w:r>
        <w:rPr>
          <w:rFonts w:ascii="Calibri" w:hAnsi="Calibri"/>
          <w:b/>
          <w:sz w:val="22"/>
          <w:lang w:val="fr-FR"/>
        </w:rPr>
        <w:t>Principales c</w:t>
      </w:r>
      <w:r w:rsidRPr="001731EC">
        <w:rPr>
          <w:rFonts w:ascii="Calibri" w:hAnsi="Calibri"/>
          <w:b/>
          <w:sz w:val="22"/>
          <w:lang w:val="fr-FR"/>
        </w:rPr>
        <w:t>onclusions</w:t>
      </w:r>
    </w:p>
    <w:p w:rsidR="002938D4" w:rsidRDefault="001731EC" w:rsidP="004E3ACA">
      <w:pPr>
        <w:spacing w:before="120" w:after="120"/>
        <w:jc w:val="both"/>
        <w:rPr>
          <w:rFonts w:ascii="Calibri" w:hAnsi="Calibri"/>
          <w:sz w:val="22"/>
          <w:lang w:val="fr-FR"/>
        </w:rPr>
      </w:pPr>
      <w:r w:rsidRPr="002938D4">
        <w:rPr>
          <w:rFonts w:ascii="Calibri" w:hAnsi="Calibri"/>
          <w:b/>
          <w:sz w:val="22"/>
          <w:lang w:val="fr-FR"/>
        </w:rPr>
        <w:t xml:space="preserve"> </w:t>
      </w:r>
      <w:r w:rsidR="002938D4" w:rsidRPr="002938D4">
        <w:rPr>
          <w:rFonts w:ascii="Calibri" w:hAnsi="Calibri"/>
          <w:b/>
          <w:sz w:val="22"/>
          <w:lang w:val="fr-FR"/>
        </w:rPr>
        <w:t>Faible taux d’exécution</w:t>
      </w:r>
      <w:r w:rsidR="002938D4">
        <w:rPr>
          <w:rFonts w:ascii="Calibri" w:hAnsi="Calibri"/>
          <w:sz w:val="22"/>
          <w:lang w:val="fr-FR"/>
        </w:rPr>
        <w:t xml:space="preserve">. </w:t>
      </w:r>
      <w:r w:rsidR="00691BAD">
        <w:rPr>
          <w:rFonts w:ascii="Calibri" w:hAnsi="Calibri"/>
          <w:sz w:val="22"/>
          <w:lang w:val="fr-FR"/>
        </w:rPr>
        <w:t>A la date de réalisation de l’évaluation à mi-parcours, soit quelques 13 mois avant la date prévue pour la clôture du programme, le montant total des engagements et des dépenses</w:t>
      </w:r>
      <w:r w:rsidR="00691BAD" w:rsidRPr="00691BAD">
        <w:rPr>
          <w:lang w:val="fr-FR"/>
        </w:rPr>
        <w:t xml:space="preserve"> </w:t>
      </w:r>
      <w:r w:rsidR="00691BAD" w:rsidRPr="00691BAD">
        <w:rPr>
          <w:rFonts w:ascii="Calibri" w:hAnsi="Calibri"/>
          <w:sz w:val="22"/>
          <w:lang w:val="fr-FR"/>
        </w:rPr>
        <w:t>ne s’élevait qu’à quel</w:t>
      </w:r>
      <w:r w:rsidR="00691BAD">
        <w:rPr>
          <w:rFonts w:ascii="Calibri" w:hAnsi="Calibri"/>
          <w:sz w:val="22"/>
          <w:lang w:val="fr-FR"/>
        </w:rPr>
        <w:t>ques 365.208 dollars américains</w:t>
      </w:r>
      <w:r w:rsidR="00691BAD" w:rsidRPr="00691BAD">
        <w:rPr>
          <w:rFonts w:ascii="Calibri" w:hAnsi="Calibri"/>
          <w:sz w:val="22"/>
          <w:lang w:val="fr-FR"/>
        </w:rPr>
        <w:t>, représentant 30% du montant de la première tranche et seulement 10% du budget total.</w:t>
      </w:r>
      <w:r w:rsidR="00691BAD">
        <w:rPr>
          <w:rFonts w:ascii="Calibri" w:hAnsi="Calibri"/>
          <w:sz w:val="22"/>
          <w:lang w:val="fr-FR"/>
        </w:rPr>
        <w:t xml:space="preserve">  </w:t>
      </w:r>
    </w:p>
    <w:p w:rsidR="00691BAD" w:rsidRDefault="001731EC" w:rsidP="004E3ACA">
      <w:pPr>
        <w:spacing w:before="120" w:after="120"/>
        <w:jc w:val="both"/>
        <w:rPr>
          <w:rFonts w:ascii="Calibri" w:hAnsi="Calibri"/>
          <w:sz w:val="22"/>
          <w:lang w:val="fr-FR"/>
        </w:rPr>
      </w:pPr>
      <w:r>
        <w:rPr>
          <w:rFonts w:ascii="Calibri" w:hAnsi="Calibri"/>
          <w:sz w:val="22"/>
          <w:lang w:val="fr-FR"/>
        </w:rPr>
        <w:t>Le taux global d’exécution n’est qu’un indicateur imparfait du l’état général d’avancement des principales activités du programme, la préparation ou le démarrage de certaines d’entre elles n’occasionnant pas systématiquement d’importantes dépenses. Cependant, il reflète assez bien le grand retard accumulé par le programme depuis la date officielle de son démarrage en mars 2010 par la plupart des partenaires de mise en œuvre.</w:t>
      </w:r>
      <w:r w:rsidR="002938D4">
        <w:rPr>
          <w:rFonts w:ascii="Calibri" w:hAnsi="Calibri"/>
          <w:sz w:val="22"/>
          <w:lang w:val="fr-FR"/>
        </w:rPr>
        <w:t xml:space="preserve"> Ainsi, le bon démarrage des activités a souffert des conditions </w:t>
      </w:r>
      <w:r w:rsidR="002938D4" w:rsidRPr="002938D4">
        <w:rPr>
          <w:rFonts w:ascii="Calibri" w:hAnsi="Calibri"/>
          <w:sz w:val="22"/>
          <w:lang w:val="fr-FR"/>
        </w:rPr>
        <w:t>extrêmement difficiles qui prévalaient au moment de la conception du programme conjoin</w:t>
      </w:r>
      <w:r w:rsidR="002938D4">
        <w:rPr>
          <w:rFonts w:ascii="Calibri" w:hAnsi="Calibri"/>
          <w:sz w:val="22"/>
          <w:lang w:val="fr-FR"/>
        </w:rPr>
        <w:t xml:space="preserve">t, notamment les conséquences de l’attentat de décembre 2007 sur les forces opérationnelles du Systèmes des Nations Unies en Algérie. </w:t>
      </w:r>
    </w:p>
    <w:p w:rsidR="002938D4" w:rsidRDefault="002938D4" w:rsidP="004E3ACA">
      <w:pPr>
        <w:spacing w:before="120" w:after="120"/>
        <w:jc w:val="both"/>
        <w:rPr>
          <w:rFonts w:ascii="Calibri" w:hAnsi="Calibri"/>
          <w:sz w:val="22"/>
          <w:lang w:val="fr-FR"/>
        </w:rPr>
      </w:pPr>
      <w:r w:rsidRPr="002938D4">
        <w:rPr>
          <w:rFonts w:ascii="Calibri" w:hAnsi="Calibri"/>
          <w:b/>
          <w:sz w:val="22"/>
          <w:lang w:val="fr-FR"/>
        </w:rPr>
        <w:lastRenderedPageBreak/>
        <w:t>Une pertinence indéniable</w:t>
      </w:r>
      <w:r>
        <w:rPr>
          <w:rFonts w:ascii="Calibri" w:hAnsi="Calibri"/>
          <w:sz w:val="22"/>
          <w:lang w:val="fr-FR"/>
        </w:rPr>
        <w:t>. La mission a conclu que le programme conjoint, tel que con</w:t>
      </w:r>
      <w:r>
        <w:rPr>
          <w:rFonts w:ascii="Calibri" w:hAnsi="Calibri" w:cs="Calibri"/>
          <w:sz w:val="22"/>
          <w:lang w:val="fr-FR"/>
        </w:rPr>
        <w:t>ç</w:t>
      </w:r>
      <w:r>
        <w:rPr>
          <w:rFonts w:ascii="Calibri" w:hAnsi="Calibri"/>
          <w:sz w:val="22"/>
          <w:lang w:val="fr-FR"/>
        </w:rPr>
        <w:t xml:space="preserve">u, répond aux besoins des bénéficiaires ultimes </w:t>
      </w:r>
      <w:r w:rsidR="00471479">
        <w:rPr>
          <w:rFonts w:ascii="Calibri" w:hAnsi="Calibri"/>
          <w:sz w:val="22"/>
          <w:lang w:val="fr-FR"/>
        </w:rPr>
        <w:t>et s’attache à résoudre un problème réel et toujours d’actualité en Algérie, celui de l’inégalité entre les genres en général et</w:t>
      </w:r>
      <w:r w:rsidR="00471479" w:rsidRPr="00471479">
        <w:rPr>
          <w:rFonts w:ascii="Calibri" w:hAnsi="Calibri"/>
          <w:sz w:val="22"/>
          <w:lang w:val="fr-FR"/>
        </w:rPr>
        <w:t xml:space="preserve"> de l’inégal accès des femmes algériennes au marché du travail et aux dispositifs d’appui de l’Etat dans divers domaines en particulier</w:t>
      </w:r>
      <w:r w:rsidR="00471479">
        <w:rPr>
          <w:rFonts w:ascii="Calibri" w:hAnsi="Calibri"/>
          <w:sz w:val="22"/>
          <w:lang w:val="fr-FR"/>
        </w:rPr>
        <w:t>. Il a</w:t>
      </w:r>
      <w:r>
        <w:rPr>
          <w:rFonts w:ascii="Calibri" w:hAnsi="Calibri"/>
          <w:sz w:val="22"/>
          <w:lang w:val="fr-FR"/>
        </w:rPr>
        <w:t xml:space="preserve">pporte </w:t>
      </w:r>
      <w:r w:rsidR="005030CA">
        <w:rPr>
          <w:rFonts w:ascii="Calibri" w:hAnsi="Calibri"/>
          <w:sz w:val="22"/>
          <w:lang w:val="fr-FR"/>
        </w:rPr>
        <w:t xml:space="preserve">en outre </w:t>
      </w:r>
      <w:r>
        <w:rPr>
          <w:rFonts w:ascii="Calibri" w:hAnsi="Calibri"/>
          <w:sz w:val="22"/>
          <w:lang w:val="fr-FR"/>
        </w:rPr>
        <w:t xml:space="preserve">un volume de ressources très nettement supérieur à </w:t>
      </w:r>
      <w:r w:rsidR="00471479">
        <w:rPr>
          <w:rFonts w:ascii="Calibri" w:hAnsi="Calibri"/>
          <w:sz w:val="22"/>
          <w:lang w:val="fr-FR"/>
        </w:rPr>
        <w:t>celui</w:t>
      </w:r>
      <w:r>
        <w:rPr>
          <w:rFonts w:ascii="Calibri" w:hAnsi="Calibri"/>
          <w:sz w:val="22"/>
          <w:lang w:val="fr-FR"/>
        </w:rPr>
        <w:t xml:space="preserve"> dont disposent habituellement les agences des Nations Unies pour appuyer les effort</w:t>
      </w:r>
      <w:r w:rsidR="00471479">
        <w:rPr>
          <w:rFonts w:ascii="Calibri" w:hAnsi="Calibri"/>
          <w:sz w:val="22"/>
          <w:lang w:val="fr-FR"/>
        </w:rPr>
        <w:t>s nationaux dans ces</w:t>
      </w:r>
      <w:r>
        <w:rPr>
          <w:rFonts w:ascii="Calibri" w:hAnsi="Calibri"/>
          <w:sz w:val="22"/>
          <w:lang w:val="fr-FR"/>
        </w:rPr>
        <w:t xml:space="preserve"> domaine</w:t>
      </w:r>
      <w:r w:rsidR="00471479">
        <w:rPr>
          <w:rFonts w:ascii="Calibri" w:hAnsi="Calibri"/>
          <w:sz w:val="22"/>
          <w:lang w:val="fr-FR"/>
        </w:rPr>
        <w:t>s.</w:t>
      </w:r>
      <w:r>
        <w:rPr>
          <w:rFonts w:ascii="Calibri" w:hAnsi="Calibri"/>
          <w:sz w:val="22"/>
          <w:lang w:val="fr-FR"/>
        </w:rPr>
        <w:t xml:space="preserve"> Ces objectifs sont en outre parfaitement alignés avec les Objectifs du Millénaire pour le Développement (notamment l’OMD</w:t>
      </w:r>
      <w:r w:rsidR="00471479">
        <w:rPr>
          <w:rFonts w:ascii="Calibri" w:hAnsi="Calibri"/>
          <w:sz w:val="22"/>
          <w:lang w:val="fr-FR"/>
        </w:rPr>
        <w:t xml:space="preserve"> </w:t>
      </w:r>
      <w:r>
        <w:rPr>
          <w:rFonts w:ascii="Calibri" w:hAnsi="Calibri"/>
          <w:sz w:val="22"/>
          <w:lang w:val="fr-FR"/>
        </w:rPr>
        <w:t xml:space="preserve">3), les objectifs du F-OMD, l’UNDAF </w:t>
      </w:r>
      <w:r w:rsidR="00471479">
        <w:rPr>
          <w:rFonts w:ascii="Calibri" w:hAnsi="Calibri"/>
          <w:sz w:val="22"/>
          <w:lang w:val="fr-FR"/>
        </w:rPr>
        <w:t xml:space="preserve">(2007-2011) </w:t>
      </w:r>
      <w:r>
        <w:rPr>
          <w:rFonts w:ascii="Calibri" w:hAnsi="Calibri"/>
          <w:sz w:val="22"/>
          <w:lang w:val="fr-FR"/>
        </w:rPr>
        <w:t>pour l’</w:t>
      </w:r>
      <w:r w:rsidR="00471479">
        <w:rPr>
          <w:rFonts w:ascii="Calibri" w:hAnsi="Calibri"/>
          <w:sz w:val="22"/>
          <w:lang w:val="fr-FR"/>
        </w:rPr>
        <w:t>Algérie, ainsi qu’avec certains grands programmes ou stratégies de développement du gouvernement Algérien.</w:t>
      </w:r>
    </w:p>
    <w:p w:rsidR="00471479" w:rsidRDefault="00471479" w:rsidP="004E3ACA">
      <w:pPr>
        <w:spacing w:before="120" w:after="120"/>
        <w:jc w:val="both"/>
        <w:rPr>
          <w:rFonts w:ascii="Calibri" w:hAnsi="Calibri"/>
          <w:sz w:val="22"/>
          <w:lang w:val="fr-FR"/>
        </w:rPr>
      </w:pPr>
      <w:r w:rsidRPr="00471479">
        <w:rPr>
          <w:rFonts w:ascii="Calibri" w:hAnsi="Calibri"/>
          <w:b/>
          <w:sz w:val="22"/>
          <w:lang w:val="fr-FR"/>
        </w:rPr>
        <w:t>Quelques avancées et un certain potentiel.</w:t>
      </w:r>
      <w:r>
        <w:rPr>
          <w:rFonts w:ascii="Calibri" w:hAnsi="Calibri"/>
          <w:sz w:val="22"/>
          <w:lang w:val="fr-FR"/>
        </w:rPr>
        <w:t xml:space="preserve"> </w:t>
      </w:r>
      <w:r w:rsidRPr="00471479">
        <w:rPr>
          <w:rFonts w:ascii="Calibri" w:hAnsi="Calibri"/>
          <w:sz w:val="22"/>
          <w:lang w:val="fr-FR"/>
        </w:rPr>
        <w:t>Malgré les difficultés d’exécution et les retards, le programme a réussi à lancer un certain nombre d’activités</w:t>
      </w:r>
      <w:r w:rsidR="005030CA">
        <w:rPr>
          <w:rFonts w:ascii="Calibri" w:hAnsi="Calibri"/>
          <w:sz w:val="22"/>
          <w:lang w:val="fr-FR"/>
        </w:rPr>
        <w:t xml:space="preserve"> pertinentes</w:t>
      </w:r>
      <w:r w:rsidRPr="00471479">
        <w:rPr>
          <w:rFonts w:ascii="Calibri" w:hAnsi="Calibri"/>
          <w:sz w:val="22"/>
          <w:lang w:val="fr-FR"/>
        </w:rPr>
        <w:t>, dont certaines, si elles sont terminées dans les délais, ont le potentiel de jeter des jalons intéressants pour l’avancement de l’approche genre dans le pays et la meilleure prise en compte des besoins des femmes, notamment les plus vulnérables, auprès des décideurs.</w:t>
      </w:r>
      <w:r>
        <w:rPr>
          <w:rFonts w:ascii="Calibri" w:hAnsi="Calibri"/>
          <w:sz w:val="22"/>
          <w:lang w:val="fr-FR"/>
        </w:rPr>
        <w:t xml:space="preserve"> La création de la plateforme d’exécution du programme, maintenant opérationnelle et qui réunit pour la prem</w:t>
      </w:r>
      <w:r w:rsidR="005030CA">
        <w:rPr>
          <w:rFonts w:ascii="Calibri" w:hAnsi="Calibri"/>
          <w:sz w:val="22"/>
          <w:lang w:val="fr-FR"/>
        </w:rPr>
        <w:t xml:space="preserve">ière fois dans le pays un </w:t>
      </w:r>
      <w:r>
        <w:rPr>
          <w:rFonts w:ascii="Calibri" w:hAnsi="Calibri"/>
          <w:sz w:val="22"/>
          <w:lang w:val="fr-FR"/>
        </w:rPr>
        <w:t xml:space="preserve">grand nombre de partenaires du SNU et du gouvernement, représente tout </w:t>
      </w:r>
      <w:r w:rsidR="005030CA">
        <w:rPr>
          <w:rFonts w:ascii="Calibri" w:hAnsi="Calibri"/>
          <w:sz w:val="22"/>
          <w:lang w:val="fr-FR"/>
        </w:rPr>
        <w:t>également</w:t>
      </w:r>
      <w:r>
        <w:rPr>
          <w:rFonts w:ascii="Calibri" w:hAnsi="Calibri"/>
          <w:sz w:val="22"/>
          <w:lang w:val="fr-FR"/>
        </w:rPr>
        <w:t xml:space="preserve">, et en soi, un des acquis importants du programme notamment au regard de la situation pré-programme </w:t>
      </w:r>
      <w:r w:rsidR="005030CA">
        <w:rPr>
          <w:rFonts w:ascii="Calibri" w:hAnsi="Calibri"/>
          <w:sz w:val="22"/>
          <w:lang w:val="fr-FR"/>
        </w:rPr>
        <w:t xml:space="preserve">qui se </w:t>
      </w:r>
      <w:r>
        <w:rPr>
          <w:rFonts w:ascii="Calibri" w:hAnsi="Calibri"/>
          <w:sz w:val="22"/>
          <w:lang w:val="fr-FR"/>
        </w:rPr>
        <w:t>caractéris</w:t>
      </w:r>
      <w:r w:rsidR="005030CA">
        <w:rPr>
          <w:rFonts w:ascii="Calibri" w:hAnsi="Calibri"/>
          <w:sz w:val="22"/>
          <w:lang w:val="fr-FR"/>
        </w:rPr>
        <w:t>ait</w:t>
      </w:r>
      <w:r>
        <w:rPr>
          <w:rFonts w:ascii="Calibri" w:hAnsi="Calibri"/>
          <w:sz w:val="22"/>
          <w:lang w:val="fr-FR"/>
        </w:rPr>
        <w:t xml:space="preserve"> par </w:t>
      </w:r>
      <w:r w:rsidR="005030CA">
        <w:rPr>
          <w:rFonts w:ascii="Calibri" w:hAnsi="Calibri"/>
          <w:sz w:val="22"/>
          <w:lang w:val="fr-FR"/>
        </w:rPr>
        <w:t>la faiblesse du</w:t>
      </w:r>
      <w:r>
        <w:rPr>
          <w:rFonts w:ascii="Calibri" w:hAnsi="Calibri"/>
          <w:sz w:val="22"/>
          <w:lang w:val="fr-FR"/>
        </w:rPr>
        <w:t xml:space="preserve"> dialogue entre le SNU et le gouvernement.</w:t>
      </w:r>
    </w:p>
    <w:p w:rsidR="005121C5" w:rsidRDefault="00471479" w:rsidP="004E3ACA">
      <w:pPr>
        <w:spacing w:before="120" w:after="120"/>
        <w:jc w:val="both"/>
        <w:rPr>
          <w:rFonts w:ascii="Calibri" w:hAnsi="Calibri"/>
          <w:sz w:val="22"/>
          <w:lang w:val="fr-FR"/>
        </w:rPr>
      </w:pPr>
      <w:r>
        <w:rPr>
          <w:rFonts w:ascii="Calibri" w:hAnsi="Calibri"/>
          <w:sz w:val="22"/>
          <w:lang w:val="fr-FR"/>
        </w:rPr>
        <w:t xml:space="preserve">La bonne appropriation du programme et de ses objectifs par la contrepartie gouvernementale représente en outre un gage encourageant </w:t>
      </w:r>
      <w:r w:rsidR="005121C5">
        <w:rPr>
          <w:rFonts w:ascii="Calibri" w:hAnsi="Calibri"/>
          <w:sz w:val="22"/>
          <w:lang w:val="fr-FR"/>
        </w:rPr>
        <w:t>s’agissant des perspectives de</w:t>
      </w:r>
      <w:r w:rsidR="005030CA">
        <w:rPr>
          <w:rFonts w:ascii="Calibri" w:hAnsi="Calibri"/>
          <w:sz w:val="22"/>
          <w:lang w:val="fr-FR"/>
        </w:rPr>
        <w:t xml:space="preserve"> continuation</w:t>
      </w:r>
      <w:r>
        <w:rPr>
          <w:rFonts w:ascii="Calibri" w:hAnsi="Calibri"/>
          <w:sz w:val="22"/>
          <w:lang w:val="fr-FR"/>
        </w:rPr>
        <w:t xml:space="preserve"> de</w:t>
      </w:r>
      <w:r w:rsidR="005121C5">
        <w:rPr>
          <w:rFonts w:ascii="Calibri" w:hAnsi="Calibri"/>
          <w:sz w:val="22"/>
          <w:lang w:val="fr-FR"/>
        </w:rPr>
        <w:t xml:space="preserve"> </w:t>
      </w:r>
      <w:r>
        <w:rPr>
          <w:rFonts w:ascii="Calibri" w:hAnsi="Calibri"/>
          <w:sz w:val="22"/>
          <w:lang w:val="fr-FR"/>
        </w:rPr>
        <w:t>certaines intervent</w:t>
      </w:r>
      <w:r w:rsidR="005121C5">
        <w:rPr>
          <w:rFonts w:ascii="Calibri" w:hAnsi="Calibri"/>
          <w:sz w:val="22"/>
          <w:lang w:val="fr-FR"/>
        </w:rPr>
        <w:t>ions, ou leur réplication, au-</w:t>
      </w:r>
      <w:r>
        <w:rPr>
          <w:rFonts w:ascii="Calibri" w:hAnsi="Calibri"/>
          <w:sz w:val="22"/>
          <w:lang w:val="fr-FR"/>
        </w:rPr>
        <w:t>delà de la date de clôture prévue.</w:t>
      </w:r>
      <w:r w:rsidR="005121C5">
        <w:rPr>
          <w:rFonts w:ascii="Calibri" w:hAnsi="Calibri"/>
          <w:sz w:val="22"/>
          <w:lang w:val="fr-FR"/>
        </w:rPr>
        <w:t xml:space="preserve"> La mise en œuvre du programme renforce également considérablement </w:t>
      </w:r>
      <w:r w:rsidR="005121C5" w:rsidRPr="005121C5">
        <w:rPr>
          <w:rFonts w:ascii="Calibri" w:hAnsi="Calibri"/>
          <w:sz w:val="22"/>
          <w:lang w:val="fr-FR"/>
        </w:rPr>
        <w:t xml:space="preserve">la force opérationnelle du MDCFCF, un ministère </w:t>
      </w:r>
      <w:r w:rsidR="005121C5">
        <w:rPr>
          <w:rFonts w:ascii="Calibri" w:hAnsi="Calibri"/>
          <w:sz w:val="22"/>
          <w:lang w:val="fr-FR"/>
        </w:rPr>
        <w:t xml:space="preserve">faiblement doté </w:t>
      </w:r>
      <w:r w:rsidR="005121C5" w:rsidRPr="005121C5">
        <w:rPr>
          <w:rFonts w:ascii="Calibri" w:hAnsi="Calibri"/>
          <w:sz w:val="22"/>
          <w:lang w:val="fr-FR"/>
        </w:rPr>
        <w:t xml:space="preserve">en </w:t>
      </w:r>
      <w:r w:rsidR="005121C5">
        <w:rPr>
          <w:rFonts w:ascii="Calibri" w:hAnsi="Calibri"/>
          <w:sz w:val="22"/>
          <w:lang w:val="fr-FR"/>
        </w:rPr>
        <w:t xml:space="preserve">effectifs et </w:t>
      </w:r>
      <w:r w:rsidR="005121C5" w:rsidRPr="005121C5">
        <w:rPr>
          <w:rFonts w:ascii="Calibri" w:hAnsi="Calibri"/>
          <w:sz w:val="22"/>
          <w:lang w:val="fr-FR"/>
        </w:rPr>
        <w:t>moyens de fonctionnement.</w:t>
      </w:r>
    </w:p>
    <w:p w:rsidR="00560DF4" w:rsidRDefault="005121C5" w:rsidP="004E3ACA">
      <w:pPr>
        <w:spacing w:before="120" w:after="120"/>
        <w:jc w:val="both"/>
        <w:rPr>
          <w:rFonts w:ascii="Calibri" w:hAnsi="Calibri"/>
          <w:sz w:val="22"/>
          <w:lang w:val="fr-FR"/>
        </w:rPr>
      </w:pPr>
      <w:r w:rsidRPr="005121C5">
        <w:rPr>
          <w:rFonts w:ascii="Calibri" w:hAnsi="Calibri"/>
          <w:sz w:val="22"/>
          <w:lang w:val="fr-FR"/>
        </w:rPr>
        <w:t xml:space="preserve">Les activités les plus prometteuses sont celles qui visent à la </w:t>
      </w:r>
      <w:r>
        <w:rPr>
          <w:rFonts w:ascii="Calibri" w:hAnsi="Calibri"/>
          <w:sz w:val="22"/>
          <w:lang w:val="fr-FR"/>
        </w:rPr>
        <w:t>réalisation</w:t>
      </w:r>
      <w:r w:rsidRPr="005121C5">
        <w:rPr>
          <w:rFonts w:ascii="Calibri" w:hAnsi="Calibri"/>
          <w:sz w:val="22"/>
          <w:lang w:val="fr-FR"/>
        </w:rPr>
        <w:t xml:space="preserve"> d’études, d’enquêtes et de diagnostics </w:t>
      </w:r>
      <w:r>
        <w:rPr>
          <w:rFonts w:ascii="Calibri" w:hAnsi="Calibri"/>
          <w:sz w:val="22"/>
          <w:lang w:val="fr-FR"/>
        </w:rPr>
        <w:t xml:space="preserve">(Effet 1) </w:t>
      </w:r>
      <w:r w:rsidRPr="005121C5">
        <w:rPr>
          <w:rFonts w:ascii="Calibri" w:hAnsi="Calibri"/>
          <w:sz w:val="22"/>
          <w:lang w:val="fr-FR"/>
        </w:rPr>
        <w:t>qui permettront d’apporter un éclairage utile sur certains aspects particuliers de la situation de la femme algérienne et armeront le MDCFCF d’arguments quantifiés</w:t>
      </w:r>
      <w:r w:rsidR="005030CA">
        <w:rPr>
          <w:rFonts w:ascii="Calibri" w:hAnsi="Calibri"/>
          <w:sz w:val="22"/>
          <w:lang w:val="fr-FR"/>
        </w:rPr>
        <w:t xml:space="preserve"> pour la poursuite de ses activités de plaidoyer</w:t>
      </w:r>
      <w:r w:rsidRPr="005121C5">
        <w:rPr>
          <w:rFonts w:ascii="Calibri" w:hAnsi="Calibri"/>
          <w:sz w:val="22"/>
          <w:lang w:val="fr-FR"/>
        </w:rPr>
        <w:t xml:space="preserve">. </w:t>
      </w:r>
      <w:r>
        <w:rPr>
          <w:rFonts w:ascii="Calibri" w:hAnsi="Calibri"/>
          <w:sz w:val="22"/>
          <w:lang w:val="fr-FR"/>
        </w:rPr>
        <w:t xml:space="preserve">Au titre des activités de l’Effet 2, </w:t>
      </w:r>
      <w:r w:rsidRPr="005121C5">
        <w:rPr>
          <w:rFonts w:ascii="Calibri" w:hAnsi="Calibri"/>
          <w:sz w:val="22"/>
          <w:lang w:val="fr-FR"/>
        </w:rPr>
        <w:t xml:space="preserve">les actions pilotes qui visent à tester de nouveaux dispositifs pour appuyer les femmes rurales vulnérables, </w:t>
      </w:r>
      <w:r>
        <w:rPr>
          <w:rFonts w:ascii="Calibri" w:hAnsi="Calibri"/>
          <w:sz w:val="22"/>
          <w:lang w:val="fr-FR"/>
        </w:rPr>
        <w:t xml:space="preserve">séropositives, </w:t>
      </w:r>
      <w:r w:rsidRPr="005121C5">
        <w:rPr>
          <w:rFonts w:ascii="Calibri" w:hAnsi="Calibri"/>
          <w:sz w:val="22"/>
          <w:lang w:val="fr-FR"/>
        </w:rPr>
        <w:t xml:space="preserve">analphabètes </w:t>
      </w:r>
      <w:r>
        <w:rPr>
          <w:rFonts w:ascii="Calibri" w:hAnsi="Calibri"/>
          <w:sz w:val="22"/>
          <w:lang w:val="fr-FR"/>
        </w:rPr>
        <w:t>et/</w:t>
      </w:r>
      <w:r w:rsidRPr="005121C5">
        <w:rPr>
          <w:rFonts w:ascii="Calibri" w:hAnsi="Calibri"/>
          <w:sz w:val="22"/>
          <w:lang w:val="fr-FR"/>
        </w:rPr>
        <w:t>ou désireuses de se lancer dans une activité génératrice de revenus semblent avoir un bon potentiel d’impact si elles sont correctement documentées</w:t>
      </w:r>
      <w:r>
        <w:rPr>
          <w:rFonts w:ascii="Calibri" w:hAnsi="Calibri"/>
          <w:sz w:val="22"/>
          <w:lang w:val="fr-FR"/>
        </w:rPr>
        <w:t xml:space="preserve"> et étendues à d’autres zones (dans le cas du pilote de Tamanrasset, l’une des seules activités déjà menée à son terme) ou si elles sont mises en œuvre dans les délais (pour toutes les autres). Enfin, l’a</w:t>
      </w:r>
      <w:r w:rsidRPr="005121C5">
        <w:rPr>
          <w:rFonts w:ascii="Calibri" w:hAnsi="Calibri"/>
          <w:sz w:val="22"/>
          <w:lang w:val="fr-FR"/>
        </w:rPr>
        <w:t>pplication concrète de l’intégration de la dimension genre aux processus locaux de planificat</w:t>
      </w:r>
      <w:r>
        <w:rPr>
          <w:rFonts w:ascii="Calibri" w:hAnsi="Calibri"/>
          <w:sz w:val="22"/>
          <w:lang w:val="fr-FR"/>
        </w:rPr>
        <w:t>ion et l’initiative du pilotage de l’application de la Budgétisation Sensible au Genre (BSG) au sein du MADR dans une wilaya pilote sont des actions qui n’étaient pas toutes forcément prévu</w:t>
      </w:r>
      <w:r w:rsidR="005030CA">
        <w:rPr>
          <w:rFonts w:ascii="Calibri" w:hAnsi="Calibri"/>
          <w:sz w:val="22"/>
          <w:lang w:val="fr-FR"/>
        </w:rPr>
        <w:t>es à l’origine mai</w:t>
      </w:r>
      <w:r>
        <w:rPr>
          <w:rFonts w:ascii="Calibri" w:hAnsi="Calibri"/>
          <w:sz w:val="22"/>
          <w:lang w:val="fr-FR"/>
        </w:rPr>
        <w:t>s qui ont le potentiel de jeter des jalons importants dans ces deux domaines</w:t>
      </w:r>
      <w:r w:rsidRPr="005121C5">
        <w:rPr>
          <w:rFonts w:ascii="Calibri" w:hAnsi="Calibri"/>
          <w:sz w:val="22"/>
          <w:lang w:val="fr-FR"/>
        </w:rPr>
        <w:t xml:space="preserve">. </w:t>
      </w:r>
    </w:p>
    <w:p w:rsidR="00560DF4" w:rsidRDefault="00560DF4" w:rsidP="004E3ACA">
      <w:pPr>
        <w:spacing w:before="120" w:after="120"/>
        <w:jc w:val="both"/>
        <w:rPr>
          <w:rFonts w:ascii="Calibri" w:hAnsi="Calibri"/>
          <w:sz w:val="22"/>
          <w:lang w:val="fr-FR"/>
        </w:rPr>
      </w:pPr>
      <w:r w:rsidRPr="00560DF4">
        <w:rPr>
          <w:rFonts w:ascii="Calibri" w:hAnsi="Calibri"/>
          <w:sz w:val="22"/>
          <w:lang w:val="fr-FR"/>
        </w:rPr>
        <w:t>Plus généralement, le programme a le potentiel de jouer en Algérie le rôle de précurseur dans l’introduction d’un certain nombre de thématiques nouvelles (genre et développement, BSG), à charge pour le gouvernement algérien et le SNU de continuer et d’approfondir ces grands chantiers dans le court et moyen terme. A cet égard et dans une perspective de pérennisation des acquis, l’attitude très positive du SNU et de son Coordonnateur Résident, comme celle d’autres bailleurs de fonds, sont très encourageantes.</w:t>
      </w:r>
    </w:p>
    <w:p w:rsidR="00471479" w:rsidRDefault="005121C5" w:rsidP="004E3ACA">
      <w:pPr>
        <w:spacing w:before="120" w:after="120"/>
        <w:jc w:val="both"/>
        <w:rPr>
          <w:rFonts w:ascii="Calibri" w:hAnsi="Calibri"/>
          <w:sz w:val="22"/>
          <w:lang w:val="fr-FR"/>
        </w:rPr>
      </w:pPr>
      <w:r w:rsidRPr="005121C5">
        <w:rPr>
          <w:rFonts w:ascii="Calibri" w:hAnsi="Calibri"/>
          <w:sz w:val="22"/>
          <w:lang w:val="fr-FR"/>
        </w:rPr>
        <w:t xml:space="preserve">La mission est d’avis que le restant de la mise en œuvre devra en priorité se concentrer sur </w:t>
      </w:r>
      <w:r w:rsidR="005030CA">
        <w:rPr>
          <w:rFonts w:ascii="Calibri" w:hAnsi="Calibri"/>
          <w:sz w:val="22"/>
          <w:lang w:val="fr-FR"/>
        </w:rPr>
        <w:t xml:space="preserve">les activités déjà en cours </w:t>
      </w:r>
      <w:r w:rsidR="00560DF4">
        <w:rPr>
          <w:rFonts w:ascii="Calibri" w:hAnsi="Calibri"/>
          <w:sz w:val="22"/>
          <w:lang w:val="fr-FR"/>
        </w:rPr>
        <w:t>et sans doute renoncer à la mise en œuvre de toutes celles qui ne paraissent pas aussi stratégiques ou dont la bonne mise en œuvre est maintenant remise en cause par le retard accumulé.</w:t>
      </w:r>
    </w:p>
    <w:p w:rsidR="00560DF4" w:rsidRDefault="00560DF4" w:rsidP="004E3ACA">
      <w:pPr>
        <w:spacing w:before="120" w:after="120"/>
        <w:jc w:val="both"/>
        <w:rPr>
          <w:rFonts w:ascii="Calibri" w:hAnsi="Calibri"/>
          <w:sz w:val="22"/>
          <w:lang w:val="fr-FR"/>
        </w:rPr>
      </w:pPr>
      <w:r w:rsidRPr="00560DF4">
        <w:rPr>
          <w:rFonts w:ascii="Calibri" w:hAnsi="Calibri"/>
          <w:b/>
          <w:sz w:val="22"/>
          <w:lang w:val="fr-FR"/>
        </w:rPr>
        <w:t>Des difficultés de mise en œuvre aux cause</w:t>
      </w:r>
      <w:r>
        <w:rPr>
          <w:rFonts w:ascii="Calibri" w:hAnsi="Calibri"/>
          <w:b/>
          <w:sz w:val="22"/>
          <w:lang w:val="fr-FR"/>
        </w:rPr>
        <w:t>s</w:t>
      </w:r>
      <w:r w:rsidRPr="00560DF4">
        <w:rPr>
          <w:rFonts w:ascii="Calibri" w:hAnsi="Calibri"/>
          <w:b/>
          <w:sz w:val="22"/>
          <w:lang w:val="fr-FR"/>
        </w:rPr>
        <w:t xml:space="preserve"> multiples</w:t>
      </w:r>
      <w:r>
        <w:rPr>
          <w:rFonts w:ascii="Calibri" w:hAnsi="Calibri"/>
          <w:sz w:val="22"/>
          <w:lang w:val="fr-FR"/>
        </w:rPr>
        <w:t>. La mission a conclu que l’important retard accumulé a de multiples causes. Tout d’abord, l</w:t>
      </w:r>
      <w:r w:rsidRPr="00560DF4">
        <w:rPr>
          <w:rFonts w:ascii="Calibri" w:hAnsi="Calibri"/>
          <w:sz w:val="22"/>
          <w:lang w:val="fr-FR"/>
        </w:rPr>
        <w:t xml:space="preserve">es ambitions des concepteurs apparaissent démesurées au regard du laps de temps très court de la durée de mise en œuvre et de l’immensité du </w:t>
      </w:r>
      <w:r w:rsidRPr="00560DF4">
        <w:rPr>
          <w:rFonts w:ascii="Calibri" w:hAnsi="Calibri"/>
          <w:sz w:val="22"/>
          <w:lang w:val="fr-FR"/>
        </w:rPr>
        <w:lastRenderedPageBreak/>
        <w:t>champ</w:t>
      </w:r>
      <w:r>
        <w:rPr>
          <w:rFonts w:ascii="Calibri" w:hAnsi="Calibri"/>
          <w:sz w:val="22"/>
          <w:lang w:val="fr-FR"/>
        </w:rPr>
        <w:t xml:space="preserve"> conceptuel d’application, surtout </w:t>
      </w:r>
      <w:r w:rsidRPr="00560DF4">
        <w:rPr>
          <w:rFonts w:ascii="Calibri" w:hAnsi="Calibri"/>
          <w:sz w:val="22"/>
          <w:lang w:val="fr-FR"/>
        </w:rPr>
        <w:t>dans un contexte où le concept de genre est encore nouveau</w:t>
      </w:r>
      <w:r>
        <w:rPr>
          <w:rFonts w:ascii="Calibri" w:hAnsi="Calibri"/>
          <w:sz w:val="22"/>
          <w:lang w:val="fr-FR"/>
        </w:rPr>
        <w:t>.</w:t>
      </w:r>
      <w:r w:rsidRPr="00560DF4">
        <w:rPr>
          <w:rFonts w:ascii="Calibri" w:hAnsi="Calibri"/>
          <w:sz w:val="22"/>
          <w:lang w:val="fr-FR"/>
        </w:rPr>
        <w:t xml:space="preserve"> Par ailleurs, le manque de détails apporté à la conception du modèle de gesti</w:t>
      </w:r>
      <w:r>
        <w:rPr>
          <w:rFonts w:ascii="Calibri" w:hAnsi="Calibri"/>
          <w:sz w:val="22"/>
          <w:lang w:val="fr-FR"/>
        </w:rPr>
        <w:t>on et de pilotage du programme semble avoir</w:t>
      </w:r>
      <w:r w:rsidRPr="00560DF4">
        <w:rPr>
          <w:rFonts w:ascii="Calibri" w:hAnsi="Calibri"/>
          <w:sz w:val="22"/>
          <w:lang w:val="fr-FR"/>
        </w:rPr>
        <w:t xml:space="preserve"> entraîné une certaine confusion au niveau de la compréhension, par les principaux acteurs de mise en œuvre, de leurs rôles et responsabilités réciproques, ce qui a entravé l’efficience de tous les processus décisionnels. Enfin, le nombre impressionnant de partenaires i</w:t>
      </w:r>
      <w:r>
        <w:rPr>
          <w:rFonts w:ascii="Calibri" w:hAnsi="Calibri"/>
          <w:sz w:val="22"/>
          <w:lang w:val="fr-FR"/>
        </w:rPr>
        <w:t xml:space="preserve">mpliqués dans la mise en œuvre, </w:t>
      </w:r>
      <w:r w:rsidRPr="00560DF4">
        <w:rPr>
          <w:rFonts w:ascii="Calibri" w:hAnsi="Calibri"/>
          <w:sz w:val="22"/>
          <w:lang w:val="fr-FR"/>
        </w:rPr>
        <w:t>dont l’action commune doit être planifiée, gérée, coordonnée et évaluée, représentait dès le départ un défi quasiment insurmontable, surtout dans un pays où les capacités des agences des Nations Unies, notamment en termes d’effectif, étaient notoirement limitées</w:t>
      </w:r>
      <w:r>
        <w:rPr>
          <w:rFonts w:ascii="Calibri" w:hAnsi="Calibri"/>
          <w:sz w:val="22"/>
          <w:lang w:val="fr-FR"/>
        </w:rPr>
        <w:t xml:space="preserve">. Les lacunes originelles du document de projet n’ont pas été corrigées immédiatement, après quoi, il semble que les partenaires s’en soient tenu à l’application rigide du document de projet. </w:t>
      </w:r>
    </w:p>
    <w:p w:rsidR="00560DF4" w:rsidRDefault="00560DF4" w:rsidP="004E3ACA">
      <w:pPr>
        <w:spacing w:before="120" w:after="120"/>
        <w:jc w:val="both"/>
        <w:rPr>
          <w:rFonts w:ascii="Calibri" w:hAnsi="Calibri"/>
          <w:sz w:val="22"/>
          <w:lang w:val="fr-FR"/>
        </w:rPr>
      </w:pPr>
      <w:r>
        <w:rPr>
          <w:rFonts w:ascii="Calibri" w:hAnsi="Calibri"/>
          <w:sz w:val="22"/>
          <w:lang w:val="fr-FR"/>
        </w:rPr>
        <w:t>Par ailleurs, les agences des Nations Unies n’ont pas su renforcer</w:t>
      </w:r>
      <w:r w:rsidRPr="00560DF4">
        <w:rPr>
          <w:lang w:val="fr-FR"/>
        </w:rPr>
        <w:t xml:space="preserve"> </w:t>
      </w:r>
      <w:r w:rsidRPr="00560DF4">
        <w:rPr>
          <w:rFonts w:ascii="Calibri" w:hAnsi="Calibri"/>
          <w:sz w:val="22"/>
          <w:lang w:val="fr-FR"/>
        </w:rPr>
        <w:t>leurs capacités de mise en œuv</w:t>
      </w:r>
      <w:r w:rsidR="0045107E">
        <w:rPr>
          <w:rFonts w:ascii="Calibri" w:hAnsi="Calibri"/>
          <w:sz w:val="22"/>
          <w:lang w:val="fr-FR"/>
        </w:rPr>
        <w:t>re, notoirement insuffisantes, en recrutant du personnel ou une aide ponctuelle ; ou</w:t>
      </w:r>
      <w:r w:rsidRPr="00560DF4">
        <w:rPr>
          <w:rFonts w:ascii="Calibri" w:hAnsi="Calibri"/>
          <w:sz w:val="22"/>
          <w:lang w:val="fr-FR"/>
        </w:rPr>
        <w:t xml:space="preserve"> </w:t>
      </w:r>
      <w:r w:rsidR="0045107E">
        <w:rPr>
          <w:rFonts w:ascii="Calibri" w:hAnsi="Calibri"/>
          <w:sz w:val="22"/>
          <w:lang w:val="fr-FR"/>
        </w:rPr>
        <w:t xml:space="preserve">encore </w:t>
      </w:r>
      <w:r w:rsidRPr="00560DF4">
        <w:rPr>
          <w:rFonts w:ascii="Calibri" w:hAnsi="Calibri"/>
          <w:sz w:val="22"/>
          <w:lang w:val="fr-FR"/>
        </w:rPr>
        <w:t>à</w:t>
      </w:r>
      <w:r w:rsidR="0045107E">
        <w:rPr>
          <w:rFonts w:ascii="Calibri" w:hAnsi="Calibri"/>
          <w:sz w:val="22"/>
          <w:lang w:val="fr-FR"/>
        </w:rPr>
        <w:t xml:space="preserve"> mieux s’organiser entre elles, ce qui aurait peut-être pu permettre d’améliorer l’efficience des processus, notamment les processus de recrutement et de transfert de fonds inter-agences. Dans un même temps, l’EP a tardé à être établie et elle n’est toujours pas pleinement fonctionnelle dans l’attente du recrutement d’un Expert Genre, le/laquelle a fait cruellement défaut. En outre, ne pouvant gérer elle-même aucun fonds du programme, l’EP s’est concentrée sur ses activités de coordination et de gestion, mais n’a pu s’imposer comme le véritable moteur du programme et son centre névralgique.</w:t>
      </w:r>
    </w:p>
    <w:p w:rsidR="0045107E" w:rsidRDefault="007D3AD8" w:rsidP="004E3ACA">
      <w:pPr>
        <w:spacing w:before="120" w:after="120"/>
        <w:jc w:val="both"/>
        <w:rPr>
          <w:rFonts w:ascii="Calibri" w:hAnsi="Calibri"/>
          <w:sz w:val="22"/>
          <w:lang w:val="fr-FR"/>
        </w:rPr>
      </w:pPr>
      <w:r>
        <w:rPr>
          <w:rFonts w:ascii="Calibri" w:hAnsi="Calibri"/>
          <w:sz w:val="22"/>
          <w:lang w:val="fr-FR"/>
        </w:rPr>
        <w:t>Enfin,</w:t>
      </w:r>
      <w:r w:rsidR="0045107E">
        <w:rPr>
          <w:rFonts w:ascii="Calibri" w:hAnsi="Calibri"/>
          <w:sz w:val="22"/>
          <w:lang w:val="fr-FR"/>
        </w:rPr>
        <w:t xml:space="preserve"> il semble que certains organes de gouvernance, notamment le Comité de Gestion du Programme, n’ont pu jouer leur r</w:t>
      </w:r>
      <w:r w:rsidR="0045107E">
        <w:rPr>
          <w:rFonts w:ascii="Calibri" w:hAnsi="Calibri" w:cs="Calibri"/>
          <w:sz w:val="22"/>
          <w:lang w:val="fr-FR"/>
        </w:rPr>
        <w:t>ô</w:t>
      </w:r>
      <w:r w:rsidR="0045107E">
        <w:rPr>
          <w:rFonts w:ascii="Calibri" w:hAnsi="Calibri"/>
          <w:sz w:val="22"/>
          <w:lang w:val="fr-FR"/>
        </w:rPr>
        <w:t>le convenablement, principalement en raison du trop grand nombre de ses membres et du fait que ces derniers n’ont pas toujours le niveau décisionnel requis au sein de leurs institutions réciproques.</w:t>
      </w:r>
    </w:p>
    <w:p w:rsidR="0045107E" w:rsidRPr="00FC6FF4" w:rsidRDefault="0045107E" w:rsidP="004E3ACA">
      <w:pPr>
        <w:spacing w:before="120" w:after="120"/>
        <w:jc w:val="both"/>
        <w:rPr>
          <w:rFonts w:ascii="Calibri" w:hAnsi="Calibri"/>
          <w:b/>
          <w:sz w:val="22"/>
          <w:lang w:val="fr-FR"/>
        </w:rPr>
      </w:pPr>
      <w:r w:rsidRPr="00FC6FF4">
        <w:rPr>
          <w:rFonts w:ascii="Calibri" w:hAnsi="Calibri"/>
          <w:b/>
          <w:sz w:val="22"/>
          <w:lang w:val="fr-FR"/>
        </w:rPr>
        <w:t>Recommandations</w:t>
      </w:r>
    </w:p>
    <w:p w:rsidR="00FC6FF4" w:rsidRDefault="0045107E" w:rsidP="00FC6FF4">
      <w:pPr>
        <w:spacing w:before="120" w:after="120"/>
        <w:jc w:val="both"/>
        <w:rPr>
          <w:rFonts w:ascii="Calibri" w:hAnsi="Calibri"/>
          <w:sz w:val="22"/>
          <w:lang w:val="fr-FR"/>
        </w:rPr>
      </w:pPr>
      <w:r>
        <w:rPr>
          <w:rFonts w:ascii="Calibri" w:hAnsi="Calibri"/>
          <w:sz w:val="22"/>
          <w:lang w:val="fr-FR"/>
        </w:rPr>
        <w:t xml:space="preserve">Devant le grand retard accumulé et qui n’est pas rattrapable et en considération du </w:t>
      </w:r>
      <w:r w:rsidR="00FC6FF4">
        <w:rPr>
          <w:rFonts w:ascii="Calibri" w:hAnsi="Calibri"/>
          <w:sz w:val="22"/>
          <w:lang w:val="fr-FR"/>
        </w:rPr>
        <w:t xml:space="preserve">court laps de temps qui sépare le programme de la date prévue de sa clôture, la mission a conclu qu’un recadrage stratégique des activités du programme s’impose. Il paraît en effet </w:t>
      </w:r>
      <w:r w:rsidR="00FC6FF4" w:rsidRPr="00FC6FF4">
        <w:rPr>
          <w:rFonts w:ascii="Calibri" w:hAnsi="Calibri"/>
          <w:sz w:val="22"/>
          <w:lang w:val="fr-FR"/>
        </w:rPr>
        <w:t xml:space="preserve">illusoire de penser que le programme parviendra à lancer et suivre correctement toutes les activités qui n’ont fait l’objet d’aucune préparation, notamment toutes les activités de l’Effet 3. </w:t>
      </w:r>
    </w:p>
    <w:p w:rsidR="00FC6FF4" w:rsidRDefault="00FC6FF4" w:rsidP="00FC6FF4">
      <w:pPr>
        <w:spacing w:before="120" w:after="120"/>
        <w:jc w:val="both"/>
        <w:rPr>
          <w:rFonts w:ascii="Calibri" w:hAnsi="Calibri"/>
          <w:sz w:val="22"/>
          <w:lang w:val="fr-FR"/>
        </w:rPr>
      </w:pPr>
      <w:r w:rsidRPr="00FC6FF4">
        <w:rPr>
          <w:rFonts w:ascii="Calibri" w:hAnsi="Calibri"/>
          <w:sz w:val="22"/>
          <w:lang w:val="fr-FR"/>
        </w:rPr>
        <w:t xml:space="preserve">La mission est donc d’avis qu’il conviendra, dans un premier temps, de recentrer la mise en œuvre sur un petit nombre d’activités prioritaires : celles déjà lancées et celles répondant aux trois critères suivants : </w:t>
      </w:r>
    </w:p>
    <w:p w:rsidR="00FC6FF4" w:rsidRPr="00FC6FF4" w:rsidRDefault="00FC6FF4" w:rsidP="00FC6FF4">
      <w:pPr>
        <w:pStyle w:val="ListParagraph"/>
        <w:numPr>
          <w:ilvl w:val="0"/>
          <w:numId w:val="44"/>
        </w:numPr>
        <w:jc w:val="both"/>
        <w:rPr>
          <w:rFonts w:ascii="Calibri" w:hAnsi="Calibri"/>
          <w:sz w:val="20"/>
          <w:szCs w:val="20"/>
          <w:lang w:val="fr-FR"/>
        </w:rPr>
      </w:pPr>
      <w:r>
        <w:rPr>
          <w:rFonts w:ascii="Calibri" w:hAnsi="Calibri"/>
          <w:sz w:val="20"/>
          <w:szCs w:val="20"/>
          <w:lang w:val="fr-FR"/>
        </w:rPr>
        <w:t>A</w:t>
      </w:r>
      <w:r w:rsidRPr="00FC6FF4">
        <w:rPr>
          <w:rFonts w:ascii="Calibri" w:hAnsi="Calibri"/>
          <w:sz w:val="20"/>
          <w:szCs w:val="20"/>
          <w:lang w:val="fr-FR"/>
        </w:rPr>
        <w:t xml:space="preserve">ctivité en état de préparation très avancé (notamment : TdR détaillés élaborés, feuille de route claire, tous les partenaires identifiés et consultés ; calendrier et budget détaillé élaborés ; consultants pré-identifiés) ; </w:t>
      </w:r>
    </w:p>
    <w:p w:rsidR="00FC6FF4" w:rsidRPr="00FC6FF4" w:rsidRDefault="00FC6FF4" w:rsidP="00FC6FF4">
      <w:pPr>
        <w:pStyle w:val="ListParagraph"/>
        <w:numPr>
          <w:ilvl w:val="0"/>
          <w:numId w:val="44"/>
        </w:numPr>
        <w:jc w:val="both"/>
        <w:rPr>
          <w:rFonts w:ascii="Calibri" w:hAnsi="Calibri"/>
          <w:sz w:val="20"/>
          <w:szCs w:val="20"/>
          <w:lang w:val="fr-FR"/>
        </w:rPr>
      </w:pPr>
      <w:r>
        <w:rPr>
          <w:rFonts w:ascii="Calibri" w:hAnsi="Calibri"/>
          <w:sz w:val="20"/>
          <w:szCs w:val="20"/>
          <w:lang w:val="fr-FR"/>
        </w:rPr>
        <w:t>A</w:t>
      </w:r>
      <w:r w:rsidRPr="00FC6FF4">
        <w:rPr>
          <w:rFonts w:ascii="Calibri" w:hAnsi="Calibri"/>
          <w:sz w:val="20"/>
          <w:szCs w:val="20"/>
          <w:lang w:val="fr-FR"/>
        </w:rPr>
        <w:t xml:space="preserve">ctivité prometteuse en terme d’acquisition de connaissances ou de contribution directe à un des Effets escomptés du programme, et </w:t>
      </w:r>
    </w:p>
    <w:p w:rsidR="00FC6FF4" w:rsidRPr="00FC6FF4" w:rsidRDefault="00FC6FF4" w:rsidP="00FC6FF4">
      <w:pPr>
        <w:pStyle w:val="ListParagraph"/>
        <w:numPr>
          <w:ilvl w:val="0"/>
          <w:numId w:val="44"/>
        </w:numPr>
        <w:jc w:val="both"/>
        <w:rPr>
          <w:rFonts w:ascii="Calibri" w:hAnsi="Calibri"/>
          <w:sz w:val="20"/>
          <w:szCs w:val="20"/>
          <w:lang w:val="fr-FR"/>
        </w:rPr>
      </w:pPr>
      <w:r>
        <w:rPr>
          <w:rFonts w:ascii="Calibri" w:hAnsi="Calibri"/>
          <w:sz w:val="20"/>
          <w:szCs w:val="20"/>
          <w:lang w:val="fr-FR"/>
        </w:rPr>
        <w:t>A</w:t>
      </w:r>
      <w:r w:rsidRPr="00FC6FF4">
        <w:rPr>
          <w:rFonts w:ascii="Calibri" w:hAnsi="Calibri"/>
          <w:sz w:val="20"/>
          <w:szCs w:val="20"/>
          <w:lang w:val="fr-FR"/>
        </w:rPr>
        <w:t>ctivité que l’on pourra finaliser avant le mois de mars/avril 2013</w:t>
      </w:r>
    </w:p>
    <w:p w:rsidR="00FC6FF4" w:rsidRPr="00FC6FF4" w:rsidRDefault="00FC6FF4" w:rsidP="00FC6FF4">
      <w:pPr>
        <w:spacing w:before="120" w:after="120"/>
        <w:jc w:val="both"/>
        <w:rPr>
          <w:rFonts w:ascii="Calibri" w:hAnsi="Calibri"/>
          <w:sz w:val="22"/>
          <w:lang w:val="fr-FR"/>
        </w:rPr>
      </w:pPr>
      <w:r w:rsidRPr="00FC6FF4">
        <w:rPr>
          <w:rFonts w:ascii="Calibri" w:hAnsi="Calibri"/>
          <w:sz w:val="22"/>
          <w:lang w:val="fr-FR"/>
        </w:rPr>
        <w:t xml:space="preserve">Pour que ces activités prioritaires puissent être menées à bien, la mission </w:t>
      </w:r>
      <w:r>
        <w:rPr>
          <w:rFonts w:ascii="Calibri" w:hAnsi="Calibri"/>
          <w:sz w:val="22"/>
          <w:lang w:val="fr-FR"/>
        </w:rPr>
        <w:t>recommande</w:t>
      </w:r>
      <w:r w:rsidRPr="00FC6FF4">
        <w:rPr>
          <w:rFonts w:ascii="Calibri" w:hAnsi="Calibri"/>
          <w:sz w:val="22"/>
          <w:lang w:val="fr-FR"/>
        </w:rPr>
        <w:t xml:space="preserve"> de repousser la date de clôture du programme à la fin juin 2013 et il sera indispensable d’opérer une profonde refonte du budget et d’importantes réallocations budgétaires entre agences au titre du montant perçu lors de la première tranche.</w:t>
      </w:r>
    </w:p>
    <w:p w:rsidR="00FC6FF4" w:rsidRPr="00FC6FF4" w:rsidRDefault="00FC6FF4" w:rsidP="00FC6FF4">
      <w:pPr>
        <w:spacing w:before="120" w:after="120"/>
        <w:jc w:val="both"/>
        <w:rPr>
          <w:rFonts w:ascii="Calibri" w:hAnsi="Calibri"/>
          <w:sz w:val="22"/>
          <w:lang w:val="fr-FR"/>
        </w:rPr>
      </w:pPr>
      <w:r w:rsidRPr="00FC6FF4">
        <w:rPr>
          <w:rFonts w:ascii="Calibri" w:hAnsi="Calibri"/>
          <w:sz w:val="22"/>
          <w:lang w:val="fr-FR"/>
        </w:rPr>
        <w:t xml:space="preserve">S’agissant de toutes les activités qui n’ont pas encore été lancées ou préparées, la mission est d’avis qu’il sera impossible au programme, en l’état actuel de son fonctionnement et des capacités des agences des NUs, de les mener à bien. La mission est donc d’avis que le lancement de toute activité non prioritaire devra être subordonné à un certain nombre de critères précis portant sur : </w:t>
      </w:r>
    </w:p>
    <w:p w:rsidR="00FC6FF4" w:rsidRPr="00FC6FF4" w:rsidRDefault="00FC6FF4" w:rsidP="00FC6FF4">
      <w:pPr>
        <w:pStyle w:val="ListParagraph"/>
        <w:numPr>
          <w:ilvl w:val="0"/>
          <w:numId w:val="44"/>
        </w:numPr>
        <w:jc w:val="both"/>
        <w:rPr>
          <w:rFonts w:ascii="Calibri" w:hAnsi="Calibri"/>
          <w:sz w:val="20"/>
          <w:szCs w:val="20"/>
          <w:lang w:val="fr-FR"/>
        </w:rPr>
      </w:pPr>
      <w:r>
        <w:rPr>
          <w:rFonts w:ascii="Calibri" w:hAnsi="Calibri"/>
          <w:sz w:val="20"/>
          <w:szCs w:val="20"/>
          <w:lang w:val="fr-FR"/>
        </w:rPr>
        <w:t>L</w:t>
      </w:r>
      <w:r w:rsidRPr="00FC6FF4">
        <w:rPr>
          <w:rFonts w:ascii="Calibri" w:hAnsi="Calibri"/>
          <w:sz w:val="20"/>
          <w:szCs w:val="20"/>
          <w:lang w:val="fr-FR"/>
        </w:rPr>
        <w:t>e renforcement effectif des capacités de l’EP</w:t>
      </w:r>
      <w:r>
        <w:rPr>
          <w:rFonts w:ascii="Calibri" w:hAnsi="Calibri"/>
          <w:sz w:val="20"/>
          <w:szCs w:val="20"/>
          <w:lang w:val="fr-FR"/>
        </w:rPr>
        <w:t>, avec le recrutement de l’Expert Genre, d’un Expert en Suivi/Evaluation et d’un Expert en Communication.</w:t>
      </w:r>
      <w:r w:rsidRPr="00FC6FF4">
        <w:rPr>
          <w:rFonts w:ascii="Calibri" w:hAnsi="Calibri"/>
          <w:sz w:val="20"/>
          <w:szCs w:val="20"/>
          <w:lang w:val="fr-FR"/>
        </w:rPr>
        <w:t xml:space="preserve"> </w:t>
      </w:r>
      <w:r w:rsidRPr="00FC6FF4">
        <w:rPr>
          <w:rFonts w:ascii="Calibri" w:hAnsi="Calibri"/>
          <w:sz w:val="20"/>
          <w:szCs w:val="20"/>
          <w:lang w:val="fr-FR"/>
        </w:rPr>
        <w:tab/>
      </w:r>
    </w:p>
    <w:p w:rsidR="00FC6FF4" w:rsidRDefault="00FC6FF4" w:rsidP="00FC6FF4">
      <w:pPr>
        <w:pStyle w:val="ListParagraph"/>
        <w:numPr>
          <w:ilvl w:val="0"/>
          <w:numId w:val="44"/>
        </w:numPr>
        <w:jc w:val="both"/>
        <w:rPr>
          <w:rFonts w:ascii="Calibri" w:hAnsi="Calibri"/>
          <w:sz w:val="20"/>
          <w:szCs w:val="20"/>
          <w:lang w:val="fr-FR"/>
        </w:rPr>
      </w:pPr>
      <w:r>
        <w:rPr>
          <w:rFonts w:ascii="Calibri" w:hAnsi="Calibri"/>
          <w:sz w:val="20"/>
          <w:szCs w:val="20"/>
          <w:lang w:val="fr-FR"/>
        </w:rPr>
        <w:lastRenderedPageBreak/>
        <w:t>L</w:t>
      </w:r>
      <w:r w:rsidRPr="00FC6FF4">
        <w:rPr>
          <w:rFonts w:ascii="Calibri" w:hAnsi="Calibri"/>
          <w:sz w:val="20"/>
          <w:szCs w:val="20"/>
          <w:lang w:val="fr-FR"/>
        </w:rPr>
        <w:t>e renforcement effectif des capac</w:t>
      </w:r>
      <w:r>
        <w:rPr>
          <w:rFonts w:ascii="Calibri" w:hAnsi="Calibri"/>
          <w:sz w:val="20"/>
          <w:szCs w:val="20"/>
          <w:lang w:val="fr-FR"/>
        </w:rPr>
        <w:t>ités de certaines agences du NU, avec le recrutement par le PNUD d’un Chargé de Programme dédié et le recours à des appuis ponctuels pour toutes les agences en ayant le besoin.</w:t>
      </w:r>
    </w:p>
    <w:p w:rsidR="0045107E" w:rsidRPr="00FC6FF4" w:rsidRDefault="00FC6FF4" w:rsidP="00FC6FF4">
      <w:pPr>
        <w:pStyle w:val="ListParagraph"/>
        <w:numPr>
          <w:ilvl w:val="0"/>
          <w:numId w:val="44"/>
        </w:numPr>
        <w:jc w:val="both"/>
        <w:rPr>
          <w:rFonts w:ascii="Calibri" w:hAnsi="Calibri"/>
          <w:sz w:val="20"/>
          <w:szCs w:val="20"/>
          <w:lang w:val="fr-FR"/>
        </w:rPr>
      </w:pPr>
      <w:r w:rsidRPr="00FC6FF4">
        <w:rPr>
          <w:rFonts w:ascii="Calibri" w:hAnsi="Calibri"/>
          <w:sz w:val="20"/>
          <w:szCs w:val="20"/>
          <w:lang w:val="fr-FR"/>
        </w:rPr>
        <w:t>la désignation d’une Agence de</w:t>
      </w:r>
      <w:r>
        <w:rPr>
          <w:rFonts w:ascii="Calibri" w:hAnsi="Calibri"/>
          <w:sz w:val="20"/>
          <w:szCs w:val="20"/>
          <w:lang w:val="fr-FR"/>
        </w:rPr>
        <w:t>s</w:t>
      </w:r>
      <w:r w:rsidRPr="00FC6FF4">
        <w:rPr>
          <w:rFonts w:ascii="Calibri" w:hAnsi="Calibri"/>
          <w:sz w:val="20"/>
          <w:szCs w:val="20"/>
          <w:lang w:val="fr-FR"/>
        </w:rPr>
        <w:t xml:space="preserve"> NU Chef de file, ou la création d’un fonds/pool commun pour la gestion des ressources financières du programme (hors frais de gestion).</w:t>
      </w:r>
    </w:p>
    <w:p w:rsidR="0045107E" w:rsidRDefault="0045107E" w:rsidP="004E3ACA">
      <w:pPr>
        <w:spacing w:before="120" w:after="120"/>
        <w:jc w:val="both"/>
        <w:rPr>
          <w:rFonts w:ascii="Calibri" w:hAnsi="Calibri"/>
          <w:sz w:val="22"/>
          <w:lang w:val="fr-FR"/>
        </w:rPr>
      </w:pPr>
    </w:p>
    <w:p w:rsidR="0045107E" w:rsidRDefault="0045107E" w:rsidP="004E3ACA">
      <w:pPr>
        <w:spacing w:before="120" w:after="120"/>
        <w:jc w:val="both"/>
        <w:rPr>
          <w:rFonts w:ascii="Calibri" w:hAnsi="Calibri"/>
          <w:sz w:val="22"/>
          <w:lang w:val="fr-FR"/>
        </w:rPr>
      </w:pPr>
    </w:p>
    <w:p w:rsidR="00560DF4" w:rsidRPr="00560DF4" w:rsidRDefault="00560DF4" w:rsidP="004E3ACA">
      <w:pPr>
        <w:spacing w:before="120" w:after="120"/>
        <w:jc w:val="both"/>
        <w:rPr>
          <w:rFonts w:ascii="Calibri" w:hAnsi="Calibri"/>
          <w:sz w:val="22"/>
          <w:lang w:val="fr-FR"/>
        </w:rPr>
      </w:pPr>
    </w:p>
    <w:p w:rsidR="005121C5" w:rsidRDefault="005121C5" w:rsidP="004E3ACA">
      <w:pPr>
        <w:spacing w:before="120" w:after="120"/>
        <w:jc w:val="both"/>
        <w:rPr>
          <w:rFonts w:ascii="Calibri" w:hAnsi="Calibri"/>
          <w:sz w:val="22"/>
          <w:lang w:val="fr-FR"/>
        </w:rPr>
      </w:pPr>
    </w:p>
    <w:p w:rsidR="002938D4" w:rsidRDefault="002938D4" w:rsidP="004E3ACA">
      <w:pPr>
        <w:spacing w:before="120" w:after="120"/>
        <w:jc w:val="both"/>
        <w:rPr>
          <w:rFonts w:ascii="Calibri" w:hAnsi="Calibri"/>
          <w:sz w:val="22"/>
          <w:lang w:val="fr-FR"/>
        </w:rPr>
      </w:pPr>
    </w:p>
    <w:p w:rsidR="001731EC" w:rsidRPr="002A3C4E" w:rsidRDefault="001731EC" w:rsidP="004E3ACA">
      <w:pPr>
        <w:spacing w:before="120" w:after="120"/>
        <w:jc w:val="both"/>
        <w:rPr>
          <w:rFonts w:ascii="Calibri" w:hAnsi="Calibri"/>
          <w:sz w:val="22"/>
          <w:lang w:val="fr-FR"/>
        </w:rPr>
      </w:pPr>
    </w:p>
    <w:p w:rsidR="00D12B43" w:rsidRDefault="00D12B43" w:rsidP="004E3ACA">
      <w:pPr>
        <w:spacing w:before="120" w:after="120"/>
        <w:jc w:val="both"/>
        <w:rPr>
          <w:rFonts w:ascii="Calibri" w:hAnsi="Calibri"/>
          <w:sz w:val="22"/>
          <w:lang w:val="fr-FR"/>
        </w:rPr>
      </w:pPr>
    </w:p>
    <w:p w:rsidR="00AE0E84" w:rsidRPr="00AE0E84" w:rsidRDefault="00AE0E84" w:rsidP="00AE0E84">
      <w:pPr>
        <w:spacing w:before="120" w:after="120"/>
        <w:jc w:val="both"/>
        <w:rPr>
          <w:lang w:val="fr-FR"/>
        </w:rPr>
      </w:pPr>
    </w:p>
    <w:p w:rsidR="00FF4868" w:rsidRPr="00AE0E84" w:rsidRDefault="00FF4868" w:rsidP="00437DE9">
      <w:pPr>
        <w:rPr>
          <w:lang w:val="fr-FR"/>
        </w:rPr>
      </w:pPr>
    </w:p>
    <w:p w:rsidR="00FF4868" w:rsidRPr="00AE0E84" w:rsidRDefault="00FF4868" w:rsidP="00437DE9">
      <w:pPr>
        <w:rPr>
          <w:lang w:val="fr-FR"/>
        </w:rPr>
      </w:pPr>
    </w:p>
    <w:p w:rsidR="00407D4E" w:rsidRPr="00AE0E84" w:rsidRDefault="00407D4E" w:rsidP="00437DE9">
      <w:pPr>
        <w:rPr>
          <w:lang w:val="fr-FR"/>
        </w:rPr>
      </w:pPr>
    </w:p>
    <w:p w:rsidR="0091166A" w:rsidRPr="00AE0E84" w:rsidRDefault="0091166A" w:rsidP="00437DE9">
      <w:pPr>
        <w:rPr>
          <w:lang w:val="fr-FR"/>
        </w:rPr>
      </w:pPr>
    </w:p>
    <w:p w:rsidR="00DA20F4" w:rsidRPr="005D0500" w:rsidRDefault="00654A74" w:rsidP="004E3D53">
      <w:pPr>
        <w:pStyle w:val="Heading1"/>
        <w:spacing w:before="0"/>
        <w:ind w:hanging="90"/>
        <w:rPr>
          <w:lang w:val="fr-CA"/>
        </w:rPr>
      </w:pPr>
      <w:r w:rsidRPr="0031650C">
        <w:rPr>
          <w:color w:val="FF0000"/>
          <w:lang w:val="fr-CA"/>
        </w:rPr>
        <w:br w:type="page"/>
      </w:r>
      <w:bookmarkStart w:id="3" w:name="_Toc322341996"/>
      <w:r w:rsidR="00D10462" w:rsidRPr="005D0500">
        <w:rPr>
          <w:lang w:val="fr-CA"/>
        </w:rPr>
        <w:lastRenderedPageBreak/>
        <w:t>Introduction</w:t>
      </w:r>
      <w:bookmarkEnd w:id="1"/>
      <w:bookmarkEnd w:id="3"/>
    </w:p>
    <w:p w:rsidR="0031650C" w:rsidRPr="00050693" w:rsidRDefault="0031650C" w:rsidP="0031650C">
      <w:pPr>
        <w:pStyle w:val="NoSpacing"/>
        <w:numPr>
          <w:ilvl w:val="0"/>
          <w:numId w:val="1"/>
        </w:numPr>
        <w:ind w:left="0" w:firstLine="0"/>
        <w:rPr>
          <w:lang w:val="fr-FR"/>
        </w:rPr>
      </w:pPr>
      <w:r w:rsidRPr="00E7349C">
        <w:rPr>
          <w:lang w:val="fr-CA"/>
        </w:rPr>
        <w:t xml:space="preserve">A la demande du Secrétariat du </w:t>
      </w:r>
      <w:r w:rsidRPr="00E7349C">
        <w:rPr>
          <w:noProof/>
          <w:lang w:val="fr-CA"/>
        </w:rPr>
        <w:t>Fonds pour la réalisation des O</w:t>
      </w:r>
      <w:r>
        <w:rPr>
          <w:noProof/>
          <w:lang w:val="fr-CA"/>
        </w:rPr>
        <w:t>bjectifs du Millénaire pour le Développement (</w:t>
      </w:r>
      <w:r w:rsidR="00B800A4">
        <w:rPr>
          <w:noProof/>
          <w:lang w:val="fr-CA"/>
        </w:rPr>
        <w:t>Fonds-OMD</w:t>
      </w:r>
      <w:r>
        <w:rPr>
          <w:noProof/>
          <w:lang w:val="fr-CA"/>
        </w:rPr>
        <w:t>)</w:t>
      </w:r>
      <w:r w:rsidRPr="00E7349C">
        <w:rPr>
          <w:noProof/>
          <w:lang w:val="fr-CA"/>
        </w:rPr>
        <w:t xml:space="preserve">, </w:t>
      </w:r>
      <w:r w:rsidRPr="00E7349C">
        <w:rPr>
          <w:lang w:val="fr-FR"/>
        </w:rPr>
        <w:t>une mission d’évaluation à mi-parcours</w:t>
      </w:r>
      <w:r w:rsidR="00875A2C">
        <w:rPr>
          <w:rStyle w:val="FootnoteReference"/>
          <w:lang w:val="fr-FR"/>
        </w:rPr>
        <w:footnoteReference w:id="2"/>
      </w:r>
      <w:r w:rsidRPr="00E7349C">
        <w:rPr>
          <w:lang w:val="fr-FR"/>
        </w:rPr>
        <w:t xml:space="preserve"> s</w:t>
      </w:r>
      <w:r w:rsidR="00DF5ACA">
        <w:rPr>
          <w:lang w:val="fr-FR"/>
        </w:rPr>
        <w:t>’est</w:t>
      </w:r>
      <w:r w:rsidR="002D7689">
        <w:rPr>
          <w:lang w:val="fr-FR"/>
        </w:rPr>
        <w:t xml:space="preserve"> rendue </w:t>
      </w:r>
      <w:r>
        <w:rPr>
          <w:lang w:val="fr-FR"/>
        </w:rPr>
        <w:t xml:space="preserve">en Algérie du 15 au 25 </w:t>
      </w:r>
      <w:r w:rsidRPr="00050693">
        <w:rPr>
          <w:lang w:val="fr-FR"/>
        </w:rPr>
        <w:t>janvier 2012 pour apprécier les réalisations du programme conjoint pour « </w:t>
      </w:r>
      <w:r w:rsidRPr="00050693">
        <w:rPr>
          <w:i/>
          <w:lang w:val="fr-FR"/>
        </w:rPr>
        <w:t>l’Egalité entre les genres et l’autonomisation des femmes en Algérie</w:t>
      </w:r>
      <w:r w:rsidRPr="00050693">
        <w:rPr>
          <w:lang w:val="fr-FR"/>
        </w:rPr>
        <w:t xml:space="preserve"> »  </w:t>
      </w:r>
      <w:r w:rsidR="00050693" w:rsidRPr="00050693">
        <w:rPr>
          <w:lang w:val="fr-FR"/>
        </w:rPr>
        <w:t>(</w:t>
      </w:r>
      <w:r w:rsidR="00050693" w:rsidRPr="00050693">
        <w:rPr>
          <w:i/>
          <w:lang w:val="fr-FR"/>
        </w:rPr>
        <w:t>ci-après appelé « le programme conjoint »)</w:t>
      </w:r>
      <w:r w:rsidR="00050693" w:rsidRPr="00050693">
        <w:rPr>
          <w:lang w:val="fr-FR"/>
        </w:rPr>
        <w:t xml:space="preserve"> </w:t>
      </w:r>
      <w:r w:rsidRPr="00050693">
        <w:rPr>
          <w:lang w:val="fr-FR"/>
        </w:rPr>
        <w:t xml:space="preserve">financé par le gouvernement espagnol à travers le Fonds. </w:t>
      </w:r>
    </w:p>
    <w:p w:rsidR="00050693" w:rsidRPr="00050693" w:rsidRDefault="0031650C" w:rsidP="00050693">
      <w:pPr>
        <w:pStyle w:val="NoSpacing"/>
        <w:numPr>
          <w:ilvl w:val="0"/>
          <w:numId w:val="1"/>
        </w:numPr>
        <w:ind w:left="0" w:firstLine="0"/>
        <w:rPr>
          <w:lang w:val="fr-FR"/>
        </w:rPr>
      </w:pPr>
      <w:r w:rsidRPr="00050693">
        <w:rPr>
          <w:lang w:val="fr-FR"/>
        </w:rPr>
        <w:t xml:space="preserve">Ce programme fait partie des quelques 128 programmes conjoints financés dans 50 pays par le Gouvernement espagnol à travers le </w:t>
      </w:r>
      <w:r w:rsidR="00B800A4">
        <w:rPr>
          <w:lang w:val="fr-FR"/>
        </w:rPr>
        <w:t>Fonds-OMD</w:t>
      </w:r>
      <w:r w:rsidRPr="00050693">
        <w:rPr>
          <w:lang w:val="fr-FR"/>
        </w:rPr>
        <w:t>. Plus précisément, il fait partie des 13 programmes conjoints du volet « </w:t>
      </w:r>
      <w:r w:rsidRPr="00050693">
        <w:rPr>
          <w:i/>
          <w:lang w:val="fr-FR"/>
        </w:rPr>
        <w:t xml:space="preserve">Egalité des sexes et </w:t>
      </w:r>
      <w:r w:rsidRPr="00123C70">
        <w:rPr>
          <w:lang w:val="fr-FR"/>
        </w:rPr>
        <w:t>autonomisation</w:t>
      </w:r>
      <w:r w:rsidRPr="00050693">
        <w:rPr>
          <w:i/>
          <w:lang w:val="fr-FR"/>
        </w:rPr>
        <w:t xml:space="preserve"> des femmes</w:t>
      </w:r>
      <w:r w:rsidRPr="00050693">
        <w:rPr>
          <w:lang w:val="fr-FR"/>
        </w:rPr>
        <w:t xml:space="preserve"> » , lequel vise à accélérer l’atteinte de l’OMD 3 grâce, notamment, à l’inclusion de l’égalité hommes/femmes dans la conception et la mise en œuvre des politiques publiques et à favoriser la participation des femmes à la vie économique de leurs communautés Après une présentation succincte du contexte général du pays et des objectifs du programme conjoint, le présent rapport préliminaire décrit l’approche méthodologique qui sera suivie tout au long des travaux de l’évaluation. Cette note méthodologique a été préparée sur la base des Termes de Référence de </w:t>
      </w:r>
      <w:r w:rsidRPr="00050693">
        <w:rPr>
          <w:rFonts w:cs="Calibri"/>
          <w:lang w:val="fr-FR"/>
        </w:rPr>
        <w:t xml:space="preserve">l’évaluation à mi-parcours et de la documentation fournie, après qu’un d’un briefing de la consultante ait été organisé dans les locaux du </w:t>
      </w:r>
      <w:r w:rsidR="00B800A4">
        <w:rPr>
          <w:rFonts w:cs="Calibri"/>
          <w:lang w:val="fr-FR"/>
        </w:rPr>
        <w:t>Secrétariat du Fonds-OMD en janvier 2012</w:t>
      </w:r>
      <w:r w:rsidRPr="00050693">
        <w:rPr>
          <w:rFonts w:cs="Calibri"/>
          <w:lang w:val="fr-FR"/>
        </w:rPr>
        <w:t>.</w:t>
      </w:r>
    </w:p>
    <w:p w:rsidR="00050693" w:rsidRDefault="00050693" w:rsidP="00050693">
      <w:pPr>
        <w:pStyle w:val="NoSpacing"/>
        <w:numPr>
          <w:ilvl w:val="0"/>
          <w:numId w:val="1"/>
        </w:numPr>
        <w:ind w:left="0" w:firstLine="0"/>
        <w:rPr>
          <w:lang w:val="fr-FR"/>
        </w:rPr>
      </w:pPr>
      <w:r w:rsidRPr="00050693">
        <w:rPr>
          <w:lang w:val="fr-FR"/>
        </w:rPr>
        <w:t xml:space="preserve"> </w:t>
      </w:r>
      <w:r w:rsidR="00D87630" w:rsidRPr="00050693">
        <w:rPr>
          <w:lang w:val="fr-FR"/>
        </w:rPr>
        <w:t>Sur la base d</w:t>
      </w:r>
      <w:r w:rsidR="00836385" w:rsidRPr="00050693">
        <w:rPr>
          <w:lang w:val="fr-FR"/>
        </w:rPr>
        <w:t>es Termes de Réfé</w:t>
      </w:r>
      <w:r w:rsidR="00D87630" w:rsidRPr="00050693">
        <w:rPr>
          <w:lang w:val="fr-FR"/>
        </w:rPr>
        <w:t>rence de l’</w:t>
      </w:r>
      <w:r w:rsidR="00836385" w:rsidRPr="00050693">
        <w:rPr>
          <w:lang w:val="fr-FR"/>
        </w:rPr>
        <w:t>évaluation</w:t>
      </w:r>
      <w:r w:rsidR="00D87630" w:rsidRPr="00050693">
        <w:rPr>
          <w:lang w:val="fr-FR"/>
        </w:rPr>
        <w:t xml:space="preserve"> et du rapport préliminaire qui fixaient le cadre général de l’évaluation </w:t>
      </w:r>
      <w:r w:rsidR="007A00B3" w:rsidRPr="00050693">
        <w:rPr>
          <w:lang w:val="fr-FR"/>
        </w:rPr>
        <w:t>et</w:t>
      </w:r>
      <w:r w:rsidR="00D87630" w:rsidRPr="00050693">
        <w:rPr>
          <w:lang w:val="fr-FR"/>
        </w:rPr>
        <w:t xml:space="preserve"> l’approche</w:t>
      </w:r>
      <w:r w:rsidR="004629B8" w:rsidRPr="00050693">
        <w:rPr>
          <w:lang w:val="fr-FR"/>
        </w:rPr>
        <w:t xml:space="preserve"> méthodologique</w:t>
      </w:r>
      <w:r w:rsidR="00D87630" w:rsidRPr="00050693">
        <w:rPr>
          <w:lang w:val="fr-FR"/>
        </w:rPr>
        <w:t xml:space="preserve">, la mission a mené à bien ses travaux dans la capitale </w:t>
      </w:r>
      <w:r w:rsidR="00B800A4">
        <w:rPr>
          <w:lang w:val="fr-FR"/>
        </w:rPr>
        <w:t xml:space="preserve">Alger </w:t>
      </w:r>
      <w:r w:rsidR="00D87630" w:rsidRPr="00050693">
        <w:rPr>
          <w:lang w:val="fr-FR"/>
        </w:rPr>
        <w:t xml:space="preserve">ainsi </w:t>
      </w:r>
      <w:r w:rsidR="00D87630" w:rsidRPr="00050693">
        <w:rPr>
          <w:rFonts w:cs="Calibri"/>
          <w:lang w:val="fr-FR"/>
        </w:rPr>
        <w:t xml:space="preserve">que dans </w:t>
      </w:r>
      <w:r>
        <w:rPr>
          <w:rFonts w:cs="Calibri"/>
          <w:lang w:val="fr-FR"/>
        </w:rPr>
        <w:t>la ville de Tamanrasset</w:t>
      </w:r>
      <w:r w:rsidR="00D87630" w:rsidRPr="00050693">
        <w:rPr>
          <w:rFonts w:cs="Calibri"/>
          <w:lang w:val="fr-FR"/>
        </w:rPr>
        <w:t xml:space="preserve"> </w:t>
      </w:r>
      <w:r w:rsidR="004629B8" w:rsidRPr="00050693">
        <w:rPr>
          <w:rFonts w:cs="Calibri"/>
          <w:lang w:val="fr-FR"/>
        </w:rPr>
        <w:t xml:space="preserve">selon le calendrier présenté à l’annexe </w:t>
      </w:r>
      <w:r w:rsidR="007A00B3" w:rsidRPr="00050693">
        <w:rPr>
          <w:rFonts w:cs="Calibri"/>
          <w:lang w:val="fr-FR"/>
        </w:rPr>
        <w:t>6</w:t>
      </w:r>
      <w:r w:rsidR="00D87630" w:rsidRPr="00050693">
        <w:rPr>
          <w:rFonts w:cs="Calibri"/>
          <w:lang w:val="fr-FR"/>
        </w:rPr>
        <w:t xml:space="preserve">. Les conclusions </w:t>
      </w:r>
      <w:r w:rsidR="00836385" w:rsidRPr="00050693">
        <w:rPr>
          <w:rFonts w:cs="Calibri"/>
          <w:lang w:val="fr-FR"/>
        </w:rPr>
        <w:t xml:space="preserve">et recommandations </w:t>
      </w:r>
      <w:r w:rsidR="00D87630" w:rsidRPr="00050693">
        <w:rPr>
          <w:rFonts w:cs="Calibri"/>
          <w:lang w:val="fr-FR"/>
        </w:rPr>
        <w:t>prélim</w:t>
      </w:r>
      <w:r w:rsidR="00836385" w:rsidRPr="00050693">
        <w:rPr>
          <w:rFonts w:cs="Calibri"/>
          <w:lang w:val="fr-FR"/>
        </w:rPr>
        <w:t>in</w:t>
      </w:r>
      <w:r w:rsidR="00D87630" w:rsidRPr="00050693">
        <w:rPr>
          <w:rFonts w:cs="Calibri"/>
          <w:lang w:val="fr-FR"/>
        </w:rPr>
        <w:t xml:space="preserve">aires de la mission ont été présentées à la fin des travaux lors de la réunion de restitution </w:t>
      </w:r>
      <w:r w:rsidR="004629B8" w:rsidRPr="00050693">
        <w:rPr>
          <w:rFonts w:cs="Calibri"/>
          <w:lang w:val="fr-FR"/>
        </w:rPr>
        <w:t>aux membres du groupe local de référence pour l’évaluation</w:t>
      </w:r>
      <w:r w:rsidR="007A00B3" w:rsidRPr="00050693">
        <w:rPr>
          <w:rStyle w:val="FootnoteReference"/>
          <w:rFonts w:cs="Calibri"/>
          <w:lang w:val="fr-FR"/>
        </w:rPr>
        <w:footnoteReference w:id="3"/>
      </w:r>
      <w:r w:rsidR="004629B8" w:rsidRPr="00050693">
        <w:rPr>
          <w:rFonts w:cs="Calibri"/>
          <w:lang w:val="fr-FR"/>
        </w:rPr>
        <w:t>.</w:t>
      </w:r>
    </w:p>
    <w:p w:rsidR="00050693" w:rsidRDefault="00836385" w:rsidP="00050693">
      <w:pPr>
        <w:pStyle w:val="NoSpacing"/>
        <w:numPr>
          <w:ilvl w:val="0"/>
          <w:numId w:val="1"/>
        </w:numPr>
        <w:ind w:left="0" w:firstLine="0"/>
        <w:rPr>
          <w:lang w:val="fr-FR"/>
        </w:rPr>
      </w:pPr>
      <w:r w:rsidRPr="00050693">
        <w:rPr>
          <w:lang w:val="fr-FR"/>
        </w:rPr>
        <w:t>Le présent rapport</w:t>
      </w:r>
      <w:r w:rsidR="00050693">
        <w:rPr>
          <w:lang w:val="fr-FR"/>
        </w:rPr>
        <w:t xml:space="preserve"> provisoire d’évaluation</w:t>
      </w:r>
      <w:r w:rsidRPr="00050693">
        <w:rPr>
          <w:lang w:val="fr-FR"/>
        </w:rPr>
        <w:t xml:space="preserve">, après une présentation du contexte et des faits marquants intervenus depuis le début de la mise en œuvre du programme conjoint, </w:t>
      </w:r>
      <w:r w:rsidR="004629B8" w:rsidRPr="00050693">
        <w:rPr>
          <w:lang w:val="fr-FR"/>
        </w:rPr>
        <w:t xml:space="preserve">en </w:t>
      </w:r>
      <w:r w:rsidRPr="00050693">
        <w:rPr>
          <w:lang w:val="fr-FR"/>
        </w:rPr>
        <w:t xml:space="preserve">documente les principales réalisations avant de présenter les conclusions de l’évaluation s’agissant de la pertinence, de l’efficience et de l’efficacité </w:t>
      </w:r>
      <w:r w:rsidR="004629B8" w:rsidRPr="00050693">
        <w:rPr>
          <w:lang w:val="fr-FR"/>
        </w:rPr>
        <w:t>des processus de</w:t>
      </w:r>
      <w:r w:rsidRPr="00050693">
        <w:rPr>
          <w:lang w:val="fr-FR"/>
        </w:rPr>
        <w:t xml:space="preserve"> mise en œuvre. E</w:t>
      </w:r>
      <w:r w:rsidR="004629B8" w:rsidRPr="00050693">
        <w:rPr>
          <w:lang w:val="fr-FR"/>
        </w:rPr>
        <w:t>n conclusion</w:t>
      </w:r>
      <w:r w:rsidRPr="00050693">
        <w:rPr>
          <w:lang w:val="fr-FR"/>
        </w:rPr>
        <w:t xml:space="preserve">, </w:t>
      </w:r>
      <w:r w:rsidR="004629B8" w:rsidRPr="00050693">
        <w:rPr>
          <w:lang w:val="fr-FR"/>
        </w:rPr>
        <w:t xml:space="preserve">ce </w:t>
      </w:r>
      <w:r w:rsidR="00050693">
        <w:rPr>
          <w:lang w:val="fr-FR"/>
        </w:rPr>
        <w:t>rapport provisoire</w:t>
      </w:r>
      <w:r w:rsidR="004629B8" w:rsidRPr="00050693">
        <w:rPr>
          <w:lang w:val="fr-FR"/>
        </w:rPr>
        <w:t xml:space="preserve"> présente </w:t>
      </w:r>
      <w:r w:rsidRPr="00050693">
        <w:rPr>
          <w:lang w:val="fr-FR"/>
        </w:rPr>
        <w:t xml:space="preserve">les principales recommandations de </w:t>
      </w:r>
      <w:r w:rsidR="004629B8" w:rsidRPr="00050693">
        <w:rPr>
          <w:lang w:val="fr-FR"/>
        </w:rPr>
        <w:t>l’évaluation, avec pour objectif la consolidation des</w:t>
      </w:r>
      <w:r w:rsidRPr="00050693">
        <w:rPr>
          <w:lang w:val="fr-FR"/>
        </w:rPr>
        <w:t xml:space="preserve"> acquis</w:t>
      </w:r>
      <w:r w:rsidR="004629B8" w:rsidRPr="00050693">
        <w:rPr>
          <w:lang w:val="fr-FR"/>
        </w:rPr>
        <w:t xml:space="preserve"> et</w:t>
      </w:r>
      <w:r w:rsidRPr="00050693">
        <w:rPr>
          <w:lang w:val="fr-FR"/>
        </w:rPr>
        <w:t xml:space="preserve"> </w:t>
      </w:r>
      <w:r w:rsidR="004629B8" w:rsidRPr="00050693">
        <w:rPr>
          <w:szCs w:val="22"/>
          <w:lang w:val="fr-FR"/>
        </w:rPr>
        <w:t>l’amélioration</w:t>
      </w:r>
      <w:r w:rsidRPr="00050693">
        <w:rPr>
          <w:szCs w:val="22"/>
          <w:lang w:val="fr-FR"/>
        </w:rPr>
        <w:t xml:space="preserve"> </w:t>
      </w:r>
      <w:r w:rsidR="004629B8" w:rsidRPr="00050693">
        <w:rPr>
          <w:szCs w:val="22"/>
          <w:lang w:val="fr-FR"/>
        </w:rPr>
        <w:t xml:space="preserve">de </w:t>
      </w:r>
      <w:r w:rsidR="00ED0B8D" w:rsidRPr="00050693">
        <w:rPr>
          <w:szCs w:val="22"/>
          <w:lang w:val="fr-FR"/>
        </w:rPr>
        <w:t>certains aspects de la</w:t>
      </w:r>
      <w:r w:rsidRPr="00050693">
        <w:rPr>
          <w:szCs w:val="22"/>
          <w:lang w:val="fr-FR"/>
        </w:rPr>
        <w:t xml:space="preserve"> mise en œuvre</w:t>
      </w:r>
      <w:r w:rsidR="00ED0B8D" w:rsidRPr="00050693">
        <w:rPr>
          <w:szCs w:val="22"/>
          <w:lang w:val="fr-FR"/>
        </w:rPr>
        <w:t>.</w:t>
      </w:r>
    </w:p>
    <w:p w:rsidR="001A50B4" w:rsidRPr="00050693" w:rsidRDefault="00D87630" w:rsidP="00050693">
      <w:pPr>
        <w:pStyle w:val="NoSpacing"/>
        <w:numPr>
          <w:ilvl w:val="0"/>
          <w:numId w:val="1"/>
        </w:numPr>
        <w:ind w:left="0" w:firstLine="0"/>
        <w:rPr>
          <w:lang w:val="fr-FR"/>
        </w:rPr>
      </w:pPr>
      <w:r w:rsidRPr="00050693">
        <w:rPr>
          <w:szCs w:val="22"/>
          <w:lang w:val="fr-FR"/>
        </w:rPr>
        <w:t xml:space="preserve">La mission souhaite </w:t>
      </w:r>
      <w:r w:rsidR="00ED0B8D" w:rsidRPr="00050693">
        <w:rPr>
          <w:szCs w:val="22"/>
          <w:lang w:val="fr-FR"/>
        </w:rPr>
        <w:t xml:space="preserve">vivement </w:t>
      </w:r>
      <w:r w:rsidRPr="00050693">
        <w:rPr>
          <w:szCs w:val="22"/>
          <w:lang w:val="fr-FR"/>
        </w:rPr>
        <w:t>remercier l’ensemble</w:t>
      </w:r>
      <w:r w:rsidR="004629B8" w:rsidRPr="00050693">
        <w:rPr>
          <w:szCs w:val="22"/>
          <w:lang w:val="fr-FR"/>
        </w:rPr>
        <w:t xml:space="preserve"> des personnes rencontrées</w:t>
      </w:r>
      <w:r w:rsidR="00B800A4">
        <w:rPr>
          <w:szCs w:val="22"/>
          <w:lang w:val="fr-FR"/>
        </w:rPr>
        <w:t>, notamment tous les Points Focaux et le personnel des Nations Unies,</w:t>
      </w:r>
      <w:r w:rsidR="00B800A4" w:rsidRPr="00050693">
        <w:rPr>
          <w:szCs w:val="22"/>
          <w:lang w:val="fr-FR"/>
        </w:rPr>
        <w:t xml:space="preserve"> </w:t>
      </w:r>
      <w:r w:rsidR="004629B8" w:rsidRPr="00050693">
        <w:rPr>
          <w:szCs w:val="22"/>
          <w:lang w:val="fr-FR"/>
        </w:rPr>
        <w:t>pour leur disponibilité</w:t>
      </w:r>
      <w:r w:rsidR="00B800A4">
        <w:rPr>
          <w:szCs w:val="22"/>
          <w:lang w:val="fr-FR"/>
        </w:rPr>
        <w:t xml:space="preserve"> </w:t>
      </w:r>
      <w:r w:rsidR="004629B8" w:rsidRPr="00050693">
        <w:rPr>
          <w:szCs w:val="22"/>
          <w:lang w:val="fr-FR"/>
        </w:rPr>
        <w:t>et pour la qualité des échanges, avec un remerciement tout particulier aux membres de l</w:t>
      </w:r>
      <w:r w:rsidRPr="00050693">
        <w:rPr>
          <w:szCs w:val="22"/>
          <w:lang w:val="fr-FR"/>
        </w:rPr>
        <w:t xml:space="preserve">’équipe de </w:t>
      </w:r>
      <w:r w:rsidR="00050693">
        <w:rPr>
          <w:szCs w:val="22"/>
          <w:lang w:val="fr-FR"/>
        </w:rPr>
        <w:t>l’EP</w:t>
      </w:r>
      <w:r w:rsidRPr="00050693">
        <w:rPr>
          <w:szCs w:val="22"/>
          <w:lang w:val="fr-FR"/>
        </w:rPr>
        <w:t xml:space="preserve"> pour la qualité de l’</w:t>
      </w:r>
      <w:r w:rsidR="00B800A4">
        <w:rPr>
          <w:szCs w:val="22"/>
          <w:lang w:val="fr-FR"/>
        </w:rPr>
        <w:t xml:space="preserve">organisation de la mission </w:t>
      </w:r>
      <w:r w:rsidR="0013473B">
        <w:rPr>
          <w:szCs w:val="22"/>
          <w:lang w:val="fr-FR"/>
        </w:rPr>
        <w:t>ainsi qu’</w:t>
      </w:r>
      <w:r w:rsidR="00B800A4">
        <w:rPr>
          <w:szCs w:val="22"/>
          <w:lang w:val="fr-FR"/>
        </w:rPr>
        <w:t>aux acteurs locaux du programme dans la ville de Tamanrasset pour la chaleur de leur accueil.</w:t>
      </w:r>
    </w:p>
    <w:p w:rsidR="005F21A0" w:rsidRPr="0031650C" w:rsidRDefault="005F21A0" w:rsidP="001A50B4">
      <w:pPr>
        <w:pStyle w:val="NoSpacing"/>
        <w:rPr>
          <w:color w:val="FF0000"/>
          <w:lang w:val="fr-FR"/>
        </w:rPr>
      </w:pPr>
    </w:p>
    <w:p w:rsidR="002E6247" w:rsidRPr="0013473B" w:rsidRDefault="002E6247" w:rsidP="00F31694">
      <w:pPr>
        <w:pStyle w:val="UNDPTitle1"/>
        <w:outlineLvl w:val="1"/>
        <w:rPr>
          <w:color w:val="auto"/>
        </w:rPr>
      </w:pPr>
      <w:bookmarkStart w:id="4" w:name="_Toc322341997"/>
      <w:r w:rsidRPr="0013473B">
        <w:rPr>
          <w:color w:val="auto"/>
        </w:rPr>
        <w:t>Le contexte de l’évaluation</w:t>
      </w:r>
      <w:bookmarkEnd w:id="4"/>
    </w:p>
    <w:p w:rsidR="00A9788F" w:rsidRPr="0013473B" w:rsidRDefault="00A9788F" w:rsidP="0038607C">
      <w:pPr>
        <w:pStyle w:val="UNDPTitle1"/>
        <w:numPr>
          <w:ilvl w:val="1"/>
          <w:numId w:val="3"/>
        </w:numPr>
        <w:outlineLvl w:val="2"/>
        <w:rPr>
          <w:color w:val="auto"/>
        </w:rPr>
      </w:pPr>
      <w:bookmarkStart w:id="5" w:name="_Toc322341998"/>
      <w:r w:rsidRPr="0013473B">
        <w:rPr>
          <w:color w:val="auto"/>
        </w:rPr>
        <w:t>Le contexte général du pays</w:t>
      </w:r>
      <w:bookmarkEnd w:id="5"/>
      <w:r w:rsidR="0013473B" w:rsidRPr="0013473B">
        <w:rPr>
          <w:color w:val="auto"/>
        </w:rPr>
        <w:t xml:space="preserve">  </w:t>
      </w:r>
      <w:r w:rsidR="0013473B">
        <w:rPr>
          <w:color w:val="auto"/>
        </w:rPr>
        <w:t xml:space="preserve"> </w:t>
      </w:r>
    </w:p>
    <w:p w:rsidR="0031650C" w:rsidRPr="0031650C" w:rsidRDefault="0031650C" w:rsidP="0031650C">
      <w:pPr>
        <w:numPr>
          <w:ilvl w:val="0"/>
          <w:numId w:val="1"/>
        </w:numPr>
        <w:spacing w:before="120" w:after="120"/>
        <w:ind w:left="0" w:firstLine="0"/>
        <w:jc w:val="both"/>
        <w:rPr>
          <w:rFonts w:ascii="Calibri" w:hAnsi="Calibri"/>
          <w:sz w:val="22"/>
          <w:lang w:val="fr-FR"/>
        </w:rPr>
      </w:pPr>
      <w:r w:rsidRPr="0031650C">
        <w:rPr>
          <w:rFonts w:ascii="Calibri" w:hAnsi="Calibri"/>
          <w:b/>
          <w:sz w:val="22"/>
          <w:lang w:val="fr-FR"/>
        </w:rPr>
        <w:t>Données physiques.</w:t>
      </w:r>
      <w:r w:rsidRPr="0031650C">
        <w:rPr>
          <w:rFonts w:ascii="Calibri" w:hAnsi="Calibri"/>
          <w:sz w:val="22"/>
          <w:lang w:val="fr-FR"/>
        </w:rPr>
        <w:t xml:space="preserve"> D'une superficie de 2.381.741 km², l’Algérie est le plus grand pays d'</w:t>
      </w:r>
      <w:hyperlink r:id="rId12" w:tooltip="Afrique" w:history="1">
        <w:r w:rsidRPr="0031650C">
          <w:rPr>
            <w:rFonts w:ascii="Calibri" w:hAnsi="Calibri"/>
            <w:sz w:val="22"/>
            <w:lang w:val="fr-FR"/>
          </w:rPr>
          <w:t>Afrique</w:t>
        </w:r>
      </w:hyperlink>
      <w:r w:rsidRPr="0031650C">
        <w:rPr>
          <w:rFonts w:ascii="Calibri" w:hAnsi="Calibri"/>
          <w:sz w:val="22"/>
          <w:vertAlign w:val="superscript"/>
          <w:lang w:val="fr-FR"/>
        </w:rPr>
        <w:footnoteReference w:id="4"/>
      </w:r>
      <w:r w:rsidR="007D3AD8">
        <w:rPr>
          <w:rFonts w:ascii="Calibri" w:hAnsi="Calibri"/>
          <w:sz w:val="22"/>
          <w:lang w:val="fr-FR"/>
        </w:rPr>
        <w:t xml:space="preserve"> </w:t>
      </w:r>
      <w:r w:rsidRPr="0031650C">
        <w:rPr>
          <w:rFonts w:ascii="Calibri" w:hAnsi="Calibri"/>
          <w:sz w:val="22"/>
          <w:lang w:val="fr-FR"/>
        </w:rPr>
        <w:t xml:space="preserve">et du bassin méditerranéen. Sa capitale </w:t>
      </w:r>
      <w:hyperlink r:id="rId13" w:tooltip="Alger" w:history="1">
        <w:r w:rsidRPr="0031650C">
          <w:rPr>
            <w:rFonts w:ascii="Calibri" w:hAnsi="Calibri"/>
            <w:sz w:val="22"/>
            <w:lang w:val="fr-FR"/>
          </w:rPr>
          <w:t>Alger</w:t>
        </w:r>
      </w:hyperlink>
      <w:r w:rsidRPr="0031650C">
        <w:rPr>
          <w:rFonts w:ascii="Calibri" w:hAnsi="Calibri"/>
          <w:sz w:val="22"/>
          <w:lang w:val="fr-FR"/>
        </w:rPr>
        <w:t xml:space="preserve"> est située au nord, sur la côte </w:t>
      </w:r>
      <w:hyperlink r:id="rId14" w:tooltip="Méditerranéenne" w:history="1">
        <w:r w:rsidRPr="0031650C">
          <w:rPr>
            <w:rFonts w:ascii="Calibri" w:hAnsi="Calibri"/>
            <w:sz w:val="22"/>
            <w:lang w:val="fr-FR"/>
          </w:rPr>
          <w:t>méditerranéenne</w:t>
        </w:r>
      </w:hyperlink>
      <w:r w:rsidRPr="0031650C">
        <w:rPr>
          <w:rFonts w:ascii="Calibri" w:hAnsi="Calibri"/>
          <w:sz w:val="22"/>
          <w:lang w:val="fr-FR"/>
        </w:rPr>
        <w:t>. Le pays partage au total plus de 6.385 km de frontières terrestres</w:t>
      </w:r>
      <w:hyperlink r:id="rId15" w:anchor="cite_note-10" w:history="1"/>
      <w:r w:rsidRPr="0031650C">
        <w:rPr>
          <w:rFonts w:ascii="Calibri" w:hAnsi="Calibri"/>
          <w:sz w:val="22"/>
          <w:lang w:val="fr-FR"/>
        </w:rPr>
        <w:t xml:space="preserve">, avec notamment </w:t>
      </w:r>
      <w:r w:rsidRPr="0031650C">
        <w:rPr>
          <w:rFonts w:ascii="Calibri" w:hAnsi="Calibri"/>
          <w:sz w:val="22"/>
          <w:lang w:val="fr-FR"/>
        </w:rPr>
        <w:lastRenderedPageBreak/>
        <w:t xml:space="preserve">la </w:t>
      </w:r>
      <w:hyperlink r:id="rId16" w:tooltip="Tunisie" w:history="1">
        <w:r w:rsidRPr="0031650C">
          <w:rPr>
            <w:rFonts w:ascii="Calibri" w:hAnsi="Calibri"/>
            <w:sz w:val="22"/>
            <w:lang w:val="fr-FR"/>
          </w:rPr>
          <w:t>Tunisie</w:t>
        </w:r>
      </w:hyperlink>
      <w:r w:rsidRPr="0031650C">
        <w:rPr>
          <w:rFonts w:ascii="Calibri" w:hAnsi="Calibri"/>
          <w:sz w:val="22"/>
          <w:lang w:val="fr-FR"/>
        </w:rPr>
        <w:t xml:space="preserve"> au nord-est, la </w:t>
      </w:r>
      <w:hyperlink r:id="rId17" w:tooltip="Libye" w:history="1">
        <w:r w:rsidRPr="0031650C">
          <w:rPr>
            <w:rFonts w:ascii="Calibri" w:hAnsi="Calibri"/>
            <w:sz w:val="22"/>
            <w:lang w:val="fr-FR"/>
          </w:rPr>
          <w:t>Libye</w:t>
        </w:r>
      </w:hyperlink>
      <w:r w:rsidRPr="0031650C">
        <w:rPr>
          <w:rFonts w:ascii="Calibri" w:hAnsi="Calibri"/>
          <w:sz w:val="22"/>
          <w:lang w:val="fr-FR"/>
        </w:rPr>
        <w:t xml:space="preserve"> à l'est, le </w:t>
      </w:r>
      <w:hyperlink r:id="rId18" w:tooltip="Niger" w:history="1">
        <w:r w:rsidRPr="0031650C">
          <w:rPr>
            <w:rFonts w:ascii="Calibri" w:hAnsi="Calibri"/>
            <w:sz w:val="22"/>
            <w:lang w:val="fr-FR"/>
          </w:rPr>
          <w:t>Niger</w:t>
        </w:r>
      </w:hyperlink>
      <w:r w:rsidRPr="0031650C">
        <w:rPr>
          <w:rFonts w:ascii="Calibri" w:hAnsi="Calibri"/>
          <w:sz w:val="22"/>
          <w:lang w:val="fr-FR"/>
        </w:rPr>
        <w:t xml:space="preserve"> et le </w:t>
      </w:r>
      <w:hyperlink r:id="rId19" w:tooltip="Mali" w:history="1">
        <w:r w:rsidRPr="0031650C">
          <w:rPr>
            <w:rFonts w:ascii="Calibri" w:hAnsi="Calibri"/>
            <w:sz w:val="22"/>
            <w:lang w:val="fr-FR"/>
          </w:rPr>
          <w:t>Mali</w:t>
        </w:r>
      </w:hyperlink>
      <w:r w:rsidRPr="0031650C">
        <w:rPr>
          <w:rFonts w:ascii="Calibri" w:hAnsi="Calibri"/>
          <w:sz w:val="22"/>
          <w:lang w:val="fr-FR"/>
        </w:rPr>
        <w:t xml:space="preserve"> au sud, la </w:t>
      </w:r>
      <w:hyperlink r:id="rId20" w:tooltip="Mauritanie" w:history="1">
        <w:r w:rsidRPr="0031650C">
          <w:rPr>
            <w:rFonts w:ascii="Calibri" w:hAnsi="Calibri"/>
            <w:sz w:val="22"/>
            <w:lang w:val="fr-FR"/>
          </w:rPr>
          <w:t>Mauritanie</w:t>
        </w:r>
      </w:hyperlink>
      <w:r w:rsidRPr="0031650C">
        <w:rPr>
          <w:rFonts w:ascii="Calibri" w:hAnsi="Calibri"/>
          <w:sz w:val="22"/>
          <w:lang w:val="fr-FR"/>
        </w:rPr>
        <w:t xml:space="preserve"> et le territoire non autonome du </w:t>
      </w:r>
      <w:hyperlink r:id="rId21" w:tooltip="Sahara occidental" w:history="1">
        <w:r w:rsidRPr="0031650C">
          <w:rPr>
            <w:rFonts w:ascii="Calibri" w:hAnsi="Calibri"/>
            <w:sz w:val="22"/>
            <w:lang w:val="fr-FR"/>
          </w:rPr>
          <w:t>Sahara occidental</w:t>
        </w:r>
      </w:hyperlink>
      <w:r w:rsidRPr="0031650C">
        <w:rPr>
          <w:rFonts w:ascii="Calibri" w:hAnsi="Calibri"/>
          <w:sz w:val="22"/>
          <w:lang w:val="fr-FR"/>
        </w:rPr>
        <w:t xml:space="preserve"> au sud-ouest, et enfin le </w:t>
      </w:r>
      <w:hyperlink r:id="rId22" w:tooltip="Maroc" w:history="1">
        <w:r w:rsidRPr="0031650C">
          <w:rPr>
            <w:rFonts w:ascii="Calibri" w:hAnsi="Calibri"/>
            <w:sz w:val="22"/>
            <w:lang w:val="fr-FR"/>
          </w:rPr>
          <w:t>Maroc</w:t>
        </w:r>
      </w:hyperlink>
      <w:r w:rsidRPr="0031650C">
        <w:rPr>
          <w:rFonts w:ascii="Calibri" w:hAnsi="Calibri"/>
          <w:sz w:val="22"/>
          <w:lang w:val="fr-FR"/>
        </w:rPr>
        <w:t xml:space="preserve"> à l’ouest. </w:t>
      </w:r>
    </w:p>
    <w:p w:rsidR="0031650C" w:rsidRPr="0031650C" w:rsidRDefault="0031650C" w:rsidP="0031650C">
      <w:pPr>
        <w:numPr>
          <w:ilvl w:val="0"/>
          <w:numId w:val="1"/>
        </w:numPr>
        <w:spacing w:before="120" w:after="120"/>
        <w:ind w:left="0" w:firstLine="0"/>
        <w:jc w:val="both"/>
        <w:rPr>
          <w:rFonts w:ascii="Calibri" w:hAnsi="Calibri"/>
          <w:sz w:val="22"/>
          <w:lang w:val="fr-FR"/>
        </w:rPr>
      </w:pPr>
      <w:r w:rsidRPr="0031650C">
        <w:rPr>
          <w:rFonts w:ascii="Calibri" w:hAnsi="Calibri"/>
          <w:sz w:val="22"/>
          <w:lang w:val="fr-FR"/>
        </w:rPr>
        <w:t xml:space="preserve">Au nord du pays, </w:t>
      </w:r>
      <w:r w:rsidRPr="0031650C">
        <w:rPr>
          <w:rFonts w:ascii="Calibri" w:hAnsi="Calibri"/>
          <w:i/>
          <w:sz w:val="22"/>
          <w:lang w:val="fr-FR"/>
        </w:rPr>
        <w:t>l’Atlas tellien</w:t>
      </w:r>
      <w:r w:rsidRPr="0031650C">
        <w:rPr>
          <w:rFonts w:ascii="Calibri" w:hAnsi="Calibri"/>
          <w:sz w:val="22"/>
          <w:lang w:val="fr-FR"/>
        </w:rPr>
        <w:t xml:space="preserve"> forme avec </w:t>
      </w:r>
      <w:r w:rsidRPr="0031650C">
        <w:rPr>
          <w:rFonts w:ascii="Calibri" w:hAnsi="Calibri"/>
          <w:i/>
          <w:sz w:val="22"/>
          <w:lang w:val="fr-FR"/>
        </w:rPr>
        <w:t>l’Atlas saharien</w:t>
      </w:r>
      <w:r w:rsidRPr="0031650C">
        <w:rPr>
          <w:rFonts w:ascii="Calibri" w:hAnsi="Calibri"/>
          <w:sz w:val="22"/>
          <w:lang w:val="fr-FR"/>
        </w:rPr>
        <w:t>, plus au sud, deux ensembles de reliefs parallèles entre lesquels s’intercalent de vastes plaines et hauts plateaux semi-arides. La partie saharienne, qui couvre 80% du pays est principalement constituée de regs, d’ergs, d’oasis et de massifs montagneux. Le climat est méditerranéen au nord et désertique dans le sud. Une importante activité sismique se trouve localisée dans les zones côtières algériennes et la mer Méditerranée et le pays est prône aux tremblements de terre.</w:t>
      </w:r>
    </w:p>
    <w:p w:rsidR="0031650C" w:rsidRPr="0031650C" w:rsidRDefault="0031650C" w:rsidP="000C666A">
      <w:pPr>
        <w:pStyle w:val="NoSpacing"/>
        <w:numPr>
          <w:ilvl w:val="0"/>
          <w:numId w:val="1"/>
        </w:numPr>
        <w:ind w:left="0" w:firstLine="0"/>
        <w:rPr>
          <w:lang w:val="fr-FR"/>
        </w:rPr>
      </w:pPr>
      <w:r w:rsidRPr="0031650C">
        <w:rPr>
          <w:b/>
          <w:lang w:val="fr-FR"/>
        </w:rPr>
        <w:t>Organisation administrative et politique</w:t>
      </w:r>
      <w:r w:rsidRPr="0031650C">
        <w:rPr>
          <w:lang w:val="fr-FR"/>
        </w:rPr>
        <w:t xml:space="preserve">. Après cent trente-deux ans de </w:t>
      </w:r>
      <w:hyperlink r:id="rId23" w:tooltip="Empire colonial français" w:history="1">
        <w:r w:rsidRPr="0031650C">
          <w:rPr>
            <w:lang w:val="fr-FR"/>
          </w:rPr>
          <w:t>colonisation française</w:t>
        </w:r>
      </w:hyperlink>
      <w:r w:rsidRPr="0031650C">
        <w:rPr>
          <w:lang w:val="fr-FR"/>
        </w:rPr>
        <w:t xml:space="preserve">, l'Algérie obtient son indépendance en 1962 à l'issue d'une guerre longue et coûteuse et d’un  référendum d'autodétermination. L’Algérie est une république démocratique, avec à sa tête un président de la République élu au suffrage universel direct tous les cinq ans et tout à la fois Chef de l’exécutif, Chef suprême des forces armées et ministre de la Défense. Le pouvoir législatif est exercé par l’Assemblée populaire nationale (la Chambre basse composée actuellement de 389 membres élus au suffrage universel direct) et le Conseil de la Nation (la Chambre haute, actuellement composée de 144 membres dont le tiers est désigné par le Président de la République). </w:t>
      </w:r>
    </w:p>
    <w:p w:rsidR="0031650C" w:rsidRPr="0031650C" w:rsidRDefault="0031650C" w:rsidP="000C666A">
      <w:pPr>
        <w:pStyle w:val="NoSpacing"/>
        <w:numPr>
          <w:ilvl w:val="0"/>
          <w:numId w:val="1"/>
        </w:numPr>
        <w:ind w:left="0" w:firstLine="0"/>
        <w:rPr>
          <w:lang w:val="fr-FR"/>
        </w:rPr>
      </w:pPr>
      <w:r w:rsidRPr="0031650C">
        <w:rPr>
          <w:lang w:val="fr-FR"/>
        </w:rPr>
        <w:t xml:space="preserve">Sur le plan administratif, l’Algérie est divisée en 48 </w:t>
      </w:r>
      <w:r w:rsidRPr="0031650C">
        <w:rPr>
          <w:i/>
          <w:lang w:val="fr-FR"/>
        </w:rPr>
        <w:t>wilayas</w:t>
      </w:r>
      <w:r w:rsidRPr="0031650C">
        <w:rPr>
          <w:lang w:val="fr-FR"/>
        </w:rPr>
        <w:t xml:space="preserve">, sortes de préfectures dotées d’une assemblée élue, l’Assemblée populaire de wilaya, laquelle placée sous l’autorité d’un </w:t>
      </w:r>
      <w:r w:rsidRPr="0031650C">
        <w:rPr>
          <w:i/>
          <w:lang w:val="fr-FR"/>
        </w:rPr>
        <w:t>wali</w:t>
      </w:r>
      <w:r w:rsidRPr="0031650C">
        <w:rPr>
          <w:lang w:val="fr-FR"/>
        </w:rPr>
        <w:t xml:space="preserve"> (préfet) nommé par le Président de la République. Les</w:t>
      </w:r>
      <w:r w:rsidRPr="0031650C">
        <w:rPr>
          <w:i/>
          <w:lang w:val="fr-FR"/>
        </w:rPr>
        <w:t xml:space="preserve"> wilayas</w:t>
      </w:r>
      <w:r w:rsidRPr="0031650C">
        <w:rPr>
          <w:lang w:val="fr-FR"/>
        </w:rPr>
        <w:t xml:space="preserve"> sont divisées en </w:t>
      </w:r>
      <w:r w:rsidRPr="0031650C">
        <w:rPr>
          <w:i/>
          <w:lang w:val="fr-FR"/>
        </w:rPr>
        <w:t>daïras</w:t>
      </w:r>
      <w:r w:rsidRPr="0031650C">
        <w:rPr>
          <w:lang w:val="fr-FR"/>
        </w:rPr>
        <w:t xml:space="preserve">, lesquelles sont divisées à leur tour en 1.541 communes. Chaque commune possède sa propre instance délibérante, l’Assemblée populaire communale (APC) qui élit elle-même son président, lequel fait office de maire. Chaque </w:t>
      </w:r>
      <w:r w:rsidRPr="0031650C">
        <w:rPr>
          <w:i/>
          <w:lang w:val="fr-FR"/>
        </w:rPr>
        <w:t xml:space="preserve">wilaya </w:t>
      </w:r>
      <w:r w:rsidRPr="0031650C">
        <w:rPr>
          <w:lang w:val="fr-FR"/>
        </w:rPr>
        <w:t>et</w:t>
      </w:r>
      <w:r w:rsidRPr="0031650C">
        <w:rPr>
          <w:i/>
          <w:lang w:val="fr-FR"/>
        </w:rPr>
        <w:t xml:space="preserve"> daïra</w:t>
      </w:r>
      <w:r w:rsidRPr="0031650C">
        <w:rPr>
          <w:lang w:val="fr-FR"/>
        </w:rPr>
        <w:t xml:space="preserve"> portent le nom de leur chef-lieu et ont un budget indépendant collecté par l’impôt local.</w:t>
      </w:r>
    </w:p>
    <w:p w:rsidR="0031650C" w:rsidRPr="0031650C" w:rsidRDefault="0031650C" w:rsidP="0031650C">
      <w:pPr>
        <w:numPr>
          <w:ilvl w:val="0"/>
          <w:numId w:val="1"/>
        </w:numPr>
        <w:spacing w:before="120" w:after="120"/>
        <w:ind w:left="0" w:firstLine="0"/>
        <w:jc w:val="both"/>
        <w:rPr>
          <w:rFonts w:ascii="Calibri" w:hAnsi="Calibri"/>
          <w:sz w:val="22"/>
          <w:lang w:val="fr-FR"/>
        </w:rPr>
      </w:pPr>
      <w:r w:rsidRPr="0031650C">
        <w:rPr>
          <w:rFonts w:ascii="Calibri" w:hAnsi="Calibri"/>
          <w:b/>
          <w:sz w:val="22"/>
          <w:lang w:val="fr-FR"/>
        </w:rPr>
        <w:t>Population.</w:t>
      </w:r>
      <w:r w:rsidRPr="0031650C">
        <w:rPr>
          <w:rFonts w:ascii="Calibri" w:hAnsi="Calibri"/>
          <w:sz w:val="22"/>
          <w:lang w:val="fr-FR"/>
        </w:rPr>
        <w:t xml:space="preserve"> L’Algérie comptait en 2007 environ 33.8 millions d’habitants, dont près de la moitié a moins de 19 ans. Avec un taux de croissance annuel de 1.21%, contre 74% dans le années 1970, le pays a connu une baisse sensible de son taux de natalité au cours des dernières décennies, et ce notamment grâce au recul de l’âge du mariage et à l’amélioration du niveau d’instruction des filles. Environ 90% des Algériens vivent sur un peu plus de 10% du territoire, le long des côtes méditerranéennes, zone qui abrite la plupart de la trentaine d’agglomération urbaines de plus de 100.000 habitants que compte le pays. Malgré les efforts du gouvernement pour freiner la migration vers les villes, le taux d’urbanisation du pays avoisine les 60% et continue d’augmenter. La plus grande ville est Alger, mégapole de plus de 6 millions d’habitants, soit plus du dixième de la population. </w:t>
      </w:r>
    </w:p>
    <w:p w:rsidR="0031650C" w:rsidRPr="0031650C" w:rsidRDefault="0031650C" w:rsidP="0031650C">
      <w:pPr>
        <w:numPr>
          <w:ilvl w:val="0"/>
          <w:numId w:val="1"/>
        </w:numPr>
        <w:spacing w:before="120" w:after="120"/>
        <w:ind w:left="0" w:firstLine="0"/>
        <w:jc w:val="both"/>
        <w:rPr>
          <w:rFonts w:ascii="Calibri" w:hAnsi="Calibri"/>
          <w:sz w:val="22"/>
          <w:lang w:val="fr-FR"/>
        </w:rPr>
      </w:pPr>
      <w:r w:rsidRPr="0031650C">
        <w:rPr>
          <w:rFonts w:ascii="Calibri" w:hAnsi="Calibri"/>
          <w:b/>
          <w:sz w:val="22"/>
          <w:lang w:val="fr-FR"/>
        </w:rPr>
        <w:t>Performance économique</w:t>
      </w:r>
      <w:r w:rsidRPr="0031650C">
        <w:rPr>
          <w:rFonts w:ascii="Calibri" w:hAnsi="Calibri"/>
          <w:sz w:val="22"/>
          <w:lang w:val="fr-FR"/>
        </w:rPr>
        <w:t>. Sur le plan économique, le gouvernement algérien a opté depuis 1962 pour une économie planifiée fortement centralisée. La politique de nationalisation, puis l’effort considérable d’industrialisation de l’ère post-indépendance, ont cependant été contrecarrés par le choc pétrolier de 1986, forçant l’Etat à avoir recours, en 1998 et sous la houlette du FMI, à une politique d’ajustements structurels et à engager une transition vers une économie de marché.</w:t>
      </w:r>
    </w:p>
    <w:p w:rsidR="0031650C" w:rsidRPr="0031650C" w:rsidRDefault="0031650C" w:rsidP="000C666A">
      <w:pPr>
        <w:pStyle w:val="NoSpacing"/>
        <w:numPr>
          <w:ilvl w:val="0"/>
          <w:numId w:val="1"/>
        </w:numPr>
        <w:ind w:left="0" w:firstLine="0"/>
        <w:rPr>
          <w:lang w:val="fr-FR"/>
        </w:rPr>
      </w:pPr>
      <w:r w:rsidRPr="0031650C">
        <w:rPr>
          <w:lang w:val="fr-FR"/>
        </w:rPr>
        <w:t>Depuis 1999, le pays bénéficie d’une croissance économique soutenue qui a permis une réduction du chômage (17.7% en 2004 contre 29% en 2000) et une amélioration du niveau de vie général de la population. Le pays est un important producteur et exportateur de gaz naturel</w:t>
      </w:r>
      <w:r w:rsidRPr="0031650C">
        <w:rPr>
          <w:vertAlign w:val="superscript"/>
          <w:lang w:val="fr-FR"/>
        </w:rPr>
        <w:footnoteReference w:id="5"/>
      </w:r>
      <w:r w:rsidRPr="0031650C">
        <w:rPr>
          <w:lang w:val="fr-FR"/>
        </w:rPr>
        <w:t xml:space="preserve"> et de pétrole</w:t>
      </w:r>
      <w:r w:rsidRPr="0031650C">
        <w:rPr>
          <w:vertAlign w:val="superscript"/>
          <w:lang w:val="fr-FR"/>
        </w:rPr>
        <w:footnoteReference w:id="6"/>
      </w:r>
      <w:r w:rsidRPr="0031650C">
        <w:rPr>
          <w:lang w:val="fr-FR"/>
        </w:rPr>
        <w:t xml:space="preserve">, exploités par la société nationale Sonatrach, le secteur des hydrocarbures représentant 95% des revenus extérieurs de la nation et contribuant à environ 30% du PIB. L’Algérie dispose en outre de réserves importantes de fer, d’or, d’uranium et de zinc. Afin de réduire sa dépendance à l’égard du secteur des hydrocarbures qui expose le pays aux aléas du prix du pétrole, l’Algérie a commencé à diversifier son économie en réformant son système agraire et en modernisant son industrie lourde. </w:t>
      </w:r>
      <w:r w:rsidRPr="0031650C">
        <w:rPr>
          <w:lang w:val="fr-FR"/>
        </w:rPr>
        <w:lastRenderedPageBreak/>
        <w:t xml:space="preserve">Fait notable, grâce à une prudente gestion et à des recettes pétrolières inespérées au cours des dernières années, le pays a quasiment remboursé sa dette extérieure, laquelle s’élevait en 2007 à seulement 880 millions de dollars US contre encore 4.7 milliards en 2006. </w:t>
      </w:r>
    </w:p>
    <w:p w:rsidR="0031650C" w:rsidRPr="0031650C" w:rsidRDefault="0031650C" w:rsidP="0031650C">
      <w:pPr>
        <w:numPr>
          <w:ilvl w:val="0"/>
          <w:numId w:val="1"/>
        </w:numPr>
        <w:spacing w:before="120" w:after="120"/>
        <w:ind w:left="0" w:firstLine="0"/>
        <w:jc w:val="both"/>
        <w:rPr>
          <w:rFonts w:ascii="Calibri" w:hAnsi="Calibri"/>
          <w:sz w:val="22"/>
          <w:lang w:val="fr-FR"/>
        </w:rPr>
      </w:pPr>
      <w:r w:rsidRPr="0031650C">
        <w:rPr>
          <w:rFonts w:ascii="Calibri" w:hAnsi="Calibri"/>
          <w:sz w:val="22"/>
          <w:lang w:val="fr-FR"/>
        </w:rPr>
        <w:t>Aujourd’hui, le secteur industriel compte pour environ 57% de la formation du PIB, suivi par le secteur des services (30%) et l’agriculture (environ 10%). Le développement du secteur privé est encore limité, hormis dans l’agriculture, et l’économie est encore dominée par les entreprises publiques.  La population active, estimée à environ 10 millions de personnes, est employée à 32% par le gouvernement, alors que le secteur du commerce absorbe 14% de la main d’œuvre, suivi par le secteur agricole (14%), l’industrie (13%), et  la construction (10%).</w:t>
      </w:r>
    </w:p>
    <w:p w:rsidR="0031650C" w:rsidRPr="0031650C" w:rsidRDefault="0031650C" w:rsidP="0031650C">
      <w:pPr>
        <w:numPr>
          <w:ilvl w:val="0"/>
          <w:numId w:val="1"/>
        </w:numPr>
        <w:spacing w:before="120" w:after="120"/>
        <w:ind w:left="0" w:firstLine="0"/>
        <w:jc w:val="both"/>
        <w:rPr>
          <w:rFonts w:ascii="Calibri" w:hAnsi="Calibri"/>
          <w:sz w:val="22"/>
          <w:lang w:val="fr-FR"/>
        </w:rPr>
      </w:pPr>
      <w:r w:rsidRPr="0031650C">
        <w:rPr>
          <w:rFonts w:ascii="Calibri" w:hAnsi="Calibri"/>
          <w:b/>
          <w:sz w:val="22"/>
          <w:lang w:val="fr-FR"/>
        </w:rPr>
        <w:t>Le développement humain</w:t>
      </w:r>
      <w:r w:rsidRPr="0031650C">
        <w:rPr>
          <w:rFonts w:ascii="Calibri" w:hAnsi="Calibri"/>
          <w:sz w:val="22"/>
          <w:lang w:val="fr-FR"/>
        </w:rPr>
        <w:t>. En l’absence, apparemment, de données plus récentes, les données sur la pauvreté datent de 2005/2006. De source gouvernementale</w:t>
      </w:r>
      <w:r w:rsidRPr="0031650C">
        <w:rPr>
          <w:rFonts w:ascii="Calibri" w:hAnsi="Calibri"/>
          <w:sz w:val="22"/>
          <w:vertAlign w:val="superscript"/>
          <w:lang w:val="fr-FR"/>
        </w:rPr>
        <w:footnoteReference w:id="7"/>
      </w:r>
      <w:r w:rsidRPr="0031650C">
        <w:rPr>
          <w:rFonts w:ascii="Calibri" w:hAnsi="Calibri"/>
          <w:sz w:val="22"/>
          <w:lang w:val="fr-FR"/>
        </w:rPr>
        <w:t>, la proportion de la population vivant en deçà du seuil de 1 dollar par personne et par jour, en parité de pouvoir d’achat, est passée de 1,9% en 1988 à moins de 0,6% en 2005 (pour remonter à 0,8% en 2000, selon d’autres sources</w:t>
      </w:r>
      <w:r w:rsidRPr="0031650C">
        <w:rPr>
          <w:rFonts w:ascii="Calibri" w:hAnsi="Calibri"/>
          <w:sz w:val="22"/>
          <w:vertAlign w:val="superscript"/>
          <w:lang w:val="fr-FR"/>
        </w:rPr>
        <w:footnoteReference w:id="8"/>
      </w:r>
      <w:r w:rsidRPr="0031650C">
        <w:rPr>
          <w:rFonts w:ascii="Calibri" w:hAnsi="Calibri"/>
          <w:sz w:val="22"/>
          <w:lang w:val="fr-FR"/>
        </w:rPr>
        <w:t xml:space="preserve">), soit une réduction de plus deux tiers et le phénomène d’extrême pauvreté serait quant à lui aujourd’hui marginal. De ce fait, le premier OMD serait déjà atteint. </w:t>
      </w:r>
    </w:p>
    <w:p w:rsidR="0031650C" w:rsidRPr="0031650C" w:rsidRDefault="0031650C" w:rsidP="0031650C">
      <w:pPr>
        <w:numPr>
          <w:ilvl w:val="0"/>
          <w:numId w:val="1"/>
        </w:numPr>
        <w:spacing w:before="120" w:after="120"/>
        <w:ind w:left="0" w:firstLine="0"/>
        <w:jc w:val="both"/>
        <w:rPr>
          <w:rFonts w:ascii="Calibri" w:hAnsi="Calibri"/>
          <w:sz w:val="22"/>
          <w:lang w:val="fr-FR"/>
        </w:rPr>
      </w:pPr>
      <w:r w:rsidRPr="0031650C">
        <w:rPr>
          <w:rFonts w:ascii="Calibri" w:hAnsi="Calibri"/>
          <w:sz w:val="22"/>
          <w:lang w:val="fr-FR"/>
        </w:rPr>
        <w:t>Selon les Nations Unies</w:t>
      </w:r>
      <w:r w:rsidRPr="0031650C">
        <w:rPr>
          <w:rFonts w:ascii="Calibri" w:hAnsi="Calibri"/>
          <w:sz w:val="22"/>
          <w:vertAlign w:val="superscript"/>
          <w:lang w:val="fr-FR"/>
        </w:rPr>
        <w:footnoteReference w:id="9"/>
      </w:r>
      <w:r w:rsidRPr="0031650C">
        <w:rPr>
          <w:rFonts w:ascii="Calibri" w:hAnsi="Calibri"/>
          <w:sz w:val="22"/>
          <w:lang w:val="fr-FR"/>
        </w:rPr>
        <w:t xml:space="preserve">, le seuil de pauvreté alimentaire correspondant à un apport de 2100 calories par personne/jour (équivalent à 1,5 dollar PPA) a évolué de 3,6 % en 1988 à 1,6% en 2004. L'incidence de la pauvreté générale (2 dollars PPA) estimée à 12.1% en 2000 est retombée à 6.8% en 2004, soit à un niveau inférieur à celui de 1988 (8.1%) et de 1995 (14.1%). Les résultats de l'Enquête de consommation de 2000 montraient aussi une tendance à la diminution de l'inégalité relative, l’indice de GINI passant de 0,4036 en 1988 à 0,3690 en 2000 avec une réduction des inégalités plus prononcée en milieu rural. </w:t>
      </w:r>
    </w:p>
    <w:p w:rsidR="0031650C" w:rsidRPr="0031650C" w:rsidRDefault="0031650C" w:rsidP="0031650C">
      <w:pPr>
        <w:numPr>
          <w:ilvl w:val="0"/>
          <w:numId w:val="1"/>
        </w:numPr>
        <w:spacing w:before="120" w:after="120"/>
        <w:ind w:left="0" w:firstLine="0"/>
        <w:jc w:val="both"/>
        <w:rPr>
          <w:rFonts w:ascii="Calibri" w:hAnsi="Calibri"/>
          <w:sz w:val="22"/>
          <w:lang w:val="fr-FR"/>
        </w:rPr>
      </w:pPr>
      <w:r w:rsidRPr="0031650C">
        <w:rPr>
          <w:rFonts w:ascii="Calibri" w:hAnsi="Calibri"/>
          <w:sz w:val="22"/>
          <w:lang w:val="fr-FR"/>
        </w:rPr>
        <w:t>D’autres indicateurs importants témoignent des progrès accomplis dans le domaine de l’éducation et de la santé. Le taux de scolarisation des enfants âgés de six ans est ainsi passé de 43% en 1996 à 93% en 1999, pour atteindre près de 98% en 2009, plaçant le pays au même niveau que certains pays développés. Dans l’enseignement primaire, les filles représentent actuellement 47% des élèves âgés entre 6 et 12 ans. Une même tendance est observée au niveau de l’enseignement moyen (48.7% de filles), alors que dans l’enseignement secondaire, on compte 140 filles pour 100 garçons.  La mortalité infantile, quant à elle, a nettement baissé depuis les années 1970, pour atteindre 46,8 pour mille en 1990 et s’établi</w:t>
      </w:r>
      <w:r w:rsidR="007D3AD8">
        <w:rPr>
          <w:rFonts w:ascii="Calibri" w:hAnsi="Calibri"/>
          <w:sz w:val="22"/>
          <w:lang w:val="fr-FR"/>
        </w:rPr>
        <w:t xml:space="preserve">r </w:t>
      </w:r>
      <w:r w:rsidRPr="0031650C">
        <w:rPr>
          <w:rFonts w:ascii="Calibri" w:hAnsi="Calibri"/>
          <w:sz w:val="22"/>
          <w:lang w:val="fr-FR"/>
        </w:rPr>
        <w:t>à 25.5 pour mille en 2008. S’agissant de l’épidémie VIH-SIDA, l’Algérie fait partie des pays à profil épidémiologique bas, avec une séroprévalence de l’ordre de 0.1%. L’accès à l’eau potable est quasi universel, avec 95% de la population disposant d’une source d’eau protégée. Tous ces acquis ont permis au pays de réduire son Indice de Pauvreté Humaine</w:t>
      </w:r>
      <w:r w:rsidRPr="0031650C">
        <w:rPr>
          <w:rFonts w:ascii="Calibri" w:hAnsi="Calibri"/>
          <w:sz w:val="22"/>
          <w:vertAlign w:val="superscript"/>
          <w:lang w:val="fr-FR"/>
        </w:rPr>
        <w:footnoteReference w:id="10"/>
      </w:r>
      <w:r w:rsidRPr="0031650C">
        <w:rPr>
          <w:rFonts w:ascii="Calibri" w:hAnsi="Calibri"/>
          <w:sz w:val="22"/>
          <w:lang w:val="fr-FR"/>
        </w:rPr>
        <w:t xml:space="preserve"> (de 18.95% à 17.16% entre 2006 et 2008), alors que l’Indice de développement humain a progressé de 0.76 en 2006 à 0.779 en 2008, plaçant le pays à la 96</w:t>
      </w:r>
      <w:r w:rsidRPr="0031650C">
        <w:rPr>
          <w:rFonts w:ascii="Calibri" w:hAnsi="Calibri"/>
          <w:sz w:val="22"/>
          <w:vertAlign w:val="superscript"/>
          <w:lang w:val="fr-FR"/>
        </w:rPr>
        <w:t xml:space="preserve">ème </w:t>
      </w:r>
      <w:r w:rsidRPr="0031650C">
        <w:rPr>
          <w:rFonts w:ascii="Calibri" w:hAnsi="Calibri"/>
          <w:sz w:val="22"/>
          <w:lang w:val="fr-FR"/>
        </w:rPr>
        <w:t xml:space="preserve">place en 2011 (sur un total de quelques 172 pays) et dans la catégorie des pays à développement humain moyen. </w:t>
      </w:r>
    </w:p>
    <w:p w:rsidR="0031650C" w:rsidRPr="0031650C" w:rsidRDefault="0031650C" w:rsidP="0031650C">
      <w:pPr>
        <w:numPr>
          <w:ilvl w:val="0"/>
          <w:numId w:val="1"/>
        </w:numPr>
        <w:spacing w:before="120" w:after="120"/>
        <w:ind w:left="0" w:firstLine="0"/>
        <w:jc w:val="both"/>
        <w:rPr>
          <w:rFonts w:ascii="Calibri" w:hAnsi="Calibri"/>
          <w:sz w:val="22"/>
          <w:lang w:val="fr-FR"/>
        </w:rPr>
      </w:pPr>
      <w:r w:rsidRPr="0031650C">
        <w:rPr>
          <w:rFonts w:ascii="Calibri" w:hAnsi="Calibri"/>
          <w:sz w:val="22"/>
          <w:lang w:val="fr-FR"/>
        </w:rPr>
        <w:t>La prise en compte d'autres indicateurs sociaux nuance cependant ce constat globalement positif. En effet, si l'on considère la malnutrition chez les enfants de moins de cinq ans, on remarque que l'insuffisance pondérale a augmenté de 9.2% en 1992 à 10.4% en 2002.  Malgré les progrès enregistrés, les niveaux de mortalité maternelle sont encore relativement élevés</w:t>
      </w:r>
      <w:r w:rsidRPr="0031650C">
        <w:rPr>
          <w:rFonts w:ascii="Calibri" w:hAnsi="Calibri"/>
          <w:sz w:val="22"/>
          <w:vertAlign w:val="superscript"/>
          <w:lang w:val="fr-FR"/>
        </w:rPr>
        <w:footnoteReference w:id="11"/>
      </w:r>
      <w:r w:rsidR="007D3AD8">
        <w:rPr>
          <w:rFonts w:ascii="Calibri" w:hAnsi="Calibri"/>
          <w:sz w:val="22"/>
          <w:lang w:val="fr-FR"/>
        </w:rPr>
        <w:t xml:space="preserve"> et l</w:t>
      </w:r>
      <w:r w:rsidRPr="0031650C">
        <w:rPr>
          <w:rFonts w:ascii="Calibri" w:hAnsi="Calibri"/>
          <w:sz w:val="22"/>
          <w:lang w:val="fr-FR"/>
        </w:rPr>
        <w:t xml:space="preserve">a mortalité néonatale (0-28 jours) constitue la première cause de mortalité avec environ 23.000 décès par an. Ces </w:t>
      </w:r>
      <w:r w:rsidRPr="0031650C">
        <w:rPr>
          <w:rFonts w:ascii="Calibri" w:hAnsi="Calibri"/>
          <w:sz w:val="22"/>
          <w:lang w:val="fr-FR"/>
        </w:rPr>
        <w:lastRenderedPageBreak/>
        <w:t>données nationales masquent également des disparités entre les milieux et les régions. Les principales poches de pauvreté se situent dans les zones rurales et les périphéries des grandes villes. Dans les régions du Sud, les taux de mortalité maternelle et néonatale sont de loin plus élevés que les moyennes nationales. L'analphabétisme touche encore plus de 55% des femmes rurales. Les taux de scolarisation, performants au niveau national, souffrent aussi de disparités entre les régions</w:t>
      </w:r>
      <w:r w:rsidR="002C4A61">
        <w:rPr>
          <w:rFonts w:ascii="Calibri" w:hAnsi="Calibri"/>
          <w:sz w:val="22"/>
          <w:lang w:val="fr-FR"/>
        </w:rPr>
        <w:t xml:space="preserve"> et l</w:t>
      </w:r>
      <w:r w:rsidRPr="0031650C">
        <w:rPr>
          <w:rFonts w:ascii="Calibri" w:hAnsi="Calibri"/>
          <w:sz w:val="22"/>
          <w:lang w:val="fr-FR"/>
        </w:rPr>
        <w:t>e taux de couverture préscolaire est très faible (3,5%). Une enquête du PNUD</w:t>
      </w:r>
      <w:r w:rsidRPr="0031650C">
        <w:rPr>
          <w:rFonts w:ascii="Calibri" w:hAnsi="Calibri"/>
          <w:sz w:val="22"/>
          <w:vertAlign w:val="superscript"/>
          <w:lang w:val="fr-FR"/>
        </w:rPr>
        <w:footnoteReference w:id="12"/>
      </w:r>
      <w:r w:rsidRPr="0031650C">
        <w:rPr>
          <w:rFonts w:ascii="Calibri" w:hAnsi="Calibri"/>
          <w:sz w:val="22"/>
          <w:lang w:val="fr-FR"/>
        </w:rPr>
        <w:t xml:space="preserve"> réalisée dans 176 communes pauvres, si elle confirme les importants progrès réalisés au cours des dernières années dans les domaines de l’éducation et de l’accès à l’électricité, ainsi que s’agissant de l’aide sociale aux plus pauvres, montre aussi que l’incidence de la pauvreté dans ces communes atteint 2% de la population en utilisant le seuil d’un dollar PPA/jour/personne, 37,4% en utilisant le seuil de pauvreté alimentaire et 52,9% avec le seuil de pauvreté générale. </w:t>
      </w:r>
    </w:p>
    <w:p w:rsidR="00584B52" w:rsidRDefault="0031650C" w:rsidP="00584B52">
      <w:pPr>
        <w:numPr>
          <w:ilvl w:val="0"/>
          <w:numId w:val="1"/>
        </w:numPr>
        <w:spacing w:before="120" w:after="120"/>
        <w:ind w:left="0" w:firstLine="0"/>
        <w:jc w:val="both"/>
        <w:rPr>
          <w:rFonts w:ascii="Calibri" w:hAnsi="Calibri"/>
          <w:sz w:val="22"/>
          <w:lang w:val="fr-FR"/>
        </w:rPr>
      </w:pPr>
      <w:r w:rsidRPr="0031650C">
        <w:rPr>
          <w:rFonts w:ascii="Calibri" w:hAnsi="Calibri"/>
          <w:sz w:val="22"/>
          <w:lang w:val="fr-FR"/>
        </w:rPr>
        <w:t xml:space="preserve">Ainsi, l'Algérie, qui a bien réussi à éliminer la pauvreté monétaire, continue à relever de nouveaux défis en matière de développement humain. </w:t>
      </w:r>
    </w:p>
    <w:p w:rsidR="00584B52" w:rsidRPr="001D1FD3" w:rsidRDefault="00584B52" w:rsidP="00584B52">
      <w:pPr>
        <w:rPr>
          <w:lang w:val="fr-FR"/>
        </w:rPr>
      </w:pPr>
    </w:p>
    <w:p w:rsidR="00584B52" w:rsidRPr="00050693" w:rsidRDefault="00584B52" w:rsidP="0038607C">
      <w:pPr>
        <w:pStyle w:val="UNDPTitle1"/>
        <w:numPr>
          <w:ilvl w:val="1"/>
          <w:numId w:val="3"/>
        </w:numPr>
        <w:outlineLvl w:val="2"/>
        <w:rPr>
          <w:color w:val="auto"/>
        </w:rPr>
      </w:pPr>
      <w:bookmarkStart w:id="6" w:name="_Toc322341999"/>
      <w:r w:rsidRPr="00584B52">
        <w:rPr>
          <w:color w:val="auto"/>
        </w:rPr>
        <w:t>La problématique genre en Algérie</w:t>
      </w:r>
      <w:bookmarkEnd w:id="6"/>
    </w:p>
    <w:p w:rsidR="001D23DA" w:rsidRDefault="0031650C" w:rsidP="000C666A">
      <w:pPr>
        <w:pStyle w:val="NoSpacing"/>
        <w:numPr>
          <w:ilvl w:val="0"/>
          <w:numId w:val="1"/>
        </w:numPr>
        <w:ind w:left="0" w:firstLine="0"/>
        <w:rPr>
          <w:lang w:val="fr-FR"/>
        </w:rPr>
      </w:pPr>
      <w:r w:rsidRPr="001D23DA">
        <w:rPr>
          <w:b/>
          <w:lang w:val="fr-FR"/>
        </w:rPr>
        <w:t>La condition des femmes</w:t>
      </w:r>
      <w:r w:rsidRPr="001D23DA">
        <w:rPr>
          <w:lang w:val="fr-FR"/>
        </w:rPr>
        <w:t>. Le principe de la promotion de l’égalité des sexes et de l’autonomisation des femmes tire son essence de la Constitution, qui garantit l’égalité et protège les citoyens contre toutes les formes de discrimination, et se voit renforcé par une série de textes législatifs (tels que le Code de la famille).</w:t>
      </w:r>
      <w:r w:rsidR="009E7A0B" w:rsidRPr="001D23DA">
        <w:rPr>
          <w:lang w:val="fr-FR"/>
        </w:rPr>
        <w:t xml:space="preserve"> Depuis l’indépendance, en outre, de nombreux programmes visant la protection et la promotion des droits des citoyens et citoyennes sans aucune discrimination ont été mis en œuvre.</w:t>
      </w:r>
      <w:r w:rsidRPr="001D23DA">
        <w:rPr>
          <w:lang w:val="fr-FR"/>
        </w:rPr>
        <w:t xml:space="preserve"> En 2002, un Ministère</w:t>
      </w:r>
      <w:r w:rsidR="00725DA9" w:rsidRPr="001D23DA">
        <w:rPr>
          <w:lang w:val="fr-FR"/>
        </w:rPr>
        <w:t xml:space="preserve"> Délégué C</w:t>
      </w:r>
      <w:r w:rsidRPr="001D23DA">
        <w:rPr>
          <w:lang w:val="fr-FR"/>
        </w:rPr>
        <w:t xml:space="preserve">hargé de la Famille et de la Condition Féminine (MCFCF) est créé pour la première fois, puis en 2006, le </w:t>
      </w:r>
      <w:r w:rsidRPr="001D23DA">
        <w:rPr>
          <w:i/>
          <w:lang w:val="fr-FR"/>
        </w:rPr>
        <w:t>Conseil National de la Famille et de la Femme</w:t>
      </w:r>
      <w:r w:rsidRPr="001D23DA">
        <w:rPr>
          <w:lang w:val="fr-FR"/>
        </w:rPr>
        <w:t xml:space="preserve"> et </w:t>
      </w:r>
      <w:r w:rsidRPr="001D23DA">
        <w:rPr>
          <w:i/>
          <w:lang w:val="fr-FR"/>
        </w:rPr>
        <w:t>l’Observatoire de l’Emploi Féminin</w:t>
      </w:r>
      <w:r w:rsidR="00584B52">
        <w:rPr>
          <w:rStyle w:val="FootnoteReference"/>
          <w:i/>
          <w:lang w:val="fr-FR"/>
        </w:rPr>
        <w:footnoteReference w:id="13"/>
      </w:r>
      <w:r w:rsidRPr="001D23DA">
        <w:rPr>
          <w:lang w:val="fr-FR"/>
        </w:rPr>
        <w:t xml:space="preserve"> sont établis. </w:t>
      </w:r>
    </w:p>
    <w:p w:rsidR="0031650C" w:rsidRPr="001D23DA" w:rsidRDefault="0031650C" w:rsidP="000C666A">
      <w:pPr>
        <w:pStyle w:val="NoSpacing"/>
        <w:numPr>
          <w:ilvl w:val="0"/>
          <w:numId w:val="1"/>
        </w:numPr>
        <w:ind w:left="0" w:firstLine="0"/>
        <w:rPr>
          <w:lang w:val="fr-FR"/>
        </w:rPr>
      </w:pPr>
      <w:r w:rsidRPr="001D23DA">
        <w:rPr>
          <w:lang w:val="fr-FR"/>
        </w:rPr>
        <w:t xml:space="preserve">L’Algérie a par ailleurs ratifié les conventions internationales relatives à la promotion de l’égalité des sexes, notamment la Convention Internationale sur l’Elimination de toutes les formes de Discrimination à l’égard des Femmes (CEDAW), la </w:t>
      </w:r>
      <w:r w:rsidRPr="001D23DA">
        <w:rPr>
          <w:i/>
          <w:lang w:val="fr-FR"/>
        </w:rPr>
        <w:t>Charte arabe des droits de l’homme</w:t>
      </w:r>
      <w:r w:rsidRPr="001D23DA">
        <w:rPr>
          <w:lang w:val="fr-FR"/>
        </w:rPr>
        <w:t xml:space="preserve">, le Protocole additionnel à la </w:t>
      </w:r>
      <w:r w:rsidRPr="001D23DA">
        <w:rPr>
          <w:i/>
          <w:lang w:val="fr-FR"/>
        </w:rPr>
        <w:t>Charte africaine des Droits de l’Homme et des Peuples</w:t>
      </w:r>
      <w:r w:rsidRPr="001D23DA">
        <w:rPr>
          <w:lang w:val="fr-FR"/>
        </w:rPr>
        <w:t xml:space="preserve"> relatifs aux droits de la femme africaine. L’adhésion à la CEDAW avait cependant soulevé des débats dans le pays et, à l’origine, la ratification avait été accompagnée de réserves importantes. </w:t>
      </w:r>
    </w:p>
    <w:p w:rsidR="0031650C" w:rsidRDefault="0031650C" w:rsidP="0031650C">
      <w:pPr>
        <w:numPr>
          <w:ilvl w:val="0"/>
          <w:numId w:val="1"/>
        </w:numPr>
        <w:spacing w:before="120" w:after="120"/>
        <w:ind w:left="0" w:firstLine="0"/>
        <w:jc w:val="both"/>
        <w:rPr>
          <w:rFonts w:ascii="Calibri" w:hAnsi="Calibri"/>
          <w:sz w:val="22"/>
          <w:lang w:val="fr-FR"/>
        </w:rPr>
      </w:pPr>
      <w:r w:rsidRPr="0031650C">
        <w:rPr>
          <w:rFonts w:ascii="Calibri" w:hAnsi="Calibri"/>
          <w:sz w:val="22"/>
          <w:lang w:val="fr-FR"/>
        </w:rPr>
        <w:t xml:space="preserve">Dans son rapport de 1999, la CEDAW se félicitait du travail des organisations non gouvernementales de femmes algériennes qui ont su sensibiliser l’opinion publique et amener le gouvernement et le législateur à s’intéresser aux questions féminines et relevait avec satisfaction l’accès des femmes à la vie publique et politique et leur présence importante dans ces domaines, notamment dans la magistrature. Ce rapport notait cependant que les nombreuses réserves émises par l’Etat au sujet de la CEDAW compromettaient la réelle application de cet instrument et que, bien que la Constitution garantisse l’égalité entre les sexes, les nombreuses dispositions discriminatoires du Code de la famille ainsi que la persistance des préjugés et des pratiques patriarcales contredisent dans les faits les principes de la Constitution. Le Comité était également préoccupé par le recours constant de l’Etat aux principes de la religion et aux spécificités culturelles pour justifier le retard enregistré au niveau du statut de la femme par rapport à l’évolution générale de la société. Le rapport notait enfin que les pesanteurs sociales qui subsistent au sein de la société algérienne maintiennent </w:t>
      </w:r>
      <w:r w:rsidRPr="0031650C">
        <w:rPr>
          <w:rFonts w:ascii="Calibri" w:hAnsi="Calibri"/>
          <w:sz w:val="22"/>
          <w:lang w:val="fr-FR"/>
        </w:rPr>
        <w:lastRenderedPageBreak/>
        <w:t xml:space="preserve">les femmes dans une situation d’infériorité par rapport à l’homme, tout en exprimant la préoccupation du Comité s’agissant du nombre grandissant de femmes assassinées, violentées, enlevées ou violées par des groupes terroristes. </w:t>
      </w:r>
    </w:p>
    <w:p w:rsidR="009E7A0B" w:rsidRPr="001D23DA" w:rsidRDefault="009E7A0B" w:rsidP="0031650C">
      <w:pPr>
        <w:pStyle w:val="NoSpacing"/>
        <w:numPr>
          <w:ilvl w:val="0"/>
          <w:numId w:val="1"/>
        </w:numPr>
        <w:ind w:left="0" w:firstLine="0"/>
        <w:rPr>
          <w:lang w:val="fr-FR"/>
        </w:rPr>
      </w:pPr>
      <w:r w:rsidRPr="001D23DA">
        <w:rPr>
          <w:lang w:val="fr-FR"/>
        </w:rPr>
        <w:t xml:space="preserve">Depuis la création du MDCFCF, une certaine dynamique semble se mettre en place, le ministère </w:t>
      </w:r>
      <w:r w:rsidR="001D23DA" w:rsidRPr="001D23DA">
        <w:rPr>
          <w:lang w:val="fr-FR"/>
        </w:rPr>
        <w:t>œuvrant</w:t>
      </w:r>
      <w:r w:rsidRPr="001D23DA">
        <w:rPr>
          <w:lang w:val="fr-FR"/>
        </w:rPr>
        <w:t xml:space="preserve"> de </w:t>
      </w:r>
      <w:r w:rsidR="001D23DA" w:rsidRPr="001D23DA">
        <w:rPr>
          <w:lang w:val="fr-FR"/>
        </w:rPr>
        <w:t>façon</w:t>
      </w:r>
      <w:r w:rsidRPr="001D23DA">
        <w:rPr>
          <w:lang w:val="fr-FR"/>
        </w:rPr>
        <w:t xml:space="preserve"> transversale </w:t>
      </w:r>
      <w:r w:rsidR="001D23DA" w:rsidRPr="001D23DA">
        <w:rPr>
          <w:lang w:val="fr-FR"/>
        </w:rPr>
        <w:t xml:space="preserve">pour fédérer les politiques nationales relatives aux droits des femmes et </w:t>
      </w:r>
      <w:r w:rsidR="007D3AD8">
        <w:rPr>
          <w:lang w:val="fr-FR"/>
        </w:rPr>
        <w:t>à l’égalité entre les genres</w:t>
      </w:r>
      <w:r w:rsidR="001D23DA" w:rsidRPr="001D23DA">
        <w:rPr>
          <w:lang w:val="fr-FR"/>
        </w:rPr>
        <w:t xml:space="preserve">. Cette </w:t>
      </w:r>
      <w:r w:rsidRPr="001D23DA">
        <w:rPr>
          <w:lang w:val="fr-FR"/>
        </w:rPr>
        <w:t>dynamique</w:t>
      </w:r>
      <w:r w:rsidR="001D23DA" w:rsidRPr="001D23DA">
        <w:rPr>
          <w:lang w:val="fr-FR"/>
        </w:rPr>
        <w:t xml:space="preserve"> s’est traduite</w:t>
      </w:r>
      <w:r w:rsidRPr="001D23DA">
        <w:rPr>
          <w:lang w:val="fr-FR"/>
        </w:rPr>
        <w:t>,</w:t>
      </w:r>
      <w:r w:rsidR="001D23DA" w:rsidRPr="001D23DA">
        <w:rPr>
          <w:lang w:val="fr-FR"/>
        </w:rPr>
        <w:t xml:space="preserve"> </w:t>
      </w:r>
      <w:r w:rsidRPr="001D23DA">
        <w:rPr>
          <w:lang w:val="fr-FR"/>
        </w:rPr>
        <w:t>entre autre</w:t>
      </w:r>
      <w:r w:rsidR="001D23DA" w:rsidRPr="001D23DA">
        <w:rPr>
          <w:lang w:val="fr-FR"/>
        </w:rPr>
        <w:t>s</w:t>
      </w:r>
      <w:r w:rsidRPr="001D23DA">
        <w:rPr>
          <w:lang w:val="fr-FR"/>
        </w:rPr>
        <w:t xml:space="preserve">, par le lancement du programme de croissance économique et des programmes complémentaires pour les régions du Sud et des Hauts plateaux, </w:t>
      </w:r>
      <w:r w:rsidR="001D23DA" w:rsidRPr="001D23DA">
        <w:rPr>
          <w:lang w:val="fr-FR"/>
        </w:rPr>
        <w:t xml:space="preserve">la mise en œuvre de la stratégie nationale de lutte contre l’analphabétisme, l’adoption d’une Stratégie nationale pour la promotion et l’intégration de femme (2008-2013) et de son Plan d’Action (2010-2014), de même que la définition d’une Stratégie nationale de lutte contre la violence exercée à l’égard des femmes (2007-2011). Enfin, un Point Focal Genre a été nommé </w:t>
      </w:r>
      <w:r w:rsidR="007D3AD8">
        <w:rPr>
          <w:lang w:val="fr-FR"/>
        </w:rPr>
        <w:t>au sein de tous les ministères du gouvernement afin de servir de relais avec le MDCFCF.</w:t>
      </w:r>
    </w:p>
    <w:p w:rsidR="0031650C" w:rsidRPr="0031650C" w:rsidRDefault="0031650C" w:rsidP="000C666A">
      <w:pPr>
        <w:pStyle w:val="NoSpacing"/>
        <w:numPr>
          <w:ilvl w:val="0"/>
          <w:numId w:val="1"/>
        </w:numPr>
        <w:ind w:left="0" w:firstLine="0"/>
        <w:rPr>
          <w:lang w:val="fr-FR"/>
        </w:rPr>
      </w:pPr>
      <w:r w:rsidRPr="0031650C">
        <w:rPr>
          <w:b/>
          <w:lang w:val="fr-FR"/>
        </w:rPr>
        <w:t>L’emploi des femmes</w:t>
      </w:r>
      <w:r w:rsidRPr="0031650C">
        <w:rPr>
          <w:lang w:val="fr-FR"/>
        </w:rPr>
        <w:t>. Avec un taux d’occupation de la population active féminine estimé à 16,8%, plus de 1.45 millions de femmes algériennes occuperaient actuellement un emploi (contre 1,2 million en 2005), le plus souvent qualifié, principalement dans les secteurs de l’éducation, de la santé, de la magistrature, de la police nationale et de l’Armée Nationale Populaire. De 2005 à 2009, la part de l’emploi féminin dans l’emploi total serait passée de 14.5% à 15.3%. La présence de la femme dans la sphère économique se mesure également au nombre de micro-entreprises créées dans le cadre des dispositifs publics de soutien à la création d’activités et 8.774 micro-entreprises auraient été créées durant la période 2005-2009 par des femmes dans le cadre de cet appui.</w:t>
      </w:r>
    </w:p>
    <w:p w:rsidR="0031650C" w:rsidRPr="0031650C" w:rsidRDefault="0031650C" w:rsidP="000C666A">
      <w:pPr>
        <w:pStyle w:val="NoSpacing"/>
        <w:numPr>
          <w:ilvl w:val="0"/>
          <w:numId w:val="1"/>
        </w:numPr>
        <w:ind w:left="0" w:firstLine="0"/>
        <w:rPr>
          <w:lang w:val="fr-FR"/>
        </w:rPr>
      </w:pPr>
      <w:r w:rsidRPr="0031650C">
        <w:rPr>
          <w:lang w:val="fr-FR"/>
        </w:rPr>
        <w:t>La formation professionnelle est répertoriée parmi les mesures visant à promouvoir l’autonomisation des femmes. L’effectif féminin placé en position de formation et de qualification professionnelles s’élevait en 2009 à 190.740 postes répartis sur 20 branches professionnelles. Entre 2000 et 2009, on note cependant une réduction de l’effective des filles en formation professionnelle (de 39.7% à 35.3%) du fait que les filles semblent s’orienter davantage vers les études secondaires et universitaires.</w:t>
      </w:r>
    </w:p>
    <w:p w:rsidR="0031650C" w:rsidRPr="0031650C" w:rsidRDefault="0031650C" w:rsidP="0031650C">
      <w:pPr>
        <w:spacing w:before="120" w:after="120"/>
        <w:jc w:val="both"/>
        <w:rPr>
          <w:rFonts w:ascii="Calibri" w:hAnsi="Calibri"/>
          <w:sz w:val="22"/>
          <w:lang w:val="fr-FR"/>
        </w:rPr>
      </w:pPr>
    </w:p>
    <w:p w:rsidR="0031650C" w:rsidRPr="00584B52" w:rsidRDefault="0031650C" w:rsidP="0038607C">
      <w:pPr>
        <w:pStyle w:val="UNDPTitle1"/>
        <w:numPr>
          <w:ilvl w:val="1"/>
          <w:numId w:val="3"/>
        </w:numPr>
        <w:outlineLvl w:val="2"/>
        <w:rPr>
          <w:color w:val="auto"/>
        </w:rPr>
      </w:pPr>
      <w:bookmarkStart w:id="7" w:name="_Toc313819949"/>
      <w:bookmarkStart w:id="8" w:name="_Toc322342000"/>
      <w:r w:rsidRPr="00584B52">
        <w:rPr>
          <w:color w:val="auto"/>
        </w:rPr>
        <w:t>Les Nations Unies en Algérie</w:t>
      </w:r>
      <w:bookmarkEnd w:id="7"/>
      <w:bookmarkEnd w:id="8"/>
    </w:p>
    <w:p w:rsidR="0031650C" w:rsidRPr="0031650C" w:rsidRDefault="0031650C" w:rsidP="000C666A">
      <w:pPr>
        <w:pStyle w:val="NoSpacing"/>
        <w:numPr>
          <w:ilvl w:val="0"/>
          <w:numId w:val="1"/>
        </w:numPr>
        <w:ind w:left="0" w:firstLine="0"/>
        <w:rPr>
          <w:lang w:val="fr-FR"/>
        </w:rPr>
      </w:pPr>
      <w:r w:rsidRPr="0013473B">
        <w:rPr>
          <w:lang w:val="fr-FR"/>
        </w:rPr>
        <w:t>Le Plan cadre des Nations Unies pour la coopération au développement (UNDAF)</w:t>
      </w:r>
      <w:r w:rsidR="0013473B">
        <w:rPr>
          <w:lang w:val="fr-FR"/>
        </w:rPr>
        <w:t xml:space="preserve"> 2007-2011</w:t>
      </w:r>
      <w:r w:rsidRPr="0031650C">
        <w:rPr>
          <w:lang w:val="fr-FR"/>
        </w:rPr>
        <w:t xml:space="preserve"> défini</w:t>
      </w:r>
      <w:r w:rsidR="0013473B">
        <w:rPr>
          <w:lang w:val="fr-FR"/>
        </w:rPr>
        <w:t>ssai</w:t>
      </w:r>
      <w:r w:rsidRPr="0031650C">
        <w:rPr>
          <w:lang w:val="fr-FR"/>
        </w:rPr>
        <w:t xml:space="preserve">t, à partir du Bilan Commun de Pays (CCA), quatre grands domaines de coopération pour le système des Nations Unies en Algérie : </w:t>
      </w:r>
    </w:p>
    <w:p w:rsidR="0031650C" w:rsidRPr="0031650C" w:rsidRDefault="0031650C" w:rsidP="0031650C">
      <w:pPr>
        <w:spacing w:before="120" w:after="120"/>
        <w:ind w:left="708"/>
        <w:jc w:val="both"/>
        <w:rPr>
          <w:rFonts w:ascii="Calibri" w:hAnsi="Calibri"/>
          <w:sz w:val="22"/>
          <w:lang w:val="fr-FR"/>
        </w:rPr>
      </w:pPr>
      <w:r w:rsidRPr="0031650C">
        <w:rPr>
          <w:rFonts w:ascii="Calibri" w:hAnsi="Calibri"/>
          <w:sz w:val="22"/>
          <w:lang w:val="fr-FR"/>
        </w:rPr>
        <w:t>(a) Le développement humain (lutte contre la pauvreté, amélioration des conditions de vie)</w:t>
      </w:r>
      <w:r w:rsidR="007D3AD8">
        <w:rPr>
          <w:rFonts w:ascii="Calibri" w:hAnsi="Calibri"/>
          <w:sz w:val="22"/>
          <w:lang w:val="fr-FR"/>
        </w:rPr>
        <w:t>,</w:t>
      </w:r>
    </w:p>
    <w:p w:rsidR="0031650C" w:rsidRPr="0031650C" w:rsidRDefault="0031650C" w:rsidP="0031650C">
      <w:pPr>
        <w:spacing w:before="120" w:after="120"/>
        <w:ind w:left="708"/>
        <w:jc w:val="both"/>
        <w:rPr>
          <w:rFonts w:ascii="Calibri" w:hAnsi="Calibri"/>
          <w:sz w:val="22"/>
          <w:lang w:val="fr-FR"/>
        </w:rPr>
      </w:pPr>
      <w:r w:rsidRPr="0031650C">
        <w:rPr>
          <w:rFonts w:ascii="Calibri" w:hAnsi="Calibri"/>
          <w:sz w:val="22"/>
          <w:lang w:val="fr-FR"/>
        </w:rPr>
        <w:t>(b) L’environnement et le développement durable</w:t>
      </w:r>
      <w:r w:rsidR="007D3AD8">
        <w:rPr>
          <w:rFonts w:ascii="Calibri" w:hAnsi="Calibri"/>
          <w:sz w:val="22"/>
          <w:lang w:val="fr-FR"/>
        </w:rPr>
        <w:t>,</w:t>
      </w:r>
    </w:p>
    <w:p w:rsidR="0031650C" w:rsidRPr="0031650C" w:rsidRDefault="0031650C" w:rsidP="0031650C">
      <w:pPr>
        <w:spacing w:before="120" w:after="120"/>
        <w:ind w:left="708"/>
        <w:jc w:val="both"/>
        <w:rPr>
          <w:rFonts w:ascii="Calibri" w:hAnsi="Calibri"/>
          <w:sz w:val="22"/>
          <w:lang w:val="fr-FR"/>
        </w:rPr>
      </w:pPr>
      <w:r w:rsidRPr="0031650C">
        <w:rPr>
          <w:rFonts w:ascii="Calibri" w:hAnsi="Calibri"/>
          <w:sz w:val="22"/>
          <w:lang w:val="fr-FR"/>
        </w:rPr>
        <w:t>(c) La gouvernance (renforcement des capacités de la société civile, etc.)</w:t>
      </w:r>
      <w:r w:rsidR="007D3AD8">
        <w:rPr>
          <w:rFonts w:ascii="Calibri" w:hAnsi="Calibri"/>
          <w:sz w:val="22"/>
          <w:lang w:val="fr-FR"/>
        </w:rPr>
        <w:t>,</w:t>
      </w:r>
    </w:p>
    <w:p w:rsidR="0031650C" w:rsidRPr="0031650C" w:rsidRDefault="0031650C" w:rsidP="0031650C">
      <w:pPr>
        <w:spacing w:before="120" w:after="120"/>
        <w:ind w:left="708"/>
        <w:jc w:val="both"/>
        <w:rPr>
          <w:rFonts w:ascii="Calibri" w:hAnsi="Calibri"/>
          <w:sz w:val="22"/>
          <w:lang w:val="fr-FR"/>
        </w:rPr>
      </w:pPr>
      <w:r w:rsidRPr="0031650C">
        <w:rPr>
          <w:rFonts w:ascii="Calibri" w:hAnsi="Calibri"/>
          <w:sz w:val="22"/>
          <w:lang w:val="fr-FR"/>
        </w:rPr>
        <w:t>(d)  Le genre (participation de la femme à la vie politique, économique et sociale ; appui à l’éducation et la formation, etc.).</w:t>
      </w:r>
    </w:p>
    <w:p w:rsidR="0031650C" w:rsidRPr="0031650C" w:rsidRDefault="0031650C" w:rsidP="000C666A">
      <w:pPr>
        <w:pStyle w:val="NoSpacing"/>
        <w:numPr>
          <w:ilvl w:val="0"/>
          <w:numId w:val="1"/>
        </w:numPr>
        <w:ind w:left="0" w:firstLine="0"/>
        <w:rPr>
          <w:lang w:val="fr-FR"/>
        </w:rPr>
      </w:pPr>
      <w:r w:rsidRPr="0031650C">
        <w:rPr>
          <w:lang w:val="fr-FR"/>
        </w:rPr>
        <w:t xml:space="preserve">Les acteurs du système des Nations Unies </w:t>
      </w:r>
      <w:r w:rsidR="00050693">
        <w:rPr>
          <w:lang w:val="fr-FR"/>
        </w:rPr>
        <w:t xml:space="preserve">(SNU) </w:t>
      </w:r>
      <w:r w:rsidRPr="0031650C">
        <w:rPr>
          <w:lang w:val="fr-FR"/>
        </w:rPr>
        <w:t>actifs dans le pays et inclus dans ce document cadre comprennent les agences, fonds ou programmes suivants : PNUD, BIT, UNFPA, UNICEF, OMS, ONUSIDA, ONUDI, FAO. La mise en œuvre de l’UNDAF sur la période 2007-2011 était estimée à 62 millions de dollars US, dont 46% devait être couvert par les ressources ordinaires du système des NU, le restant devant être mobilisé sous forme de ressources externes. Il était prévu d’établir des groupes thématiques inter-agences pour assurer une bonne coordination des acteurs et le suivi des interventions.</w:t>
      </w:r>
    </w:p>
    <w:p w:rsidR="0031650C" w:rsidRPr="0031650C" w:rsidRDefault="0031650C" w:rsidP="000C666A">
      <w:pPr>
        <w:pStyle w:val="NoSpacing"/>
        <w:numPr>
          <w:ilvl w:val="0"/>
          <w:numId w:val="1"/>
        </w:numPr>
        <w:ind w:left="0" w:firstLine="0"/>
        <w:rPr>
          <w:lang w:val="fr-FR"/>
        </w:rPr>
      </w:pPr>
      <w:r w:rsidRPr="0031650C">
        <w:rPr>
          <w:lang w:val="fr-FR"/>
        </w:rPr>
        <w:t xml:space="preserve">Le 11 décembre 2007, un attentat perpétré contre les bureaux des Nations Unies à Alger fit 17 victimes parmi les membres du personnel des Nations Unies. </w:t>
      </w:r>
      <w:r w:rsidR="002938D4">
        <w:rPr>
          <w:lang w:val="fr-FR"/>
        </w:rPr>
        <w:t>Cette attaque</w:t>
      </w:r>
      <w:r w:rsidRPr="0031650C">
        <w:rPr>
          <w:lang w:val="fr-FR"/>
        </w:rPr>
        <w:t xml:space="preserve">, outre les graves pertes humaines, endommagea significativement la capacité opérationnelle du système des Nations Unies </w:t>
      </w:r>
      <w:r w:rsidRPr="0031650C">
        <w:rPr>
          <w:lang w:val="fr-FR"/>
        </w:rPr>
        <w:lastRenderedPageBreak/>
        <w:t xml:space="preserve">alors constitué de quelques 116 nationaux et 18 internationaux. De fait, c’est depuis le milieu des années 1980s que le gouvernement algérien doit faire face au terrorisme. Au cours des années 1990s surnommées la « décennie noire » par les Algériens, 100.000 personnes auraient ainsi perdu la vie. </w:t>
      </w:r>
    </w:p>
    <w:p w:rsidR="0031650C" w:rsidRPr="00050693" w:rsidRDefault="007D3AD8" w:rsidP="000C666A">
      <w:pPr>
        <w:pStyle w:val="NoSpacing"/>
        <w:numPr>
          <w:ilvl w:val="0"/>
          <w:numId w:val="1"/>
        </w:numPr>
        <w:ind w:left="0" w:firstLine="0"/>
        <w:rPr>
          <w:lang w:val="fr-FR"/>
        </w:rPr>
      </w:pPr>
      <w:r>
        <w:rPr>
          <w:lang w:val="fr-FR"/>
        </w:rPr>
        <w:t>L’a</w:t>
      </w:r>
      <w:r w:rsidR="0031650C" w:rsidRPr="0031650C">
        <w:rPr>
          <w:lang w:val="fr-FR"/>
        </w:rPr>
        <w:t>ttentat</w:t>
      </w:r>
      <w:r>
        <w:rPr>
          <w:lang w:val="fr-FR"/>
        </w:rPr>
        <w:t xml:space="preserve"> de 2007</w:t>
      </w:r>
      <w:r w:rsidR="0031650C" w:rsidRPr="0031650C">
        <w:rPr>
          <w:lang w:val="fr-FR"/>
        </w:rPr>
        <w:t>, qui fut suivi par une période de vacance au niveau du poste de Résident Coordonnateur</w:t>
      </w:r>
      <w:r w:rsidR="0031650C" w:rsidRPr="0031650C">
        <w:rPr>
          <w:vertAlign w:val="superscript"/>
          <w:lang w:val="fr-FR"/>
        </w:rPr>
        <w:footnoteReference w:id="14"/>
      </w:r>
      <w:r w:rsidR="0031650C" w:rsidRPr="0031650C">
        <w:rPr>
          <w:lang w:val="fr-FR"/>
        </w:rPr>
        <w:t xml:space="preserve">, paraît avoir eu des conséquences négatives pendant </w:t>
      </w:r>
      <w:r w:rsidR="009D771C">
        <w:rPr>
          <w:lang w:val="fr-FR"/>
        </w:rPr>
        <w:t xml:space="preserve">presque deux ans </w:t>
      </w:r>
      <w:r w:rsidR="0031650C" w:rsidRPr="0031650C">
        <w:rPr>
          <w:lang w:val="fr-FR"/>
        </w:rPr>
        <w:t>sur le fonctionnement des agences du système des Nations Unies</w:t>
      </w:r>
      <w:r w:rsidR="0031650C" w:rsidRPr="0031650C">
        <w:rPr>
          <w:vertAlign w:val="superscript"/>
          <w:lang w:val="fr-FR"/>
        </w:rPr>
        <w:footnoteReference w:id="15"/>
      </w:r>
      <w:r w:rsidR="0031650C" w:rsidRPr="0031650C">
        <w:rPr>
          <w:lang w:val="fr-FR"/>
        </w:rPr>
        <w:t xml:space="preserve">.  </w:t>
      </w:r>
      <w:r w:rsidR="009D771C">
        <w:rPr>
          <w:lang w:val="fr-FR"/>
        </w:rPr>
        <w:t xml:space="preserve">Ainsi, au-delà du traumatisme engendré par les pertes humaines et la violence de l’attaque, le personnel des Nations Unies </w:t>
      </w:r>
      <w:r>
        <w:rPr>
          <w:lang w:val="fr-FR"/>
        </w:rPr>
        <w:t>dût</w:t>
      </w:r>
      <w:r w:rsidR="009D771C">
        <w:rPr>
          <w:lang w:val="fr-FR"/>
        </w:rPr>
        <w:t xml:space="preserve"> dans un deuxième temps faire face à la perte des archives et de tous les équipements. L’affectation par le gouvernement Algérien de nouveaux locaux</w:t>
      </w:r>
      <w:r w:rsidRPr="007D3AD8">
        <w:rPr>
          <w:lang w:val="fr-FR"/>
        </w:rPr>
        <w:t xml:space="preserve"> </w:t>
      </w:r>
      <w:r>
        <w:rPr>
          <w:lang w:val="fr-FR"/>
        </w:rPr>
        <w:t xml:space="preserve">répondant aux normes UNDSS </w:t>
      </w:r>
      <w:r w:rsidR="009D771C">
        <w:rPr>
          <w:lang w:val="fr-FR"/>
        </w:rPr>
        <w:t xml:space="preserve">pour les Nations Unies,  qui prit un certain temps, fut </w:t>
      </w:r>
      <w:r>
        <w:rPr>
          <w:lang w:val="fr-FR"/>
        </w:rPr>
        <w:t>par la suite</w:t>
      </w:r>
      <w:r w:rsidR="009D771C">
        <w:rPr>
          <w:lang w:val="fr-FR"/>
        </w:rPr>
        <w:t xml:space="preserve"> la cause </w:t>
      </w:r>
      <w:r>
        <w:rPr>
          <w:lang w:val="fr-FR"/>
        </w:rPr>
        <w:t>de retards supplémentaires</w:t>
      </w:r>
      <w:r w:rsidR="009D771C">
        <w:rPr>
          <w:lang w:val="fr-FR"/>
        </w:rPr>
        <w:t>.</w:t>
      </w:r>
    </w:p>
    <w:p w:rsidR="0011300F" w:rsidRPr="00050693" w:rsidRDefault="0011300F" w:rsidP="0089649B">
      <w:pPr>
        <w:pStyle w:val="UNDPTitle1"/>
        <w:spacing w:before="360"/>
        <w:outlineLvl w:val="1"/>
        <w:rPr>
          <w:color w:val="auto"/>
        </w:rPr>
      </w:pPr>
      <w:bookmarkStart w:id="9" w:name="_Toc322342001"/>
      <w:r w:rsidRPr="00050693">
        <w:rPr>
          <w:color w:val="auto"/>
        </w:rPr>
        <w:t>Les objectifs de l’évaluation</w:t>
      </w:r>
      <w:bookmarkEnd w:id="9"/>
    </w:p>
    <w:p w:rsidR="00136550" w:rsidRPr="00050693" w:rsidRDefault="00136550" w:rsidP="00050693">
      <w:pPr>
        <w:numPr>
          <w:ilvl w:val="0"/>
          <w:numId w:val="1"/>
        </w:numPr>
        <w:spacing w:before="120" w:after="120"/>
        <w:ind w:left="0" w:firstLine="0"/>
        <w:jc w:val="both"/>
        <w:rPr>
          <w:rFonts w:ascii="Calibri" w:hAnsi="Calibri"/>
          <w:sz w:val="22"/>
          <w:lang w:val="fr-FR"/>
        </w:rPr>
      </w:pPr>
      <w:r w:rsidRPr="00050693">
        <w:rPr>
          <w:rFonts w:ascii="Calibri" w:hAnsi="Calibri"/>
          <w:sz w:val="22"/>
          <w:lang w:val="fr-FR"/>
        </w:rPr>
        <w:t xml:space="preserve">La réalisation d’évaluations à mi-parcours et finale de chacun des programmes conjoints financés par </w:t>
      </w:r>
      <w:r w:rsidR="0089649B" w:rsidRPr="00050693">
        <w:rPr>
          <w:rFonts w:ascii="Calibri" w:hAnsi="Calibri"/>
          <w:sz w:val="22"/>
          <w:lang w:val="fr-FR"/>
        </w:rPr>
        <w:t xml:space="preserve">le </w:t>
      </w:r>
      <w:r w:rsidR="005E13FD">
        <w:rPr>
          <w:rFonts w:ascii="Calibri" w:hAnsi="Calibri"/>
          <w:sz w:val="22"/>
          <w:lang w:val="fr-FR"/>
        </w:rPr>
        <w:t>Fonds-OMD</w:t>
      </w:r>
      <w:r w:rsidRPr="00050693">
        <w:rPr>
          <w:rFonts w:ascii="Calibri" w:hAnsi="Calibri"/>
          <w:sz w:val="22"/>
          <w:lang w:val="fr-FR"/>
        </w:rPr>
        <w:t xml:space="preserve"> constitue un élément fondamental de bonne gouvernance et de bonne gestion, ces évaluations permettant </w:t>
      </w:r>
      <w:r w:rsidR="0089649B" w:rsidRPr="00050693">
        <w:rPr>
          <w:rFonts w:ascii="Calibri" w:hAnsi="Calibri"/>
          <w:sz w:val="22"/>
          <w:lang w:val="fr-FR"/>
        </w:rPr>
        <w:t>à son Secrétariat</w:t>
      </w:r>
      <w:r w:rsidRPr="00050693">
        <w:rPr>
          <w:rFonts w:ascii="Calibri" w:hAnsi="Calibri"/>
          <w:sz w:val="22"/>
          <w:lang w:val="fr-FR"/>
        </w:rPr>
        <w:t xml:space="preserve"> </w:t>
      </w:r>
      <w:r w:rsidR="0089649B" w:rsidRPr="00050693">
        <w:rPr>
          <w:rFonts w:ascii="Calibri" w:hAnsi="Calibri"/>
          <w:sz w:val="22"/>
          <w:lang w:val="fr-FR"/>
        </w:rPr>
        <w:t>de faire le point sur l’avancement</w:t>
      </w:r>
      <w:r w:rsidRPr="00050693">
        <w:rPr>
          <w:rFonts w:ascii="Calibri" w:hAnsi="Calibri"/>
          <w:sz w:val="22"/>
          <w:lang w:val="fr-FR"/>
        </w:rPr>
        <w:t xml:space="preserve"> des programmes en cours, tout en rendant compte des résultats obtenus. </w:t>
      </w:r>
    </w:p>
    <w:p w:rsidR="00136550" w:rsidRPr="00050693" w:rsidRDefault="00050693" w:rsidP="00050693">
      <w:pPr>
        <w:numPr>
          <w:ilvl w:val="0"/>
          <w:numId w:val="1"/>
        </w:numPr>
        <w:spacing w:before="120" w:after="120"/>
        <w:ind w:left="0" w:firstLine="0"/>
        <w:jc w:val="both"/>
        <w:rPr>
          <w:rFonts w:ascii="Calibri" w:hAnsi="Calibri"/>
          <w:sz w:val="22"/>
          <w:lang w:val="fr-FR"/>
        </w:rPr>
      </w:pPr>
      <w:r>
        <w:rPr>
          <w:rFonts w:ascii="Calibri" w:hAnsi="Calibri"/>
          <w:sz w:val="22"/>
          <w:lang w:val="fr-FR"/>
        </w:rPr>
        <w:t>Plus précisément et c</w:t>
      </w:r>
      <w:r w:rsidR="00136550" w:rsidRPr="00050693">
        <w:rPr>
          <w:rFonts w:ascii="Calibri" w:hAnsi="Calibri"/>
          <w:sz w:val="22"/>
          <w:lang w:val="fr-FR"/>
        </w:rPr>
        <w:t xml:space="preserve">omme défini dans </w:t>
      </w:r>
      <w:r>
        <w:rPr>
          <w:rFonts w:ascii="Calibri" w:hAnsi="Calibri"/>
          <w:sz w:val="22"/>
          <w:lang w:val="fr-FR"/>
        </w:rPr>
        <w:t>s</w:t>
      </w:r>
      <w:r w:rsidR="00136550" w:rsidRPr="00050693">
        <w:rPr>
          <w:rFonts w:ascii="Calibri" w:hAnsi="Calibri"/>
          <w:sz w:val="22"/>
          <w:lang w:val="fr-FR"/>
        </w:rPr>
        <w:t>es Termes de Référence, la présente évaluation à mi-parcours a pour objectif d’ensemble d’améliorer la mise en  œuvre du programme conjoint durant sa seconde phase. Elle vise également à améliorer la compréhension des bonnes pratiques éventuelles du programme de manière à ce qu’elles puissent inspirer d’autres programmes ou  pour servir de base à un échange des connaissances.</w:t>
      </w:r>
    </w:p>
    <w:p w:rsidR="00136550" w:rsidRPr="00050693" w:rsidRDefault="00136550" w:rsidP="00050693">
      <w:pPr>
        <w:numPr>
          <w:ilvl w:val="0"/>
          <w:numId w:val="1"/>
        </w:numPr>
        <w:spacing w:before="120" w:after="120"/>
        <w:ind w:left="0" w:firstLine="0"/>
        <w:jc w:val="both"/>
        <w:rPr>
          <w:rFonts w:ascii="Calibri" w:hAnsi="Calibri"/>
          <w:sz w:val="22"/>
          <w:lang w:val="fr-FR"/>
        </w:rPr>
      </w:pPr>
      <w:r w:rsidRPr="00050693">
        <w:rPr>
          <w:rFonts w:ascii="Calibri" w:hAnsi="Calibri"/>
          <w:sz w:val="22"/>
          <w:lang w:val="fr-FR"/>
        </w:rPr>
        <w:t xml:space="preserve">Plus spécifiquement, cette évaluation </w:t>
      </w:r>
      <w:r w:rsidR="007B0F91" w:rsidRPr="00050693">
        <w:rPr>
          <w:rFonts w:ascii="Calibri" w:hAnsi="Calibri"/>
          <w:sz w:val="22"/>
          <w:lang w:val="fr-FR"/>
        </w:rPr>
        <w:t>a cherché à</w:t>
      </w:r>
      <w:r w:rsidRPr="00050693">
        <w:rPr>
          <w:rFonts w:ascii="Calibri" w:hAnsi="Calibri"/>
          <w:sz w:val="22"/>
          <w:lang w:val="fr-FR"/>
        </w:rPr>
        <w:t> :</w:t>
      </w:r>
    </w:p>
    <w:p w:rsidR="0089649B" w:rsidRPr="00050693" w:rsidRDefault="00136550" w:rsidP="0038607C">
      <w:pPr>
        <w:pStyle w:val="NoSpacing"/>
        <w:numPr>
          <w:ilvl w:val="0"/>
          <w:numId w:val="4"/>
        </w:numPr>
        <w:rPr>
          <w:lang w:val="fr-CA"/>
        </w:rPr>
      </w:pPr>
      <w:r w:rsidRPr="00050693">
        <w:rPr>
          <w:noProof/>
          <w:lang w:val="fr-CA"/>
        </w:rPr>
        <w:t xml:space="preserve">Apprécier la qualité de la conception du programme et la cohérence interne des interventions aux vues des besoins des groupes cibles ainsi que sa cohérence avec </w:t>
      </w:r>
      <w:r w:rsidR="005E13FD">
        <w:rPr>
          <w:noProof/>
          <w:lang w:val="fr-CA"/>
        </w:rPr>
        <w:t>l’UNDAF</w:t>
      </w:r>
      <w:r w:rsidRPr="00050693">
        <w:rPr>
          <w:noProof/>
          <w:lang w:val="fr-CA"/>
        </w:rPr>
        <w:t xml:space="preserve">, les stratégies nationales de développement et les </w:t>
      </w:r>
      <w:r w:rsidR="0089649B" w:rsidRPr="00050693">
        <w:rPr>
          <w:noProof/>
          <w:lang w:val="fr-CA"/>
        </w:rPr>
        <w:t>OMDs</w:t>
      </w:r>
      <w:r w:rsidR="007B0F91" w:rsidRPr="00050693">
        <w:rPr>
          <w:noProof/>
          <w:lang w:val="fr-CA"/>
        </w:rPr>
        <w:t>.</w:t>
      </w:r>
      <w:r w:rsidRPr="00050693">
        <w:rPr>
          <w:noProof/>
          <w:lang w:val="fr-CA"/>
        </w:rPr>
        <w:t xml:space="preserve"> </w:t>
      </w:r>
    </w:p>
    <w:p w:rsidR="00136550" w:rsidRPr="00050693" w:rsidRDefault="00136550" w:rsidP="0038607C">
      <w:pPr>
        <w:pStyle w:val="NoSpacing"/>
        <w:numPr>
          <w:ilvl w:val="0"/>
          <w:numId w:val="4"/>
        </w:numPr>
        <w:rPr>
          <w:lang w:val="fr-CA"/>
        </w:rPr>
      </w:pPr>
      <w:r w:rsidRPr="00050693">
        <w:rPr>
          <w:lang w:val="fr-CA"/>
        </w:rPr>
        <w:t>Comprendre le modèle d’opération du programme pour évaluer l’efficience de ses processus de planification, de coordination, de gestion et d’utilisation des ressources</w:t>
      </w:r>
      <w:r w:rsidR="0089649B" w:rsidRPr="00050693">
        <w:rPr>
          <w:lang w:val="fr-CA"/>
        </w:rPr>
        <w:t>, tout en identifiant les contraintes et les</w:t>
      </w:r>
      <w:r w:rsidRPr="00050693">
        <w:rPr>
          <w:lang w:val="fr-CA"/>
        </w:rPr>
        <w:t xml:space="preserve"> facteurs de succès</w:t>
      </w:r>
      <w:r w:rsidR="007B0F91" w:rsidRPr="00050693">
        <w:rPr>
          <w:lang w:val="fr-CA"/>
        </w:rPr>
        <w:t>.</w:t>
      </w:r>
    </w:p>
    <w:p w:rsidR="0011300F" w:rsidRPr="00050693" w:rsidRDefault="00136550" w:rsidP="0038607C">
      <w:pPr>
        <w:pStyle w:val="NoSpacing"/>
        <w:numPr>
          <w:ilvl w:val="0"/>
          <w:numId w:val="4"/>
        </w:numPr>
        <w:rPr>
          <w:szCs w:val="22"/>
          <w:lang w:val="fr-CA"/>
        </w:rPr>
      </w:pPr>
      <w:r w:rsidRPr="00050693">
        <w:rPr>
          <w:lang w:val="fr-CA"/>
        </w:rPr>
        <w:t xml:space="preserve">Déterminer l’efficacité du programme et sa contribution à la </w:t>
      </w:r>
      <w:r w:rsidRPr="00050693">
        <w:rPr>
          <w:noProof/>
          <w:lang w:val="fr-CA"/>
        </w:rPr>
        <w:t>réalisation des objectifs du volet thématique</w:t>
      </w:r>
      <w:r w:rsidR="0013473B" w:rsidRPr="00050693">
        <w:rPr>
          <w:lang w:val="fr-FR"/>
        </w:rPr>
        <w:t>« </w:t>
      </w:r>
      <w:r w:rsidR="0013473B" w:rsidRPr="00050693">
        <w:rPr>
          <w:i/>
          <w:lang w:val="fr-FR"/>
        </w:rPr>
        <w:t xml:space="preserve">Egalité des sexes et </w:t>
      </w:r>
      <w:r w:rsidR="0013473B" w:rsidRPr="00123C70">
        <w:rPr>
          <w:lang w:val="fr-FR"/>
        </w:rPr>
        <w:t>autonomisation</w:t>
      </w:r>
      <w:r w:rsidR="0013473B" w:rsidRPr="00050693">
        <w:rPr>
          <w:i/>
          <w:lang w:val="fr-FR"/>
        </w:rPr>
        <w:t xml:space="preserve"> des femmes</w:t>
      </w:r>
      <w:r w:rsidR="0013473B" w:rsidRPr="00050693">
        <w:rPr>
          <w:lang w:val="fr-FR"/>
        </w:rPr>
        <w:t> » </w:t>
      </w:r>
      <w:r w:rsidRPr="00050693">
        <w:rPr>
          <w:noProof/>
          <w:lang w:val="fr-CA"/>
        </w:rPr>
        <w:t xml:space="preserve"> ainsi qu’à celle des </w:t>
      </w:r>
      <w:r w:rsidR="007B0F91" w:rsidRPr="00050693">
        <w:rPr>
          <w:noProof/>
          <w:lang w:val="fr-CA"/>
        </w:rPr>
        <w:t>OMDs</w:t>
      </w:r>
      <w:r w:rsidRPr="00050693">
        <w:rPr>
          <w:noProof/>
          <w:lang w:val="fr-CA"/>
        </w:rPr>
        <w:t xml:space="preserve"> au niveau local.</w:t>
      </w:r>
    </w:p>
    <w:p w:rsidR="00654A74" w:rsidRPr="0031650C" w:rsidRDefault="00654A74" w:rsidP="007B0F91">
      <w:pPr>
        <w:pStyle w:val="NoSpacing"/>
        <w:rPr>
          <w:color w:val="FF0000"/>
          <w:szCs w:val="22"/>
          <w:lang w:val="fr-CA"/>
        </w:rPr>
      </w:pPr>
    </w:p>
    <w:p w:rsidR="0011300F" w:rsidRPr="00050693" w:rsidRDefault="0011300F" w:rsidP="0011300F">
      <w:pPr>
        <w:pStyle w:val="UNDPTitle1"/>
        <w:outlineLvl w:val="1"/>
        <w:rPr>
          <w:color w:val="auto"/>
        </w:rPr>
      </w:pPr>
      <w:bookmarkStart w:id="10" w:name="_Toc322342002"/>
      <w:r w:rsidRPr="00050693">
        <w:rPr>
          <w:color w:val="auto"/>
        </w:rPr>
        <w:t>La méthodologie de l’évaluation</w:t>
      </w:r>
      <w:bookmarkEnd w:id="10"/>
    </w:p>
    <w:p w:rsidR="00EA69F8" w:rsidRDefault="0011300F" w:rsidP="00EA69F8">
      <w:pPr>
        <w:numPr>
          <w:ilvl w:val="0"/>
          <w:numId w:val="1"/>
        </w:numPr>
        <w:spacing w:before="120" w:after="120"/>
        <w:ind w:left="0" w:firstLine="0"/>
        <w:jc w:val="both"/>
        <w:rPr>
          <w:rFonts w:ascii="Calibri" w:hAnsi="Calibri"/>
          <w:sz w:val="22"/>
          <w:lang w:val="fr-FR"/>
        </w:rPr>
      </w:pPr>
      <w:r w:rsidRPr="00050693">
        <w:rPr>
          <w:rFonts w:ascii="Calibri" w:hAnsi="Calibri"/>
          <w:sz w:val="22"/>
          <w:lang w:val="fr-FR"/>
        </w:rPr>
        <w:t>Tout au long de ses travaux</w:t>
      </w:r>
      <w:r w:rsidR="00050693">
        <w:rPr>
          <w:rFonts w:ascii="Calibri" w:hAnsi="Calibri"/>
          <w:sz w:val="22"/>
          <w:lang w:val="fr-FR"/>
        </w:rPr>
        <w:t xml:space="preserve"> dans le pays</w:t>
      </w:r>
      <w:r w:rsidRPr="00050693">
        <w:rPr>
          <w:rFonts w:ascii="Calibri" w:hAnsi="Calibri"/>
          <w:sz w:val="22"/>
          <w:lang w:val="fr-FR"/>
        </w:rPr>
        <w:t>, l’évaluation a adopté une approche participative pour la collecte des données et des informations qui ont permis d’apprécier les résultats obtenus et les obstacles à la bonne mise en œuvre du programme</w:t>
      </w:r>
      <w:r w:rsidR="0065340E" w:rsidRPr="00050693">
        <w:rPr>
          <w:rFonts w:ascii="Calibri" w:hAnsi="Calibri"/>
          <w:sz w:val="22"/>
          <w:lang w:val="fr-FR"/>
        </w:rPr>
        <w:t xml:space="preserve">. </w:t>
      </w:r>
    </w:p>
    <w:p w:rsidR="00EA69F8" w:rsidRPr="00EA69F8" w:rsidRDefault="00EA69F8" w:rsidP="00EA69F8">
      <w:pPr>
        <w:numPr>
          <w:ilvl w:val="0"/>
          <w:numId w:val="1"/>
        </w:numPr>
        <w:spacing w:before="120" w:after="120"/>
        <w:ind w:left="0" w:firstLine="0"/>
        <w:jc w:val="both"/>
        <w:rPr>
          <w:rFonts w:ascii="Calibri" w:hAnsi="Calibri"/>
          <w:sz w:val="22"/>
          <w:lang w:val="fr-FR"/>
        </w:rPr>
      </w:pPr>
      <w:r w:rsidRPr="00EA69F8">
        <w:rPr>
          <w:rFonts w:ascii="Calibri" w:hAnsi="Calibri"/>
          <w:sz w:val="22"/>
          <w:lang w:val="fr-FR"/>
        </w:rPr>
        <w:lastRenderedPageBreak/>
        <w:t>Sur le plan méthodologique, la mission a été confrontée au problème des lacunes importantes du document de projet</w:t>
      </w:r>
      <w:r w:rsidR="001E3770">
        <w:rPr>
          <w:rFonts w:ascii="Calibri" w:hAnsi="Calibri"/>
          <w:sz w:val="22"/>
          <w:lang w:val="fr-FR"/>
        </w:rPr>
        <w:t xml:space="preserve">, </w:t>
      </w:r>
      <w:r w:rsidRPr="00EA69F8">
        <w:rPr>
          <w:rFonts w:ascii="Calibri" w:hAnsi="Calibri"/>
          <w:sz w:val="22"/>
          <w:lang w:val="fr-FR"/>
        </w:rPr>
        <w:t xml:space="preserve">notamment le manque de clarté </w:t>
      </w:r>
      <w:r w:rsidR="001E3770">
        <w:rPr>
          <w:rFonts w:ascii="Calibri" w:hAnsi="Calibri"/>
          <w:sz w:val="22"/>
          <w:lang w:val="fr-FR"/>
        </w:rPr>
        <w:t xml:space="preserve">dans la définition des interventions. S’agissant du caractère très ambitieux de nombreux objectifs spécifiques, </w:t>
      </w:r>
      <w:r w:rsidRPr="00EA69F8">
        <w:rPr>
          <w:rFonts w:ascii="Calibri" w:hAnsi="Calibri"/>
          <w:sz w:val="22"/>
          <w:lang w:val="fr-FR"/>
        </w:rPr>
        <w:t>de nombreuses parties prenantes ont soulevé le problème que l’évaluation des résultats du programme à la lumière de ces objectifs initiaux était injuste. En l’absence d’un Cadre de résultats ou document de projet révisé, cependant, la mission n’a pas disposé d’autre cadre de référence pour mener à bien ses travaux.</w:t>
      </w:r>
    </w:p>
    <w:p w:rsidR="0011300F" w:rsidRPr="00050693" w:rsidRDefault="0011300F" w:rsidP="00050693">
      <w:pPr>
        <w:numPr>
          <w:ilvl w:val="0"/>
          <w:numId w:val="1"/>
        </w:numPr>
        <w:spacing w:before="120" w:after="120"/>
        <w:ind w:left="0" w:firstLine="0"/>
        <w:jc w:val="both"/>
        <w:rPr>
          <w:rFonts w:ascii="Calibri" w:hAnsi="Calibri"/>
          <w:sz w:val="22"/>
          <w:lang w:val="fr-FR"/>
        </w:rPr>
      </w:pPr>
      <w:r w:rsidRPr="00050693">
        <w:rPr>
          <w:rFonts w:ascii="Calibri" w:hAnsi="Calibri"/>
          <w:sz w:val="22"/>
          <w:lang w:val="fr-FR"/>
        </w:rPr>
        <w:t>Après la revue documentaire qui a servi de base à la préparation du rapport préliminaire (</w:t>
      </w:r>
      <w:r w:rsidRPr="0013473B">
        <w:rPr>
          <w:rFonts w:ascii="Calibri" w:hAnsi="Calibri"/>
          <w:i/>
          <w:sz w:val="22"/>
          <w:lang w:val="fr-FR"/>
        </w:rPr>
        <w:t xml:space="preserve">voir la liste détaillée de la documentation consultée à l’Annexe </w:t>
      </w:r>
      <w:r w:rsidR="00656207" w:rsidRPr="0013473B">
        <w:rPr>
          <w:rFonts w:ascii="Calibri" w:hAnsi="Calibri"/>
          <w:i/>
          <w:sz w:val="22"/>
          <w:lang w:val="fr-FR"/>
        </w:rPr>
        <w:t>5</w:t>
      </w:r>
      <w:r w:rsidRPr="00050693">
        <w:rPr>
          <w:rFonts w:ascii="Calibri" w:hAnsi="Calibri"/>
          <w:sz w:val="22"/>
          <w:lang w:val="fr-FR"/>
        </w:rPr>
        <w:t xml:space="preserve">), les méthodes suivantes ont été utilisées à </w:t>
      </w:r>
      <w:r w:rsidR="00050693">
        <w:rPr>
          <w:rFonts w:ascii="Calibri" w:hAnsi="Calibri"/>
          <w:sz w:val="22"/>
          <w:lang w:val="fr-FR"/>
        </w:rPr>
        <w:t>Alger</w:t>
      </w:r>
      <w:r w:rsidRPr="00050693">
        <w:rPr>
          <w:rFonts w:ascii="Calibri" w:hAnsi="Calibri"/>
          <w:sz w:val="22"/>
          <w:lang w:val="fr-FR"/>
        </w:rPr>
        <w:t xml:space="preserve"> et </w:t>
      </w:r>
      <w:r w:rsidR="00050693">
        <w:rPr>
          <w:rFonts w:ascii="Calibri" w:hAnsi="Calibri"/>
          <w:sz w:val="22"/>
          <w:lang w:val="fr-FR"/>
        </w:rPr>
        <w:t>Tamanrasset</w:t>
      </w:r>
      <w:r w:rsidRPr="00050693">
        <w:rPr>
          <w:rFonts w:ascii="Calibri" w:hAnsi="Calibri"/>
          <w:sz w:val="22"/>
          <w:lang w:val="fr-FR"/>
        </w:rPr>
        <w:t> :</w:t>
      </w:r>
    </w:p>
    <w:p w:rsidR="00050693" w:rsidRDefault="0011300F" w:rsidP="00050693">
      <w:pPr>
        <w:numPr>
          <w:ilvl w:val="0"/>
          <w:numId w:val="1"/>
        </w:numPr>
        <w:spacing w:before="120" w:after="120"/>
        <w:ind w:left="0" w:firstLine="0"/>
        <w:jc w:val="both"/>
        <w:rPr>
          <w:rFonts w:ascii="Calibri" w:hAnsi="Calibri"/>
          <w:sz w:val="22"/>
          <w:lang w:val="fr-FR"/>
        </w:rPr>
      </w:pPr>
      <w:r w:rsidRPr="00050693">
        <w:rPr>
          <w:rFonts w:ascii="Calibri" w:hAnsi="Calibri"/>
          <w:b/>
          <w:sz w:val="22"/>
          <w:lang w:val="fr-FR"/>
        </w:rPr>
        <w:t>Entretiens avec les informateurs clés</w:t>
      </w:r>
      <w:r w:rsidRPr="00050693">
        <w:rPr>
          <w:rFonts w:ascii="Calibri" w:hAnsi="Calibri"/>
          <w:sz w:val="22"/>
          <w:lang w:val="fr-FR"/>
        </w:rPr>
        <w:t xml:space="preserve"> : Cette méthode d’entretien semi-structuré à questions ouvertes mené auprès </w:t>
      </w:r>
      <w:r w:rsidR="00D03C02">
        <w:rPr>
          <w:rFonts w:ascii="Calibri" w:hAnsi="Calibri"/>
          <w:sz w:val="22"/>
          <w:lang w:val="fr-FR"/>
        </w:rPr>
        <w:t>des Points Focaux, des</w:t>
      </w:r>
      <w:r w:rsidR="005E13FD">
        <w:rPr>
          <w:rFonts w:ascii="Calibri" w:hAnsi="Calibri"/>
          <w:sz w:val="22"/>
          <w:lang w:val="fr-FR"/>
        </w:rPr>
        <w:t xml:space="preserve"> partenaires des agences des NU</w:t>
      </w:r>
      <w:r w:rsidR="00D03C02">
        <w:rPr>
          <w:rFonts w:ascii="Calibri" w:hAnsi="Calibri"/>
          <w:sz w:val="22"/>
          <w:lang w:val="fr-FR"/>
        </w:rPr>
        <w:t xml:space="preserve"> et d’autres parties prenantes clés</w:t>
      </w:r>
      <w:r w:rsidR="00D03C02" w:rsidRPr="00D03C02">
        <w:rPr>
          <w:rFonts w:ascii="Calibri" w:hAnsi="Calibri"/>
          <w:sz w:val="22"/>
          <w:lang w:val="fr-FR"/>
        </w:rPr>
        <w:t xml:space="preserve"> </w:t>
      </w:r>
      <w:r w:rsidR="00D03C02" w:rsidRPr="00050693">
        <w:rPr>
          <w:rFonts w:ascii="Calibri" w:hAnsi="Calibri"/>
          <w:sz w:val="22"/>
          <w:lang w:val="fr-FR"/>
        </w:rPr>
        <w:t>a été utilisée</w:t>
      </w:r>
      <w:r w:rsidR="00D03C02">
        <w:rPr>
          <w:rFonts w:ascii="Calibri" w:hAnsi="Calibri"/>
          <w:sz w:val="22"/>
          <w:lang w:val="fr-FR"/>
        </w:rPr>
        <w:t xml:space="preserve">, à Alger et Tamanrasset, </w:t>
      </w:r>
      <w:r w:rsidRPr="00050693">
        <w:rPr>
          <w:rFonts w:ascii="Calibri" w:hAnsi="Calibri"/>
          <w:sz w:val="22"/>
          <w:lang w:val="fr-FR"/>
        </w:rPr>
        <w:t>pour obtenir une compréhension approfondie sur des aspects qualitatifs précis ou pour trianguler l’information collectée par d’autres méthodes</w:t>
      </w:r>
      <w:r w:rsidR="00D03C02">
        <w:rPr>
          <w:rFonts w:ascii="Calibri" w:hAnsi="Calibri"/>
          <w:sz w:val="22"/>
          <w:lang w:val="fr-FR"/>
        </w:rPr>
        <w:t xml:space="preserve">. </w:t>
      </w:r>
      <w:r w:rsidRPr="00050693">
        <w:rPr>
          <w:rFonts w:ascii="Calibri" w:hAnsi="Calibri"/>
          <w:sz w:val="22"/>
          <w:lang w:val="fr-FR"/>
        </w:rPr>
        <w:t>Ce type d’entretien a permis d’approfondir certaines questions clés sur le contexte de mise en œuvre et les principaux obstacles, et d’obtenir des suggestions et recommandations utiles. Les informations recueillies par cette méthode ont été analysées en tenant compte du risque de biais dans les opinions ou de non-représentativité des vues d’une population plus large.</w:t>
      </w:r>
    </w:p>
    <w:p w:rsidR="0011300F" w:rsidRPr="00050693" w:rsidRDefault="0011300F" w:rsidP="00050693">
      <w:pPr>
        <w:numPr>
          <w:ilvl w:val="0"/>
          <w:numId w:val="1"/>
        </w:numPr>
        <w:spacing w:before="120" w:after="120"/>
        <w:ind w:left="0" w:firstLine="0"/>
        <w:jc w:val="both"/>
        <w:rPr>
          <w:rFonts w:ascii="Calibri" w:hAnsi="Calibri"/>
          <w:sz w:val="22"/>
          <w:lang w:val="fr-FR"/>
        </w:rPr>
      </w:pPr>
      <w:r w:rsidRPr="00D03C02">
        <w:rPr>
          <w:rFonts w:ascii="Calibri" w:hAnsi="Calibri"/>
          <w:b/>
          <w:sz w:val="22"/>
          <w:lang w:val="fr-FR"/>
        </w:rPr>
        <w:t>Entretiens de groupe :</w:t>
      </w:r>
      <w:r w:rsidRPr="00050693">
        <w:rPr>
          <w:rFonts w:ascii="Calibri" w:hAnsi="Calibri"/>
          <w:sz w:val="22"/>
          <w:lang w:val="fr-FR"/>
        </w:rPr>
        <w:t xml:space="preserve"> Cette méthode a permis de recueillir les vues, perceptions et les idées </w:t>
      </w:r>
      <w:r w:rsidR="00D03C02">
        <w:rPr>
          <w:rFonts w:ascii="Calibri" w:hAnsi="Calibri"/>
          <w:sz w:val="22"/>
          <w:lang w:val="fr-FR"/>
        </w:rPr>
        <w:t>d’un groupe de femmes atteintes du VIH</w:t>
      </w:r>
      <w:r w:rsidR="005E13FD">
        <w:rPr>
          <w:rFonts w:ascii="Calibri" w:hAnsi="Calibri"/>
          <w:sz w:val="22"/>
          <w:lang w:val="fr-FR"/>
        </w:rPr>
        <w:t>/</w:t>
      </w:r>
      <w:r w:rsidR="00D03C02">
        <w:rPr>
          <w:rFonts w:ascii="Calibri" w:hAnsi="Calibri"/>
          <w:sz w:val="22"/>
          <w:lang w:val="fr-FR"/>
        </w:rPr>
        <w:t xml:space="preserve">SIDA à Tamanrasset. </w:t>
      </w:r>
      <w:r w:rsidRPr="00050693">
        <w:rPr>
          <w:rFonts w:ascii="Calibri" w:hAnsi="Calibri"/>
          <w:sz w:val="22"/>
          <w:lang w:val="fr-FR"/>
        </w:rPr>
        <w:t>Ce</w:t>
      </w:r>
      <w:r w:rsidR="00D03C02">
        <w:rPr>
          <w:rFonts w:ascii="Calibri" w:hAnsi="Calibri"/>
          <w:sz w:val="22"/>
          <w:lang w:val="fr-FR"/>
        </w:rPr>
        <w:t>t entretien libre</w:t>
      </w:r>
      <w:r w:rsidRPr="00050693">
        <w:rPr>
          <w:rFonts w:ascii="Calibri" w:hAnsi="Calibri"/>
          <w:sz w:val="22"/>
          <w:lang w:val="fr-FR"/>
        </w:rPr>
        <w:t xml:space="preserve"> </w:t>
      </w:r>
      <w:r w:rsidR="00D03C02">
        <w:rPr>
          <w:rFonts w:ascii="Calibri" w:hAnsi="Calibri"/>
          <w:sz w:val="22"/>
          <w:lang w:val="fr-FR"/>
        </w:rPr>
        <w:t xml:space="preserve">a été structuré </w:t>
      </w:r>
      <w:r w:rsidRPr="00050693">
        <w:rPr>
          <w:rFonts w:ascii="Calibri" w:hAnsi="Calibri"/>
          <w:sz w:val="22"/>
          <w:lang w:val="fr-FR"/>
        </w:rPr>
        <w:t xml:space="preserve">autour d’un nombre limité de questions préalablement définies et qui ont servi de base à la stimulation de la discussion. </w:t>
      </w:r>
    </w:p>
    <w:p w:rsidR="0011300F" w:rsidRPr="00050693" w:rsidRDefault="0011300F" w:rsidP="00050693">
      <w:pPr>
        <w:numPr>
          <w:ilvl w:val="0"/>
          <w:numId w:val="1"/>
        </w:numPr>
        <w:spacing w:before="120" w:after="120"/>
        <w:ind w:left="0" w:firstLine="0"/>
        <w:jc w:val="both"/>
        <w:rPr>
          <w:rFonts w:ascii="Calibri" w:hAnsi="Calibri"/>
          <w:sz w:val="22"/>
          <w:lang w:val="fr-FR"/>
        </w:rPr>
      </w:pPr>
      <w:r w:rsidRPr="00D03C02">
        <w:rPr>
          <w:rFonts w:ascii="Calibri" w:hAnsi="Calibri"/>
          <w:b/>
          <w:sz w:val="22"/>
          <w:lang w:val="fr-FR"/>
        </w:rPr>
        <w:t>Observation directe :</w:t>
      </w:r>
      <w:r w:rsidRPr="00050693">
        <w:rPr>
          <w:rFonts w:ascii="Calibri" w:hAnsi="Calibri"/>
          <w:sz w:val="22"/>
          <w:lang w:val="fr-FR"/>
        </w:rPr>
        <w:t xml:space="preserve"> Cette méthode </w:t>
      </w:r>
      <w:r w:rsidR="00D03C02">
        <w:rPr>
          <w:rFonts w:ascii="Calibri" w:hAnsi="Calibri"/>
          <w:sz w:val="22"/>
          <w:lang w:val="fr-FR"/>
        </w:rPr>
        <w:t>qui</w:t>
      </w:r>
      <w:r w:rsidRPr="00050693">
        <w:rPr>
          <w:rFonts w:ascii="Calibri" w:hAnsi="Calibri"/>
          <w:sz w:val="22"/>
          <w:lang w:val="fr-FR"/>
        </w:rPr>
        <w:t xml:space="preserve"> consist</w:t>
      </w:r>
      <w:r w:rsidR="00D03C02">
        <w:rPr>
          <w:rFonts w:ascii="Calibri" w:hAnsi="Calibri"/>
          <w:sz w:val="22"/>
          <w:lang w:val="fr-FR"/>
        </w:rPr>
        <w:t>e</w:t>
      </w:r>
      <w:r w:rsidRPr="00050693">
        <w:rPr>
          <w:rFonts w:ascii="Calibri" w:hAnsi="Calibri"/>
          <w:sz w:val="22"/>
          <w:lang w:val="fr-FR"/>
        </w:rPr>
        <w:t xml:space="preserve"> à visiter </w:t>
      </w:r>
      <w:r w:rsidR="00D03C02">
        <w:rPr>
          <w:rFonts w:ascii="Calibri" w:hAnsi="Calibri"/>
          <w:sz w:val="22"/>
          <w:lang w:val="fr-FR"/>
        </w:rPr>
        <w:t>les</w:t>
      </w:r>
      <w:r w:rsidRPr="00050693">
        <w:rPr>
          <w:rFonts w:ascii="Calibri" w:hAnsi="Calibri"/>
          <w:sz w:val="22"/>
          <w:lang w:val="fr-FR"/>
        </w:rPr>
        <w:t xml:space="preserve"> sites d’intervention</w:t>
      </w:r>
      <w:r w:rsidR="00D03C02">
        <w:rPr>
          <w:rFonts w:ascii="Calibri" w:hAnsi="Calibri"/>
          <w:sz w:val="22"/>
          <w:lang w:val="fr-FR"/>
        </w:rPr>
        <w:t xml:space="preserve"> d’un programme</w:t>
      </w:r>
      <w:r w:rsidRPr="00050693">
        <w:rPr>
          <w:rFonts w:ascii="Calibri" w:hAnsi="Calibri"/>
          <w:sz w:val="22"/>
          <w:lang w:val="fr-FR"/>
        </w:rPr>
        <w:t xml:space="preserve"> afin de se rendre compte de la qualité</w:t>
      </w:r>
      <w:r w:rsidR="00D03C02">
        <w:rPr>
          <w:rFonts w:ascii="Calibri" w:hAnsi="Calibri"/>
          <w:sz w:val="22"/>
          <w:lang w:val="fr-FR"/>
        </w:rPr>
        <w:t xml:space="preserve"> des services</w:t>
      </w:r>
      <w:r w:rsidRPr="00050693">
        <w:rPr>
          <w:rFonts w:ascii="Calibri" w:hAnsi="Calibri"/>
          <w:sz w:val="22"/>
          <w:lang w:val="fr-FR"/>
        </w:rPr>
        <w:t>, de l’état et du niveau d’utilisation des infrastructures et autres réalisations physiques, tout en s’attachant à apprécier le contexte général et immédiat de la mise en œuvre</w:t>
      </w:r>
      <w:r w:rsidR="00D03C02">
        <w:rPr>
          <w:rFonts w:ascii="Calibri" w:hAnsi="Calibri"/>
          <w:sz w:val="22"/>
          <w:lang w:val="fr-FR"/>
        </w:rPr>
        <w:t>, n’a pu être vraiment utilisée qu’à Tamanrasset, lors de la visite de la mission à l’hôpital de la ville qui accueille les femmes bénéficiaires, au Centre de Formation Professionnelle et à l’agence de l’ANGEM</w:t>
      </w:r>
      <w:r w:rsidR="008D3DEA">
        <w:rPr>
          <w:rFonts w:ascii="Calibri" w:hAnsi="Calibri"/>
          <w:sz w:val="22"/>
          <w:lang w:val="fr-FR"/>
        </w:rPr>
        <w:t>, ainsi qu’au domicile de trois bénéficiaires.</w:t>
      </w:r>
    </w:p>
    <w:p w:rsidR="002A3CD2" w:rsidRPr="00050693" w:rsidRDefault="002A3CD2" w:rsidP="002A3CD2">
      <w:pPr>
        <w:pStyle w:val="UNDPTitle1"/>
        <w:spacing w:before="360"/>
        <w:outlineLvl w:val="1"/>
        <w:rPr>
          <w:color w:val="auto"/>
        </w:rPr>
      </w:pPr>
      <w:bookmarkStart w:id="11" w:name="_Toc322342003"/>
      <w:r w:rsidRPr="00050693">
        <w:rPr>
          <w:color w:val="auto"/>
        </w:rPr>
        <w:t>Les principales questions de l’évaluation</w:t>
      </w:r>
      <w:bookmarkEnd w:id="11"/>
    </w:p>
    <w:p w:rsidR="002A3CD2" w:rsidRPr="00D03C02" w:rsidRDefault="002A3CD2" w:rsidP="00050693">
      <w:pPr>
        <w:numPr>
          <w:ilvl w:val="0"/>
          <w:numId w:val="1"/>
        </w:numPr>
        <w:spacing w:before="120" w:after="120"/>
        <w:ind w:left="0" w:firstLine="0"/>
        <w:jc w:val="both"/>
        <w:rPr>
          <w:rFonts w:ascii="Calibri" w:hAnsi="Calibri"/>
          <w:sz w:val="22"/>
          <w:lang w:val="fr-FR"/>
        </w:rPr>
      </w:pPr>
      <w:r w:rsidRPr="00D03C02">
        <w:rPr>
          <w:rFonts w:ascii="Calibri" w:hAnsi="Calibri"/>
          <w:sz w:val="22"/>
          <w:lang w:val="fr-FR"/>
        </w:rPr>
        <w:t xml:space="preserve">L’évaluation s’est attachée à apprécier la pertinence du programme conjoint, l’efficience et l’efficacité des processus de sa mise en œuvre, ainsi que la qualité des réalisations </w:t>
      </w:r>
      <w:r w:rsidR="00D03C02" w:rsidRPr="00D03C02">
        <w:rPr>
          <w:rFonts w:ascii="Calibri" w:hAnsi="Calibri"/>
          <w:sz w:val="22"/>
          <w:lang w:val="fr-FR"/>
        </w:rPr>
        <w:t>ou des processus de préparation des activités sur le point d’être lancées.</w:t>
      </w:r>
      <w:r w:rsidRPr="00D03C02">
        <w:rPr>
          <w:rFonts w:ascii="Calibri" w:hAnsi="Calibri"/>
          <w:sz w:val="22"/>
          <w:lang w:val="fr-FR"/>
        </w:rPr>
        <w:t xml:space="preserve"> L’évaluation a notamment cherché à répondre à chacune des questions suivantes.</w:t>
      </w:r>
    </w:p>
    <w:p w:rsidR="002A3CD2" w:rsidRDefault="002A3CD2" w:rsidP="00050693">
      <w:pPr>
        <w:numPr>
          <w:ilvl w:val="0"/>
          <w:numId w:val="1"/>
        </w:numPr>
        <w:spacing w:before="120" w:after="120"/>
        <w:ind w:left="0" w:firstLine="0"/>
        <w:jc w:val="both"/>
        <w:rPr>
          <w:rFonts w:asciiTheme="minorHAnsi" w:hAnsiTheme="minorHAnsi" w:cstheme="minorHAnsi"/>
          <w:sz w:val="22"/>
          <w:szCs w:val="22"/>
          <w:lang w:val="fr-CA"/>
        </w:rPr>
      </w:pPr>
      <w:r w:rsidRPr="00050693">
        <w:rPr>
          <w:rFonts w:asciiTheme="minorHAnsi" w:hAnsiTheme="minorHAnsi" w:cstheme="minorHAnsi"/>
          <w:b/>
          <w:sz w:val="22"/>
          <w:szCs w:val="22"/>
          <w:lang w:val="fr-CA"/>
        </w:rPr>
        <w:t xml:space="preserve">Pertinence des interventions. </w:t>
      </w:r>
      <w:r w:rsidRPr="00050693">
        <w:rPr>
          <w:rFonts w:asciiTheme="minorHAnsi" w:hAnsiTheme="minorHAnsi" w:cstheme="minorHAnsi"/>
          <w:sz w:val="22"/>
          <w:szCs w:val="22"/>
          <w:lang w:val="fr-CA"/>
        </w:rPr>
        <w:t xml:space="preserve">La principale question de l’évaluation a été de comprendre si la conception du projet et sa stratégie de mise en œuvre, telles </w:t>
      </w:r>
      <w:r w:rsidRPr="00050693">
        <w:rPr>
          <w:rFonts w:asciiTheme="minorHAnsi" w:hAnsiTheme="minorHAnsi" w:cstheme="minorHAnsi"/>
          <w:sz w:val="22"/>
          <w:szCs w:val="22"/>
          <w:lang w:val="fr-FR"/>
        </w:rPr>
        <w:t>que</w:t>
      </w:r>
      <w:r w:rsidRPr="00050693">
        <w:rPr>
          <w:rFonts w:asciiTheme="minorHAnsi" w:hAnsiTheme="minorHAnsi" w:cstheme="minorHAnsi"/>
          <w:sz w:val="22"/>
          <w:szCs w:val="22"/>
          <w:lang w:val="fr-CA"/>
        </w:rPr>
        <w:t xml:space="preserve"> définies initialement, semblaient pertinentes au regard de la problématique posée, et si elles le demeurent aujourd’hui au regard de l’évolution du contexte</w:t>
      </w:r>
      <w:r w:rsidR="00D03C02">
        <w:rPr>
          <w:rFonts w:asciiTheme="minorHAnsi" w:hAnsiTheme="minorHAnsi" w:cstheme="minorHAnsi"/>
          <w:sz w:val="22"/>
          <w:szCs w:val="22"/>
          <w:lang w:val="fr-CA"/>
        </w:rPr>
        <w:t>.</w:t>
      </w:r>
    </w:p>
    <w:p w:rsidR="00D03C02" w:rsidRPr="00050693" w:rsidRDefault="00D03C02" w:rsidP="00050693">
      <w:pPr>
        <w:numPr>
          <w:ilvl w:val="0"/>
          <w:numId w:val="1"/>
        </w:numPr>
        <w:spacing w:before="120" w:after="120"/>
        <w:ind w:left="0" w:firstLine="0"/>
        <w:jc w:val="both"/>
        <w:rPr>
          <w:rFonts w:asciiTheme="minorHAnsi" w:hAnsiTheme="minorHAnsi" w:cstheme="minorHAnsi"/>
          <w:sz w:val="22"/>
          <w:szCs w:val="22"/>
          <w:lang w:val="fr-CA"/>
        </w:rPr>
      </w:pPr>
      <w:r>
        <w:rPr>
          <w:rFonts w:asciiTheme="minorHAnsi" w:hAnsiTheme="minorHAnsi" w:cstheme="minorHAnsi"/>
          <w:b/>
          <w:sz w:val="22"/>
          <w:szCs w:val="22"/>
          <w:lang w:val="fr-CA"/>
        </w:rPr>
        <w:t>Qualité de la conception.</w:t>
      </w:r>
      <w:r>
        <w:rPr>
          <w:rFonts w:asciiTheme="minorHAnsi" w:hAnsiTheme="minorHAnsi" w:cstheme="minorHAnsi"/>
          <w:sz w:val="22"/>
          <w:szCs w:val="22"/>
          <w:lang w:val="fr-CA"/>
        </w:rPr>
        <w:t xml:space="preserve"> L’évaluation a tenté d’apprécier la qualité du document de projet, </w:t>
      </w:r>
      <w:r w:rsidR="00A85C22">
        <w:rPr>
          <w:rFonts w:asciiTheme="minorHAnsi" w:hAnsiTheme="minorHAnsi" w:cstheme="minorHAnsi"/>
          <w:sz w:val="22"/>
          <w:szCs w:val="22"/>
          <w:lang w:val="fr-CA"/>
        </w:rPr>
        <w:t>notamment</w:t>
      </w:r>
      <w:r>
        <w:rPr>
          <w:rFonts w:asciiTheme="minorHAnsi" w:hAnsiTheme="minorHAnsi" w:cstheme="minorHAnsi"/>
          <w:sz w:val="22"/>
          <w:szCs w:val="22"/>
          <w:lang w:val="fr-CA"/>
        </w:rPr>
        <w:t xml:space="preserve"> la clarté avec laquelle il a décrit les interventions et les processus de mise en œuvre,</w:t>
      </w:r>
      <w:r w:rsidR="00A85C22">
        <w:rPr>
          <w:rFonts w:asciiTheme="minorHAnsi" w:hAnsiTheme="minorHAnsi" w:cstheme="minorHAnsi"/>
          <w:sz w:val="22"/>
          <w:szCs w:val="22"/>
          <w:lang w:val="fr-CA"/>
        </w:rPr>
        <w:t xml:space="preserve"> le réalisme des objectifs,</w:t>
      </w:r>
      <w:r>
        <w:rPr>
          <w:rFonts w:asciiTheme="minorHAnsi" w:hAnsiTheme="minorHAnsi" w:cstheme="minorHAnsi"/>
          <w:sz w:val="22"/>
          <w:szCs w:val="22"/>
          <w:lang w:val="fr-CA"/>
        </w:rPr>
        <w:t xml:space="preserve"> les liens logiques entres les interventions et les effets ou impacts recherchés</w:t>
      </w:r>
      <w:r w:rsidR="0049406D">
        <w:rPr>
          <w:rFonts w:asciiTheme="minorHAnsi" w:hAnsiTheme="minorHAnsi" w:cstheme="minorHAnsi"/>
          <w:sz w:val="22"/>
          <w:szCs w:val="22"/>
          <w:lang w:val="fr-CA"/>
        </w:rPr>
        <w:t xml:space="preserve"> et les liens entre les moyens mis à disposition et les produits escomptés</w:t>
      </w:r>
      <w:r>
        <w:rPr>
          <w:rFonts w:asciiTheme="minorHAnsi" w:hAnsiTheme="minorHAnsi" w:cstheme="minorHAnsi"/>
          <w:sz w:val="22"/>
          <w:szCs w:val="22"/>
          <w:lang w:val="fr-CA"/>
        </w:rPr>
        <w:t>.</w:t>
      </w:r>
    </w:p>
    <w:p w:rsidR="00050693" w:rsidRDefault="002A3CD2" w:rsidP="00050693">
      <w:pPr>
        <w:numPr>
          <w:ilvl w:val="0"/>
          <w:numId w:val="1"/>
        </w:numPr>
        <w:spacing w:before="120" w:after="120"/>
        <w:ind w:left="0" w:firstLine="0"/>
        <w:jc w:val="both"/>
        <w:rPr>
          <w:rFonts w:asciiTheme="minorHAnsi" w:hAnsiTheme="minorHAnsi" w:cstheme="minorHAnsi"/>
          <w:sz w:val="22"/>
          <w:szCs w:val="22"/>
          <w:lang w:val="fr-CA"/>
        </w:rPr>
      </w:pPr>
      <w:r w:rsidRPr="00050693">
        <w:rPr>
          <w:rFonts w:asciiTheme="minorHAnsi" w:hAnsiTheme="minorHAnsi" w:cstheme="minorHAnsi"/>
          <w:b/>
          <w:sz w:val="22"/>
          <w:szCs w:val="22"/>
          <w:lang w:val="fr-CA"/>
        </w:rPr>
        <w:t xml:space="preserve">Efficience de la mise en œuvre: </w:t>
      </w:r>
      <w:r w:rsidRPr="00050693">
        <w:rPr>
          <w:rFonts w:asciiTheme="minorHAnsi" w:hAnsiTheme="minorHAnsi" w:cstheme="minorHAnsi"/>
          <w:sz w:val="22"/>
          <w:szCs w:val="22"/>
          <w:lang w:val="fr-CA"/>
        </w:rPr>
        <w:t xml:space="preserve">L’évaluation s’est attachée à apprécier la qualité de tous les processus établis pour la mise en œuvre du </w:t>
      </w:r>
      <w:r w:rsidRPr="00050693">
        <w:rPr>
          <w:rFonts w:asciiTheme="minorHAnsi" w:hAnsiTheme="minorHAnsi" w:cstheme="minorHAnsi"/>
          <w:sz w:val="22"/>
          <w:szCs w:val="22"/>
          <w:lang w:val="fr-FR"/>
        </w:rPr>
        <w:t>programme</w:t>
      </w:r>
      <w:r w:rsidRPr="00050693">
        <w:rPr>
          <w:rFonts w:asciiTheme="minorHAnsi" w:hAnsiTheme="minorHAnsi" w:cstheme="minorHAnsi"/>
          <w:sz w:val="22"/>
          <w:szCs w:val="22"/>
          <w:lang w:val="fr-CA"/>
        </w:rPr>
        <w:t xml:space="preserve">, tels que les processus de gestion, de planification, de coordination, de suivi et l’évaluation ou de communication, ainsi que </w:t>
      </w:r>
      <w:r w:rsidR="0049406D">
        <w:rPr>
          <w:rFonts w:asciiTheme="minorHAnsi" w:hAnsiTheme="minorHAnsi" w:cstheme="minorHAnsi"/>
          <w:sz w:val="22"/>
          <w:szCs w:val="22"/>
          <w:lang w:val="fr-CA"/>
        </w:rPr>
        <w:t>des principaux</w:t>
      </w:r>
      <w:r w:rsidRPr="00050693">
        <w:rPr>
          <w:rFonts w:asciiTheme="minorHAnsi" w:hAnsiTheme="minorHAnsi" w:cstheme="minorHAnsi"/>
          <w:sz w:val="22"/>
          <w:szCs w:val="22"/>
          <w:lang w:val="fr-CA"/>
        </w:rPr>
        <w:t xml:space="preserve"> processus décisionnels, de façon à évaluer leur efficience. Ce faisant, l’évaluation a tenté d’identifier les obstacles éventuels ou facteurs d’inefficacité et afin de proposer des mesures visant à les dépasser.</w:t>
      </w:r>
    </w:p>
    <w:p w:rsidR="001D2A5F" w:rsidRPr="001D2A5F" w:rsidRDefault="002A3CD2" w:rsidP="001D2A5F">
      <w:pPr>
        <w:numPr>
          <w:ilvl w:val="0"/>
          <w:numId w:val="1"/>
        </w:numPr>
        <w:spacing w:before="120" w:after="120"/>
        <w:ind w:left="0" w:firstLine="0"/>
        <w:jc w:val="both"/>
        <w:rPr>
          <w:rFonts w:asciiTheme="minorHAnsi" w:hAnsiTheme="minorHAnsi" w:cstheme="minorHAnsi"/>
          <w:sz w:val="22"/>
          <w:szCs w:val="22"/>
          <w:lang w:val="fr-CA"/>
        </w:rPr>
      </w:pPr>
      <w:r w:rsidRPr="00A85C22">
        <w:rPr>
          <w:rFonts w:asciiTheme="minorHAnsi" w:hAnsiTheme="minorHAnsi" w:cstheme="minorHAnsi"/>
          <w:b/>
          <w:sz w:val="22"/>
          <w:szCs w:val="22"/>
          <w:lang w:val="fr-CA"/>
        </w:rPr>
        <w:lastRenderedPageBreak/>
        <w:t>Atteinte des résultats :</w:t>
      </w:r>
      <w:r w:rsidRPr="00A85C22">
        <w:rPr>
          <w:rFonts w:asciiTheme="minorHAnsi" w:hAnsiTheme="minorHAnsi" w:cstheme="minorHAnsi"/>
          <w:sz w:val="22"/>
          <w:szCs w:val="22"/>
          <w:lang w:val="fr-CA"/>
        </w:rPr>
        <w:t xml:space="preserve"> L’évaluation a tenté d’apprécier l’efficacité générale de la mise en œuvre, c’est à dire la mesure dans laquelle les résultats attendus ont été produits et sont conformes aux attentes; ainsi que la mesure dans laquelle il est vraisemblable de penser que le programme atteindra ses objectifs d’ici à la fin de la période de mise en œuvre. </w:t>
      </w:r>
    </w:p>
    <w:p w:rsidR="0011300F" w:rsidRPr="00A85C22" w:rsidRDefault="0011300F" w:rsidP="002506C9">
      <w:pPr>
        <w:pStyle w:val="UNDPTitle1"/>
        <w:spacing w:before="360"/>
        <w:outlineLvl w:val="1"/>
        <w:rPr>
          <w:color w:val="auto"/>
        </w:rPr>
      </w:pPr>
      <w:bookmarkStart w:id="12" w:name="_Toc322342004"/>
      <w:r w:rsidRPr="00A85C22">
        <w:rPr>
          <w:color w:val="auto"/>
        </w:rPr>
        <w:t>Les contraintes et les limites de l’évaluation</w:t>
      </w:r>
      <w:bookmarkEnd w:id="12"/>
    </w:p>
    <w:p w:rsidR="000F769B" w:rsidRDefault="0065340E" w:rsidP="00123C70">
      <w:pPr>
        <w:pStyle w:val="NoSpacing"/>
        <w:numPr>
          <w:ilvl w:val="0"/>
          <w:numId w:val="1"/>
        </w:numPr>
        <w:ind w:left="0" w:firstLine="0"/>
        <w:rPr>
          <w:lang w:val="fr-CA"/>
        </w:rPr>
      </w:pPr>
      <w:r w:rsidRPr="002506C9">
        <w:rPr>
          <w:lang w:val="fr-CA"/>
        </w:rPr>
        <w:t xml:space="preserve">Le </w:t>
      </w:r>
      <w:r w:rsidRPr="00123C70">
        <w:rPr>
          <w:lang w:val="fr-FR"/>
        </w:rPr>
        <w:t>manque</w:t>
      </w:r>
      <w:r w:rsidRPr="002506C9">
        <w:rPr>
          <w:lang w:val="fr-CA"/>
        </w:rPr>
        <w:t xml:space="preserve"> de temps </w:t>
      </w:r>
      <w:r w:rsidR="00A85C22">
        <w:rPr>
          <w:lang w:val="fr-CA"/>
        </w:rPr>
        <w:t>dans la capitale et sur le terrain</w:t>
      </w:r>
      <w:r w:rsidRPr="002506C9">
        <w:rPr>
          <w:lang w:val="fr-CA"/>
        </w:rPr>
        <w:t xml:space="preserve"> a été le principal obstacle rencontré par la mission pour mener à bien ses travaux</w:t>
      </w:r>
      <w:r w:rsidR="007010D7" w:rsidRPr="002506C9">
        <w:rPr>
          <w:lang w:val="fr-CA"/>
        </w:rPr>
        <w:t xml:space="preserve"> dans des conditions optimales</w:t>
      </w:r>
      <w:r w:rsidRPr="002506C9">
        <w:rPr>
          <w:lang w:val="fr-CA"/>
        </w:rPr>
        <w:t xml:space="preserve">. </w:t>
      </w:r>
      <w:r w:rsidR="000F769B">
        <w:rPr>
          <w:lang w:val="fr-CA"/>
        </w:rPr>
        <w:t xml:space="preserve">Étant donné l’ampleur du programme, il aurait été </w:t>
      </w:r>
      <w:r w:rsidR="0049406D">
        <w:rPr>
          <w:lang w:val="fr-CA"/>
        </w:rPr>
        <w:t xml:space="preserve">également </w:t>
      </w:r>
      <w:r w:rsidR="000F769B">
        <w:rPr>
          <w:lang w:val="fr-CA"/>
        </w:rPr>
        <w:t>souhaitable qu’</w:t>
      </w:r>
      <w:r w:rsidR="001D366D">
        <w:rPr>
          <w:lang w:val="fr-CA"/>
        </w:rPr>
        <w:t xml:space="preserve">un deuxième consultant, qui connaisse déjà le contexte du pays, </w:t>
      </w:r>
      <w:r w:rsidR="000F769B">
        <w:rPr>
          <w:lang w:val="fr-CA"/>
        </w:rPr>
        <w:t xml:space="preserve">appuie les travaux </w:t>
      </w:r>
      <w:r w:rsidR="001D366D">
        <w:rPr>
          <w:lang w:val="fr-CA"/>
        </w:rPr>
        <w:t>du consultant principal.</w:t>
      </w:r>
    </w:p>
    <w:p w:rsidR="0065340E" w:rsidRPr="002506C9" w:rsidRDefault="0065340E" w:rsidP="00123C70">
      <w:pPr>
        <w:pStyle w:val="NoSpacing"/>
        <w:numPr>
          <w:ilvl w:val="0"/>
          <w:numId w:val="1"/>
        </w:numPr>
        <w:ind w:left="0" w:firstLine="0"/>
        <w:rPr>
          <w:lang w:val="fr-CA"/>
        </w:rPr>
      </w:pPr>
      <w:r w:rsidRPr="002506C9">
        <w:rPr>
          <w:lang w:val="fr-CA"/>
        </w:rPr>
        <w:t xml:space="preserve">Les </w:t>
      </w:r>
      <w:r w:rsidRPr="00123C70">
        <w:rPr>
          <w:lang w:val="fr-FR"/>
        </w:rPr>
        <w:t>limites</w:t>
      </w:r>
      <w:r w:rsidRPr="002506C9">
        <w:rPr>
          <w:lang w:val="fr-CA"/>
        </w:rPr>
        <w:t xml:space="preserve"> de l’évaluation </w:t>
      </w:r>
      <w:r w:rsidR="000F769B">
        <w:rPr>
          <w:lang w:val="fr-CA"/>
        </w:rPr>
        <w:t>dérivent d</w:t>
      </w:r>
      <w:r w:rsidRPr="002506C9">
        <w:rPr>
          <w:lang w:val="fr-CA"/>
        </w:rPr>
        <w:t xml:space="preserve">es </w:t>
      </w:r>
      <w:r w:rsidR="001D2A5F">
        <w:rPr>
          <w:lang w:val="fr-CA"/>
        </w:rPr>
        <w:t xml:space="preserve">autres </w:t>
      </w:r>
      <w:r w:rsidR="000F769B">
        <w:rPr>
          <w:lang w:val="fr-CA"/>
        </w:rPr>
        <w:t>contraintes</w:t>
      </w:r>
      <w:r w:rsidRPr="002506C9">
        <w:rPr>
          <w:lang w:val="fr-CA"/>
        </w:rPr>
        <w:t xml:space="preserve"> suivant</w:t>
      </w:r>
      <w:r w:rsidR="000F769B">
        <w:rPr>
          <w:lang w:val="fr-CA"/>
        </w:rPr>
        <w:t>e</w:t>
      </w:r>
      <w:r w:rsidRPr="002506C9">
        <w:rPr>
          <w:lang w:val="fr-CA"/>
        </w:rPr>
        <w:t>s :</w:t>
      </w:r>
    </w:p>
    <w:p w:rsidR="002506C9" w:rsidRPr="00A85C22" w:rsidRDefault="00A85C22" w:rsidP="0038607C">
      <w:pPr>
        <w:pStyle w:val="NoSpacing"/>
        <w:numPr>
          <w:ilvl w:val="0"/>
          <w:numId w:val="7"/>
        </w:numPr>
        <w:rPr>
          <w:lang w:val="fr-CA"/>
        </w:rPr>
      </w:pPr>
      <w:r w:rsidRPr="00A85C22">
        <w:rPr>
          <w:b/>
          <w:lang w:val="fr-CA"/>
        </w:rPr>
        <w:t>Le p</w:t>
      </w:r>
      <w:r w:rsidR="002506C9" w:rsidRPr="00A85C22">
        <w:rPr>
          <w:b/>
          <w:lang w:val="fr-CA"/>
        </w:rPr>
        <w:t>eu de temps consacré aux entretiens individuels</w:t>
      </w:r>
      <w:r w:rsidRPr="00A85C22">
        <w:rPr>
          <w:lang w:val="fr-CA"/>
        </w:rPr>
        <w:t xml:space="preserve"> : étant donné le très grand nombre de partenaires directs et de parties prenantes, </w:t>
      </w:r>
      <w:r>
        <w:rPr>
          <w:lang w:val="fr-CA"/>
        </w:rPr>
        <w:t>la mission a dû enchaîner les entretiens les uns après les autres et ces entretiens individuels n’ont pu excéder une durée d’une heure, en moyenne, ce qui est peu.</w:t>
      </w:r>
    </w:p>
    <w:p w:rsidR="007010D7" w:rsidRDefault="00A85C22" w:rsidP="0038607C">
      <w:pPr>
        <w:pStyle w:val="NoSpacing"/>
        <w:numPr>
          <w:ilvl w:val="0"/>
          <w:numId w:val="7"/>
        </w:numPr>
        <w:rPr>
          <w:lang w:val="fr-CA"/>
        </w:rPr>
      </w:pPr>
      <w:r w:rsidRPr="00A85C22">
        <w:rPr>
          <w:b/>
          <w:lang w:val="fr-CA"/>
        </w:rPr>
        <w:t>Très</w:t>
      </w:r>
      <w:r w:rsidR="002729F9" w:rsidRPr="00A85C22">
        <w:rPr>
          <w:b/>
          <w:lang w:val="fr-CA"/>
        </w:rPr>
        <w:t xml:space="preserve"> faible niveau d’activité.</w:t>
      </w:r>
      <w:r w:rsidR="002729F9" w:rsidRPr="002729F9">
        <w:rPr>
          <w:lang w:val="fr-CA"/>
        </w:rPr>
        <w:t xml:space="preserve"> </w:t>
      </w:r>
      <w:r>
        <w:rPr>
          <w:lang w:val="fr-CA"/>
        </w:rPr>
        <w:t>Du fait du grand retard dans la mise en œuvre, peu d’interventions se sont déjà soldées par un résultat abouti, concret et tangible. Pour un très grand nombre d’activités,</w:t>
      </w:r>
      <w:r w:rsidR="00B80BFA">
        <w:rPr>
          <w:lang w:val="fr-CA"/>
        </w:rPr>
        <w:t xml:space="preserve"> </w:t>
      </w:r>
      <w:r>
        <w:rPr>
          <w:lang w:val="fr-CA"/>
        </w:rPr>
        <w:t>la mission n’a pu travailler que sur la base de la lecture de TdR ou de compte-rendus d’ateliers</w:t>
      </w:r>
      <w:r w:rsidR="000F769B">
        <w:rPr>
          <w:lang w:val="fr-CA"/>
        </w:rPr>
        <w:t xml:space="preserve"> pour apprécier des débuts de processus, dont on ne peut au final que supputer, sans certitude, qu’ils conduiront</w:t>
      </w:r>
      <w:r w:rsidR="001D366D">
        <w:rPr>
          <w:lang w:val="fr-CA"/>
        </w:rPr>
        <w:t xml:space="preserve"> </w:t>
      </w:r>
      <w:r w:rsidR="000F769B">
        <w:rPr>
          <w:lang w:val="fr-CA"/>
        </w:rPr>
        <w:t>à un résultat final de qualité.</w:t>
      </w:r>
    </w:p>
    <w:p w:rsidR="001D366D" w:rsidRDefault="001D366D" w:rsidP="0038607C">
      <w:pPr>
        <w:pStyle w:val="NoSpacing"/>
        <w:numPr>
          <w:ilvl w:val="0"/>
          <w:numId w:val="7"/>
        </w:numPr>
        <w:rPr>
          <w:lang w:val="fr-CA"/>
        </w:rPr>
      </w:pPr>
      <w:r>
        <w:rPr>
          <w:b/>
          <w:lang w:val="fr-CA"/>
        </w:rPr>
        <w:t>La mauvaise documentation des processus engagés.</w:t>
      </w:r>
      <w:r>
        <w:rPr>
          <w:lang w:val="fr-CA"/>
        </w:rPr>
        <w:t xml:space="preserve"> Alors que la mise en œuvre du programme conjoint nécessite le démarrage et la gestion d’un nombre impressionnant de processus très variés, ceux-ci ont été peu, ou mal documentés. Pour certains d’entre eux, la mission n’a disposé que de l’information recueillie lors des entretiens individuels.</w:t>
      </w:r>
      <w:r w:rsidR="0049406D">
        <w:rPr>
          <w:lang w:val="fr-CA"/>
        </w:rPr>
        <w:t xml:space="preserve"> Sans le rapport de l’atelier de revue annuelle de décembre 2011, la mission n’aurait pas pu correctement mener à bien ses travaux.</w:t>
      </w:r>
    </w:p>
    <w:p w:rsidR="00106F6C" w:rsidRPr="002729F9" w:rsidRDefault="00106F6C" w:rsidP="0038607C">
      <w:pPr>
        <w:pStyle w:val="NoSpacing"/>
        <w:numPr>
          <w:ilvl w:val="0"/>
          <w:numId w:val="7"/>
        </w:numPr>
        <w:rPr>
          <w:lang w:val="fr-CA"/>
        </w:rPr>
      </w:pPr>
      <w:r>
        <w:rPr>
          <w:b/>
          <w:lang w:val="fr-CA"/>
        </w:rPr>
        <w:t>La portée du programme.</w:t>
      </w:r>
      <w:r>
        <w:rPr>
          <w:lang w:val="fr-CA"/>
        </w:rPr>
        <w:t xml:space="preserve"> Le très grand nombre d’activités prévues au programme et le fait que certaines d’entre elles étaient peu, ou mal, définies dans le document de projet ont constitué des contraintes certaines pour la compréhension rapide, par la mission, de la nature des interventions proposées ou engagées. </w:t>
      </w:r>
    </w:p>
    <w:p w:rsidR="00AB2A90" w:rsidRPr="000F769B" w:rsidRDefault="00692EDB" w:rsidP="00123C70">
      <w:pPr>
        <w:pStyle w:val="NoSpacing"/>
        <w:numPr>
          <w:ilvl w:val="0"/>
          <w:numId w:val="1"/>
        </w:numPr>
        <w:ind w:left="0" w:firstLine="0"/>
        <w:rPr>
          <w:lang w:val="fr-CA"/>
        </w:rPr>
      </w:pPr>
      <w:r w:rsidRPr="000F769B">
        <w:rPr>
          <w:lang w:val="fr-CA"/>
        </w:rPr>
        <w:t xml:space="preserve">Enfin, </w:t>
      </w:r>
      <w:r w:rsidR="001D366D">
        <w:rPr>
          <w:lang w:val="fr-CA"/>
        </w:rPr>
        <w:t xml:space="preserve">il convient de noter que </w:t>
      </w:r>
      <w:r w:rsidR="000F769B">
        <w:rPr>
          <w:lang w:val="fr-CA"/>
        </w:rPr>
        <w:t xml:space="preserve">lors de la maturation de ses conclusions et de ses </w:t>
      </w:r>
      <w:r w:rsidR="000F769B" w:rsidRPr="00123C70">
        <w:rPr>
          <w:lang w:val="fr-FR"/>
        </w:rPr>
        <w:t>recommandations</w:t>
      </w:r>
      <w:r w:rsidR="000F769B">
        <w:rPr>
          <w:lang w:val="fr-CA"/>
        </w:rPr>
        <w:t xml:space="preserve">, l’évaluation s’est trouvée confrontée au problème de devoir formuler un grand nombre </w:t>
      </w:r>
      <w:r w:rsidR="000F769B" w:rsidRPr="000C666A">
        <w:rPr>
          <w:lang w:val="fr-FR"/>
        </w:rPr>
        <w:t>d’hypothèses</w:t>
      </w:r>
      <w:r w:rsidR="000F769B">
        <w:rPr>
          <w:lang w:val="fr-CA"/>
        </w:rPr>
        <w:t>, notamment concernant la capacité des parties prenantes concernées à introduire les changemen</w:t>
      </w:r>
      <w:r w:rsidR="001D366D">
        <w:rPr>
          <w:lang w:val="fr-CA"/>
        </w:rPr>
        <w:t>ts et améliorations nécessaires. Il est possible que certaines de ses hypothèses soient fragiles.</w:t>
      </w:r>
    </w:p>
    <w:p w:rsidR="00621C2C" w:rsidRPr="005D0500" w:rsidRDefault="00B52A3B" w:rsidP="004E3D53">
      <w:pPr>
        <w:pStyle w:val="Heading1"/>
        <w:spacing w:before="0"/>
        <w:ind w:hanging="90"/>
        <w:rPr>
          <w:lang w:val="fr-CA"/>
        </w:rPr>
      </w:pPr>
      <w:r w:rsidRPr="0031650C">
        <w:rPr>
          <w:color w:val="FF0000"/>
          <w:lang w:val="fr-CA"/>
        </w:rPr>
        <w:br w:type="page"/>
      </w:r>
      <w:bookmarkStart w:id="13" w:name="_Toc322342005"/>
      <w:r w:rsidR="00621C2C" w:rsidRPr="005D0500">
        <w:rPr>
          <w:lang w:val="fr-CA"/>
        </w:rPr>
        <w:lastRenderedPageBreak/>
        <w:t>Description des interventions</w:t>
      </w:r>
      <w:bookmarkEnd w:id="13"/>
    </w:p>
    <w:p w:rsidR="0011300F" w:rsidRPr="0031650C" w:rsidRDefault="0021445A" w:rsidP="0038607C">
      <w:pPr>
        <w:pStyle w:val="UNDPTitle1"/>
        <w:numPr>
          <w:ilvl w:val="0"/>
          <w:numId w:val="8"/>
        </w:numPr>
        <w:spacing w:before="360"/>
        <w:outlineLvl w:val="1"/>
        <w:rPr>
          <w:color w:val="auto"/>
        </w:rPr>
      </w:pPr>
      <w:bookmarkStart w:id="14" w:name="_Toc322342006"/>
      <w:r w:rsidRPr="0031650C">
        <w:rPr>
          <w:color w:val="auto"/>
        </w:rPr>
        <w:t>Les objectifs du programme conjoint</w:t>
      </w:r>
      <w:bookmarkEnd w:id="14"/>
    </w:p>
    <w:p w:rsidR="00906930" w:rsidRPr="00906930" w:rsidRDefault="0031650C" w:rsidP="00123C70">
      <w:pPr>
        <w:pStyle w:val="NoSpacing"/>
        <w:numPr>
          <w:ilvl w:val="0"/>
          <w:numId w:val="1"/>
        </w:numPr>
        <w:ind w:left="0" w:firstLine="0"/>
        <w:rPr>
          <w:lang w:val="fr-FR"/>
        </w:rPr>
      </w:pPr>
      <w:bookmarkStart w:id="15" w:name="OLE_LINK1"/>
      <w:r w:rsidRPr="0031650C">
        <w:rPr>
          <w:lang w:val="fr-FR"/>
        </w:rPr>
        <w:t>L</w:t>
      </w:r>
      <w:r w:rsidR="00906930">
        <w:rPr>
          <w:lang w:val="fr-FR"/>
        </w:rPr>
        <w:t xml:space="preserve">e </w:t>
      </w:r>
      <w:r w:rsidRPr="0031650C">
        <w:rPr>
          <w:lang w:val="fr-FR"/>
        </w:rPr>
        <w:t>document du programme conjoint</w:t>
      </w:r>
      <w:r w:rsidRPr="0031650C">
        <w:rPr>
          <w:vertAlign w:val="superscript"/>
        </w:rPr>
        <w:footnoteReference w:id="16"/>
      </w:r>
      <w:r w:rsidRPr="0031650C">
        <w:rPr>
          <w:lang w:val="fr-FR"/>
        </w:rPr>
        <w:t xml:space="preserve"> définit l’objectif global du programme conjoint comme étant de </w:t>
      </w:r>
      <w:r w:rsidR="00906930">
        <w:rPr>
          <w:lang w:val="fr-FR"/>
        </w:rPr>
        <w:t>« </w:t>
      </w:r>
      <w:r w:rsidRPr="00906930">
        <w:rPr>
          <w:i/>
          <w:lang w:val="fr-FR"/>
        </w:rPr>
        <w:t xml:space="preserve">d’appuyer les efforts nationaux pour l’égalité des genres et l’autonomisation des femmes, avec un accent particulier sur l’accès amélioré à </w:t>
      </w:r>
      <w:r w:rsidRPr="000C666A">
        <w:rPr>
          <w:lang w:val="fr-FR"/>
        </w:rPr>
        <w:t>l’emploi</w:t>
      </w:r>
      <w:r w:rsidRPr="00906930">
        <w:rPr>
          <w:i/>
          <w:lang w:val="fr-FR"/>
        </w:rPr>
        <w:t xml:space="preserve"> pour les femmes</w:t>
      </w:r>
      <w:r w:rsidR="00906930">
        <w:rPr>
          <w:lang w:val="fr-FR"/>
        </w:rPr>
        <w:t xml:space="preserve"> »  </w:t>
      </w:r>
      <w:r w:rsidR="00906930" w:rsidRPr="0049406D">
        <w:rPr>
          <w:lang w:val="fr-FR"/>
        </w:rPr>
        <w:t>(</w:t>
      </w:r>
      <w:r w:rsidR="00906930" w:rsidRPr="0049406D">
        <w:rPr>
          <w:sz w:val="20"/>
          <w:szCs w:val="20"/>
          <w:lang w:val="fr-FR"/>
        </w:rPr>
        <w:t>page 4, « Résumé</w:t>
      </w:r>
      <w:r w:rsidR="00906930" w:rsidRPr="0049406D">
        <w:rPr>
          <w:i/>
          <w:lang w:val="fr-FR"/>
        </w:rPr>
        <w:t> »</w:t>
      </w:r>
      <w:r w:rsidR="00906930" w:rsidRPr="0049406D">
        <w:rPr>
          <w:lang w:val="fr-FR"/>
        </w:rPr>
        <w:t>)</w:t>
      </w:r>
      <w:r w:rsidR="00906930">
        <w:rPr>
          <w:lang w:val="fr-FR"/>
        </w:rPr>
        <w:t xml:space="preserve"> et/ou de « </w:t>
      </w:r>
      <w:r w:rsidR="00906930" w:rsidRPr="00906930">
        <w:rPr>
          <w:i/>
          <w:lang w:val="fr-FR"/>
        </w:rPr>
        <w:t>conjuguer les efforts de sept agences des Nations Unies, d’une dizaine de départements ministériels, des OSC travaillant sur le genre, les organisations patronale et le s</w:t>
      </w:r>
      <w:r w:rsidR="00906930">
        <w:rPr>
          <w:i/>
          <w:lang w:val="fr-FR"/>
        </w:rPr>
        <w:t>y</w:t>
      </w:r>
      <w:r w:rsidR="00906930" w:rsidRPr="00906930">
        <w:rPr>
          <w:i/>
          <w:lang w:val="fr-FR"/>
        </w:rPr>
        <w:t>ndicat des travailleurs</w:t>
      </w:r>
      <w:r w:rsidR="00906930">
        <w:rPr>
          <w:lang w:val="fr-FR"/>
        </w:rPr>
        <w:t xml:space="preserve"> » </w:t>
      </w:r>
      <w:r w:rsidR="00906930" w:rsidRPr="0049406D">
        <w:rPr>
          <w:lang w:val="fr-FR"/>
        </w:rPr>
        <w:t>(</w:t>
      </w:r>
      <w:r w:rsidR="00906930" w:rsidRPr="0049406D">
        <w:rPr>
          <w:sz w:val="20"/>
          <w:szCs w:val="20"/>
          <w:lang w:val="fr-FR"/>
        </w:rPr>
        <w:t>page 9, « Le programme conjoint)</w:t>
      </w:r>
      <w:r w:rsidR="00906930" w:rsidRPr="0049406D">
        <w:rPr>
          <w:rStyle w:val="FootnoteReference"/>
          <w:i/>
          <w:lang w:val="fr-FR"/>
        </w:rPr>
        <w:footnoteReference w:id="17"/>
      </w:r>
      <w:r w:rsidR="00906930" w:rsidRPr="0049406D">
        <w:rPr>
          <w:i/>
          <w:lang w:val="fr-FR"/>
        </w:rPr>
        <w:t>.</w:t>
      </w:r>
      <w:r w:rsidR="00906930">
        <w:rPr>
          <w:i/>
          <w:lang w:val="fr-FR"/>
        </w:rPr>
        <w:t xml:space="preserve"> </w:t>
      </w:r>
    </w:p>
    <w:p w:rsidR="0031650C" w:rsidRPr="0031650C" w:rsidRDefault="00906930" w:rsidP="00123C70">
      <w:pPr>
        <w:pStyle w:val="NoSpacing"/>
        <w:numPr>
          <w:ilvl w:val="0"/>
          <w:numId w:val="1"/>
        </w:numPr>
        <w:ind w:left="0" w:firstLine="0"/>
        <w:rPr>
          <w:lang w:val="fr-FR"/>
        </w:rPr>
      </w:pPr>
      <w:r>
        <w:rPr>
          <w:lang w:val="fr-FR"/>
        </w:rPr>
        <w:t xml:space="preserve">Les interventions du programme </w:t>
      </w:r>
      <w:bookmarkEnd w:id="15"/>
      <w:r>
        <w:rPr>
          <w:lang w:val="fr-FR"/>
        </w:rPr>
        <w:t>s</w:t>
      </w:r>
      <w:r w:rsidR="0031650C" w:rsidRPr="0031650C">
        <w:rPr>
          <w:lang w:val="fr-FR"/>
        </w:rPr>
        <w:t>’articulent autour de</w:t>
      </w:r>
      <w:r>
        <w:rPr>
          <w:lang w:val="fr-FR"/>
        </w:rPr>
        <w:t>s trois axes suivants :</w:t>
      </w:r>
      <w:r w:rsidR="0031650C" w:rsidRPr="0031650C">
        <w:rPr>
          <w:lang w:val="fr-FR"/>
        </w:rPr>
        <w:t xml:space="preserve"> </w:t>
      </w:r>
    </w:p>
    <w:p w:rsidR="0031650C" w:rsidRPr="0031650C" w:rsidRDefault="0031650C" w:rsidP="0038607C">
      <w:pPr>
        <w:numPr>
          <w:ilvl w:val="0"/>
          <w:numId w:val="9"/>
        </w:numPr>
        <w:spacing w:before="120" w:after="120"/>
        <w:jc w:val="both"/>
        <w:rPr>
          <w:rFonts w:ascii="Calibri" w:hAnsi="Calibri"/>
          <w:sz w:val="22"/>
          <w:lang w:val="fr-FR"/>
        </w:rPr>
      </w:pPr>
      <w:r w:rsidRPr="0031650C">
        <w:rPr>
          <w:rFonts w:ascii="Calibri" w:hAnsi="Calibri"/>
          <w:b/>
          <w:sz w:val="22"/>
          <w:lang w:val="fr-FR"/>
        </w:rPr>
        <w:t>Le renforcement  du processus de prise de décision équitable en matière de stratégies et programmes de développement à travers l’amélioration de la qualité de l’information sur le genre ; ainsi que le renforcement des capacités des institutions nationales pour la prise en compte du genre dans les domaines social et économique.</w:t>
      </w:r>
      <w:r w:rsidRPr="0031650C">
        <w:rPr>
          <w:rFonts w:ascii="Calibri" w:hAnsi="Calibri"/>
          <w:sz w:val="22"/>
          <w:lang w:val="fr-FR"/>
        </w:rPr>
        <w:t xml:space="preserve"> Cinq principaux produits sont définis au titre de ce premier axe, dont la mise en œuvre a été principalement confiée à l’</w:t>
      </w:r>
      <w:r w:rsidR="0049406D">
        <w:rPr>
          <w:rFonts w:ascii="Calibri" w:hAnsi="Calibri"/>
          <w:sz w:val="22"/>
          <w:lang w:val="fr-FR"/>
        </w:rPr>
        <w:t>ONUFEMMES</w:t>
      </w:r>
      <w:r w:rsidRPr="0031650C">
        <w:rPr>
          <w:rFonts w:ascii="Calibri" w:hAnsi="Calibri"/>
          <w:sz w:val="22"/>
          <w:lang w:val="fr-FR"/>
        </w:rPr>
        <w:t>, le PNUD et l’UNFPA pour un budget de 1,212 millions de dollars US. La production de connaissance en matière d’intégration du genre sera réalisée à travers des études et des enquêtes nationales qui serviront de base à la réalisation des autres activités du programme. Les capacités humaines et en matériel de certaines institutions seront renforcés, et des formations en planification et programmation seront lancées au bénéfice des acteurs nationaux et de la société civile.</w:t>
      </w:r>
    </w:p>
    <w:p w:rsidR="0031650C" w:rsidRPr="0031650C" w:rsidRDefault="0049406D" w:rsidP="0049406D">
      <w:pPr>
        <w:numPr>
          <w:ilvl w:val="0"/>
          <w:numId w:val="9"/>
        </w:numPr>
        <w:spacing w:before="120" w:after="120"/>
        <w:jc w:val="both"/>
        <w:rPr>
          <w:rFonts w:ascii="Calibri" w:hAnsi="Calibri"/>
          <w:sz w:val="22"/>
          <w:lang w:val="fr-FR"/>
        </w:rPr>
      </w:pPr>
      <w:r w:rsidRPr="0049406D">
        <w:rPr>
          <w:rFonts w:ascii="Calibri" w:hAnsi="Calibri"/>
          <w:b/>
          <w:sz w:val="22"/>
          <w:lang w:val="fr-FR"/>
        </w:rPr>
        <w:t>L’amélioration de l’employabilité des femmes, en particulier les femmes rurales et vulnérables, et le renforcement de leur accès à un travail décent</w:t>
      </w:r>
      <w:r w:rsidRPr="0049406D">
        <w:rPr>
          <w:rFonts w:ascii="Calibri" w:hAnsi="Calibri"/>
          <w:sz w:val="22"/>
          <w:lang w:val="fr-FR"/>
        </w:rPr>
        <w:t>.</w:t>
      </w:r>
      <w:r w:rsidR="0031650C" w:rsidRPr="0031650C">
        <w:rPr>
          <w:rFonts w:ascii="Calibri" w:hAnsi="Calibri"/>
          <w:sz w:val="22"/>
          <w:lang w:val="fr-FR"/>
        </w:rPr>
        <w:t xml:space="preserve"> Quatre principaux produits sont définis au titre de ce </w:t>
      </w:r>
      <w:r>
        <w:rPr>
          <w:rFonts w:ascii="Calibri" w:hAnsi="Calibri"/>
          <w:sz w:val="22"/>
          <w:lang w:val="fr-FR"/>
        </w:rPr>
        <w:t>deuxième</w:t>
      </w:r>
      <w:r w:rsidR="0031650C" w:rsidRPr="0031650C">
        <w:rPr>
          <w:rFonts w:ascii="Calibri" w:hAnsi="Calibri"/>
          <w:sz w:val="22"/>
          <w:lang w:val="fr-FR"/>
        </w:rPr>
        <w:t xml:space="preserve"> axe dont la mise en œuvre a été confiée </w:t>
      </w:r>
      <w:r>
        <w:rPr>
          <w:rFonts w:ascii="Calibri" w:hAnsi="Calibri"/>
          <w:sz w:val="22"/>
          <w:lang w:val="fr-FR"/>
        </w:rPr>
        <w:t xml:space="preserve">au BIT, PNUD, </w:t>
      </w:r>
      <w:r w:rsidR="0031650C" w:rsidRPr="0031650C">
        <w:rPr>
          <w:rFonts w:ascii="Calibri" w:hAnsi="Calibri"/>
          <w:sz w:val="22"/>
          <w:lang w:val="fr-FR"/>
        </w:rPr>
        <w:t>ONUDI</w:t>
      </w:r>
      <w:r>
        <w:rPr>
          <w:rFonts w:ascii="Calibri" w:hAnsi="Calibri"/>
          <w:sz w:val="22"/>
          <w:lang w:val="fr-FR"/>
        </w:rPr>
        <w:t xml:space="preserve">, ONUSIDA </w:t>
      </w:r>
      <w:r w:rsidR="007C75FB">
        <w:rPr>
          <w:rFonts w:ascii="Calibri" w:hAnsi="Calibri"/>
          <w:sz w:val="22"/>
          <w:lang w:val="fr-FR"/>
        </w:rPr>
        <w:t>ainsi qu’</w:t>
      </w:r>
      <w:r>
        <w:rPr>
          <w:rFonts w:ascii="Calibri" w:hAnsi="Calibri"/>
          <w:sz w:val="22"/>
          <w:lang w:val="fr-FR"/>
        </w:rPr>
        <w:t>à</w:t>
      </w:r>
      <w:r w:rsidR="0031650C" w:rsidRPr="0031650C">
        <w:rPr>
          <w:rFonts w:ascii="Calibri" w:hAnsi="Calibri"/>
          <w:sz w:val="22"/>
          <w:lang w:val="fr-FR"/>
        </w:rPr>
        <w:t xml:space="preserve"> l’UNICEF </w:t>
      </w:r>
      <w:r w:rsidR="007C75FB">
        <w:rPr>
          <w:rFonts w:ascii="Calibri" w:hAnsi="Calibri"/>
          <w:sz w:val="22"/>
          <w:lang w:val="fr-FR"/>
        </w:rPr>
        <w:t xml:space="preserve">et l’ONUFEMMES, </w:t>
      </w:r>
      <w:r w:rsidR="0031650C" w:rsidRPr="0031650C">
        <w:rPr>
          <w:rFonts w:ascii="Calibri" w:hAnsi="Calibri"/>
          <w:sz w:val="22"/>
          <w:lang w:val="fr-FR"/>
        </w:rPr>
        <w:t>pour un budget de 1,295 millions de dollars. Sur la base des diagnostics réalisés dans le cadre du précédent volet, des activités visant à approfondir la connaissance sur les contraintes à l’employabilité des femmes et à les surmonter au travers d’actions pilotes seront mises en œuvre, avant d’être étendues progressivement à tout le pays. Des activités visant au renforcement des capacités techniques de certains acteurs clés de la formation professionnelle et de l’emploi seront aussi mises en œuvre, ainsi qu’un appui à la création de micro-entreprises de femmes.</w:t>
      </w:r>
    </w:p>
    <w:p w:rsidR="0031650C" w:rsidRPr="0031650C" w:rsidRDefault="0031650C" w:rsidP="0038607C">
      <w:pPr>
        <w:numPr>
          <w:ilvl w:val="0"/>
          <w:numId w:val="9"/>
        </w:numPr>
        <w:spacing w:before="120" w:after="120"/>
        <w:jc w:val="both"/>
        <w:rPr>
          <w:rFonts w:ascii="Calibri" w:hAnsi="Calibri"/>
          <w:sz w:val="22"/>
          <w:lang w:val="fr-FR"/>
        </w:rPr>
      </w:pPr>
      <w:r w:rsidRPr="0031650C">
        <w:rPr>
          <w:rFonts w:ascii="Calibri" w:hAnsi="Calibri"/>
          <w:b/>
          <w:sz w:val="22"/>
          <w:lang w:val="fr-FR"/>
        </w:rPr>
        <w:t>La promotion de l’image de la femme active et le renforcement des valeurs d’équité et d’égalité à travers une diffusion de l’information sensible au genre</w:t>
      </w:r>
      <w:r w:rsidRPr="0031650C">
        <w:rPr>
          <w:rFonts w:ascii="Calibri" w:hAnsi="Calibri"/>
          <w:sz w:val="22"/>
          <w:lang w:val="fr-FR"/>
        </w:rPr>
        <w:t>, avec quatre principaux produits attendus pour un budget de 675.000 dollars</w:t>
      </w:r>
      <w:r w:rsidR="0049406D">
        <w:rPr>
          <w:rFonts w:ascii="Calibri" w:hAnsi="Calibri"/>
          <w:sz w:val="22"/>
          <w:lang w:val="fr-FR"/>
        </w:rPr>
        <w:t xml:space="preserve"> et deux principales agences de mise en œuvre (le PNUD et l’UNFPA)</w:t>
      </w:r>
      <w:r w:rsidRPr="0031650C">
        <w:rPr>
          <w:rFonts w:ascii="Calibri" w:hAnsi="Calibri"/>
          <w:sz w:val="22"/>
          <w:lang w:val="fr-FR"/>
        </w:rPr>
        <w:t>. Les activités prévues portent sur la sensibilisation en direction des médias aux questions du genre, l’organisation de forums de dialogues entre les institutions, la société civile et les médias et la production d’un répertoire sur les personnes ressources, et l’ouverture d’un centre d’information pilote d’accompagnement des femmes en microprojets.</w:t>
      </w:r>
    </w:p>
    <w:p w:rsidR="0031650C" w:rsidRPr="0031650C" w:rsidRDefault="0031650C" w:rsidP="0031650C">
      <w:pPr>
        <w:pStyle w:val="NoSpacing"/>
        <w:rPr>
          <w:color w:val="FF0000"/>
          <w:lang w:val="fr-FR"/>
        </w:rPr>
      </w:pPr>
    </w:p>
    <w:p w:rsidR="00D12B43" w:rsidRDefault="00D12B43">
      <w:pPr>
        <w:rPr>
          <w:rFonts w:ascii="Calibri" w:hAnsi="Calibri"/>
          <w:b/>
          <w:sz w:val="20"/>
          <w:szCs w:val="20"/>
          <w:lang w:val="fr-FR"/>
        </w:rPr>
      </w:pPr>
      <w:r>
        <w:rPr>
          <w:rFonts w:ascii="Calibri" w:hAnsi="Calibri"/>
          <w:b/>
          <w:sz w:val="20"/>
          <w:szCs w:val="20"/>
          <w:lang w:val="fr-FR"/>
        </w:rPr>
        <w:br w:type="page"/>
      </w:r>
    </w:p>
    <w:p w:rsidR="00B52A3B" w:rsidRPr="008852DF" w:rsidRDefault="00B52A3B" w:rsidP="00B52A3B">
      <w:pPr>
        <w:jc w:val="center"/>
        <w:rPr>
          <w:rFonts w:ascii="Calibri" w:hAnsi="Calibri"/>
          <w:b/>
          <w:sz w:val="20"/>
          <w:szCs w:val="20"/>
          <w:lang w:val="fr-FR"/>
        </w:rPr>
      </w:pPr>
      <w:r w:rsidRPr="008852DF">
        <w:rPr>
          <w:rFonts w:ascii="Calibri" w:hAnsi="Calibri"/>
          <w:b/>
          <w:sz w:val="20"/>
          <w:szCs w:val="20"/>
          <w:lang w:val="fr-FR"/>
        </w:rPr>
        <w:lastRenderedPageBreak/>
        <w:t xml:space="preserve">Matrice des </w:t>
      </w:r>
      <w:r w:rsidR="007B2E0E">
        <w:rPr>
          <w:rFonts w:ascii="Calibri" w:hAnsi="Calibri"/>
          <w:b/>
          <w:sz w:val="20"/>
          <w:szCs w:val="20"/>
          <w:lang w:val="fr-FR"/>
        </w:rPr>
        <w:t>résultats et produits attendus</w:t>
      </w:r>
      <w:r w:rsidR="007E25C6" w:rsidRPr="008852DF">
        <w:rPr>
          <w:rFonts w:ascii="Calibri" w:hAnsi="Calibri"/>
          <w:b/>
          <w:sz w:val="20"/>
          <w:szCs w:val="20"/>
          <w:lang w:val="fr-FR"/>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3960"/>
        <w:gridCol w:w="6120"/>
      </w:tblGrid>
      <w:tr w:rsidR="008852DF" w:rsidRPr="008852DF" w:rsidTr="007B2E0E">
        <w:trPr>
          <w:trHeight w:val="283"/>
          <w:tblHeader/>
        </w:trPr>
        <w:tc>
          <w:tcPr>
            <w:tcW w:w="3960" w:type="dxa"/>
            <w:shd w:val="clear" w:color="auto" w:fill="auto"/>
            <w:vAlign w:val="center"/>
          </w:tcPr>
          <w:p w:rsidR="008852DF" w:rsidRPr="008852DF" w:rsidRDefault="008852DF" w:rsidP="007B2E0E">
            <w:pPr>
              <w:jc w:val="center"/>
              <w:rPr>
                <w:rFonts w:ascii="Calibri" w:hAnsi="Calibri" w:cs="Calibri"/>
                <w:b/>
                <w:bCs/>
                <w:sz w:val="17"/>
                <w:szCs w:val="17"/>
                <w:lang w:val="fr-FR" w:eastAsia="fr-FR"/>
              </w:rPr>
            </w:pPr>
            <w:r w:rsidRPr="008852DF">
              <w:rPr>
                <w:rFonts w:ascii="Calibri" w:hAnsi="Calibri" w:cs="Calibri"/>
                <w:b/>
                <w:bCs/>
                <w:sz w:val="17"/>
                <w:szCs w:val="17"/>
                <w:lang w:val="fr-FR" w:eastAsia="fr-FR"/>
              </w:rPr>
              <w:t>Résultat</w:t>
            </w:r>
            <w:r w:rsidR="007B2E0E" w:rsidRPr="007B2E0E">
              <w:rPr>
                <w:rFonts w:ascii="Calibri" w:hAnsi="Calibri" w:cs="Calibri"/>
                <w:b/>
                <w:bCs/>
                <w:sz w:val="17"/>
                <w:szCs w:val="17"/>
                <w:lang w:val="fr-FR" w:eastAsia="fr-FR"/>
              </w:rPr>
              <w:t>/effet escompté</w:t>
            </w:r>
          </w:p>
        </w:tc>
        <w:tc>
          <w:tcPr>
            <w:tcW w:w="6120" w:type="dxa"/>
            <w:shd w:val="clear" w:color="auto" w:fill="auto"/>
            <w:vAlign w:val="center"/>
          </w:tcPr>
          <w:p w:rsidR="008852DF" w:rsidRPr="008852DF" w:rsidRDefault="008852DF" w:rsidP="008852DF">
            <w:pPr>
              <w:jc w:val="center"/>
              <w:rPr>
                <w:rFonts w:ascii="Calibri" w:hAnsi="Calibri" w:cs="Calibri"/>
                <w:b/>
                <w:bCs/>
                <w:sz w:val="17"/>
                <w:szCs w:val="17"/>
                <w:lang w:val="fr-FR" w:eastAsia="fr-FR"/>
              </w:rPr>
            </w:pPr>
            <w:r w:rsidRPr="008852DF">
              <w:rPr>
                <w:rFonts w:ascii="Calibri" w:hAnsi="Calibri" w:cs="Calibri"/>
                <w:b/>
                <w:bCs/>
                <w:sz w:val="17"/>
                <w:szCs w:val="17"/>
                <w:lang w:val="fr-FR" w:eastAsia="fr-FR"/>
              </w:rPr>
              <w:t>Produit attendu</w:t>
            </w:r>
          </w:p>
        </w:tc>
      </w:tr>
      <w:tr w:rsidR="008852DF" w:rsidRPr="0052245B" w:rsidTr="007B2E0E">
        <w:trPr>
          <w:trHeight w:val="70"/>
          <w:tblHeader/>
        </w:trPr>
        <w:tc>
          <w:tcPr>
            <w:tcW w:w="10080" w:type="dxa"/>
            <w:gridSpan w:val="2"/>
            <w:shd w:val="clear" w:color="auto" w:fill="auto"/>
            <w:vAlign w:val="center"/>
          </w:tcPr>
          <w:p w:rsidR="008852DF" w:rsidRPr="008852DF" w:rsidRDefault="008852DF" w:rsidP="008852DF">
            <w:pPr>
              <w:rPr>
                <w:rFonts w:ascii="Calibri" w:hAnsi="Calibri" w:cs="Calibri"/>
                <w:b/>
                <w:bCs/>
                <w:sz w:val="16"/>
                <w:szCs w:val="16"/>
                <w:lang w:val="fr-FR" w:eastAsia="fr-FR"/>
              </w:rPr>
            </w:pPr>
            <w:r w:rsidRPr="008852DF">
              <w:rPr>
                <w:rFonts w:ascii="Calibri" w:hAnsi="Calibri" w:cs="Calibri"/>
                <w:b/>
                <w:bCs/>
                <w:sz w:val="16"/>
                <w:szCs w:val="16"/>
                <w:lang w:val="fr-FR" w:eastAsia="fr-FR"/>
              </w:rPr>
              <w:t>Effet 1 : Renforcement  du processus de prise de décision équitable en matière de stratégies et programmes de développement à travers l’amélioration de la qualité de l’information sur le genre ; ainsi que le renforcement des capacités des institutions nationales pour la prise en compte du genre dans les domaines social et économique</w:t>
            </w:r>
          </w:p>
        </w:tc>
      </w:tr>
      <w:tr w:rsidR="008852DF" w:rsidRPr="0052245B" w:rsidTr="007B2E0E">
        <w:trPr>
          <w:trHeight w:val="83"/>
        </w:trPr>
        <w:tc>
          <w:tcPr>
            <w:tcW w:w="3960" w:type="dxa"/>
            <w:vMerge w:val="restart"/>
            <w:shd w:val="clear" w:color="auto" w:fill="auto"/>
            <w:vAlign w:val="center"/>
          </w:tcPr>
          <w:p w:rsidR="008852DF" w:rsidRPr="008852DF" w:rsidRDefault="008852DF" w:rsidP="008852DF">
            <w:pPr>
              <w:contextualSpacing/>
              <w:rPr>
                <w:rFonts w:asciiTheme="minorHAnsi" w:hAnsiTheme="minorHAnsi" w:cstheme="minorHAnsi"/>
                <w:sz w:val="16"/>
                <w:szCs w:val="16"/>
                <w:lang w:val="fr-FR" w:eastAsia="fr-FR"/>
              </w:rPr>
            </w:pPr>
            <w:r w:rsidRPr="008852DF">
              <w:rPr>
                <w:rFonts w:asciiTheme="minorHAnsi" w:hAnsiTheme="minorHAnsi" w:cstheme="minorHAnsi"/>
                <w:b/>
                <w:bCs/>
                <w:sz w:val="16"/>
                <w:szCs w:val="16"/>
                <w:lang w:val="fr-FR" w:eastAsia="fr-FR"/>
              </w:rPr>
              <w:t xml:space="preserve">P1 : </w:t>
            </w:r>
            <w:r w:rsidRPr="008852DF">
              <w:rPr>
                <w:rFonts w:asciiTheme="minorHAnsi" w:hAnsiTheme="minorHAnsi" w:cstheme="minorHAnsi"/>
                <w:sz w:val="16"/>
                <w:szCs w:val="16"/>
                <w:lang w:val="fr-FR" w:eastAsia="fr-FR"/>
              </w:rPr>
              <w:t>Connaissance, savoirs et données sur le genre produits et diffusés</w:t>
            </w:r>
          </w:p>
          <w:p w:rsidR="008852DF" w:rsidRPr="008852DF" w:rsidRDefault="008852DF" w:rsidP="008852DF">
            <w:pPr>
              <w:rPr>
                <w:rFonts w:asciiTheme="minorHAnsi" w:hAnsiTheme="minorHAnsi" w:cstheme="minorHAnsi"/>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Audit genre réalisé dans les secteurs ciblés en 2012.</w:t>
            </w:r>
          </w:p>
        </w:tc>
      </w:tr>
      <w:tr w:rsidR="008852DF" w:rsidRPr="0052245B" w:rsidTr="007B2E0E">
        <w:trPr>
          <w:trHeight w:val="70"/>
        </w:trPr>
        <w:tc>
          <w:tcPr>
            <w:tcW w:w="3960" w:type="dxa"/>
            <w:vMerge/>
            <w:shd w:val="clear" w:color="auto" w:fill="auto"/>
            <w:vAlign w:val="center"/>
          </w:tcPr>
          <w:p w:rsidR="008852DF" w:rsidRPr="008852DF" w:rsidRDefault="008852DF" w:rsidP="008852DF">
            <w:pPr>
              <w:contextualSpacing/>
              <w:rPr>
                <w:rFonts w:asciiTheme="minorHAnsi" w:hAnsiTheme="minorHAnsi" w:cstheme="minorHAnsi"/>
                <w:b/>
                <w:bCs/>
                <w:color w:val="1F497D"/>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Enquête Budget Temps réalisée, analysée et diffusée en 2012</w:t>
            </w:r>
          </w:p>
        </w:tc>
      </w:tr>
      <w:tr w:rsidR="008852DF" w:rsidRPr="0052245B" w:rsidTr="007B2E0E">
        <w:trPr>
          <w:trHeight w:val="70"/>
        </w:trPr>
        <w:tc>
          <w:tcPr>
            <w:tcW w:w="3960" w:type="dxa"/>
            <w:vMerge/>
            <w:shd w:val="clear" w:color="auto" w:fill="auto"/>
            <w:vAlign w:val="center"/>
          </w:tcPr>
          <w:p w:rsidR="008852DF" w:rsidRPr="008852DF" w:rsidRDefault="008852DF" w:rsidP="008852DF">
            <w:pPr>
              <w:contextualSpacing/>
              <w:rPr>
                <w:rFonts w:asciiTheme="minorHAnsi" w:hAnsiTheme="minorHAnsi" w:cstheme="minorHAnsi"/>
                <w:b/>
                <w:bCs/>
                <w:color w:val="1F497D"/>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Base de données sexospécifiques mise en place, alimentée et accessible en 2012.</w:t>
            </w:r>
          </w:p>
        </w:tc>
      </w:tr>
      <w:tr w:rsidR="008852DF" w:rsidRPr="0052245B" w:rsidTr="007B2E0E">
        <w:trPr>
          <w:trHeight w:val="70"/>
        </w:trPr>
        <w:tc>
          <w:tcPr>
            <w:tcW w:w="3960" w:type="dxa"/>
            <w:vMerge/>
            <w:shd w:val="clear" w:color="auto" w:fill="auto"/>
            <w:vAlign w:val="center"/>
          </w:tcPr>
          <w:p w:rsidR="008852DF" w:rsidRPr="008852DF" w:rsidRDefault="008852DF" w:rsidP="008852DF">
            <w:pPr>
              <w:contextualSpacing/>
              <w:rPr>
                <w:rFonts w:asciiTheme="minorHAnsi" w:hAnsiTheme="minorHAnsi" w:cstheme="minorHAnsi"/>
                <w:b/>
                <w:bCs/>
                <w:color w:val="1F497D"/>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Impact genre du processus de libéralisation économique évalué en 2011.</w:t>
            </w:r>
          </w:p>
        </w:tc>
      </w:tr>
      <w:tr w:rsidR="008852DF" w:rsidRPr="0052245B" w:rsidTr="007B2E0E">
        <w:trPr>
          <w:trHeight w:val="70"/>
        </w:trPr>
        <w:tc>
          <w:tcPr>
            <w:tcW w:w="3960" w:type="dxa"/>
            <w:shd w:val="clear" w:color="auto" w:fill="auto"/>
            <w:vAlign w:val="center"/>
          </w:tcPr>
          <w:p w:rsidR="008852DF" w:rsidRPr="008852DF" w:rsidRDefault="008852DF" w:rsidP="007C75FB">
            <w:pPr>
              <w:contextualSpacing/>
              <w:rPr>
                <w:rFonts w:asciiTheme="minorHAnsi" w:hAnsiTheme="minorHAnsi" w:cstheme="minorHAnsi"/>
                <w:b/>
                <w:bCs/>
                <w:sz w:val="16"/>
                <w:szCs w:val="16"/>
                <w:lang w:val="fr-FR" w:eastAsia="fr-FR"/>
              </w:rPr>
            </w:pPr>
            <w:r w:rsidRPr="008852DF">
              <w:rPr>
                <w:rFonts w:asciiTheme="minorHAnsi" w:hAnsiTheme="minorHAnsi" w:cstheme="minorHAnsi"/>
                <w:b/>
                <w:bCs/>
                <w:sz w:val="16"/>
                <w:szCs w:val="16"/>
                <w:lang w:val="fr-FR" w:eastAsia="fr-FR"/>
              </w:rPr>
              <w:t xml:space="preserve">P2 : </w:t>
            </w:r>
            <w:r w:rsidRPr="008852DF">
              <w:rPr>
                <w:rFonts w:asciiTheme="minorHAnsi" w:hAnsiTheme="minorHAnsi" w:cstheme="minorHAnsi"/>
                <w:sz w:val="16"/>
                <w:szCs w:val="16"/>
                <w:lang w:val="fr-FR" w:eastAsia="fr-FR"/>
              </w:rPr>
              <w:t xml:space="preserve">Capacités des institutions nationales productrices de statistiques renforcés en matière de production </w:t>
            </w:r>
            <w:r w:rsidR="007C75FB" w:rsidRPr="008852DF">
              <w:rPr>
                <w:rFonts w:asciiTheme="minorHAnsi" w:hAnsiTheme="minorHAnsi" w:cstheme="minorHAnsi"/>
                <w:sz w:val="16"/>
                <w:szCs w:val="16"/>
                <w:lang w:val="fr-FR" w:eastAsia="fr-FR"/>
              </w:rPr>
              <w:t>sexo</w:t>
            </w:r>
            <w:r w:rsidR="007C75FB">
              <w:rPr>
                <w:rFonts w:asciiTheme="minorHAnsi" w:hAnsiTheme="minorHAnsi" w:cstheme="minorHAnsi"/>
                <w:sz w:val="16"/>
                <w:szCs w:val="16"/>
                <w:lang w:val="fr-FR" w:eastAsia="fr-FR"/>
              </w:rPr>
              <w:t xml:space="preserve"> </w:t>
            </w:r>
            <w:r w:rsidR="007C75FB" w:rsidRPr="008852DF">
              <w:rPr>
                <w:rFonts w:asciiTheme="minorHAnsi" w:hAnsiTheme="minorHAnsi" w:cstheme="minorHAnsi"/>
                <w:sz w:val="16"/>
                <w:szCs w:val="16"/>
                <w:lang w:val="fr-FR" w:eastAsia="fr-FR"/>
              </w:rPr>
              <w:t>spécifiques</w:t>
            </w:r>
            <w:r w:rsidR="007C75FB">
              <w:rPr>
                <w:rFonts w:asciiTheme="minorHAnsi" w:hAnsiTheme="minorHAnsi" w:cstheme="minorHAnsi"/>
                <w:sz w:val="16"/>
                <w:szCs w:val="16"/>
                <w:lang w:val="fr-FR" w:eastAsia="fr-FR"/>
              </w:rPr>
              <w:t xml:space="preserve"> </w:t>
            </w:r>
            <w:r w:rsidRPr="008852DF">
              <w:rPr>
                <w:rFonts w:asciiTheme="minorHAnsi" w:hAnsiTheme="minorHAnsi" w:cstheme="minorHAnsi"/>
                <w:sz w:val="16"/>
                <w:szCs w:val="16"/>
                <w:lang w:val="fr-FR" w:eastAsia="fr-FR"/>
              </w:rPr>
              <w:t>et d'établissement d'indicateurs pertinents</w:t>
            </w: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7B2E0E">
              <w:rPr>
                <w:rFonts w:asciiTheme="minorHAnsi" w:hAnsiTheme="minorHAnsi" w:cstheme="minorHAnsi"/>
                <w:sz w:val="16"/>
                <w:szCs w:val="16"/>
                <w:lang w:val="fr-FR" w:eastAsia="fr-FR"/>
              </w:rPr>
              <w:t xml:space="preserve"> </w:t>
            </w:r>
            <w:r w:rsidRPr="008852DF">
              <w:rPr>
                <w:rFonts w:asciiTheme="minorHAnsi" w:hAnsiTheme="minorHAnsi" w:cstheme="minorHAnsi"/>
                <w:sz w:val="16"/>
                <w:szCs w:val="16"/>
                <w:lang w:val="fr-FR" w:eastAsia="fr-FR"/>
              </w:rPr>
              <w:t>6 institutions (détentrices de gros fichiers de données) équipés en software en 2010</w:t>
            </w:r>
          </w:p>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20 cadres formés aux traitements informatiques des données sur le genre en 2012</w:t>
            </w:r>
          </w:p>
        </w:tc>
      </w:tr>
      <w:tr w:rsidR="008852DF" w:rsidRPr="0052245B" w:rsidTr="007B2E0E">
        <w:trPr>
          <w:trHeight w:val="70"/>
        </w:trPr>
        <w:tc>
          <w:tcPr>
            <w:tcW w:w="3960" w:type="dxa"/>
            <w:vMerge w:val="restart"/>
            <w:shd w:val="clear" w:color="auto" w:fill="auto"/>
            <w:vAlign w:val="center"/>
          </w:tcPr>
          <w:p w:rsidR="008852DF" w:rsidRPr="008852DF" w:rsidRDefault="008852DF" w:rsidP="008852DF">
            <w:pPr>
              <w:contextualSpacing/>
              <w:rPr>
                <w:rFonts w:asciiTheme="minorHAnsi" w:hAnsiTheme="minorHAnsi" w:cstheme="minorHAnsi"/>
                <w:sz w:val="16"/>
                <w:szCs w:val="16"/>
                <w:lang w:val="fr-FR" w:eastAsia="fr-FR"/>
              </w:rPr>
            </w:pPr>
            <w:r w:rsidRPr="008852DF">
              <w:rPr>
                <w:rFonts w:asciiTheme="minorHAnsi" w:hAnsiTheme="minorHAnsi" w:cstheme="minorHAnsi"/>
                <w:b/>
                <w:bCs/>
                <w:sz w:val="16"/>
                <w:szCs w:val="16"/>
                <w:lang w:val="fr-FR" w:eastAsia="fr-FR"/>
              </w:rPr>
              <w:t xml:space="preserve">P3 : </w:t>
            </w:r>
            <w:r w:rsidRPr="008852DF">
              <w:rPr>
                <w:rFonts w:asciiTheme="minorHAnsi" w:hAnsiTheme="minorHAnsi" w:cstheme="minorHAnsi"/>
                <w:sz w:val="16"/>
                <w:szCs w:val="16"/>
                <w:lang w:val="fr-FR" w:eastAsia="fr-FR"/>
              </w:rPr>
              <w:t>Approche Genre intégrée dans les politiques et stratégie sectorielle ainsi que dans les mécanismes d'évaluation</w:t>
            </w: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30 cadres des institutions nationales (planificateurs et financiers) formés à l’analyse genre en 2012</w:t>
            </w:r>
          </w:p>
        </w:tc>
      </w:tr>
      <w:tr w:rsidR="008852DF" w:rsidRPr="0052245B" w:rsidTr="007B2E0E">
        <w:trPr>
          <w:trHeight w:val="70"/>
        </w:trPr>
        <w:tc>
          <w:tcPr>
            <w:tcW w:w="3960" w:type="dxa"/>
            <w:vMerge/>
            <w:shd w:val="clear" w:color="auto" w:fill="auto"/>
            <w:vAlign w:val="center"/>
          </w:tcPr>
          <w:p w:rsidR="008852DF" w:rsidRPr="008852DF" w:rsidRDefault="008852DF" w:rsidP="008852DF">
            <w:pPr>
              <w:contextualSpacing/>
              <w:rPr>
                <w:rFonts w:asciiTheme="minorHAnsi" w:hAnsiTheme="minorHAnsi" w:cstheme="minorHAnsi"/>
                <w:b/>
                <w:bCs/>
                <w:color w:val="1F497D"/>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Faisabilité de la budgétisation sensible au genre (BSG) connue en 2010</w:t>
            </w:r>
          </w:p>
        </w:tc>
      </w:tr>
      <w:tr w:rsidR="008852DF" w:rsidRPr="0052245B" w:rsidTr="007B2E0E">
        <w:trPr>
          <w:trHeight w:val="70"/>
        </w:trPr>
        <w:tc>
          <w:tcPr>
            <w:tcW w:w="3960" w:type="dxa"/>
            <w:vMerge/>
            <w:shd w:val="clear" w:color="auto" w:fill="auto"/>
            <w:vAlign w:val="center"/>
          </w:tcPr>
          <w:p w:rsidR="008852DF" w:rsidRPr="008852DF" w:rsidRDefault="008852DF" w:rsidP="008852DF">
            <w:pPr>
              <w:contextualSpacing/>
              <w:rPr>
                <w:rFonts w:asciiTheme="minorHAnsi" w:hAnsiTheme="minorHAnsi" w:cstheme="minorHAnsi"/>
                <w:b/>
                <w:bCs/>
                <w:color w:val="1F497D"/>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30 cadres des institutions nationales formés à la BSG en 2012</w:t>
            </w:r>
          </w:p>
        </w:tc>
      </w:tr>
      <w:tr w:rsidR="008852DF" w:rsidRPr="0052245B" w:rsidTr="007B2E0E">
        <w:trPr>
          <w:trHeight w:val="70"/>
        </w:trPr>
        <w:tc>
          <w:tcPr>
            <w:tcW w:w="3960" w:type="dxa"/>
            <w:vMerge/>
            <w:shd w:val="clear" w:color="auto" w:fill="auto"/>
            <w:vAlign w:val="center"/>
          </w:tcPr>
          <w:p w:rsidR="008852DF" w:rsidRPr="008852DF" w:rsidRDefault="008852DF" w:rsidP="008852DF">
            <w:pPr>
              <w:contextualSpacing/>
              <w:rPr>
                <w:rFonts w:asciiTheme="minorHAnsi" w:hAnsiTheme="minorHAnsi" w:cstheme="minorHAnsi"/>
                <w:b/>
                <w:bCs/>
                <w:color w:val="1F497D"/>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Un département ministériel dispose d’indicateurs de performance sensibles au genre</w:t>
            </w:r>
          </w:p>
        </w:tc>
      </w:tr>
      <w:tr w:rsidR="008852DF" w:rsidRPr="0052245B" w:rsidTr="007B2E0E">
        <w:trPr>
          <w:trHeight w:val="70"/>
        </w:trPr>
        <w:tc>
          <w:tcPr>
            <w:tcW w:w="3960" w:type="dxa"/>
            <w:shd w:val="clear" w:color="auto" w:fill="auto"/>
            <w:vAlign w:val="center"/>
          </w:tcPr>
          <w:p w:rsidR="008852DF" w:rsidRPr="008852DF" w:rsidRDefault="008852DF" w:rsidP="008852DF">
            <w:pPr>
              <w:contextualSpacing/>
              <w:rPr>
                <w:rFonts w:asciiTheme="minorHAnsi" w:hAnsiTheme="minorHAnsi" w:cstheme="minorHAnsi"/>
                <w:sz w:val="16"/>
                <w:szCs w:val="16"/>
                <w:lang w:val="fr-FR" w:eastAsia="fr-FR"/>
              </w:rPr>
            </w:pPr>
            <w:r w:rsidRPr="008852DF">
              <w:rPr>
                <w:rFonts w:asciiTheme="minorHAnsi" w:hAnsiTheme="minorHAnsi" w:cstheme="minorHAnsi"/>
                <w:b/>
                <w:bCs/>
                <w:sz w:val="16"/>
                <w:szCs w:val="16"/>
                <w:lang w:val="fr-FR" w:eastAsia="fr-FR"/>
              </w:rPr>
              <w:t xml:space="preserve">P4 : </w:t>
            </w:r>
            <w:r w:rsidRPr="008852DF">
              <w:rPr>
                <w:rFonts w:asciiTheme="minorHAnsi" w:hAnsiTheme="minorHAnsi" w:cstheme="minorHAnsi"/>
                <w:sz w:val="16"/>
                <w:szCs w:val="16"/>
                <w:lang w:val="fr-FR" w:eastAsia="fr-FR"/>
              </w:rPr>
              <w:t>Approche Genre intégré dans la planification locale au niveau de communes  pilotes</w:t>
            </w: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30 cadres des collectivités locales pilotes formés en analyse genre, en planification, programmation sur le genre en 2010</w:t>
            </w:r>
          </w:p>
        </w:tc>
      </w:tr>
      <w:tr w:rsidR="008852DF" w:rsidRPr="0052245B" w:rsidTr="007B2E0E">
        <w:trPr>
          <w:trHeight w:val="70"/>
        </w:trPr>
        <w:tc>
          <w:tcPr>
            <w:tcW w:w="396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b/>
                <w:bCs/>
                <w:sz w:val="16"/>
                <w:szCs w:val="16"/>
                <w:lang w:val="fr-FR" w:eastAsia="fr-FR"/>
              </w:rPr>
              <w:t xml:space="preserve">P5 : </w:t>
            </w:r>
            <w:r w:rsidR="007B2E0E" w:rsidRPr="007B2E0E">
              <w:rPr>
                <w:rFonts w:asciiTheme="minorHAnsi" w:hAnsiTheme="minorHAnsi" w:cstheme="minorHAnsi"/>
                <w:sz w:val="16"/>
                <w:szCs w:val="16"/>
                <w:lang w:val="fr-FR" w:eastAsia="fr-FR"/>
              </w:rPr>
              <w:t>L</w:t>
            </w:r>
            <w:r w:rsidRPr="008852DF">
              <w:rPr>
                <w:rFonts w:asciiTheme="minorHAnsi" w:hAnsiTheme="minorHAnsi" w:cstheme="minorHAnsi"/>
                <w:sz w:val="16"/>
                <w:szCs w:val="16"/>
                <w:lang w:val="fr-FR" w:eastAsia="fr-FR"/>
              </w:rPr>
              <w:t>es OSC  ont développé leurs connaissances sur le Genre pour promouvoir l'autonomisation  des femmes au niveau des institutions.</w:t>
            </w: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30 cadres des OSC et des partenaires sociaux formés en analyse genre et en plaidoyer pour le genre en 2010</w:t>
            </w:r>
          </w:p>
        </w:tc>
      </w:tr>
      <w:tr w:rsidR="008852DF" w:rsidRPr="0052245B" w:rsidTr="007B2E0E">
        <w:trPr>
          <w:trHeight w:val="70"/>
        </w:trPr>
        <w:tc>
          <w:tcPr>
            <w:tcW w:w="10080" w:type="dxa"/>
            <w:gridSpan w:val="2"/>
            <w:shd w:val="clear" w:color="auto" w:fill="auto"/>
            <w:vAlign w:val="center"/>
          </w:tcPr>
          <w:p w:rsidR="008852DF" w:rsidRPr="007B2E0E" w:rsidRDefault="008852DF" w:rsidP="008852DF">
            <w:pPr>
              <w:rPr>
                <w:rFonts w:asciiTheme="minorHAnsi" w:hAnsiTheme="minorHAnsi" w:cstheme="minorHAnsi"/>
                <w:b/>
                <w:sz w:val="16"/>
                <w:szCs w:val="16"/>
                <w:lang w:val="fr-FR" w:eastAsia="fr-FR"/>
              </w:rPr>
            </w:pPr>
            <w:r w:rsidRPr="007B2E0E">
              <w:rPr>
                <w:rFonts w:asciiTheme="minorHAnsi" w:hAnsiTheme="minorHAnsi" w:cstheme="minorHAnsi"/>
                <w:b/>
                <w:sz w:val="16"/>
                <w:szCs w:val="16"/>
                <w:lang w:val="fr-FR" w:eastAsia="fr-FR"/>
              </w:rPr>
              <w:t>Effet 2 : Amélioration de l’employabilité des femmes, en particulier les femmes rurales et vulnérables, et le renforcement de leur accès à un travail décent</w:t>
            </w:r>
          </w:p>
        </w:tc>
      </w:tr>
      <w:tr w:rsidR="008852DF" w:rsidRPr="0052245B" w:rsidTr="007B2E0E">
        <w:trPr>
          <w:trHeight w:val="70"/>
        </w:trPr>
        <w:tc>
          <w:tcPr>
            <w:tcW w:w="3960" w:type="dxa"/>
            <w:vMerge w:val="restart"/>
            <w:shd w:val="clear" w:color="auto" w:fill="auto"/>
            <w:vAlign w:val="center"/>
          </w:tcPr>
          <w:p w:rsidR="008852DF" w:rsidRPr="008852DF" w:rsidRDefault="008852DF" w:rsidP="008852DF">
            <w:pPr>
              <w:contextualSpacing/>
              <w:rPr>
                <w:rFonts w:asciiTheme="minorHAnsi" w:hAnsiTheme="minorHAnsi" w:cstheme="minorHAnsi"/>
                <w:b/>
                <w:bCs/>
                <w:sz w:val="16"/>
                <w:szCs w:val="16"/>
                <w:lang w:val="fr-FR" w:eastAsia="fr-FR"/>
              </w:rPr>
            </w:pPr>
            <w:r w:rsidRPr="008852DF">
              <w:rPr>
                <w:rFonts w:asciiTheme="minorHAnsi" w:hAnsiTheme="minorHAnsi" w:cstheme="minorHAnsi"/>
                <w:b/>
                <w:bCs/>
                <w:sz w:val="16"/>
                <w:szCs w:val="16"/>
                <w:lang w:val="fr-FR" w:eastAsia="fr-FR"/>
              </w:rPr>
              <w:t xml:space="preserve">P6 : </w:t>
            </w:r>
            <w:r w:rsidRPr="007B2E0E">
              <w:rPr>
                <w:rFonts w:asciiTheme="minorHAnsi" w:hAnsiTheme="minorHAnsi" w:cstheme="minorHAnsi"/>
                <w:sz w:val="16"/>
                <w:szCs w:val="16"/>
                <w:lang w:val="fr-FR" w:eastAsia="fr-FR"/>
              </w:rPr>
              <w:t>L</w:t>
            </w:r>
            <w:r w:rsidRPr="008852DF">
              <w:rPr>
                <w:rFonts w:asciiTheme="minorHAnsi" w:hAnsiTheme="minorHAnsi" w:cstheme="minorHAnsi"/>
                <w:sz w:val="16"/>
                <w:szCs w:val="16"/>
                <w:lang w:val="fr-FR" w:eastAsia="fr-FR"/>
              </w:rPr>
              <w:t>a connaissance des facteurs déterminants qui limitent ou entravent l'insertion pressionnelle  des femmes et leur accès à un travail décent est améliorée</w:t>
            </w: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1 étude réalisée sur les obstacles à l’emploi fé</w:t>
            </w:r>
            <w:r w:rsidRPr="007B2E0E">
              <w:rPr>
                <w:rFonts w:asciiTheme="minorHAnsi" w:hAnsiTheme="minorHAnsi" w:cstheme="minorHAnsi"/>
                <w:sz w:val="16"/>
                <w:szCs w:val="16"/>
                <w:lang w:val="fr-FR" w:eastAsia="fr-FR"/>
              </w:rPr>
              <w:t>minin en milieu urbain et rural</w:t>
            </w:r>
          </w:p>
        </w:tc>
      </w:tr>
      <w:tr w:rsidR="008852DF" w:rsidRPr="0052245B" w:rsidTr="007B2E0E">
        <w:trPr>
          <w:trHeight w:val="144"/>
        </w:trPr>
        <w:tc>
          <w:tcPr>
            <w:tcW w:w="3960" w:type="dxa"/>
            <w:vMerge/>
            <w:shd w:val="clear" w:color="auto" w:fill="auto"/>
            <w:vAlign w:val="center"/>
          </w:tcPr>
          <w:p w:rsidR="008852DF" w:rsidRPr="008852DF" w:rsidRDefault="008852DF" w:rsidP="008852DF">
            <w:pPr>
              <w:jc w:val="center"/>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1 étude réalisée sur les conditions de travail et la demande du marché de l’emploi.</w:t>
            </w:r>
          </w:p>
        </w:tc>
      </w:tr>
      <w:tr w:rsidR="008852DF" w:rsidRPr="0052245B" w:rsidTr="007B2E0E">
        <w:trPr>
          <w:trHeight w:val="130"/>
        </w:trPr>
        <w:tc>
          <w:tcPr>
            <w:tcW w:w="3960" w:type="dxa"/>
            <w:vMerge/>
            <w:shd w:val="clear" w:color="auto" w:fill="auto"/>
            <w:vAlign w:val="center"/>
          </w:tcPr>
          <w:p w:rsidR="008852DF" w:rsidRPr="008852DF" w:rsidRDefault="008852DF" w:rsidP="008852DF">
            <w:pPr>
              <w:jc w:val="center"/>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3 Observatoires produisent des données sexospécifiques  sur la trajectoire professionnelle des sortants du système d’éducation formation.</w:t>
            </w:r>
          </w:p>
        </w:tc>
      </w:tr>
      <w:tr w:rsidR="008852DF" w:rsidRPr="0052245B" w:rsidTr="007B2E0E">
        <w:trPr>
          <w:trHeight w:val="70"/>
        </w:trPr>
        <w:tc>
          <w:tcPr>
            <w:tcW w:w="3960" w:type="dxa"/>
            <w:shd w:val="clear" w:color="auto" w:fill="auto"/>
            <w:vAlign w:val="center"/>
          </w:tcPr>
          <w:p w:rsidR="008852DF" w:rsidRPr="008852DF" w:rsidRDefault="008852DF" w:rsidP="008852DF">
            <w:pPr>
              <w:contextualSpacing/>
              <w:rPr>
                <w:rFonts w:asciiTheme="minorHAnsi" w:hAnsiTheme="minorHAnsi" w:cstheme="minorHAnsi"/>
                <w:sz w:val="16"/>
                <w:szCs w:val="16"/>
                <w:lang w:val="fr-FR" w:eastAsia="fr-FR"/>
              </w:rPr>
            </w:pPr>
            <w:r w:rsidRPr="008852DF">
              <w:rPr>
                <w:rFonts w:asciiTheme="minorHAnsi" w:hAnsiTheme="minorHAnsi" w:cstheme="minorHAnsi"/>
                <w:b/>
                <w:bCs/>
                <w:sz w:val="16"/>
                <w:szCs w:val="16"/>
                <w:lang w:val="fr-FR" w:eastAsia="fr-FR"/>
              </w:rPr>
              <w:t xml:space="preserve">P7 : </w:t>
            </w:r>
            <w:r w:rsidRPr="008852DF">
              <w:rPr>
                <w:rFonts w:asciiTheme="minorHAnsi" w:hAnsiTheme="minorHAnsi" w:cstheme="minorHAnsi"/>
                <w:sz w:val="16"/>
                <w:szCs w:val="16"/>
                <w:lang w:val="fr-FR" w:eastAsia="fr-FR"/>
              </w:rPr>
              <w:t>L'offre de formation des femmes est mieux adaptée aux besoins du marché du travail</w:t>
            </w: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4  programmes de la formation professionnelle sont adaptés aux besoins du marché du travail</w:t>
            </w:r>
          </w:p>
        </w:tc>
      </w:tr>
      <w:tr w:rsidR="008852DF" w:rsidRPr="0052245B" w:rsidTr="007B2E0E">
        <w:trPr>
          <w:trHeight w:val="144"/>
        </w:trPr>
        <w:tc>
          <w:tcPr>
            <w:tcW w:w="3960" w:type="dxa"/>
            <w:vMerge w:val="restart"/>
            <w:shd w:val="clear" w:color="auto" w:fill="auto"/>
            <w:vAlign w:val="center"/>
          </w:tcPr>
          <w:p w:rsidR="008852DF" w:rsidRPr="008852DF" w:rsidRDefault="008852DF" w:rsidP="008852DF">
            <w:pPr>
              <w:contextualSpacing/>
              <w:rPr>
                <w:rFonts w:asciiTheme="minorHAnsi" w:hAnsiTheme="minorHAnsi" w:cstheme="minorHAnsi"/>
                <w:sz w:val="16"/>
                <w:szCs w:val="16"/>
                <w:lang w:val="fr-FR" w:eastAsia="fr-FR"/>
              </w:rPr>
            </w:pPr>
            <w:r w:rsidRPr="008852DF">
              <w:rPr>
                <w:rFonts w:asciiTheme="minorHAnsi" w:hAnsiTheme="minorHAnsi" w:cstheme="minorHAnsi"/>
                <w:b/>
                <w:bCs/>
                <w:sz w:val="16"/>
                <w:szCs w:val="16"/>
                <w:lang w:val="fr-FR" w:eastAsia="fr-FR"/>
              </w:rPr>
              <w:t xml:space="preserve">P8 : </w:t>
            </w:r>
            <w:r w:rsidRPr="007B2E0E">
              <w:rPr>
                <w:rFonts w:asciiTheme="minorHAnsi" w:hAnsiTheme="minorHAnsi" w:cstheme="minorHAnsi"/>
                <w:sz w:val="16"/>
                <w:szCs w:val="16"/>
                <w:lang w:val="fr-FR" w:eastAsia="fr-FR"/>
              </w:rPr>
              <w:t>L’</w:t>
            </w:r>
            <w:r w:rsidRPr="008852DF">
              <w:rPr>
                <w:rFonts w:asciiTheme="minorHAnsi" w:hAnsiTheme="minorHAnsi" w:cstheme="minorHAnsi"/>
                <w:sz w:val="16"/>
                <w:szCs w:val="16"/>
                <w:lang w:val="fr-FR" w:eastAsia="fr-FR"/>
              </w:rPr>
              <w:t>accès des femmes aux dispositifs existants de création d'emploi et d'accès à l'entreprenariat et au crédit est amélioré</w:t>
            </w: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Mise en place d’un système d’observation du marché du travail auprès de l’ANEM à travers le suivi et l’évaluation des politiques actives du marché du travail (PAMT)</w:t>
            </w:r>
          </w:p>
        </w:tc>
      </w:tr>
      <w:tr w:rsidR="008852DF" w:rsidRPr="0052245B" w:rsidTr="007B2E0E">
        <w:trPr>
          <w:trHeight w:val="70"/>
        </w:trPr>
        <w:tc>
          <w:tcPr>
            <w:tcW w:w="3960" w:type="dxa"/>
            <w:vMerge/>
            <w:shd w:val="clear" w:color="auto" w:fill="auto"/>
            <w:vAlign w:val="center"/>
          </w:tcPr>
          <w:p w:rsidR="008852DF" w:rsidRPr="008852DF" w:rsidRDefault="008852DF" w:rsidP="008852DF">
            <w:pPr>
              <w:contextualSpacing/>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7B2E0E" w:rsidP="008852DF">
            <w:pPr>
              <w:rPr>
                <w:rFonts w:asciiTheme="minorHAnsi" w:hAnsiTheme="minorHAnsi" w:cstheme="minorHAnsi"/>
                <w:sz w:val="16"/>
                <w:szCs w:val="16"/>
                <w:lang w:val="fr-FR" w:eastAsia="fr-FR"/>
              </w:rPr>
            </w:pPr>
            <w:r w:rsidRPr="007B2E0E">
              <w:rPr>
                <w:rFonts w:asciiTheme="minorHAnsi" w:hAnsiTheme="minorHAnsi" w:cstheme="minorHAnsi"/>
                <w:sz w:val="16"/>
                <w:szCs w:val="16"/>
                <w:lang w:val="fr-FR" w:eastAsia="fr-FR"/>
              </w:rPr>
              <w:t xml:space="preserve">Les capacités de 10 ONG, 2 organisations patronales et  </w:t>
            </w:r>
            <w:r w:rsidR="008852DF" w:rsidRPr="008852DF">
              <w:rPr>
                <w:rFonts w:asciiTheme="minorHAnsi" w:hAnsiTheme="minorHAnsi" w:cstheme="minorHAnsi"/>
                <w:sz w:val="16"/>
                <w:szCs w:val="16"/>
                <w:lang w:val="fr-FR" w:eastAsia="fr-FR"/>
              </w:rPr>
              <w:t>1 syndicat des travailleurs sont renforcées.</w:t>
            </w:r>
          </w:p>
        </w:tc>
      </w:tr>
      <w:tr w:rsidR="008852DF" w:rsidRPr="0052245B" w:rsidTr="007B2E0E">
        <w:trPr>
          <w:trHeight w:val="144"/>
        </w:trPr>
        <w:tc>
          <w:tcPr>
            <w:tcW w:w="3960" w:type="dxa"/>
            <w:vMerge/>
            <w:shd w:val="clear" w:color="auto" w:fill="auto"/>
            <w:vAlign w:val="center"/>
          </w:tcPr>
          <w:p w:rsidR="008852DF" w:rsidRPr="008852DF" w:rsidRDefault="008852DF" w:rsidP="008852DF">
            <w:pPr>
              <w:contextualSpacing/>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30 cadres des Institutions et de la société civile sont formés aux techniques aux outils de gestion de micro entreprises</w:t>
            </w:r>
          </w:p>
        </w:tc>
      </w:tr>
      <w:tr w:rsidR="008852DF" w:rsidRPr="0052245B" w:rsidTr="007B2E0E">
        <w:trPr>
          <w:trHeight w:val="70"/>
        </w:trPr>
        <w:tc>
          <w:tcPr>
            <w:tcW w:w="3960" w:type="dxa"/>
            <w:vMerge/>
            <w:shd w:val="clear" w:color="auto" w:fill="auto"/>
            <w:vAlign w:val="center"/>
          </w:tcPr>
          <w:p w:rsidR="008852DF" w:rsidRPr="008852DF" w:rsidRDefault="008852DF" w:rsidP="008852DF">
            <w:pPr>
              <w:contextualSpacing/>
              <w:rPr>
                <w:rFonts w:asciiTheme="minorHAnsi" w:hAnsiTheme="minorHAnsi" w:cstheme="minorHAnsi"/>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1 incubateur au niveau de la commune de Tipaza accompagne 20 femmes dans réalisation/gestion de leurs projets</w:t>
            </w:r>
          </w:p>
        </w:tc>
      </w:tr>
      <w:tr w:rsidR="008852DF" w:rsidRPr="0052245B" w:rsidTr="007B2E0E">
        <w:trPr>
          <w:trHeight w:val="70"/>
        </w:trPr>
        <w:tc>
          <w:tcPr>
            <w:tcW w:w="3960" w:type="dxa"/>
            <w:vMerge/>
            <w:shd w:val="clear" w:color="auto" w:fill="auto"/>
            <w:vAlign w:val="center"/>
          </w:tcPr>
          <w:p w:rsidR="008852DF" w:rsidRPr="008852DF" w:rsidRDefault="008852DF" w:rsidP="008852DF">
            <w:pPr>
              <w:jc w:val="center"/>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6 grandes</w:t>
            </w:r>
            <w:r w:rsidR="007B2E0E" w:rsidRPr="007B2E0E">
              <w:rPr>
                <w:rFonts w:asciiTheme="minorHAnsi" w:hAnsiTheme="minorHAnsi" w:cstheme="minorHAnsi"/>
                <w:sz w:val="16"/>
                <w:szCs w:val="16"/>
                <w:lang w:val="fr-FR" w:eastAsia="fr-FR"/>
              </w:rPr>
              <w:t xml:space="preserve"> entreprises (4 nationales et </w:t>
            </w:r>
            <w:r w:rsidRPr="008852DF">
              <w:rPr>
                <w:rFonts w:asciiTheme="minorHAnsi" w:hAnsiTheme="minorHAnsi" w:cstheme="minorHAnsi"/>
                <w:sz w:val="16"/>
                <w:szCs w:val="16"/>
                <w:lang w:val="fr-FR" w:eastAsia="fr-FR"/>
              </w:rPr>
              <w:t>2 étrangères)  parrainent les femmes entrepreneurs</w:t>
            </w:r>
          </w:p>
        </w:tc>
      </w:tr>
      <w:tr w:rsidR="008852DF" w:rsidRPr="0052245B" w:rsidTr="007B2E0E">
        <w:trPr>
          <w:trHeight w:val="70"/>
        </w:trPr>
        <w:tc>
          <w:tcPr>
            <w:tcW w:w="3960" w:type="dxa"/>
            <w:vMerge w:val="restart"/>
            <w:shd w:val="clear" w:color="auto" w:fill="auto"/>
            <w:vAlign w:val="center"/>
          </w:tcPr>
          <w:p w:rsidR="008852DF" w:rsidRPr="008852DF" w:rsidRDefault="008852DF" w:rsidP="008852DF">
            <w:pPr>
              <w:contextualSpacing/>
              <w:rPr>
                <w:rFonts w:asciiTheme="minorHAnsi" w:hAnsiTheme="minorHAnsi" w:cstheme="minorHAnsi"/>
                <w:b/>
                <w:bCs/>
                <w:sz w:val="16"/>
                <w:szCs w:val="16"/>
                <w:lang w:val="fr-FR" w:eastAsia="fr-FR"/>
              </w:rPr>
            </w:pPr>
            <w:r w:rsidRPr="008852DF">
              <w:rPr>
                <w:rFonts w:asciiTheme="minorHAnsi" w:hAnsiTheme="minorHAnsi" w:cstheme="minorHAnsi"/>
                <w:b/>
                <w:bCs/>
                <w:i/>
                <w:iCs/>
                <w:sz w:val="16"/>
                <w:szCs w:val="16"/>
                <w:lang w:val="fr-FR" w:eastAsia="fr-FR"/>
              </w:rPr>
              <w:t xml:space="preserve">P9: </w:t>
            </w:r>
            <w:r w:rsidRPr="008852DF">
              <w:rPr>
                <w:rFonts w:asciiTheme="minorHAnsi" w:hAnsiTheme="minorHAnsi" w:cstheme="minorHAnsi"/>
                <w:sz w:val="16"/>
                <w:szCs w:val="16"/>
                <w:lang w:val="fr-FR" w:eastAsia="fr-FR"/>
              </w:rPr>
              <w:t>Les femmes vulnérables  en milieu rural sont outillées et accompagnées pour développer des activités génératrices de revenus</w:t>
            </w: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1 étude technico-économique sur l’état des activités génératrices de revenus des femmes en milieu rural produite</w:t>
            </w:r>
          </w:p>
        </w:tc>
      </w:tr>
      <w:tr w:rsidR="008852DF" w:rsidRPr="0052245B" w:rsidTr="007B2E0E">
        <w:trPr>
          <w:trHeight w:val="70"/>
        </w:trPr>
        <w:tc>
          <w:tcPr>
            <w:tcW w:w="3960" w:type="dxa"/>
            <w:vMerge/>
            <w:shd w:val="clear" w:color="auto" w:fill="auto"/>
            <w:vAlign w:val="center"/>
          </w:tcPr>
          <w:p w:rsidR="008852DF" w:rsidRPr="008852DF" w:rsidRDefault="008852DF" w:rsidP="008852DF">
            <w:pPr>
              <w:spacing w:after="240"/>
              <w:jc w:val="center"/>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1 centre d’information pilote et d’accompagnement des femmes  dans une wilaya des hauts plateaux</w:t>
            </w:r>
          </w:p>
        </w:tc>
      </w:tr>
      <w:tr w:rsidR="008852DF" w:rsidRPr="0052245B" w:rsidTr="007B2E0E">
        <w:trPr>
          <w:trHeight w:val="121"/>
        </w:trPr>
        <w:tc>
          <w:tcPr>
            <w:tcW w:w="3960" w:type="dxa"/>
            <w:vMerge/>
            <w:shd w:val="clear" w:color="auto" w:fill="auto"/>
            <w:vAlign w:val="center"/>
          </w:tcPr>
          <w:p w:rsidR="008852DF" w:rsidRPr="008852DF" w:rsidRDefault="008852DF" w:rsidP="008852DF">
            <w:pPr>
              <w:spacing w:after="240"/>
              <w:jc w:val="center"/>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1 centre d’information  et d’accompagnement des femmes vulnérables crée, en particulier celles atteintes du VIH/SIDA à Tamanrasset</w:t>
            </w:r>
          </w:p>
        </w:tc>
      </w:tr>
      <w:tr w:rsidR="008852DF" w:rsidRPr="0052245B" w:rsidTr="007B2E0E">
        <w:trPr>
          <w:trHeight w:val="144"/>
        </w:trPr>
        <w:tc>
          <w:tcPr>
            <w:tcW w:w="3960" w:type="dxa"/>
            <w:vMerge/>
            <w:shd w:val="clear" w:color="auto" w:fill="auto"/>
            <w:vAlign w:val="center"/>
          </w:tcPr>
          <w:p w:rsidR="008852DF" w:rsidRPr="008852DF" w:rsidRDefault="008852DF" w:rsidP="008852DF">
            <w:pPr>
              <w:spacing w:after="240"/>
              <w:jc w:val="center"/>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2 garderies créées au niv</w:t>
            </w:r>
            <w:r w:rsidR="007B2E0E" w:rsidRPr="007B2E0E">
              <w:rPr>
                <w:rFonts w:asciiTheme="minorHAnsi" w:hAnsiTheme="minorHAnsi" w:cstheme="minorHAnsi"/>
                <w:sz w:val="16"/>
                <w:szCs w:val="16"/>
                <w:lang w:val="fr-FR" w:eastAsia="fr-FR"/>
              </w:rPr>
              <w:t xml:space="preserve">eau des zones rurales de Djelfa </w:t>
            </w:r>
            <w:r w:rsidRPr="008852DF">
              <w:rPr>
                <w:rFonts w:asciiTheme="minorHAnsi" w:hAnsiTheme="minorHAnsi" w:cstheme="minorHAnsi"/>
                <w:sz w:val="16"/>
                <w:szCs w:val="16"/>
                <w:lang w:val="fr-FR" w:eastAsia="fr-FR"/>
              </w:rPr>
              <w:t>et de Tipaza</w:t>
            </w:r>
          </w:p>
        </w:tc>
      </w:tr>
      <w:tr w:rsidR="008852DF" w:rsidRPr="0052245B" w:rsidTr="007B2E0E">
        <w:trPr>
          <w:trHeight w:val="433"/>
        </w:trPr>
        <w:tc>
          <w:tcPr>
            <w:tcW w:w="10080" w:type="dxa"/>
            <w:gridSpan w:val="2"/>
            <w:shd w:val="clear" w:color="auto" w:fill="auto"/>
            <w:vAlign w:val="center"/>
          </w:tcPr>
          <w:p w:rsidR="008852DF" w:rsidRPr="007B2E0E" w:rsidRDefault="008852DF" w:rsidP="008852DF">
            <w:pPr>
              <w:rPr>
                <w:rFonts w:asciiTheme="minorHAnsi" w:hAnsiTheme="minorHAnsi" w:cstheme="minorHAnsi"/>
                <w:sz w:val="16"/>
                <w:szCs w:val="16"/>
                <w:lang w:val="fr-FR" w:eastAsia="fr-FR"/>
              </w:rPr>
            </w:pPr>
            <w:r w:rsidRPr="007B2E0E">
              <w:rPr>
                <w:rFonts w:asciiTheme="minorHAnsi" w:hAnsiTheme="minorHAnsi" w:cstheme="minorHAnsi"/>
                <w:b/>
                <w:sz w:val="16"/>
                <w:szCs w:val="16"/>
                <w:lang w:val="fr-FR" w:eastAsia="fr-FR"/>
              </w:rPr>
              <w:t>Effet 3 : Promotion de l’image de la femme active et le renforcement des valeurs d’équité et d’égalité à travers une diffusion de l’information sensible au genre</w:t>
            </w:r>
          </w:p>
        </w:tc>
      </w:tr>
      <w:tr w:rsidR="008852DF" w:rsidRPr="0052245B" w:rsidTr="007B2E0E">
        <w:trPr>
          <w:trHeight w:val="433"/>
        </w:trPr>
        <w:tc>
          <w:tcPr>
            <w:tcW w:w="3960" w:type="dxa"/>
            <w:vMerge w:val="restart"/>
            <w:shd w:val="clear" w:color="auto" w:fill="auto"/>
            <w:vAlign w:val="center"/>
          </w:tcPr>
          <w:p w:rsidR="008852DF" w:rsidRPr="008852DF" w:rsidRDefault="008852DF" w:rsidP="008852DF">
            <w:pPr>
              <w:contextualSpacing/>
              <w:rPr>
                <w:rFonts w:asciiTheme="minorHAnsi" w:hAnsiTheme="minorHAnsi" w:cstheme="minorHAnsi"/>
                <w:sz w:val="16"/>
                <w:szCs w:val="16"/>
                <w:lang w:val="fr-FR" w:eastAsia="fr-FR"/>
              </w:rPr>
            </w:pPr>
            <w:r w:rsidRPr="008852DF">
              <w:rPr>
                <w:rFonts w:asciiTheme="minorHAnsi" w:hAnsiTheme="minorHAnsi" w:cstheme="minorHAnsi"/>
                <w:b/>
                <w:bCs/>
                <w:sz w:val="16"/>
                <w:szCs w:val="16"/>
                <w:lang w:val="fr-FR" w:eastAsia="fr-FR"/>
              </w:rPr>
              <w:t xml:space="preserve">P10 : </w:t>
            </w:r>
            <w:r w:rsidRPr="008852DF">
              <w:rPr>
                <w:rFonts w:asciiTheme="minorHAnsi" w:hAnsiTheme="minorHAnsi" w:cstheme="minorHAnsi"/>
                <w:sz w:val="16"/>
                <w:szCs w:val="16"/>
                <w:lang w:val="fr-FR" w:eastAsia="fr-FR"/>
              </w:rPr>
              <w:t>les médias sont sensibilisés aux droits des femmes et à la problématique Genre</w:t>
            </w:r>
          </w:p>
          <w:p w:rsidR="008852DF" w:rsidRPr="008852DF" w:rsidRDefault="008852DF" w:rsidP="008852DF">
            <w:pPr>
              <w:ind w:firstLine="34"/>
              <w:rPr>
                <w:rFonts w:asciiTheme="minorHAnsi" w:hAnsiTheme="minorHAnsi" w:cstheme="minorHAnsi"/>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50 journalistes: 4 journaux, 2 Radios nationales (arabe, français), TV, 4 radios locales sont sensibilisés au genre</w:t>
            </w:r>
          </w:p>
        </w:tc>
      </w:tr>
      <w:tr w:rsidR="008852DF" w:rsidRPr="0052245B" w:rsidTr="007B2E0E">
        <w:trPr>
          <w:trHeight w:val="83"/>
        </w:trPr>
        <w:tc>
          <w:tcPr>
            <w:tcW w:w="3960" w:type="dxa"/>
            <w:vMerge/>
            <w:shd w:val="clear" w:color="auto" w:fill="auto"/>
            <w:vAlign w:val="center"/>
          </w:tcPr>
          <w:p w:rsidR="008852DF" w:rsidRPr="008852DF" w:rsidRDefault="008852DF" w:rsidP="008852DF">
            <w:pPr>
              <w:jc w:val="center"/>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3 Emissions TV/Radios sur les projets innovants des femmes produites et diffusées</w:t>
            </w:r>
          </w:p>
        </w:tc>
      </w:tr>
      <w:tr w:rsidR="008852DF" w:rsidRPr="0052245B" w:rsidTr="007B2E0E">
        <w:trPr>
          <w:trHeight w:val="144"/>
        </w:trPr>
        <w:tc>
          <w:tcPr>
            <w:tcW w:w="3960" w:type="dxa"/>
            <w:vMerge w:val="restart"/>
            <w:shd w:val="clear" w:color="auto" w:fill="auto"/>
            <w:vAlign w:val="center"/>
          </w:tcPr>
          <w:p w:rsidR="008852DF" w:rsidRPr="008852DF" w:rsidRDefault="008852DF" w:rsidP="008852DF">
            <w:pPr>
              <w:contextualSpacing/>
              <w:rPr>
                <w:rFonts w:asciiTheme="minorHAnsi" w:hAnsiTheme="minorHAnsi" w:cstheme="minorHAnsi"/>
                <w:b/>
                <w:bCs/>
                <w:sz w:val="16"/>
                <w:szCs w:val="16"/>
                <w:lang w:val="fr-FR" w:eastAsia="fr-FR"/>
              </w:rPr>
            </w:pPr>
            <w:r w:rsidRPr="008852DF">
              <w:rPr>
                <w:rFonts w:asciiTheme="minorHAnsi" w:hAnsiTheme="minorHAnsi" w:cstheme="minorHAnsi"/>
                <w:b/>
                <w:bCs/>
                <w:sz w:val="16"/>
                <w:szCs w:val="16"/>
                <w:lang w:val="fr-FR" w:eastAsia="fr-FR"/>
              </w:rPr>
              <w:t xml:space="preserve">P11 : </w:t>
            </w:r>
            <w:r w:rsidRPr="008852DF">
              <w:rPr>
                <w:rFonts w:asciiTheme="minorHAnsi" w:hAnsiTheme="minorHAnsi" w:cstheme="minorHAnsi"/>
                <w:sz w:val="16"/>
                <w:szCs w:val="16"/>
                <w:lang w:val="fr-FR" w:eastAsia="fr-FR"/>
              </w:rPr>
              <w:t>Une stratégie de sensibilisation pour promouvoir les valeurs d'équité et d'égalité est élaborée et mise en œuvre à travers les médias</w:t>
            </w: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Une stratégie de plaidoyer, d’information et de sensibilisation autour des valeurs d’égalité et d’équité est élaborée et mise en œuvre</w:t>
            </w:r>
          </w:p>
        </w:tc>
      </w:tr>
      <w:tr w:rsidR="008852DF" w:rsidRPr="0052245B" w:rsidTr="007B2E0E">
        <w:trPr>
          <w:trHeight w:val="81"/>
        </w:trPr>
        <w:tc>
          <w:tcPr>
            <w:tcW w:w="3960" w:type="dxa"/>
            <w:vMerge/>
            <w:shd w:val="clear" w:color="auto" w:fill="auto"/>
            <w:vAlign w:val="center"/>
          </w:tcPr>
          <w:p w:rsidR="008852DF" w:rsidRPr="008852DF" w:rsidRDefault="008852DF" w:rsidP="008852DF">
            <w:pPr>
              <w:jc w:val="center"/>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Un répertoire sur les personnes ressources travaillant sur le genre  est produit pour appuyer la mise en œuvre du programme et le renforcement des partenariats</w:t>
            </w:r>
          </w:p>
        </w:tc>
      </w:tr>
      <w:tr w:rsidR="008852DF" w:rsidRPr="0052245B" w:rsidTr="007B2E0E">
        <w:trPr>
          <w:trHeight w:val="144"/>
        </w:trPr>
        <w:tc>
          <w:tcPr>
            <w:tcW w:w="3960" w:type="dxa"/>
            <w:vMerge w:val="restart"/>
            <w:shd w:val="clear" w:color="auto" w:fill="auto"/>
            <w:vAlign w:val="center"/>
          </w:tcPr>
          <w:p w:rsidR="008852DF" w:rsidRPr="008852DF" w:rsidRDefault="008852DF" w:rsidP="008852DF">
            <w:pPr>
              <w:contextualSpacing/>
              <w:rPr>
                <w:rFonts w:asciiTheme="minorHAnsi" w:hAnsiTheme="minorHAnsi" w:cstheme="minorHAnsi"/>
                <w:b/>
                <w:bCs/>
                <w:sz w:val="16"/>
                <w:szCs w:val="16"/>
                <w:lang w:val="fr-FR" w:eastAsia="fr-FR"/>
              </w:rPr>
            </w:pPr>
            <w:r w:rsidRPr="008852DF">
              <w:rPr>
                <w:rFonts w:asciiTheme="minorHAnsi" w:hAnsiTheme="minorHAnsi" w:cstheme="minorHAnsi"/>
                <w:b/>
                <w:bCs/>
                <w:sz w:val="16"/>
                <w:szCs w:val="16"/>
                <w:lang w:val="fr-FR" w:eastAsia="fr-FR"/>
              </w:rPr>
              <w:t xml:space="preserve">P12: </w:t>
            </w:r>
            <w:r w:rsidRPr="008852DF">
              <w:rPr>
                <w:rFonts w:asciiTheme="minorHAnsi" w:hAnsiTheme="minorHAnsi" w:cstheme="minorHAnsi"/>
                <w:sz w:val="16"/>
                <w:szCs w:val="16"/>
                <w:lang w:val="fr-FR" w:eastAsia="fr-FR"/>
              </w:rPr>
              <w:t>les organisations de la société civile pour la promotion des femmes nt amélioré leurs connaissances des droits socioéconomiques des femmes, sont mise en réseau, et donc plus efficient dans la conduite de leur programme.</w:t>
            </w: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30 organisations de la société civile pour la promotion des femmes sont formées sur les droits socio-économiques des femmes</w:t>
            </w:r>
          </w:p>
        </w:tc>
      </w:tr>
      <w:tr w:rsidR="008852DF" w:rsidRPr="0052245B" w:rsidTr="007B2E0E">
        <w:trPr>
          <w:trHeight w:val="144"/>
        </w:trPr>
        <w:tc>
          <w:tcPr>
            <w:tcW w:w="3960" w:type="dxa"/>
            <w:vMerge/>
            <w:shd w:val="clear" w:color="auto" w:fill="auto"/>
            <w:vAlign w:val="center"/>
          </w:tcPr>
          <w:p w:rsidR="008852DF" w:rsidRPr="008852DF" w:rsidRDefault="008852DF" w:rsidP="008852DF">
            <w:pPr>
              <w:jc w:val="center"/>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Les organisations sont mises en réseau à travers la création d’un site web sur le thème : Genre, emploi et développement</w:t>
            </w:r>
          </w:p>
        </w:tc>
      </w:tr>
      <w:tr w:rsidR="008852DF" w:rsidRPr="0052245B" w:rsidTr="007B2E0E">
        <w:trPr>
          <w:trHeight w:val="144"/>
        </w:trPr>
        <w:tc>
          <w:tcPr>
            <w:tcW w:w="3960" w:type="dxa"/>
            <w:vMerge/>
            <w:shd w:val="clear" w:color="auto" w:fill="auto"/>
            <w:vAlign w:val="center"/>
          </w:tcPr>
          <w:p w:rsidR="008852DF" w:rsidRPr="008852DF" w:rsidRDefault="008852DF" w:rsidP="008852DF">
            <w:pPr>
              <w:jc w:val="center"/>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5 forums de dialogue sont organisés entre les institutions, la société civile et les média</w:t>
            </w:r>
            <w:r w:rsidRPr="007B2E0E">
              <w:rPr>
                <w:rFonts w:asciiTheme="minorHAnsi" w:hAnsiTheme="minorHAnsi" w:cstheme="minorHAnsi"/>
                <w:sz w:val="16"/>
                <w:szCs w:val="16"/>
                <w:lang w:val="fr-FR" w:eastAsia="fr-FR"/>
              </w:rPr>
              <w:t>s</w:t>
            </w:r>
          </w:p>
        </w:tc>
      </w:tr>
      <w:tr w:rsidR="008852DF" w:rsidRPr="0052245B" w:rsidTr="007B2E0E">
        <w:trPr>
          <w:trHeight w:val="70"/>
        </w:trPr>
        <w:tc>
          <w:tcPr>
            <w:tcW w:w="3960" w:type="dxa"/>
            <w:vMerge w:val="restart"/>
            <w:shd w:val="clear" w:color="auto" w:fill="auto"/>
            <w:vAlign w:val="center"/>
          </w:tcPr>
          <w:p w:rsidR="008852DF" w:rsidRPr="008852DF" w:rsidRDefault="008852DF" w:rsidP="008852DF">
            <w:pPr>
              <w:rPr>
                <w:rFonts w:asciiTheme="minorHAnsi" w:hAnsiTheme="minorHAnsi" w:cstheme="minorHAnsi"/>
                <w:bCs/>
                <w:sz w:val="16"/>
                <w:szCs w:val="16"/>
                <w:lang w:val="fr-FR" w:eastAsia="fr-FR"/>
              </w:rPr>
            </w:pPr>
            <w:r w:rsidRPr="008852DF">
              <w:rPr>
                <w:rFonts w:asciiTheme="minorHAnsi" w:hAnsiTheme="minorHAnsi" w:cstheme="minorHAnsi"/>
                <w:b/>
                <w:bCs/>
                <w:sz w:val="16"/>
                <w:szCs w:val="16"/>
                <w:lang w:val="fr-FR" w:eastAsia="fr-FR"/>
              </w:rPr>
              <w:t>P13 :</w:t>
            </w:r>
            <w:r w:rsidRPr="008852DF">
              <w:rPr>
                <w:rFonts w:asciiTheme="minorHAnsi" w:hAnsiTheme="minorHAnsi" w:cstheme="minorHAnsi"/>
                <w:bCs/>
                <w:sz w:val="16"/>
                <w:szCs w:val="16"/>
                <w:lang w:val="fr-FR" w:eastAsia="fr-FR"/>
              </w:rPr>
              <w:t xml:space="preserve"> les femmes sont mieux informées et sensibilisées sur leurs droits  socio-économiques</w:t>
            </w:r>
          </w:p>
          <w:p w:rsidR="008852DF" w:rsidRPr="008852DF" w:rsidRDefault="008852DF" w:rsidP="008852DF">
            <w:pPr>
              <w:tabs>
                <w:tab w:val="left" w:pos="498"/>
              </w:tabs>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5 supports d’information sur les droits socio-économiques des femmes sont élaborés et diffusés par les ONGs formés sous le P12</w:t>
            </w:r>
          </w:p>
        </w:tc>
      </w:tr>
      <w:tr w:rsidR="008852DF" w:rsidRPr="0052245B" w:rsidTr="007B2E0E">
        <w:trPr>
          <w:trHeight w:val="70"/>
        </w:trPr>
        <w:tc>
          <w:tcPr>
            <w:tcW w:w="3960" w:type="dxa"/>
            <w:vMerge/>
            <w:shd w:val="clear" w:color="auto" w:fill="auto"/>
            <w:vAlign w:val="center"/>
          </w:tcPr>
          <w:p w:rsidR="008852DF" w:rsidRPr="008852DF" w:rsidRDefault="008852DF" w:rsidP="008852DF">
            <w:pPr>
              <w:jc w:val="center"/>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 xml:space="preserve"> Diffusion d’émissions TV/Radios sur les projets innovants et les bonnes pratiques des femmes </w:t>
            </w:r>
          </w:p>
        </w:tc>
      </w:tr>
      <w:tr w:rsidR="008852DF" w:rsidRPr="0052245B" w:rsidTr="007B2E0E">
        <w:trPr>
          <w:trHeight w:val="144"/>
        </w:trPr>
        <w:tc>
          <w:tcPr>
            <w:tcW w:w="3960" w:type="dxa"/>
            <w:vMerge/>
            <w:shd w:val="clear" w:color="auto" w:fill="auto"/>
            <w:vAlign w:val="center"/>
          </w:tcPr>
          <w:p w:rsidR="008852DF" w:rsidRPr="008852DF" w:rsidRDefault="008852DF" w:rsidP="008852DF">
            <w:pPr>
              <w:jc w:val="center"/>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5 supports d’information sur les droits socio-économiques des femmes sont élaborés et diffusés/s ONGs formés sous le P12</w:t>
            </w:r>
          </w:p>
        </w:tc>
      </w:tr>
      <w:tr w:rsidR="008852DF" w:rsidRPr="0052245B" w:rsidTr="007B2E0E">
        <w:trPr>
          <w:trHeight w:val="144"/>
        </w:trPr>
        <w:tc>
          <w:tcPr>
            <w:tcW w:w="3960" w:type="dxa"/>
            <w:vMerge/>
            <w:shd w:val="clear" w:color="auto" w:fill="auto"/>
            <w:vAlign w:val="center"/>
          </w:tcPr>
          <w:p w:rsidR="008852DF" w:rsidRPr="008852DF" w:rsidRDefault="008852DF" w:rsidP="008852DF">
            <w:pPr>
              <w:jc w:val="center"/>
              <w:rPr>
                <w:rFonts w:asciiTheme="minorHAnsi" w:hAnsiTheme="minorHAnsi" w:cstheme="minorHAnsi"/>
                <w:b/>
                <w:bCs/>
                <w:sz w:val="16"/>
                <w:szCs w:val="16"/>
                <w:lang w:val="fr-FR" w:eastAsia="fr-FR"/>
              </w:rPr>
            </w:pPr>
          </w:p>
        </w:tc>
        <w:tc>
          <w:tcPr>
            <w:tcW w:w="6120" w:type="dxa"/>
            <w:shd w:val="clear" w:color="auto" w:fill="auto"/>
            <w:vAlign w:val="center"/>
          </w:tcPr>
          <w:p w:rsidR="008852DF" w:rsidRPr="008852DF" w:rsidRDefault="008852DF" w:rsidP="008852DF">
            <w:pPr>
              <w:rPr>
                <w:rFonts w:asciiTheme="minorHAnsi" w:hAnsiTheme="minorHAnsi" w:cstheme="minorHAnsi"/>
                <w:sz w:val="16"/>
                <w:szCs w:val="16"/>
                <w:lang w:val="fr-FR" w:eastAsia="fr-FR"/>
              </w:rPr>
            </w:pPr>
            <w:r w:rsidRPr="008852DF">
              <w:rPr>
                <w:rFonts w:asciiTheme="minorHAnsi" w:hAnsiTheme="minorHAnsi" w:cstheme="minorHAnsi"/>
                <w:sz w:val="16"/>
                <w:szCs w:val="16"/>
                <w:lang w:val="fr-FR" w:eastAsia="fr-FR"/>
              </w:rPr>
              <w:t>Diffusion d’émissions TV/Radios sur les projets innovants et les bonnes pratiques des femmes </w:t>
            </w:r>
          </w:p>
        </w:tc>
      </w:tr>
    </w:tbl>
    <w:p w:rsidR="008852DF" w:rsidRPr="0031650C" w:rsidRDefault="008852DF" w:rsidP="00B52A3B">
      <w:pPr>
        <w:jc w:val="center"/>
        <w:rPr>
          <w:rFonts w:ascii="Calibri" w:hAnsi="Calibri"/>
          <w:b/>
          <w:color w:val="FF0000"/>
          <w:sz w:val="20"/>
          <w:szCs w:val="20"/>
          <w:lang w:val="fr-FR"/>
        </w:rPr>
      </w:pPr>
    </w:p>
    <w:p w:rsidR="00953EB5" w:rsidRPr="007B2E0E" w:rsidRDefault="00953EB5" w:rsidP="004E3D53">
      <w:pPr>
        <w:pStyle w:val="Heading1"/>
        <w:spacing w:before="0"/>
        <w:ind w:hanging="90"/>
        <w:rPr>
          <w:lang w:val="fr-CA"/>
        </w:rPr>
      </w:pPr>
      <w:bookmarkStart w:id="16" w:name="_Toc322342007"/>
      <w:bookmarkStart w:id="17" w:name="_Toc309023407"/>
      <w:r w:rsidRPr="007B2E0E">
        <w:rPr>
          <w:lang w:val="fr-CA"/>
        </w:rPr>
        <w:t>Conclusions de l’évaluation</w:t>
      </w:r>
      <w:bookmarkEnd w:id="16"/>
      <w:r w:rsidRPr="007B2E0E">
        <w:rPr>
          <w:lang w:val="fr-CA"/>
        </w:rPr>
        <w:t xml:space="preserve"> </w:t>
      </w:r>
    </w:p>
    <w:p w:rsidR="0021445A" w:rsidRPr="007B2E0E" w:rsidRDefault="0021445A" w:rsidP="002A3CD2">
      <w:pPr>
        <w:pStyle w:val="NoSpacing"/>
        <w:rPr>
          <w:lang w:val="fr-CA"/>
        </w:rPr>
      </w:pPr>
    </w:p>
    <w:p w:rsidR="007B2E0E" w:rsidRPr="005365E9" w:rsidRDefault="002A3CD2" w:rsidP="0038607C">
      <w:pPr>
        <w:pStyle w:val="UNDPTitle1"/>
        <w:numPr>
          <w:ilvl w:val="0"/>
          <w:numId w:val="11"/>
        </w:numPr>
        <w:spacing w:before="360"/>
        <w:outlineLvl w:val="1"/>
        <w:rPr>
          <w:color w:val="auto"/>
        </w:rPr>
      </w:pPr>
      <w:bookmarkStart w:id="18" w:name="_Toc322342008"/>
      <w:r w:rsidRPr="005365E9">
        <w:rPr>
          <w:color w:val="auto"/>
        </w:rPr>
        <w:t>Per</w:t>
      </w:r>
      <w:r w:rsidR="00D64AC0">
        <w:rPr>
          <w:color w:val="auto"/>
        </w:rPr>
        <w:t xml:space="preserve">tinence, </w:t>
      </w:r>
      <w:r w:rsidR="00D51B63">
        <w:rPr>
          <w:color w:val="auto"/>
        </w:rPr>
        <w:t xml:space="preserve">qualité </w:t>
      </w:r>
      <w:r w:rsidR="00D64AC0">
        <w:rPr>
          <w:color w:val="auto"/>
        </w:rPr>
        <w:t xml:space="preserve">et appropriation </w:t>
      </w:r>
      <w:r w:rsidR="00D51B63">
        <w:rPr>
          <w:color w:val="auto"/>
        </w:rPr>
        <w:t xml:space="preserve">de </w:t>
      </w:r>
      <w:r w:rsidRPr="005365E9">
        <w:rPr>
          <w:color w:val="auto"/>
        </w:rPr>
        <w:t>la conception</w:t>
      </w:r>
      <w:bookmarkEnd w:id="18"/>
      <w:r w:rsidRPr="005365E9">
        <w:rPr>
          <w:color w:val="auto"/>
        </w:rPr>
        <w:t xml:space="preserve">  </w:t>
      </w:r>
    </w:p>
    <w:p w:rsidR="00E849BC" w:rsidRDefault="00D51B63" w:rsidP="00123C70">
      <w:pPr>
        <w:pStyle w:val="NoSpacing"/>
        <w:numPr>
          <w:ilvl w:val="0"/>
          <w:numId w:val="1"/>
        </w:numPr>
        <w:ind w:left="0" w:firstLine="0"/>
        <w:rPr>
          <w:lang w:val="fr-CA"/>
        </w:rPr>
      </w:pPr>
      <w:r w:rsidRPr="00E849BC">
        <w:rPr>
          <w:b/>
          <w:lang w:val="fr-CA"/>
        </w:rPr>
        <w:t xml:space="preserve">Pertinence </w:t>
      </w:r>
      <w:r w:rsidR="007C75FB" w:rsidRPr="00E849BC">
        <w:rPr>
          <w:b/>
          <w:lang w:val="fr-CA"/>
        </w:rPr>
        <w:t>des interventions</w:t>
      </w:r>
      <w:r w:rsidRPr="00E849BC">
        <w:rPr>
          <w:b/>
          <w:lang w:val="fr-CA"/>
        </w:rPr>
        <w:t>.</w:t>
      </w:r>
      <w:r w:rsidRPr="00E849BC">
        <w:rPr>
          <w:lang w:val="fr-CA"/>
        </w:rPr>
        <w:t xml:space="preserve"> </w:t>
      </w:r>
      <w:r w:rsidR="00FB741B" w:rsidRPr="00E849BC">
        <w:rPr>
          <w:lang w:val="fr-CA"/>
        </w:rPr>
        <w:t xml:space="preserve">De l’avis de la mission, la pertinence des objectifs poursuivis par le programme conjoint n’est pas à remettre en question : il s’attaque à un problème réel et toujours d’actualité, celui de l’inégalité entre les genres en général, et de l’inégal accès des femmes algériennes au marché du travail et aux dispositifs d’appui de l’État dans divers domaines en particulier. </w:t>
      </w:r>
      <w:r w:rsidR="007C75FB" w:rsidRPr="00E849BC">
        <w:rPr>
          <w:lang w:val="fr-CA"/>
        </w:rPr>
        <w:t>La grande panoplie des interventions proposées semble répondre à chacun des problèmes précis et concrets identifiés dans le document de projet.  En outre, et comme le notait, e</w:t>
      </w:r>
      <w:r w:rsidR="00FB741B" w:rsidRPr="00E849BC">
        <w:rPr>
          <w:lang w:val="fr-CA"/>
        </w:rPr>
        <w:t>n avril 2010, l’</w:t>
      </w:r>
      <w:r w:rsidR="00E849BC" w:rsidRPr="00E849BC">
        <w:rPr>
          <w:lang w:val="fr-CA"/>
        </w:rPr>
        <w:t>évaluation</w:t>
      </w:r>
      <w:r w:rsidR="00FB741B" w:rsidRPr="00E849BC">
        <w:rPr>
          <w:lang w:val="fr-CA"/>
        </w:rPr>
        <w:t xml:space="preserve"> à mi-parcours du Programme de Pays du PNUD</w:t>
      </w:r>
      <w:r w:rsidR="00E849BC" w:rsidRPr="00E849BC">
        <w:rPr>
          <w:lang w:val="fr-CA"/>
        </w:rPr>
        <w:t>,</w:t>
      </w:r>
      <w:r w:rsidR="00FB741B" w:rsidRPr="00E849BC">
        <w:rPr>
          <w:lang w:val="fr-CA"/>
        </w:rPr>
        <w:t xml:space="preserve"> </w:t>
      </w:r>
      <w:r w:rsidR="007C75FB" w:rsidRPr="00E849BC">
        <w:rPr>
          <w:lang w:val="fr-CA"/>
        </w:rPr>
        <w:t>« </w:t>
      </w:r>
      <w:r w:rsidR="00FB741B" w:rsidRPr="00E849BC">
        <w:rPr>
          <w:i/>
          <w:lang w:val="fr-CA"/>
        </w:rPr>
        <w:t xml:space="preserve">le financement du </w:t>
      </w:r>
      <w:r w:rsidR="007C75FB" w:rsidRPr="00E849BC">
        <w:rPr>
          <w:i/>
          <w:lang w:val="fr-CA"/>
        </w:rPr>
        <w:t>[programme conjoint] (</w:t>
      </w:r>
      <w:r w:rsidR="00FB741B" w:rsidRPr="00E849BC">
        <w:rPr>
          <w:i/>
          <w:lang w:val="fr-CA"/>
        </w:rPr>
        <w:t>dont l’approbation constitue également un succès collectif pour le SNU) apporte un volume de ressources très nettement supérieur à celui dont disposent habituellement les agences des Nations Unies pour appuyer les efforts nationaux dans ce domaine</w:t>
      </w:r>
      <w:r w:rsidR="007C75FB" w:rsidRPr="00E849BC">
        <w:rPr>
          <w:lang w:val="fr-CA"/>
        </w:rPr>
        <w:t xml:space="preserve">. » </w:t>
      </w:r>
      <w:r w:rsidR="00B80BFA">
        <w:rPr>
          <w:lang w:val="fr-CA"/>
        </w:rPr>
        <w:t>Ces objectifs sont en outre parfaitement alignés avec ceux du Fonds-OMD, en particulier de son volet « Égalité entre les genres et autonomisation des femmes », et ceux de l’OMD 3.</w:t>
      </w:r>
    </w:p>
    <w:p w:rsidR="00D51B63" w:rsidRPr="00FB741B" w:rsidRDefault="00D51B63" w:rsidP="00123C70">
      <w:pPr>
        <w:pStyle w:val="NoSpacing"/>
        <w:numPr>
          <w:ilvl w:val="0"/>
          <w:numId w:val="1"/>
        </w:numPr>
        <w:ind w:left="0" w:firstLine="0"/>
        <w:rPr>
          <w:lang w:val="fr-CA"/>
        </w:rPr>
      </w:pPr>
      <w:r w:rsidRPr="00FB741B">
        <w:rPr>
          <w:b/>
          <w:lang w:val="fr-CA"/>
        </w:rPr>
        <w:t>Qualité de la conception</w:t>
      </w:r>
      <w:r w:rsidRPr="00FB741B">
        <w:rPr>
          <w:lang w:val="fr-CA"/>
        </w:rPr>
        <w:t xml:space="preserve">. Deux grandes critiques peuvent être formulées s’agissant de la </w:t>
      </w:r>
      <w:r w:rsidRPr="00123C70">
        <w:rPr>
          <w:lang w:val="fr-FR"/>
        </w:rPr>
        <w:t>conception</w:t>
      </w:r>
      <w:r w:rsidRPr="00FB741B">
        <w:rPr>
          <w:lang w:val="fr-CA"/>
        </w:rPr>
        <w:t xml:space="preserve"> d’ensemble du programme conjoint : (a) le caractère extrêmement ambitieux de la plupart des objectifs spécifiques du programme; (b) le </w:t>
      </w:r>
      <w:r w:rsidR="001E3770">
        <w:rPr>
          <w:lang w:val="fr-CA"/>
        </w:rPr>
        <w:t xml:space="preserve">manque de précision dans la définition </w:t>
      </w:r>
      <w:r w:rsidRPr="00FB741B">
        <w:rPr>
          <w:lang w:val="fr-CA"/>
        </w:rPr>
        <w:t>de la plup</w:t>
      </w:r>
      <w:r w:rsidR="00E849BC">
        <w:rPr>
          <w:lang w:val="fr-CA"/>
        </w:rPr>
        <w:t>art des interventions proposées et des mécanismes de mise en œuvre.</w:t>
      </w:r>
    </w:p>
    <w:p w:rsidR="00E849BC" w:rsidRDefault="00711FD6" w:rsidP="00123C70">
      <w:pPr>
        <w:pStyle w:val="NoSpacing"/>
        <w:numPr>
          <w:ilvl w:val="0"/>
          <w:numId w:val="1"/>
        </w:numPr>
        <w:ind w:left="0" w:firstLine="0"/>
        <w:rPr>
          <w:lang w:val="fr-CA"/>
        </w:rPr>
      </w:pPr>
      <w:r w:rsidRPr="00E849BC">
        <w:rPr>
          <w:lang w:val="fr-CA"/>
        </w:rPr>
        <w:t xml:space="preserve">(i) </w:t>
      </w:r>
      <w:r w:rsidRPr="00E849BC">
        <w:rPr>
          <w:u w:val="single"/>
          <w:lang w:val="fr-CA"/>
        </w:rPr>
        <w:t xml:space="preserve">Une conception </w:t>
      </w:r>
      <w:r w:rsidR="003A3615" w:rsidRPr="00E849BC">
        <w:rPr>
          <w:u w:val="single"/>
          <w:lang w:val="fr-CA"/>
        </w:rPr>
        <w:t>trop peu détaillée</w:t>
      </w:r>
      <w:r w:rsidRPr="00E849BC">
        <w:rPr>
          <w:u w:val="single"/>
          <w:lang w:val="fr-CA"/>
        </w:rPr>
        <w:t>.</w:t>
      </w:r>
      <w:r w:rsidRPr="00E849BC">
        <w:rPr>
          <w:lang w:val="fr-CA"/>
        </w:rPr>
        <w:t xml:space="preserve"> </w:t>
      </w:r>
      <w:r w:rsidR="001D1FD3" w:rsidRPr="00E849BC">
        <w:rPr>
          <w:lang w:val="fr-CA"/>
        </w:rPr>
        <w:t>S’agissant des activités à mettre en œuvre et des résultats à produire, l</w:t>
      </w:r>
      <w:r w:rsidR="006762FE" w:rsidRPr="00E849BC">
        <w:rPr>
          <w:lang w:val="fr-CA"/>
        </w:rPr>
        <w:t xml:space="preserve">e document de projet pêche </w:t>
      </w:r>
      <w:r w:rsidR="00A51824" w:rsidRPr="00E849BC">
        <w:rPr>
          <w:lang w:val="fr-CA"/>
        </w:rPr>
        <w:t xml:space="preserve">ainsi tout d’abord </w:t>
      </w:r>
      <w:r w:rsidR="006762FE" w:rsidRPr="00E849BC">
        <w:rPr>
          <w:lang w:val="fr-CA"/>
        </w:rPr>
        <w:t xml:space="preserve">par l’absence quasi généralisée de détails opérationnels. La plupart des « activités » (qui sont en fait des </w:t>
      </w:r>
      <w:r w:rsidR="001D1FD3" w:rsidRPr="00E849BC">
        <w:rPr>
          <w:lang w:val="fr-CA"/>
        </w:rPr>
        <w:t>« </w:t>
      </w:r>
      <w:r w:rsidR="006762FE" w:rsidRPr="00E849BC">
        <w:rPr>
          <w:lang w:val="fr-CA"/>
        </w:rPr>
        <w:t>produits</w:t>
      </w:r>
      <w:r w:rsidR="001D1FD3" w:rsidRPr="00E849BC">
        <w:rPr>
          <w:lang w:val="fr-CA"/>
        </w:rPr>
        <w:t> »</w:t>
      </w:r>
      <w:r w:rsidR="006762FE" w:rsidRPr="00E849BC">
        <w:rPr>
          <w:lang w:val="fr-CA"/>
        </w:rPr>
        <w:t xml:space="preserve">, comme on </w:t>
      </w:r>
      <w:r w:rsidR="00A51824" w:rsidRPr="00E849BC">
        <w:rPr>
          <w:lang w:val="fr-CA"/>
        </w:rPr>
        <w:t>le verra plus loin</w:t>
      </w:r>
      <w:r w:rsidR="006762FE" w:rsidRPr="00E849BC">
        <w:rPr>
          <w:lang w:val="fr-CA"/>
        </w:rPr>
        <w:t xml:space="preserve">), ne sont présentées que d’un mot ou d’une phrase. Cette </w:t>
      </w:r>
      <w:r w:rsidR="006762FE" w:rsidRPr="00E849BC">
        <w:rPr>
          <w:lang w:val="fr-FR"/>
        </w:rPr>
        <w:t>absence</w:t>
      </w:r>
      <w:r w:rsidR="006762FE" w:rsidRPr="00E849BC">
        <w:rPr>
          <w:lang w:val="fr-CA"/>
        </w:rPr>
        <w:t xml:space="preserve"> de détails opérationnels, voire conceptuels, couplée au fait que la problématique à laquelle s’attache le programme n’est que très </w:t>
      </w:r>
      <w:r w:rsidR="006762FE" w:rsidRPr="00E849BC">
        <w:rPr>
          <w:lang w:val="fr-FR"/>
        </w:rPr>
        <w:t>succinctement</w:t>
      </w:r>
      <w:r w:rsidR="006762FE" w:rsidRPr="00E849BC">
        <w:rPr>
          <w:lang w:val="fr-CA"/>
        </w:rPr>
        <w:t xml:space="preserve"> décrite</w:t>
      </w:r>
      <w:r w:rsidR="00ED2E43" w:rsidRPr="00E849BC">
        <w:rPr>
          <w:lang w:val="fr-CA"/>
        </w:rPr>
        <w:t>,</w:t>
      </w:r>
      <w:r w:rsidR="00E849BC" w:rsidRPr="00E849BC">
        <w:rPr>
          <w:lang w:val="fr-CA"/>
        </w:rPr>
        <w:t xml:space="preserve"> donne l’impression d’une </w:t>
      </w:r>
      <w:r w:rsidR="006762FE" w:rsidRPr="00E849BC">
        <w:rPr>
          <w:lang w:val="fr-CA"/>
        </w:rPr>
        <w:t>grande superficialité de la conception.</w:t>
      </w:r>
      <w:r w:rsidR="00633255" w:rsidRPr="00E849BC">
        <w:rPr>
          <w:lang w:val="fr-CA"/>
        </w:rPr>
        <w:t xml:space="preserve"> </w:t>
      </w:r>
      <w:r w:rsidRPr="00E849BC">
        <w:rPr>
          <w:lang w:val="fr-CA"/>
        </w:rPr>
        <w:t xml:space="preserve">De fait, </w:t>
      </w:r>
      <w:r w:rsidR="00E849BC">
        <w:rPr>
          <w:lang w:val="fr-CA"/>
        </w:rPr>
        <w:t xml:space="preserve">pendant des mois, </w:t>
      </w:r>
      <w:r w:rsidRPr="00E849BC">
        <w:rPr>
          <w:lang w:val="fr-CA"/>
        </w:rPr>
        <w:t>les partenaires du programme ont perdu un temps précieux à tenter de comprendre</w:t>
      </w:r>
      <w:r w:rsidR="00E849BC" w:rsidRPr="00E849BC">
        <w:rPr>
          <w:lang w:val="fr-CA"/>
        </w:rPr>
        <w:t xml:space="preserve"> et </w:t>
      </w:r>
      <w:r w:rsidRPr="00E849BC">
        <w:rPr>
          <w:lang w:val="fr-CA"/>
        </w:rPr>
        <w:t>définir la nature exac</w:t>
      </w:r>
      <w:r w:rsidR="001D1FD3" w:rsidRPr="00E849BC">
        <w:rPr>
          <w:lang w:val="fr-CA"/>
        </w:rPr>
        <w:t>te des interventions à conduire</w:t>
      </w:r>
      <w:r w:rsidRPr="00E849BC">
        <w:rPr>
          <w:lang w:val="fr-CA"/>
        </w:rPr>
        <w:t xml:space="preserve"> et leurs rôles respectifs</w:t>
      </w:r>
      <w:r w:rsidR="00E849BC" w:rsidRPr="00E849BC">
        <w:rPr>
          <w:lang w:val="fr-CA"/>
        </w:rPr>
        <w:t xml:space="preserve">. </w:t>
      </w:r>
    </w:p>
    <w:p w:rsidR="0021739A" w:rsidRPr="00E849BC" w:rsidRDefault="001D1FD3" w:rsidP="00123C70">
      <w:pPr>
        <w:pStyle w:val="NoSpacing"/>
        <w:numPr>
          <w:ilvl w:val="0"/>
          <w:numId w:val="1"/>
        </w:numPr>
        <w:ind w:left="0" w:firstLine="0"/>
        <w:rPr>
          <w:lang w:val="fr-CA"/>
        </w:rPr>
      </w:pPr>
      <w:r w:rsidRPr="00E849BC">
        <w:rPr>
          <w:lang w:val="fr-CA"/>
        </w:rPr>
        <w:t xml:space="preserve">De surcroît, </w:t>
      </w:r>
      <w:r w:rsidR="001E3770">
        <w:rPr>
          <w:lang w:val="fr-CA"/>
        </w:rPr>
        <w:t>la formulation de l’</w:t>
      </w:r>
      <w:r w:rsidR="00633255" w:rsidRPr="00E849BC">
        <w:rPr>
          <w:lang w:val="fr-CA"/>
        </w:rPr>
        <w:t xml:space="preserve">objectif global </w:t>
      </w:r>
      <w:r w:rsidR="001E3770">
        <w:rPr>
          <w:lang w:val="fr-CA"/>
        </w:rPr>
        <w:t>peut paraître ambigüe</w:t>
      </w:r>
      <w:r w:rsidR="00633255" w:rsidRPr="00E849BC">
        <w:rPr>
          <w:lang w:val="fr-CA"/>
        </w:rPr>
        <w:t xml:space="preserve">. Ainsi, si </w:t>
      </w:r>
      <w:r w:rsidR="0021739A" w:rsidRPr="00E849BC">
        <w:rPr>
          <w:lang w:val="fr-CA"/>
        </w:rPr>
        <w:t>le Résumé du</w:t>
      </w:r>
      <w:r w:rsidR="00633255" w:rsidRPr="00E849BC">
        <w:rPr>
          <w:lang w:val="fr-CA"/>
        </w:rPr>
        <w:t xml:space="preserve"> document de projet mentionne que le programme « </w:t>
      </w:r>
      <w:r w:rsidR="00633255" w:rsidRPr="00E849BC">
        <w:rPr>
          <w:i/>
          <w:lang w:val="fr-CA"/>
        </w:rPr>
        <w:t>a pour but</w:t>
      </w:r>
      <w:r w:rsidR="00633255" w:rsidRPr="00E849BC">
        <w:rPr>
          <w:i/>
          <w:lang w:val="fr-FR"/>
        </w:rPr>
        <w:t xml:space="preserve"> d’appuyer les efforts nationaux pour l’égalité des genres et l’autonomisation des femmes, avec un accent particulier sur l’accès amélioré à l’emploi pour les femmes</w:t>
      </w:r>
      <w:r w:rsidR="00633255" w:rsidRPr="00E849BC">
        <w:rPr>
          <w:lang w:val="fr-FR"/>
        </w:rPr>
        <w:t> », cet énoncé n’</w:t>
      </w:r>
      <w:r w:rsidR="0021739A" w:rsidRPr="00E849BC">
        <w:rPr>
          <w:lang w:val="fr-FR"/>
        </w:rPr>
        <w:t xml:space="preserve">est </w:t>
      </w:r>
      <w:r w:rsidR="00633255" w:rsidRPr="00E849BC">
        <w:rPr>
          <w:lang w:val="fr-FR"/>
        </w:rPr>
        <w:t xml:space="preserve">repris </w:t>
      </w:r>
      <w:r w:rsidR="0021739A" w:rsidRPr="00E849BC">
        <w:rPr>
          <w:lang w:val="fr-FR"/>
        </w:rPr>
        <w:t xml:space="preserve">ni dans la partie descriptive des interventions, ni </w:t>
      </w:r>
      <w:r w:rsidR="00E849BC">
        <w:rPr>
          <w:lang w:val="fr-FR"/>
        </w:rPr>
        <w:t>dans le Cadre logique ou le C</w:t>
      </w:r>
      <w:r w:rsidR="00633255" w:rsidRPr="00E849BC">
        <w:rPr>
          <w:lang w:val="fr-FR"/>
        </w:rPr>
        <w:t xml:space="preserve">adre de suivi. La section portant sur la description du programme conjoint, si elle décrit les trois principaux effets recherchés, </w:t>
      </w:r>
      <w:r w:rsidR="0021739A" w:rsidRPr="00E849BC">
        <w:rPr>
          <w:lang w:val="fr-FR"/>
        </w:rPr>
        <w:t>ne reprend pas l’énoncé précédent mais mentionne que le programme « </w:t>
      </w:r>
      <w:r w:rsidR="0021739A" w:rsidRPr="00E849BC">
        <w:rPr>
          <w:i/>
          <w:lang w:val="fr-FR"/>
        </w:rPr>
        <w:t>vise à </w:t>
      </w:r>
      <w:r w:rsidR="00633255" w:rsidRPr="00E849BC">
        <w:rPr>
          <w:i/>
          <w:lang w:val="fr-FR"/>
        </w:rPr>
        <w:t>conjuguer les efforts de sept agences des Nations Unies, d’une dizaine de départements ministériels, des OSC travaillant sur le genre, les organisations patronale</w:t>
      </w:r>
      <w:r w:rsidR="00E849BC">
        <w:rPr>
          <w:i/>
          <w:lang w:val="fr-FR"/>
        </w:rPr>
        <w:t xml:space="preserve">s et </w:t>
      </w:r>
      <w:r w:rsidR="00633255" w:rsidRPr="00E849BC">
        <w:rPr>
          <w:i/>
          <w:lang w:val="fr-FR"/>
        </w:rPr>
        <w:t>syndicat</w:t>
      </w:r>
      <w:r w:rsidR="00E849BC">
        <w:rPr>
          <w:i/>
          <w:lang w:val="fr-FR"/>
        </w:rPr>
        <w:t>s</w:t>
      </w:r>
      <w:r w:rsidR="00633255" w:rsidRPr="00E849BC">
        <w:rPr>
          <w:i/>
          <w:lang w:val="fr-FR"/>
        </w:rPr>
        <w:t xml:space="preserve"> des travailleurs</w:t>
      </w:r>
      <w:r w:rsidR="00A11042" w:rsidRPr="00E849BC">
        <w:rPr>
          <w:lang w:val="fr-FR"/>
        </w:rPr>
        <w:t> »</w:t>
      </w:r>
      <w:r w:rsidR="00633255" w:rsidRPr="00E849BC">
        <w:rPr>
          <w:lang w:val="fr-FR"/>
        </w:rPr>
        <w:t xml:space="preserve">, </w:t>
      </w:r>
      <w:r w:rsidR="0021739A" w:rsidRPr="00E849BC">
        <w:rPr>
          <w:lang w:val="fr-FR"/>
        </w:rPr>
        <w:t xml:space="preserve">ce que l’on pourrait méprendre pour l’objectif global du programme. Si, ainsi que le titre-même du programme le laisse suggérer, l’objectif ultime du programme est bien </w:t>
      </w:r>
      <w:r w:rsidRPr="00E849BC">
        <w:rPr>
          <w:lang w:val="fr-FR"/>
        </w:rPr>
        <w:t>« </w:t>
      </w:r>
      <w:r w:rsidR="0021739A" w:rsidRPr="00E849BC">
        <w:rPr>
          <w:i/>
          <w:lang w:val="fr-FR"/>
        </w:rPr>
        <w:t xml:space="preserve">d’appuyer les efforts nationaux pour l’égalité des genres et l’autonomisation des femmes », </w:t>
      </w:r>
      <w:r w:rsidR="0021739A" w:rsidRPr="00E849BC">
        <w:rPr>
          <w:lang w:val="fr-FR"/>
        </w:rPr>
        <w:t xml:space="preserve">il est regrettable que cette </w:t>
      </w:r>
      <w:r w:rsidRPr="00E849BC">
        <w:rPr>
          <w:lang w:val="fr-FR"/>
        </w:rPr>
        <w:t xml:space="preserve">précision importante ne soit </w:t>
      </w:r>
      <w:r w:rsidR="0021739A" w:rsidRPr="00E849BC">
        <w:rPr>
          <w:lang w:val="fr-FR"/>
        </w:rPr>
        <w:t xml:space="preserve"> apportée ni à la page 9 du document de projet, ni dans le</w:t>
      </w:r>
      <w:r w:rsidR="00E849BC">
        <w:rPr>
          <w:lang w:val="fr-FR"/>
        </w:rPr>
        <w:t xml:space="preserve"> Cadre logique ou le C</w:t>
      </w:r>
      <w:r w:rsidR="0021739A" w:rsidRPr="00E849BC">
        <w:rPr>
          <w:lang w:val="fr-FR"/>
        </w:rPr>
        <w:t xml:space="preserve">adre de suivi.   </w:t>
      </w:r>
    </w:p>
    <w:p w:rsidR="004D7B8C" w:rsidRPr="004D7B8C" w:rsidRDefault="00A92824" w:rsidP="00123C70">
      <w:pPr>
        <w:pStyle w:val="NoSpacing"/>
        <w:numPr>
          <w:ilvl w:val="0"/>
          <w:numId w:val="1"/>
        </w:numPr>
        <w:ind w:left="0" w:firstLine="0"/>
        <w:rPr>
          <w:lang w:val="fr-CA"/>
        </w:rPr>
      </w:pPr>
      <w:r>
        <w:rPr>
          <w:lang w:val="fr-FR"/>
        </w:rPr>
        <w:t>Enfin, il est regrettable que les concepteurs du programme n</w:t>
      </w:r>
      <w:r w:rsidR="001D1FD3">
        <w:rPr>
          <w:lang w:val="fr-FR"/>
        </w:rPr>
        <w:t>e semblent pas avoir vraiment</w:t>
      </w:r>
      <w:r w:rsidR="001D1FD3" w:rsidRPr="001D1FD3">
        <w:rPr>
          <w:lang w:val="fr-FR"/>
        </w:rPr>
        <w:t xml:space="preserve"> </w:t>
      </w:r>
      <w:r w:rsidR="001D1FD3">
        <w:rPr>
          <w:lang w:val="fr-FR"/>
        </w:rPr>
        <w:t>réfléchi aux processus opérationnels de mise en œuvre du programme.</w:t>
      </w:r>
      <w:r w:rsidR="008F4C47">
        <w:rPr>
          <w:lang w:val="fr-FR"/>
        </w:rPr>
        <w:t xml:space="preserve"> La principale lacune, et elle est de taille, concerne ainsi les processus de gestion</w:t>
      </w:r>
      <w:r w:rsidR="004562B9">
        <w:rPr>
          <w:lang w:val="fr-FR"/>
        </w:rPr>
        <w:t xml:space="preserve"> du programme, lesquels, tels que décrits dans le d</w:t>
      </w:r>
      <w:r w:rsidR="00B80BFA">
        <w:rPr>
          <w:lang w:val="fr-FR"/>
        </w:rPr>
        <w:t>ocument de projet, sont flous voire ambigus</w:t>
      </w:r>
      <w:r>
        <w:rPr>
          <w:lang w:val="fr-FR"/>
        </w:rPr>
        <w:t>.</w:t>
      </w:r>
      <w:r w:rsidR="008F4C47">
        <w:rPr>
          <w:lang w:val="fr-FR"/>
        </w:rPr>
        <w:t xml:space="preserve"> Il est ainsi regrettable de noter que les processus de gestion du programme ne font même pas l’objet</w:t>
      </w:r>
      <w:r w:rsidR="004562B9">
        <w:rPr>
          <w:lang w:val="fr-FR"/>
        </w:rPr>
        <w:t xml:space="preserve"> d’une section dédiée (à l’instar de la section </w:t>
      </w:r>
      <w:r w:rsidR="004562B9" w:rsidRPr="004562B9">
        <w:rPr>
          <w:i/>
          <w:lang w:val="fr-FR"/>
        </w:rPr>
        <w:t>6.1. Coordination</w:t>
      </w:r>
      <w:r w:rsidR="004562B9">
        <w:rPr>
          <w:lang w:val="fr-FR"/>
        </w:rPr>
        <w:t xml:space="preserve">). A la place, les responsabilités de gestion sont distribuées entre le Comité de Gestion du </w:t>
      </w:r>
      <w:r w:rsidR="004562B9">
        <w:rPr>
          <w:lang w:val="fr-FR"/>
        </w:rPr>
        <w:lastRenderedPageBreak/>
        <w:t>Programme (CGP) que l’on rend responsable de « </w:t>
      </w:r>
      <w:r w:rsidR="004562B9" w:rsidRPr="004562B9">
        <w:rPr>
          <w:i/>
          <w:lang w:val="fr-FR"/>
        </w:rPr>
        <w:t>la mise en œuvre des produits attendus </w:t>
      </w:r>
      <w:r w:rsidR="00E849BC">
        <w:rPr>
          <w:lang w:val="fr-FR"/>
        </w:rPr>
        <w:t xml:space="preserve">», l’Equipe de pays </w:t>
      </w:r>
      <w:r w:rsidR="004562B9">
        <w:rPr>
          <w:lang w:val="fr-FR"/>
        </w:rPr>
        <w:t xml:space="preserve">des Nations Unies que l’on rend responsable de « </w:t>
      </w:r>
      <w:r w:rsidR="004562B9" w:rsidRPr="004562B9">
        <w:rPr>
          <w:i/>
          <w:lang w:val="fr-FR"/>
        </w:rPr>
        <w:t>veiller à la réalisation des objectifs du Plan de Travail</w:t>
      </w:r>
      <w:r w:rsidR="004562B9">
        <w:rPr>
          <w:lang w:val="fr-FR"/>
        </w:rPr>
        <w:t> » et l’Equipe de Programme</w:t>
      </w:r>
      <w:r w:rsidR="00E849BC">
        <w:rPr>
          <w:lang w:val="fr-FR"/>
        </w:rPr>
        <w:t xml:space="preserve"> (EP)</w:t>
      </w:r>
      <w:r w:rsidR="004562B9">
        <w:rPr>
          <w:lang w:val="fr-FR"/>
        </w:rPr>
        <w:t>, responsable de « </w:t>
      </w:r>
      <w:r w:rsidR="004562B9" w:rsidRPr="004562B9">
        <w:rPr>
          <w:i/>
          <w:lang w:val="fr-FR"/>
        </w:rPr>
        <w:t>travailler à la mise en œuvre de la totalité de programme en très proche collaboration avec le CGP </w:t>
      </w:r>
      <w:r w:rsidR="004562B9">
        <w:rPr>
          <w:lang w:val="fr-FR"/>
        </w:rPr>
        <w:t xml:space="preserve">». </w:t>
      </w:r>
      <w:r w:rsidR="00E849BC" w:rsidRPr="001E4395">
        <w:rPr>
          <w:lang w:val="fr-FR"/>
        </w:rPr>
        <w:t xml:space="preserve">Nous verrons par la suite que </w:t>
      </w:r>
      <w:r w:rsidR="001E3770">
        <w:rPr>
          <w:lang w:val="fr-FR"/>
        </w:rPr>
        <w:t>les lacunes dans la</w:t>
      </w:r>
      <w:r w:rsidR="00E849BC">
        <w:rPr>
          <w:lang w:val="fr-FR"/>
        </w:rPr>
        <w:t xml:space="preserve"> réflexion autour du modèle de gesti</w:t>
      </w:r>
      <w:r w:rsidR="001E3770">
        <w:rPr>
          <w:lang w:val="fr-FR"/>
        </w:rPr>
        <w:t>on et de pilotage du programme ont</w:t>
      </w:r>
      <w:r w:rsidR="00E849BC">
        <w:rPr>
          <w:lang w:val="fr-FR"/>
        </w:rPr>
        <w:t xml:space="preserve"> eu des conséquences négatives sur l’efficience des processus décisionnels et de mise en œuvre.</w:t>
      </w:r>
    </w:p>
    <w:p w:rsidR="00A11042" w:rsidRPr="001E4395" w:rsidRDefault="00E849BC" w:rsidP="00123C70">
      <w:pPr>
        <w:pStyle w:val="NoSpacing"/>
        <w:numPr>
          <w:ilvl w:val="0"/>
          <w:numId w:val="1"/>
        </w:numPr>
        <w:ind w:left="0" w:firstLine="0"/>
        <w:rPr>
          <w:lang w:val="fr-CA"/>
        </w:rPr>
      </w:pPr>
      <w:r w:rsidRPr="001E4395">
        <w:rPr>
          <w:lang w:val="fr-CA"/>
        </w:rPr>
        <w:t xml:space="preserve"> </w:t>
      </w:r>
      <w:r w:rsidR="003A3615" w:rsidRPr="001E4395">
        <w:rPr>
          <w:lang w:val="fr-CA"/>
        </w:rPr>
        <w:t>(</w:t>
      </w:r>
      <w:r w:rsidR="003A3615" w:rsidRPr="001E4395">
        <w:rPr>
          <w:u w:val="single"/>
          <w:lang w:val="fr-CA"/>
        </w:rPr>
        <w:t xml:space="preserve">ii) Des objectifs </w:t>
      </w:r>
      <w:r w:rsidR="001E3770">
        <w:rPr>
          <w:u w:val="single"/>
          <w:lang w:val="fr-CA"/>
        </w:rPr>
        <w:t>trop ambitieux</w:t>
      </w:r>
      <w:r w:rsidR="003A3615" w:rsidRPr="001E4395">
        <w:rPr>
          <w:lang w:val="fr-CA"/>
        </w:rPr>
        <w:t xml:space="preserve">. Une étude attentive de </w:t>
      </w:r>
      <w:r w:rsidR="00633255" w:rsidRPr="001E4395">
        <w:rPr>
          <w:lang w:val="fr-CA"/>
        </w:rPr>
        <w:t xml:space="preserve">la chaîne des résultats et </w:t>
      </w:r>
      <w:r w:rsidR="003A3615" w:rsidRPr="001E4395">
        <w:rPr>
          <w:lang w:val="fr-CA"/>
        </w:rPr>
        <w:t xml:space="preserve">de </w:t>
      </w:r>
      <w:r w:rsidR="00633255" w:rsidRPr="001E4395">
        <w:rPr>
          <w:lang w:val="fr-CA"/>
        </w:rPr>
        <w:t>l’enchaînement logiqu</w:t>
      </w:r>
      <w:r w:rsidR="005743D3" w:rsidRPr="001E4395">
        <w:rPr>
          <w:lang w:val="fr-CA"/>
        </w:rPr>
        <w:t xml:space="preserve">e </w:t>
      </w:r>
      <w:r w:rsidR="003A3615" w:rsidRPr="001E4395">
        <w:rPr>
          <w:lang w:val="fr-CA"/>
        </w:rPr>
        <w:t>A</w:t>
      </w:r>
      <w:r w:rsidR="005743D3" w:rsidRPr="001E4395">
        <w:rPr>
          <w:lang w:val="fr-CA"/>
        </w:rPr>
        <w:t>ctivités/</w:t>
      </w:r>
      <w:r w:rsidR="003A3615" w:rsidRPr="001E4395">
        <w:rPr>
          <w:lang w:val="fr-CA"/>
        </w:rPr>
        <w:t>P</w:t>
      </w:r>
      <w:r w:rsidR="00633255" w:rsidRPr="001E4395">
        <w:rPr>
          <w:lang w:val="fr-CA"/>
        </w:rPr>
        <w:t>roduit</w:t>
      </w:r>
      <w:r w:rsidR="005743D3" w:rsidRPr="001E4395">
        <w:rPr>
          <w:lang w:val="fr-CA"/>
        </w:rPr>
        <w:t>s/</w:t>
      </w:r>
      <w:r w:rsidR="003A3615" w:rsidRPr="001E4395">
        <w:rPr>
          <w:lang w:val="fr-CA"/>
        </w:rPr>
        <w:t>E</w:t>
      </w:r>
      <w:r w:rsidR="005743D3" w:rsidRPr="001E4395">
        <w:rPr>
          <w:lang w:val="fr-CA"/>
        </w:rPr>
        <w:t xml:space="preserve">ffets </w:t>
      </w:r>
      <w:r w:rsidR="00A11042" w:rsidRPr="001E4395">
        <w:rPr>
          <w:lang w:val="fr-CA"/>
        </w:rPr>
        <w:t>esc</w:t>
      </w:r>
      <w:r w:rsidR="003A3615" w:rsidRPr="001E4395">
        <w:rPr>
          <w:lang w:val="fr-CA"/>
        </w:rPr>
        <w:t>omptés/I</w:t>
      </w:r>
      <w:r w:rsidR="00A11042" w:rsidRPr="001E4395">
        <w:rPr>
          <w:lang w:val="fr-CA"/>
        </w:rPr>
        <w:t>mpact,</w:t>
      </w:r>
      <w:r w:rsidR="003A3615" w:rsidRPr="001E4395">
        <w:rPr>
          <w:lang w:val="fr-CA"/>
        </w:rPr>
        <w:t xml:space="preserve"> tels que proposés dans le cadre logique du document de projet, révèle</w:t>
      </w:r>
      <w:r w:rsidR="00A11042" w:rsidRPr="001E4395">
        <w:rPr>
          <w:lang w:val="fr-CA"/>
        </w:rPr>
        <w:t xml:space="preserve"> que tous les éléments identifiés comme des « </w:t>
      </w:r>
      <w:r w:rsidR="003A3615" w:rsidRPr="001E4395">
        <w:rPr>
          <w:lang w:val="fr-CA"/>
        </w:rPr>
        <w:t>P</w:t>
      </w:r>
      <w:r w:rsidR="00A11042" w:rsidRPr="001E4395">
        <w:rPr>
          <w:lang w:val="fr-CA"/>
        </w:rPr>
        <w:t>roduits » sont en réalité des « </w:t>
      </w:r>
      <w:r w:rsidR="003A3615" w:rsidRPr="001E4395">
        <w:rPr>
          <w:lang w:val="fr-CA"/>
        </w:rPr>
        <w:t>E</w:t>
      </w:r>
      <w:r w:rsidR="00A11042" w:rsidRPr="001E4395">
        <w:rPr>
          <w:lang w:val="fr-CA"/>
        </w:rPr>
        <w:t>ffets escomptés » et que tous les éléments identifiés comme des « </w:t>
      </w:r>
      <w:r w:rsidR="003A3615" w:rsidRPr="001E4395">
        <w:rPr>
          <w:lang w:val="fr-CA"/>
        </w:rPr>
        <w:t>A</w:t>
      </w:r>
      <w:r w:rsidR="00A11042" w:rsidRPr="001E4395">
        <w:rPr>
          <w:lang w:val="fr-CA"/>
        </w:rPr>
        <w:t>ct</w:t>
      </w:r>
      <w:r w:rsidR="00457759">
        <w:rPr>
          <w:lang w:val="fr-CA"/>
        </w:rPr>
        <w:t>ivités » sont en réalité des « P</w:t>
      </w:r>
      <w:r w:rsidR="00A11042" w:rsidRPr="001E4395">
        <w:rPr>
          <w:lang w:val="fr-CA"/>
        </w:rPr>
        <w:t>roduits ».</w:t>
      </w:r>
      <w:r w:rsidR="00A11042">
        <w:rPr>
          <w:rStyle w:val="FootnoteReference"/>
          <w:lang w:val="fr-CA"/>
        </w:rPr>
        <w:footnoteReference w:id="18"/>
      </w:r>
      <w:r w:rsidR="00A11042" w:rsidRPr="001E4395">
        <w:rPr>
          <w:lang w:val="fr-CA"/>
        </w:rPr>
        <w:t xml:space="preserve"> </w:t>
      </w:r>
      <w:r w:rsidR="007841DE" w:rsidRPr="001E4395">
        <w:rPr>
          <w:lang w:val="fr-CA"/>
        </w:rPr>
        <w:t xml:space="preserve"> </w:t>
      </w:r>
      <w:r w:rsidR="00A11042" w:rsidRPr="001E4395">
        <w:rPr>
          <w:lang w:val="fr-CA"/>
        </w:rPr>
        <w:t>Quant aux trois « Effets » identifiés</w:t>
      </w:r>
      <w:r w:rsidR="00740619" w:rsidRPr="001E4395">
        <w:rPr>
          <w:lang w:val="fr-CA"/>
        </w:rPr>
        <w:t xml:space="preserve">, si </w:t>
      </w:r>
      <w:r w:rsidR="00740619" w:rsidRPr="00123C70">
        <w:rPr>
          <w:lang w:val="fr-FR"/>
        </w:rPr>
        <w:t>l’on</w:t>
      </w:r>
      <w:r w:rsidR="00740619" w:rsidRPr="001E4395">
        <w:rPr>
          <w:lang w:val="fr-CA"/>
        </w:rPr>
        <w:t xml:space="preserve"> considère que le programme conjoint est le premier du type à aborder en </w:t>
      </w:r>
      <w:r w:rsidR="00C0463B" w:rsidRPr="001E4395">
        <w:rPr>
          <w:lang w:val="fr-CA"/>
        </w:rPr>
        <w:t xml:space="preserve">Algérie </w:t>
      </w:r>
      <w:r w:rsidR="00740619" w:rsidRPr="001E4395">
        <w:rPr>
          <w:lang w:val="fr-CA"/>
        </w:rPr>
        <w:t>la thématique genre</w:t>
      </w:r>
      <w:r>
        <w:rPr>
          <w:lang w:val="fr-CA"/>
        </w:rPr>
        <w:t xml:space="preserve">, </w:t>
      </w:r>
      <w:r w:rsidR="00C0463B" w:rsidRPr="001E4395">
        <w:rPr>
          <w:lang w:val="fr-CA"/>
        </w:rPr>
        <w:t>il serait légitime de penser que les trois grands chantiers qu’ont voulu lancer les concepteurs auraient pu occuper à temps plein trois programmes conjoints parallèles.</w:t>
      </w:r>
      <w:r w:rsidR="003A3615" w:rsidRPr="001E4395">
        <w:rPr>
          <w:lang w:val="fr-CA"/>
        </w:rPr>
        <w:t xml:space="preserve"> </w:t>
      </w:r>
    </w:p>
    <w:p w:rsidR="003A3615" w:rsidRDefault="00A11042" w:rsidP="00123C70">
      <w:pPr>
        <w:pStyle w:val="NoSpacing"/>
        <w:numPr>
          <w:ilvl w:val="0"/>
          <w:numId w:val="1"/>
        </w:numPr>
        <w:ind w:left="0" w:firstLine="0"/>
        <w:rPr>
          <w:lang w:val="fr-CA"/>
        </w:rPr>
      </w:pPr>
      <w:r>
        <w:rPr>
          <w:lang w:val="fr-CA"/>
        </w:rPr>
        <w:t>L</w:t>
      </w:r>
      <w:r w:rsidR="00E849BC">
        <w:rPr>
          <w:lang w:val="fr-CA"/>
        </w:rPr>
        <w:t xml:space="preserve">e résultat </w:t>
      </w:r>
      <w:r w:rsidR="00C0463B">
        <w:rPr>
          <w:lang w:val="fr-CA"/>
        </w:rPr>
        <w:t>de cette confusion entre le</w:t>
      </w:r>
      <w:r>
        <w:rPr>
          <w:lang w:val="fr-CA"/>
        </w:rPr>
        <w:t>s différents niveaux de résultats</w:t>
      </w:r>
      <w:r w:rsidR="00C0463B">
        <w:rPr>
          <w:lang w:val="fr-CA"/>
        </w:rPr>
        <w:t xml:space="preserve"> </w:t>
      </w:r>
      <w:r w:rsidR="00E849BC">
        <w:rPr>
          <w:lang w:val="fr-CA"/>
        </w:rPr>
        <w:t>est à la fois simple et lourd</w:t>
      </w:r>
      <w:r>
        <w:rPr>
          <w:lang w:val="fr-CA"/>
        </w:rPr>
        <w:t xml:space="preserve"> de conséquence</w:t>
      </w:r>
      <w:r w:rsidR="00C0463B">
        <w:rPr>
          <w:lang w:val="fr-CA"/>
        </w:rPr>
        <w:t>s</w:t>
      </w:r>
      <w:r>
        <w:rPr>
          <w:lang w:val="fr-CA"/>
        </w:rPr>
        <w:t xml:space="preserve"> : </w:t>
      </w:r>
      <w:r w:rsidR="00C0463B">
        <w:rPr>
          <w:lang w:val="fr-CA"/>
        </w:rPr>
        <w:t>les objectifs ou résultats attendus de haut niveau (« </w:t>
      </w:r>
      <w:r w:rsidR="003A3615">
        <w:rPr>
          <w:lang w:val="fr-CA"/>
        </w:rPr>
        <w:t>les E</w:t>
      </w:r>
      <w:r w:rsidR="00C0463B">
        <w:rPr>
          <w:lang w:val="fr-CA"/>
        </w:rPr>
        <w:t>ffets ») du programme s</w:t>
      </w:r>
      <w:r w:rsidR="00D51B63">
        <w:rPr>
          <w:lang w:val="fr-CA"/>
        </w:rPr>
        <w:t>emblent</w:t>
      </w:r>
      <w:r w:rsidR="00C0463B">
        <w:rPr>
          <w:lang w:val="fr-CA"/>
        </w:rPr>
        <w:t xml:space="preserve"> irréalisables en trois ans. </w:t>
      </w:r>
      <w:r w:rsidR="00D51B63">
        <w:rPr>
          <w:lang w:val="fr-CA"/>
        </w:rPr>
        <w:t>Par voie de conséquence, il semble tout à fait illusoire de penser que le programme conjoint peut apporter plus qu’une contribution marginale à la réalisation de</w:t>
      </w:r>
      <w:r w:rsidR="00C0463B">
        <w:rPr>
          <w:lang w:val="fr-CA"/>
        </w:rPr>
        <w:t xml:space="preserve"> l’objectif ultime d’auton</w:t>
      </w:r>
      <w:r w:rsidR="00ED2E43">
        <w:rPr>
          <w:lang w:val="fr-CA"/>
        </w:rPr>
        <w:t>omisation des femmes et d’égalité entre les genres</w:t>
      </w:r>
      <w:r w:rsidR="00E849BC">
        <w:rPr>
          <w:lang w:val="fr-CA"/>
        </w:rPr>
        <w:t xml:space="preserve"> en Algérie</w:t>
      </w:r>
      <w:r w:rsidR="00457759">
        <w:rPr>
          <w:lang w:val="fr-CA"/>
        </w:rPr>
        <w:t>.</w:t>
      </w:r>
      <w:r w:rsidR="00E849BC">
        <w:rPr>
          <w:lang w:val="fr-CA"/>
        </w:rPr>
        <w:t xml:space="preserve"> </w:t>
      </w:r>
    </w:p>
    <w:p w:rsidR="006138ED" w:rsidRDefault="00603E40" w:rsidP="00123C70">
      <w:pPr>
        <w:pStyle w:val="NoSpacing"/>
        <w:numPr>
          <w:ilvl w:val="0"/>
          <w:numId w:val="1"/>
        </w:numPr>
        <w:ind w:left="0" w:firstLine="0"/>
        <w:rPr>
          <w:lang w:val="fr-CA"/>
        </w:rPr>
      </w:pPr>
      <w:r w:rsidRPr="006138ED">
        <w:rPr>
          <w:lang w:val="fr-CA"/>
        </w:rPr>
        <w:t xml:space="preserve">Les cibles les plus irréalistes concernent en particulier l’Effet 2. Ainsi, les cibles visant </w:t>
      </w:r>
      <w:r w:rsidR="000C619B" w:rsidRPr="006138ED">
        <w:rPr>
          <w:lang w:val="fr-CA"/>
        </w:rPr>
        <w:t xml:space="preserve">la réduction de </w:t>
      </w:r>
      <w:r w:rsidRPr="006138ED">
        <w:rPr>
          <w:lang w:val="fr-CA"/>
        </w:rPr>
        <w:t>« </w:t>
      </w:r>
      <w:r w:rsidR="000C619B" w:rsidRPr="006138ED">
        <w:rPr>
          <w:i/>
          <w:lang w:val="fr-CA"/>
        </w:rPr>
        <w:t xml:space="preserve">25% du taux </w:t>
      </w:r>
      <w:r w:rsidRPr="006138ED">
        <w:rPr>
          <w:i/>
          <w:lang w:val="fr-CA"/>
        </w:rPr>
        <w:t xml:space="preserve">et de la durée </w:t>
      </w:r>
      <w:r w:rsidR="000C619B" w:rsidRPr="006138ED">
        <w:rPr>
          <w:i/>
          <w:lang w:val="fr-CA"/>
        </w:rPr>
        <w:t>d</w:t>
      </w:r>
      <w:r w:rsidRPr="006138ED">
        <w:rPr>
          <w:i/>
          <w:lang w:val="fr-CA"/>
        </w:rPr>
        <w:t>u</w:t>
      </w:r>
      <w:r w:rsidR="000C619B" w:rsidRPr="006138ED">
        <w:rPr>
          <w:i/>
          <w:lang w:val="fr-CA"/>
        </w:rPr>
        <w:t xml:space="preserve"> </w:t>
      </w:r>
      <w:r w:rsidRPr="006138ED">
        <w:rPr>
          <w:i/>
          <w:lang w:val="fr-CA"/>
        </w:rPr>
        <w:t>chômage</w:t>
      </w:r>
      <w:r w:rsidR="000C619B" w:rsidRPr="006138ED">
        <w:rPr>
          <w:i/>
          <w:lang w:val="fr-CA"/>
        </w:rPr>
        <w:t xml:space="preserve"> des sortantes de la formation </w:t>
      </w:r>
      <w:r w:rsidRPr="006138ED">
        <w:rPr>
          <w:i/>
          <w:lang w:val="fr-CA"/>
        </w:rPr>
        <w:t>professionnelle</w:t>
      </w:r>
      <w:r w:rsidR="000C619B" w:rsidRPr="006138ED">
        <w:rPr>
          <w:i/>
          <w:lang w:val="fr-CA"/>
        </w:rPr>
        <w:t xml:space="preserve"> et des universit</w:t>
      </w:r>
      <w:r w:rsidRPr="006138ED">
        <w:rPr>
          <w:i/>
          <w:lang w:val="fr-CA"/>
        </w:rPr>
        <w:t>aires »</w:t>
      </w:r>
      <w:r w:rsidRPr="006138ED">
        <w:rPr>
          <w:lang w:val="fr-CA"/>
        </w:rPr>
        <w:t xml:space="preserve"> et l’atteinte de la « </w:t>
      </w:r>
      <w:r w:rsidRPr="006138ED">
        <w:rPr>
          <w:i/>
          <w:lang w:val="fr-CA"/>
        </w:rPr>
        <w:t xml:space="preserve">parité au niveau de l’accès des femmes au mécanismes et dispositifs existants de création d’emploi et d’appui à </w:t>
      </w:r>
      <w:r w:rsidRPr="00123C70">
        <w:rPr>
          <w:lang w:val="fr-FR"/>
        </w:rPr>
        <w:t>l’entreprenariat</w:t>
      </w:r>
      <w:r w:rsidRPr="006138ED">
        <w:rPr>
          <w:i/>
          <w:lang w:val="fr-CA"/>
        </w:rPr>
        <w:t> »</w:t>
      </w:r>
      <w:r w:rsidRPr="006138ED">
        <w:rPr>
          <w:lang w:val="fr-CA"/>
        </w:rPr>
        <w:t xml:space="preserve"> paraissent hors de portée pour un programme de trois ans </w:t>
      </w:r>
      <w:r w:rsidR="006138ED">
        <w:rPr>
          <w:lang w:val="fr-CA"/>
        </w:rPr>
        <w:t>qui ne prévoit</w:t>
      </w:r>
      <w:r w:rsidR="006674D8">
        <w:rPr>
          <w:lang w:val="fr-CA"/>
        </w:rPr>
        <w:t>, à cet effet,</w:t>
      </w:r>
      <w:r w:rsidRPr="006138ED">
        <w:rPr>
          <w:lang w:val="fr-CA"/>
        </w:rPr>
        <w:t xml:space="preserve"> que la réalisation d’études, de quelques activités pilotes et d’</w:t>
      </w:r>
      <w:r w:rsidR="006138ED" w:rsidRPr="006138ED">
        <w:rPr>
          <w:lang w:val="fr-CA"/>
        </w:rPr>
        <w:t>activités</w:t>
      </w:r>
      <w:r w:rsidRPr="006138ED">
        <w:rPr>
          <w:lang w:val="fr-CA"/>
        </w:rPr>
        <w:t xml:space="preserve"> de </w:t>
      </w:r>
      <w:r w:rsidR="006138ED" w:rsidRPr="006138ED">
        <w:rPr>
          <w:lang w:val="fr-CA"/>
        </w:rPr>
        <w:t>formation/sensibilisation</w:t>
      </w:r>
      <w:r w:rsidRPr="006138ED">
        <w:rPr>
          <w:lang w:val="fr-CA"/>
        </w:rPr>
        <w:t xml:space="preserve"> d’une </w:t>
      </w:r>
      <w:r w:rsidR="006138ED" w:rsidRPr="006138ED">
        <w:rPr>
          <w:lang w:val="fr-CA"/>
        </w:rPr>
        <w:t>dizaine d’organisations de la société civile et d’une quarantaine de cadres d’institutions nationales.</w:t>
      </w:r>
      <w:r w:rsidR="006E088D">
        <w:rPr>
          <w:lang w:val="fr-CA"/>
        </w:rPr>
        <w:t xml:space="preserve"> En outre, il convient de relever le peu de pertinence de l’indicateur portant sur le « taux de chômage » et la « durée du chômage ».</w:t>
      </w:r>
    </w:p>
    <w:p w:rsidR="00D9702D" w:rsidRDefault="00D9702D" w:rsidP="00123C70">
      <w:pPr>
        <w:pStyle w:val="NoSpacing"/>
        <w:numPr>
          <w:ilvl w:val="0"/>
          <w:numId w:val="1"/>
        </w:numPr>
        <w:ind w:left="0" w:firstLine="0"/>
        <w:rPr>
          <w:lang w:val="fr-CA"/>
        </w:rPr>
      </w:pPr>
      <w:r>
        <w:rPr>
          <w:lang w:val="fr-CA"/>
        </w:rPr>
        <w:t xml:space="preserve">S’agissant toujours de l’Effet 2, on notera aussi que tout un pan des activités prévues (celles </w:t>
      </w:r>
      <w:r w:rsidRPr="00123C70">
        <w:rPr>
          <w:lang w:val="fr-FR"/>
        </w:rPr>
        <w:t>concernant</w:t>
      </w:r>
      <w:r>
        <w:rPr>
          <w:lang w:val="fr-CA"/>
        </w:rPr>
        <w:t xml:space="preserve"> </w:t>
      </w:r>
      <w:r w:rsidR="00A82345">
        <w:rPr>
          <w:lang w:val="fr-CA"/>
        </w:rPr>
        <w:t xml:space="preserve">l’optimisation des dispositifs existants  par </w:t>
      </w:r>
      <w:r w:rsidR="00E849BC">
        <w:rPr>
          <w:lang w:val="fr-CA"/>
        </w:rPr>
        <w:t>u</w:t>
      </w:r>
      <w:r w:rsidR="00A82345">
        <w:rPr>
          <w:lang w:val="fr-CA"/>
        </w:rPr>
        <w:t>n travail d’information et de sensibilisation à travers les OSC et les partenaires sociaux</w:t>
      </w:r>
      <w:r>
        <w:rPr>
          <w:lang w:val="fr-CA"/>
        </w:rPr>
        <w:t xml:space="preserve">) reposent sur </w:t>
      </w:r>
      <w:r w:rsidRPr="000C666A">
        <w:rPr>
          <w:lang w:val="fr-FR"/>
        </w:rPr>
        <w:t>un</w:t>
      </w:r>
      <w:r w:rsidR="001E3770">
        <w:rPr>
          <w:lang w:val="fr-CA"/>
        </w:rPr>
        <w:t xml:space="preserve"> présupposé</w:t>
      </w:r>
      <w:r w:rsidRPr="00A027E3">
        <w:rPr>
          <w:lang w:val="fr-CA"/>
        </w:rPr>
        <w:t xml:space="preserve"> : </w:t>
      </w:r>
      <w:r>
        <w:rPr>
          <w:lang w:val="fr-CA"/>
        </w:rPr>
        <w:t>celui que ces dispositifs, qui semblent n’</w:t>
      </w:r>
      <w:r w:rsidR="00A03AE5">
        <w:rPr>
          <w:lang w:val="fr-CA"/>
        </w:rPr>
        <w:t>avoir pas fait</w:t>
      </w:r>
      <w:r>
        <w:rPr>
          <w:lang w:val="fr-CA"/>
        </w:rPr>
        <w:t xml:space="preserve"> l’objet d’évaluation, fonctionnent correctement et remplissent leurs objectifs. Certains des travaux de la mission ont révélé que certains des dispositifs</w:t>
      </w:r>
      <w:r w:rsidR="00A82345">
        <w:rPr>
          <w:lang w:val="fr-CA"/>
        </w:rPr>
        <w:t xml:space="preserve">, </w:t>
      </w:r>
      <w:r>
        <w:rPr>
          <w:lang w:val="fr-CA"/>
        </w:rPr>
        <w:t>notamment ceux d’accès au micro-crédit</w:t>
      </w:r>
      <w:r w:rsidR="00A82345">
        <w:rPr>
          <w:lang w:val="fr-CA"/>
        </w:rPr>
        <w:t>,</w:t>
      </w:r>
      <w:r>
        <w:rPr>
          <w:lang w:val="fr-CA"/>
        </w:rPr>
        <w:t xml:space="preserve"> d’aide aux PMEs ou de formation professionnelle</w:t>
      </w:r>
      <w:r w:rsidR="00A82345">
        <w:rPr>
          <w:lang w:val="fr-CA"/>
        </w:rPr>
        <w:t xml:space="preserve">, </w:t>
      </w:r>
      <w:r w:rsidR="001E3770">
        <w:rPr>
          <w:lang w:val="fr-CA"/>
        </w:rPr>
        <w:t>ne fonctionnent peut-être pas de</w:t>
      </w:r>
      <w:r>
        <w:rPr>
          <w:lang w:val="fr-CA"/>
        </w:rPr>
        <w:t xml:space="preserve"> fa</w:t>
      </w:r>
      <w:r>
        <w:rPr>
          <w:rFonts w:cs="Calibri"/>
          <w:lang w:val="fr-CA"/>
        </w:rPr>
        <w:t>ç</w:t>
      </w:r>
      <w:r>
        <w:rPr>
          <w:lang w:val="fr-CA"/>
        </w:rPr>
        <w:t>on optimale.</w:t>
      </w:r>
    </w:p>
    <w:p w:rsidR="009B7CEC" w:rsidRPr="00D9702D" w:rsidRDefault="00D9702D" w:rsidP="00123C70">
      <w:pPr>
        <w:pStyle w:val="NoSpacing"/>
        <w:numPr>
          <w:ilvl w:val="0"/>
          <w:numId w:val="1"/>
        </w:numPr>
        <w:ind w:left="0" w:firstLine="0"/>
        <w:rPr>
          <w:lang w:val="fr-CA"/>
        </w:rPr>
      </w:pPr>
      <w:r>
        <w:rPr>
          <w:lang w:val="fr-CA"/>
        </w:rPr>
        <w:t>Enfin, une dernière faiblesse du</w:t>
      </w:r>
      <w:r w:rsidR="009B7CEC" w:rsidRPr="00D9702D">
        <w:rPr>
          <w:lang w:val="fr-CA"/>
        </w:rPr>
        <w:t xml:space="preserve"> document de projet </w:t>
      </w:r>
      <w:r>
        <w:rPr>
          <w:lang w:val="fr-CA"/>
        </w:rPr>
        <w:t xml:space="preserve">concerne le fait qu’il </w:t>
      </w:r>
      <w:r w:rsidR="009B7CEC" w:rsidRPr="00D9702D">
        <w:rPr>
          <w:lang w:val="fr-CA"/>
        </w:rPr>
        <w:t xml:space="preserve">ne comporte pas de section </w:t>
      </w:r>
      <w:r w:rsidR="009B7CEC" w:rsidRPr="00123C70">
        <w:rPr>
          <w:lang w:val="fr-FR"/>
        </w:rPr>
        <w:t>décrivant</w:t>
      </w:r>
      <w:r w:rsidR="009B7CEC" w:rsidRPr="00D9702D">
        <w:rPr>
          <w:lang w:val="fr-CA"/>
        </w:rPr>
        <w:t xml:space="preserve"> </w:t>
      </w:r>
      <w:r>
        <w:rPr>
          <w:lang w:val="fr-CA"/>
        </w:rPr>
        <w:t xml:space="preserve">- </w:t>
      </w:r>
      <w:r w:rsidR="009B7CEC" w:rsidRPr="00D9702D">
        <w:rPr>
          <w:lang w:val="fr-CA"/>
        </w:rPr>
        <w:t>et quantifiant</w:t>
      </w:r>
      <w:r>
        <w:rPr>
          <w:lang w:val="fr-CA"/>
        </w:rPr>
        <w:t xml:space="preserve"> -</w:t>
      </w:r>
      <w:r w:rsidR="009B7CEC" w:rsidRPr="00D9702D">
        <w:rPr>
          <w:lang w:val="fr-CA"/>
        </w:rPr>
        <w:t xml:space="preserve"> précisément les bénéficiaires direct</w:t>
      </w:r>
      <w:r w:rsidR="00265D54" w:rsidRPr="00D9702D">
        <w:rPr>
          <w:lang w:val="fr-CA"/>
        </w:rPr>
        <w:t xml:space="preserve">s </w:t>
      </w:r>
      <w:r w:rsidR="00297FDD">
        <w:rPr>
          <w:lang w:val="fr-CA"/>
        </w:rPr>
        <w:t>et</w:t>
      </w:r>
      <w:r w:rsidR="00265D54" w:rsidRPr="00D9702D">
        <w:rPr>
          <w:lang w:val="fr-CA"/>
        </w:rPr>
        <w:t xml:space="preserve"> indirects du programme</w:t>
      </w:r>
      <w:r>
        <w:rPr>
          <w:lang w:val="fr-CA"/>
        </w:rPr>
        <w:t xml:space="preserve">. </w:t>
      </w:r>
      <w:r w:rsidR="00265D54" w:rsidRPr="00D9702D">
        <w:rPr>
          <w:lang w:val="fr-CA"/>
        </w:rPr>
        <w:t>On peut toutefois penser que les bénéficiaires directs du programme sont les cadres des institutions gouvernementales ou</w:t>
      </w:r>
      <w:r w:rsidR="00297FDD">
        <w:rPr>
          <w:lang w:val="fr-CA"/>
        </w:rPr>
        <w:t xml:space="preserve"> de la société civiles impliquée</w:t>
      </w:r>
      <w:r w:rsidR="00265D54" w:rsidRPr="00D9702D">
        <w:rPr>
          <w:lang w:val="fr-CA"/>
        </w:rPr>
        <w:t xml:space="preserve">s dans la mise en œuvre et bénéficiaires des actions de sensibilisation et de formation,  ainsi que les femmes bénéficiaires des actions pilotes </w:t>
      </w:r>
      <w:r w:rsidR="00297FDD">
        <w:rPr>
          <w:lang w:val="fr-CA"/>
        </w:rPr>
        <w:t>(</w:t>
      </w:r>
      <w:r w:rsidR="00265D54" w:rsidRPr="00D9702D">
        <w:rPr>
          <w:lang w:val="fr-CA"/>
        </w:rPr>
        <w:t>dont le nombre n’est pas défini</w:t>
      </w:r>
      <w:r w:rsidR="00297FDD">
        <w:rPr>
          <w:lang w:val="fr-CA"/>
        </w:rPr>
        <w:t>)</w:t>
      </w:r>
      <w:r w:rsidR="00265D54" w:rsidRPr="00D9702D">
        <w:rPr>
          <w:lang w:val="fr-CA"/>
        </w:rPr>
        <w:t>. Quant aux bénéficiaires ultimes, on devine au travers de l’énoncé des objectifs spécifiques que le programme cherche en fait à s’adresser</w:t>
      </w:r>
      <w:r w:rsidR="009B7CEC" w:rsidRPr="00D9702D">
        <w:rPr>
          <w:lang w:val="fr-CA"/>
        </w:rPr>
        <w:t xml:space="preserve"> à toutes les femmes algériennes :</w:t>
      </w:r>
    </w:p>
    <w:p w:rsidR="00FB3170" w:rsidRPr="00297FDD" w:rsidRDefault="009B7CEC" w:rsidP="00297FDD">
      <w:pPr>
        <w:pStyle w:val="NoSpacing"/>
        <w:numPr>
          <w:ilvl w:val="0"/>
          <w:numId w:val="14"/>
        </w:numPr>
        <w:spacing w:before="0" w:after="0"/>
        <w:ind w:left="778"/>
        <w:rPr>
          <w:sz w:val="20"/>
          <w:szCs w:val="20"/>
          <w:lang w:val="fr-CA"/>
        </w:rPr>
      </w:pPr>
      <w:r w:rsidRPr="00297FDD">
        <w:rPr>
          <w:sz w:val="20"/>
          <w:szCs w:val="20"/>
          <w:lang w:val="fr-CA"/>
        </w:rPr>
        <w:t xml:space="preserve">Les </w:t>
      </w:r>
      <w:r w:rsidR="007841DE" w:rsidRPr="00297FDD">
        <w:rPr>
          <w:sz w:val="20"/>
          <w:szCs w:val="20"/>
          <w:lang w:val="fr-CA"/>
        </w:rPr>
        <w:t xml:space="preserve">femmes éduquées et </w:t>
      </w:r>
      <w:r w:rsidRPr="00297FDD">
        <w:rPr>
          <w:sz w:val="20"/>
          <w:szCs w:val="20"/>
          <w:lang w:val="fr-CA"/>
        </w:rPr>
        <w:t>actives qui travaillent dans les administrations ou les grandes entreprises publiques et qui sont confrontées</w:t>
      </w:r>
      <w:r w:rsidR="007841DE" w:rsidRPr="00297FDD">
        <w:rPr>
          <w:sz w:val="20"/>
          <w:szCs w:val="20"/>
          <w:lang w:val="fr-CA"/>
        </w:rPr>
        <w:t>, dans certains secteurs,</w:t>
      </w:r>
      <w:r w:rsidRPr="00297FDD">
        <w:rPr>
          <w:sz w:val="20"/>
          <w:szCs w:val="20"/>
          <w:lang w:val="fr-CA"/>
        </w:rPr>
        <w:t xml:space="preserve"> à des barrièr</w:t>
      </w:r>
      <w:r w:rsidR="00FB3170" w:rsidRPr="00297FDD">
        <w:rPr>
          <w:sz w:val="20"/>
          <w:szCs w:val="20"/>
          <w:lang w:val="fr-CA"/>
        </w:rPr>
        <w:t>es à l’entrée et à la promotion.</w:t>
      </w:r>
    </w:p>
    <w:p w:rsidR="007841DE" w:rsidRPr="00297FDD" w:rsidRDefault="009B7CEC" w:rsidP="00297FDD">
      <w:pPr>
        <w:pStyle w:val="NoSpacing"/>
        <w:numPr>
          <w:ilvl w:val="0"/>
          <w:numId w:val="14"/>
        </w:numPr>
        <w:spacing w:before="0" w:after="0"/>
        <w:ind w:left="778"/>
        <w:rPr>
          <w:sz w:val="20"/>
          <w:szCs w:val="20"/>
          <w:lang w:val="fr-CA"/>
        </w:rPr>
      </w:pPr>
      <w:r w:rsidRPr="00297FDD">
        <w:rPr>
          <w:sz w:val="20"/>
          <w:szCs w:val="20"/>
          <w:lang w:val="fr-CA"/>
        </w:rPr>
        <w:t>Les travailleuses du secteur informel</w:t>
      </w:r>
      <w:r w:rsidR="007841DE" w:rsidRPr="00297FDD">
        <w:rPr>
          <w:sz w:val="20"/>
          <w:szCs w:val="20"/>
          <w:lang w:val="fr-CA"/>
        </w:rPr>
        <w:t xml:space="preserve"> qui</w:t>
      </w:r>
      <w:r w:rsidRPr="00297FDD">
        <w:rPr>
          <w:sz w:val="20"/>
          <w:szCs w:val="20"/>
          <w:lang w:val="fr-CA"/>
        </w:rPr>
        <w:t xml:space="preserve"> ont besoin d’un crédit</w:t>
      </w:r>
      <w:r w:rsidR="00FB3170" w:rsidRPr="00297FDD">
        <w:rPr>
          <w:sz w:val="20"/>
          <w:szCs w:val="20"/>
          <w:lang w:val="fr-CA"/>
        </w:rPr>
        <w:t xml:space="preserve"> ou</w:t>
      </w:r>
      <w:r w:rsidRPr="00297FDD">
        <w:rPr>
          <w:sz w:val="20"/>
          <w:szCs w:val="20"/>
          <w:lang w:val="fr-CA"/>
        </w:rPr>
        <w:t xml:space="preserve"> d’un appui </w:t>
      </w:r>
      <w:r w:rsidR="007841DE" w:rsidRPr="00297FDD">
        <w:rPr>
          <w:sz w:val="20"/>
          <w:szCs w:val="20"/>
          <w:lang w:val="fr-CA"/>
        </w:rPr>
        <w:t xml:space="preserve">technique </w:t>
      </w:r>
      <w:r w:rsidRPr="00297FDD">
        <w:rPr>
          <w:sz w:val="20"/>
          <w:szCs w:val="20"/>
          <w:lang w:val="fr-CA"/>
        </w:rPr>
        <w:t xml:space="preserve">pour </w:t>
      </w:r>
      <w:r w:rsidR="007841DE" w:rsidRPr="00297FDD">
        <w:rPr>
          <w:sz w:val="20"/>
          <w:szCs w:val="20"/>
          <w:lang w:val="fr-CA"/>
        </w:rPr>
        <w:t>améliorer leurs revenus et les femmes désireuses de monter une PME.</w:t>
      </w:r>
    </w:p>
    <w:p w:rsidR="009B7CEC" w:rsidRPr="00297FDD" w:rsidRDefault="007841DE" w:rsidP="00297FDD">
      <w:pPr>
        <w:pStyle w:val="NoSpacing"/>
        <w:numPr>
          <w:ilvl w:val="0"/>
          <w:numId w:val="14"/>
        </w:numPr>
        <w:spacing w:before="0" w:after="0"/>
        <w:ind w:left="778"/>
        <w:rPr>
          <w:sz w:val="20"/>
          <w:szCs w:val="20"/>
          <w:lang w:val="fr-CA"/>
        </w:rPr>
      </w:pPr>
      <w:r w:rsidRPr="00297FDD">
        <w:rPr>
          <w:sz w:val="20"/>
          <w:szCs w:val="20"/>
          <w:lang w:val="fr-CA"/>
        </w:rPr>
        <w:lastRenderedPageBreak/>
        <w:t>Les femmes rurales engagées dans des activités agricoles multiples mais considérées comme inactives et dont le travail et la contribution à la production de richesse nationale n’est pas prise en compte.</w:t>
      </w:r>
    </w:p>
    <w:p w:rsidR="00FB3170" w:rsidRPr="00297FDD" w:rsidRDefault="00FB3170" w:rsidP="00297FDD">
      <w:pPr>
        <w:pStyle w:val="NoSpacing"/>
        <w:numPr>
          <w:ilvl w:val="0"/>
          <w:numId w:val="14"/>
        </w:numPr>
        <w:spacing w:before="0" w:after="0"/>
        <w:ind w:left="778"/>
        <w:rPr>
          <w:sz w:val="20"/>
          <w:szCs w:val="20"/>
          <w:lang w:val="fr-CA"/>
        </w:rPr>
      </w:pPr>
      <w:r w:rsidRPr="00297FDD">
        <w:rPr>
          <w:sz w:val="20"/>
          <w:szCs w:val="20"/>
          <w:lang w:val="fr-CA"/>
        </w:rPr>
        <w:t xml:space="preserve">Les femmes et les jeunes filles rurales et vulnérables, notamment les illettrées et celles atteintes du VIH-SIDA, dont l’employabilité n’est pas grande et l’accès au travail salarié </w:t>
      </w:r>
      <w:r w:rsidR="007841DE" w:rsidRPr="00297FDD">
        <w:rPr>
          <w:sz w:val="20"/>
          <w:szCs w:val="20"/>
          <w:lang w:val="fr-CA"/>
        </w:rPr>
        <w:t>ou à des activités génératrices de revenus limité.</w:t>
      </w:r>
    </w:p>
    <w:p w:rsidR="00780AD9" w:rsidRPr="00297FDD" w:rsidRDefault="00780AD9" w:rsidP="00297FDD">
      <w:pPr>
        <w:pStyle w:val="NoSpacing"/>
        <w:numPr>
          <w:ilvl w:val="0"/>
          <w:numId w:val="14"/>
        </w:numPr>
        <w:spacing w:before="0" w:after="0"/>
        <w:ind w:left="778"/>
        <w:rPr>
          <w:sz w:val="20"/>
          <w:szCs w:val="20"/>
          <w:lang w:val="fr-CA"/>
        </w:rPr>
      </w:pPr>
      <w:r w:rsidRPr="00297FDD">
        <w:rPr>
          <w:sz w:val="20"/>
          <w:szCs w:val="20"/>
          <w:lang w:val="fr-CA"/>
        </w:rPr>
        <w:t>Les jeunes filles et les femmes bénéficiant de formation professionnelle ou sortant des universités</w:t>
      </w:r>
      <w:r w:rsidR="007841DE" w:rsidRPr="00297FDD">
        <w:rPr>
          <w:sz w:val="20"/>
          <w:szCs w:val="20"/>
          <w:lang w:val="fr-CA"/>
        </w:rPr>
        <w:t>.</w:t>
      </w:r>
    </w:p>
    <w:p w:rsidR="00FB3170" w:rsidRPr="00297FDD" w:rsidRDefault="00FB3170" w:rsidP="00297FDD">
      <w:pPr>
        <w:pStyle w:val="NoSpacing"/>
        <w:numPr>
          <w:ilvl w:val="0"/>
          <w:numId w:val="14"/>
        </w:numPr>
        <w:spacing w:before="0" w:after="0"/>
        <w:ind w:left="778"/>
        <w:rPr>
          <w:sz w:val="20"/>
          <w:szCs w:val="20"/>
          <w:lang w:val="fr-CA"/>
        </w:rPr>
      </w:pPr>
      <w:r w:rsidRPr="00297FDD">
        <w:rPr>
          <w:sz w:val="20"/>
          <w:szCs w:val="20"/>
          <w:lang w:val="fr-CA"/>
        </w:rPr>
        <w:t>La femme algérienne en général, dont l’image dans la société est encore encombr</w:t>
      </w:r>
      <w:r w:rsidR="007841DE" w:rsidRPr="00297FDD">
        <w:rPr>
          <w:sz w:val="20"/>
          <w:szCs w:val="20"/>
          <w:lang w:val="fr-CA"/>
        </w:rPr>
        <w:t>ée de clichés peu favorables et qui reste confrontée à des problèmes d’équité.</w:t>
      </w:r>
    </w:p>
    <w:p w:rsidR="00692C59" w:rsidRDefault="00780AD9" w:rsidP="00703573">
      <w:pPr>
        <w:pStyle w:val="NoSpacing"/>
        <w:numPr>
          <w:ilvl w:val="0"/>
          <w:numId w:val="1"/>
        </w:numPr>
        <w:ind w:left="0" w:firstLine="0"/>
        <w:rPr>
          <w:lang w:val="fr-CA"/>
        </w:rPr>
      </w:pPr>
      <w:r>
        <w:rPr>
          <w:lang w:val="fr-CA"/>
        </w:rPr>
        <w:t>On le voit, les ambitions des concepteurs paraissent démesurées pour un programme d’une durée de trois ans. La conception du programme aurait gagné en réalisme si l’on avait choisi de s’attacher en priorité à la situation des femmes les plus vulnérables ou démunies</w:t>
      </w:r>
      <w:r w:rsidR="00A4153F">
        <w:rPr>
          <w:lang w:val="fr-CA"/>
        </w:rPr>
        <w:t xml:space="preserve">, </w:t>
      </w:r>
      <w:r>
        <w:rPr>
          <w:lang w:val="fr-CA"/>
        </w:rPr>
        <w:t xml:space="preserve">ce qui aurait </w:t>
      </w:r>
      <w:r w:rsidR="00A4153F">
        <w:rPr>
          <w:lang w:val="fr-CA"/>
        </w:rPr>
        <w:t xml:space="preserve">en outre </w:t>
      </w:r>
      <w:r>
        <w:rPr>
          <w:lang w:val="fr-CA"/>
        </w:rPr>
        <w:t>eu le mérite de permettre au programme de contribuer aussi à la poursuite de l’OMD1, en plus de l’OMD3. Ce champ plus rétréci d’interventions aurait eu en outre le mérite de réduire le nombre des partenaires de mise en œuvre.</w:t>
      </w:r>
      <w:r w:rsidR="00703573">
        <w:rPr>
          <w:lang w:val="fr-CA"/>
        </w:rPr>
        <w:t xml:space="preserve"> Ainsi, le programme conjoint aurait dû être con</w:t>
      </w:r>
      <w:r w:rsidR="00703573">
        <w:rPr>
          <w:rFonts w:cs="Calibri"/>
          <w:lang w:val="fr-CA"/>
        </w:rPr>
        <w:t>ç</w:t>
      </w:r>
      <w:r w:rsidR="00703573">
        <w:rPr>
          <w:lang w:val="fr-CA"/>
        </w:rPr>
        <w:t>u comme un « levier » permettant de</w:t>
      </w:r>
      <w:r w:rsidR="00703573" w:rsidRPr="00703573">
        <w:rPr>
          <w:lang w:val="fr-CA"/>
        </w:rPr>
        <w:t xml:space="preserve"> catalyser, </w:t>
      </w:r>
      <w:r w:rsidR="00703573">
        <w:rPr>
          <w:lang w:val="fr-CA"/>
        </w:rPr>
        <w:t>d’</w:t>
      </w:r>
      <w:r w:rsidR="00703573" w:rsidRPr="00703573">
        <w:rPr>
          <w:lang w:val="fr-CA"/>
        </w:rPr>
        <w:t>appuyer,</w:t>
      </w:r>
      <w:r w:rsidR="00703573">
        <w:rPr>
          <w:lang w:val="fr-CA"/>
        </w:rPr>
        <w:t xml:space="preserve"> de consolider et d’</w:t>
      </w:r>
      <w:r w:rsidR="00703573" w:rsidRPr="00703573">
        <w:rPr>
          <w:lang w:val="fr-CA"/>
        </w:rPr>
        <w:t xml:space="preserve">ancrer de manière plus consistante les pratiques pour la promotion de </w:t>
      </w:r>
      <w:r w:rsidR="00703573" w:rsidRPr="00C733BD">
        <w:rPr>
          <w:lang w:val="fr-CA"/>
        </w:rPr>
        <w:t xml:space="preserve">l’égalité entre les genres et d’autonomisation des femmes. La mission d’évaluation ne peut, en revanche, qu’évaluer l’état d’avancement du programme au regard des attentes et objectifs </w:t>
      </w:r>
      <w:r w:rsidR="00703573" w:rsidRPr="00C733BD">
        <w:rPr>
          <w:u w:val="single"/>
          <w:lang w:val="fr-CA"/>
        </w:rPr>
        <w:t>initiaux</w:t>
      </w:r>
      <w:r w:rsidR="00C733BD" w:rsidRPr="00C733BD">
        <w:rPr>
          <w:lang w:val="fr-CA"/>
        </w:rPr>
        <w:t>, tels que définis dans le document de projet</w:t>
      </w:r>
      <w:r w:rsidR="00703573" w:rsidRPr="00C733BD">
        <w:rPr>
          <w:lang w:val="fr-CA"/>
        </w:rPr>
        <w:t>.</w:t>
      </w:r>
    </w:p>
    <w:p w:rsidR="003A3615" w:rsidRDefault="002A3CD2" w:rsidP="00123C70">
      <w:pPr>
        <w:pStyle w:val="NoSpacing"/>
        <w:numPr>
          <w:ilvl w:val="0"/>
          <w:numId w:val="1"/>
        </w:numPr>
        <w:ind w:left="0" w:firstLine="0"/>
        <w:rPr>
          <w:lang w:val="fr-CA"/>
        </w:rPr>
      </w:pPr>
      <w:r w:rsidRPr="00D9702D">
        <w:rPr>
          <w:b/>
          <w:lang w:val="fr-CA"/>
        </w:rPr>
        <w:t>Les adaptations apportées en cours de route</w:t>
      </w:r>
      <w:r w:rsidRPr="00D9702D">
        <w:rPr>
          <w:lang w:val="fr-CA"/>
        </w:rPr>
        <w:t>.</w:t>
      </w:r>
      <w:r w:rsidR="003A3615" w:rsidRPr="00265D54">
        <w:rPr>
          <w:lang w:val="fr-CA"/>
        </w:rPr>
        <w:t xml:space="preserve"> </w:t>
      </w:r>
      <w:r w:rsidR="003A3615">
        <w:rPr>
          <w:lang w:val="fr-CA"/>
        </w:rPr>
        <w:t>Malgré l’évidence des problèmes évoqués précédemment, a</w:t>
      </w:r>
      <w:r w:rsidR="003A3615" w:rsidRPr="003A3615">
        <w:rPr>
          <w:lang w:val="fr-CA"/>
        </w:rPr>
        <w:t>ucune</w:t>
      </w:r>
      <w:r w:rsidR="003A3615">
        <w:rPr>
          <w:lang w:val="fr-CA"/>
        </w:rPr>
        <w:t xml:space="preserve"> adaptation majeure n’a été apportée à la conception du programme</w:t>
      </w:r>
      <w:r w:rsidR="004D7B8C">
        <w:rPr>
          <w:lang w:val="fr-CA"/>
        </w:rPr>
        <w:t xml:space="preserve"> en </w:t>
      </w:r>
      <w:r w:rsidR="004D7B8C" w:rsidRPr="00123C70">
        <w:rPr>
          <w:lang w:val="fr-FR"/>
        </w:rPr>
        <w:t>cours</w:t>
      </w:r>
      <w:r w:rsidR="004D7B8C">
        <w:rPr>
          <w:lang w:val="fr-CA"/>
        </w:rPr>
        <w:t xml:space="preserve"> de route</w:t>
      </w:r>
      <w:r w:rsidR="003A3615">
        <w:rPr>
          <w:lang w:val="fr-CA"/>
        </w:rPr>
        <w:t>. D’après les informations recueillies par la mission d’évaluation, il s</w:t>
      </w:r>
      <w:r w:rsidR="004D7B8C">
        <w:rPr>
          <w:lang w:val="fr-CA"/>
        </w:rPr>
        <w:t xml:space="preserve">’est en fait agi d’une décision </w:t>
      </w:r>
      <w:r w:rsidR="003A3615">
        <w:rPr>
          <w:lang w:val="fr-CA"/>
        </w:rPr>
        <w:t>murie</w:t>
      </w:r>
      <w:r w:rsidR="004D7B8C">
        <w:rPr>
          <w:lang w:val="fr-CA"/>
        </w:rPr>
        <w:t> : étant donné le grand retard pris dans le</w:t>
      </w:r>
      <w:r w:rsidR="003A3615">
        <w:rPr>
          <w:lang w:val="fr-CA"/>
        </w:rPr>
        <w:t xml:space="preserve"> dém</w:t>
      </w:r>
      <w:r w:rsidR="004D7B8C">
        <w:rPr>
          <w:lang w:val="fr-CA"/>
        </w:rPr>
        <w:t xml:space="preserve">arrage effectif des activités, les responsables n’ont </w:t>
      </w:r>
      <w:r w:rsidR="00A4153F">
        <w:rPr>
          <w:lang w:val="fr-CA"/>
        </w:rPr>
        <w:t xml:space="preserve">pas </w:t>
      </w:r>
      <w:r w:rsidR="004D7B8C">
        <w:rPr>
          <w:lang w:val="fr-CA"/>
        </w:rPr>
        <w:t xml:space="preserve">voulu prendre le risque d’une reformulation du programme afin de ne </w:t>
      </w:r>
      <w:r w:rsidR="00A4153F">
        <w:rPr>
          <w:lang w:val="fr-CA"/>
        </w:rPr>
        <w:t xml:space="preserve">pas </w:t>
      </w:r>
      <w:r w:rsidR="003A3615">
        <w:rPr>
          <w:lang w:val="fr-CA"/>
        </w:rPr>
        <w:t>retarder davantage</w:t>
      </w:r>
      <w:r w:rsidR="004D7B8C">
        <w:rPr>
          <w:lang w:val="fr-CA"/>
        </w:rPr>
        <w:t xml:space="preserve"> la mise en œuvre</w:t>
      </w:r>
      <w:r w:rsidR="003A3615">
        <w:rPr>
          <w:lang w:val="fr-CA"/>
        </w:rPr>
        <w:t xml:space="preserve">. </w:t>
      </w:r>
    </w:p>
    <w:p w:rsidR="002E70B2" w:rsidRPr="00265D54" w:rsidRDefault="003A3615" w:rsidP="00123C70">
      <w:pPr>
        <w:pStyle w:val="NoSpacing"/>
        <w:numPr>
          <w:ilvl w:val="0"/>
          <w:numId w:val="1"/>
        </w:numPr>
        <w:ind w:left="0" w:firstLine="0"/>
        <w:rPr>
          <w:lang w:val="fr-CA"/>
        </w:rPr>
      </w:pPr>
      <w:r w:rsidRPr="003A3615">
        <w:rPr>
          <w:lang w:val="fr-CA"/>
        </w:rPr>
        <w:t>Avec</w:t>
      </w:r>
      <w:r w:rsidR="00D9702D">
        <w:rPr>
          <w:lang w:val="fr-CA"/>
        </w:rPr>
        <w:t xml:space="preserve"> (il est vrai)</w:t>
      </w:r>
      <w:r w:rsidRPr="003A3615">
        <w:rPr>
          <w:lang w:val="fr-CA"/>
        </w:rPr>
        <w:t xml:space="preserve"> le </w:t>
      </w:r>
      <w:r>
        <w:rPr>
          <w:lang w:val="fr-CA"/>
        </w:rPr>
        <w:t xml:space="preserve">luxe du </w:t>
      </w:r>
      <w:r w:rsidRPr="003A3615">
        <w:rPr>
          <w:lang w:val="fr-CA"/>
        </w:rPr>
        <w:t xml:space="preserve">recul, </w:t>
      </w:r>
      <w:r>
        <w:rPr>
          <w:lang w:val="fr-CA"/>
        </w:rPr>
        <w:t xml:space="preserve">la mission est d’avis qu’il s’agit-là d’une erreur. </w:t>
      </w:r>
      <w:r w:rsidR="00A92824">
        <w:rPr>
          <w:lang w:val="fr-CA"/>
        </w:rPr>
        <w:t>Les partenaires du programme, et en premier lieu les agences des Nations Unies, ayant « hérité » d’un document de projet peu satisfaisant, auraient dû se pose</w:t>
      </w:r>
      <w:r w:rsidR="00DB7AB3">
        <w:rPr>
          <w:lang w:val="fr-CA"/>
        </w:rPr>
        <w:t xml:space="preserve">r la question de la faisabilité </w:t>
      </w:r>
      <w:r w:rsidR="00A92824">
        <w:rPr>
          <w:lang w:val="fr-CA"/>
        </w:rPr>
        <w:t>de la conception</w:t>
      </w:r>
      <w:r w:rsidR="00DB7AB3">
        <w:rPr>
          <w:lang w:val="fr-CA"/>
        </w:rPr>
        <w:t xml:space="preserve"> originelle</w:t>
      </w:r>
      <w:r w:rsidR="00A92824">
        <w:rPr>
          <w:lang w:val="fr-CA"/>
        </w:rPr>
        <w:t>. Par la suite</w:t>
      </w:r>
      <w:r w:rsidR="00A4153F">
        <w:rPr>
          <w:lang w:val="fr-CA"/>
        </w:rPr>
        <w:t xml:space="preserve"> et comme on le verra plus loin</w:t>
      </w:r>
      <w:r w:rsidR="00A92824">
        <w:rPr>
          <w:lang w:val="fr-CA"/>
        </w:rPr>
        <w:t xml:space="preserve">, </w:t>
      </w:r>
      <w:r w:rsidR="00A4153F">
        <w:rPr>
          <w:lang w:val="fr-CA"/>
        </w:rPr>
        <w:t xml:space="preserve">les </w:t>
      </w:r>
      <w:r w:rsidR="00A92824">
        <w:rPr>
          <w:lang w:val="fr-CA"/>
        </w:rPr>
        <w:t xml:space="preserve">lacunes du document de projet </w:t>
      </w:r>
      <w:r w:rsidR="00A4153F">
        <w:rPr>
          <w:lang w:val="fr-CA"/>
        </w:rPr>
        <w:t>ont eu des conséquences sérieuses sur la mise en œuvre.</w:t>
      </w:r>
    </w:p>
    <w:p w:rsidR="00D64AC0" w:rsidRDefault="00D64AC0" w:rsidP="00D64AC0">
      <w:pPr>
        <w:pStyle w:val="NoSpacing"/>
        <w:numPr>
          <w:ilvl w:val="0"/>
          <w:numId w:val="1"/>
        </w:numPr>
        <w:ind w:left="0" w:firstLine="0"/>
        <w:rPr>
          <w:lang w:val="fr-CA"/>
        </w:rPr>
      </w:pPr>
      <w:r w:rsidRPr="00D64AC0">
        <w:rPr>
          <w:b/>
          <w:lang w:val="fr-CA"/>
        </w:rPr>
        <w:t>Appropriation de la conception par le gouvernement.</w:t>
      </w:r>
      <w:r w:rsidRPr="00692C59">
        <w:rPr>
          <w:i/>
          <w:lang w:val="fr-CA"/>
        </w:rPr>
        <w:t xml:space="preserve"> </w:t>
      </w:r>
      <w:r w:rsidRPr="00692C59">
        <w:rPr>
          <w:lang w:val="fr-CA"/>
        </w:rPr>
        <w:t>De nombreux partenaires gouvernementaux ont évoqué, lors d’entretiens avec la mission d’évaluation, le problème de l’insuffisante consultation</w:t>
      </w:r>
      <w:r>
        <w:rPr>
          <w:lang w:val="fr-CA"/>
        </w:rPr>
        <w:t xml:space="preserve"> des ministères concernés lors de la conception du programme conjoint</w:t>
      </w:r>
      <w:r w:rsidR="001E3770">
        <w:rPr>
          <w:lang w:val="fr-CA"/>
        </w:rPr>
        <w:t xml:space="preserve">. </w:t>
      </w:r>
      <w:r>
        <w:rPr>
          <w:lang w:val="fr-CA"/>
        </w:rPr>
        <w:t>La mission note a</w:t>
      </w:r>
      <w:r w:rsidR="001E3770">
        <w:rPr>
          <w:lang w:val="fr-CA"/>
        </w:rPr>
        <w:t>insi</w:t>
      </w:r>
      <w:r>
        <w:rPr>
          <w:lang w:val="fr-CA"/>
        </w:rPr>
        <w:t xml:space="preserve"> que le document de projet lui-même ne fait qu’une brève référence à une consultation avec les </w:t>
      </w:r>
      <w:r w:rsidRPr="00A4153F">
        <w:rPr>
          <w:i/>
          <w:lang w:val="fr-CA"/>
        </w:rPr>
        <w:t>« départements ministériels de la Justice, des Finances, du Travail, des Affaires religieuses, de l’Enseignement supérieur, de l’</w:t>
      </w:r>
      <w:r>
        <w:rPr>
          <w:i/>
          <w:lang w:val="fr-CA"/>
        </w:rPr>
        <w:t>É</w:t>
      </w:r>
      <w:r w:rsidRPr="00A4153F">
        <w:rPr>
          <w:i/>
          <w:lang w:val="fr-CA"/>
        </w:rPr>
        <w:t>ducation nationale et de la Solidarité nationales ».</w:t>
      </w:r>
      <w:r>
        <w:rPr>
          <w:i/>
          <w:lang w:val="fr-CA"/>
        </w:rPr>
        <w:t xml:space="preserve"> </w:t>
      </w:r>
      <w:r>
        <w:rPr>
          <w:lang w:val="fr-CA"/>
        </w:rPr>
        <w:t>A tout le moins, donc, seuls quatre des 12 ministères partenaires du programme conjoint (Finances, Travail, Enseignement supérieur, Solidarité nationale) ont été consultés au moment de la formulation du programme. Ces apparentes lacunes en matière de consultation lors de la conception, s’ils elles ont pu entraîner certains problèmes, comme on le verra plus loin, n’ont cependant nui à la bonne appropriation du programme et de ses objectifs par les partenaires actuels.</w:t>
      </w:r>
    </w:p>
    <w:p w:rsidR="00D64AC0" w:rsidRPr="00CD78C0" w:rsidRDefault="00D64AC0" w:rsidP="00D64AC0">
      <w:pPr>
        <w:pStyle w:val="NoSpacing"/>
        <w:numPr>
          <w:ilvl w:val="0"/>
          <w:numId w:val="1"/>
        </w:numPr>
        <w:ind w:left="0" w:firstLine="0"/>
        <w:rPr>
          <w:lang w:val="fr-CA"/>
        </w:rPr>
      </w:pPr>
      <w:r w:rsidRPr="00CD78C0">
        <w:rPr>
          <w:lang w:val="fr-CA"/>
        </w:rPr>
        <w:t>Quoiqu’il en soit, les objectifs du programme conjoint s</w:t>
      </w:r>
      <w:r w:rsidR="00DB7AB3">
        <w:rPr>
          <w:lang w:val="fr-CA"/>
        </w:rPr>
        <w:t>ont</w:t>
      </w:r>
      <w:r w:rsidR="00CD78C0" w:rsidRPr="00CD78C0">
        <w:rPr>
          <w:lang w:val="fr-CA"/>
        </w:rPr>
        <w:t xml:space="preserve"> </w:t>
      </w:r>
      <w:r w:rsidRPr="00CD78C0">
        <w:rPr>
          <w:lang w:val="fr-CA"/>
        </w:rPr>
        <w:t xml:space="preserve">bien </w:t>
      </w:r>
      <w:r w:rsidR="00CD78C0">
        <w:rPr>
          <w:lang w:val="fr-CA"/>
        </w:rPr>
        <w:t xml:space="preserve">alignés avec les principaux outils de programmation du SNU, </w:t>
      </w:r>
      <w:r w:rsidR="00DB7AB3">
        <w:rPr>
          <w:lang w:val="fr-CA"/>
        </w:rPr>
        <w:t>comme on l’a vu</w:t>
      </w:r>
      <w:r w:rsidR="00CD78C0">
        <w:rPr>
          <w:lang w:val="fr-CA"/>
        </w:rPr>
        <w:t>, ainsi qu’av</w:t>
      </w:r>
      <w:r w:rsidR="00FE6B47">
        <w:rPr>
          <w:lang w:val="fr-CA"/>
        </w:rPr>
        <w:t xml:space="preserve">ec </w:t>
      </w:r>
      <w:r w:rsidR="00513F98">
        <w:rPr>
          <w:lang w:val="fr-CA"/>
        </w:rPr>
        <w:t xml:space="preserve">les objectifs du gouvernement Algérien, tels que définis dans le deuxième </w:t>
      </w:r>
      <w:r w:rsidR="00513F98" w:rsidRPr="00513F98">
        <w:rPr>
          <w:u w:val="single"/>
          <w:lang w:val="fr-CA"/>
        </w:rPr>
        <w:t>Rapport National sur les OMD pour le Développement,</w:t>
      </w:r>
      <w:r w:rsidR="00513F98">
        <w:rPr>
          <w:lang w:val="fr-CA"/>
        </w:rPr>
        <w:t xml:space="preserve"> notamment l’objectif « </w:t>
      </w:r>
      <w:r w:rsidR="00513F98" w:rsidRPr="00513F98">
        <w:rPr>
          <w:i/>
          <w:lang w:val="fr-CA"/>
        </w:rPr>
        <w:t>d’assurer le plein emploi et la possibilit</w:t>
      </w:r>
      <w:r w:rsidR="00513F98">
        <w:rPr>
          <w:i/>
          <w:lang w:val="fr-CA"/>
        </w:rPr>
        <w:t>é pour chacun, y compris les fem</w:t>
      </w:r>
      <w:r w:rsidR="00513F98" w:rsidRPr="00513F98">
        <w:rPr>
          <w:i/>
          <w:lang w:val="fr-CA"/>
        </w:rPr>
        <w:t>mes et les jeunes, de trouver un travail décent et producti</w:t>
      </w:r>
      <w:r w:rsidR="00513F98" w:rsidRPr="00513F98">
        <w:rPr>
          <w:lang w:val="fr-CA"/>
        </w:rPr>
        <w:t>ve</w:t>
      </w:r>
      <w:r w:rsidR="00513F98">
        <w:rPr>
          <w:lang w:val="fr-CA"/>
        </w:rPr>
        <w:t> » (OMD 1B), et évidement l’OMD 3 visant à « </w:t>
      </w:r>
      <w:r w:rsidR="00513F98" w:rsidRPr="00513F98">
        <w:rPr>
          <w:i/>
          <w:lang w:val="fr-CA"/>
        </w:rPr>
        <w:t>promouvoir l’égalité entre les sexes et l’autonomisation des femmes</w:t>
      </w:r>
      <w:r w:rsidR="00513F98">
        <w:rPr>
          <w:lang w:val="fr-CA"/>
        </w:rPr>
        <w:t xml:space="preserve"> ». </w:t>
      </w:r>
      <w:r w:rsidR="002E17AD">
        <w:rPr>
          <w:lang w:val="fr-CA"/>
        </w:rPr>
        <w:t>Certaines des interventions proposées dans le cadre du programme conjoint cadrent quant à elles parfaitement avec les objectifs spécifiques des nombreux programmes d’aide sociale ou de stratégies sectorielles (telle la stratégie de promotion de l’emploi) du gouvernement Algérien.</w:t>
      </w:r>
    </w:p>
    <w:p w:rsidR="00EA4985" w:rsidRDefault="00EA4985">
      <w:pPr>
        <w:rPr>
          <w:rFonts w:ascii="Calibri" w:hAnsi="Calibri"/>
          <w:b/>
          <w:sz w:val="22"/>
          <w:szCs w:val="22"/>
          <w:lang w:val="fr-CA"/>
        </w:rPr>
      </w:pPr>
    </w:p>
    <w:p w:rsidR="0014273D" w:rsidRPr="007B2E0E" w:rsidRDefault="006B7F8B" w:rsidP="0038607C">
      <w:pPr>
        <w:pStyle w:val="UNDPTitle1"/>
        <w:numPr>
          <w:ilvl w:val="0"/>
          <w:numId w:val="11"/>
        </w:numPr>
        <w:spacing w:before="360"/>
        <w:outlineLvl w:val="1"/>
        <w:rPr>
          <w:color w:val="auto"/>
        </w:rPr>
      </w:pPr>
      <w:bookmarkStart w:id="19" w:name="_Toc322342009"/>
      <w:r w:rsidRPr="007B2E0E">
        <w:rPr>
          <w:color w:val="auto"/>
        </w:rPr>
        <w:lastRenderedPageBreak/>
        <w:t>État</w:t>
      </w:r>
      <w:r w:rsidR="00344F1E" w:rsidRPr="007B2E0E">
        <w:rPr>
          <w:color w:val="auto"/>
        </w:rPr>
        <w:t xml:space="preserve"> d’avancement</w:t>
      </w:r>
      <w:r w:rsidR="008861D4" w:rsidRPr="007B2E0E">
        <w:rPr>
          <w:color w:val="auto"/>
        </w:rPr>
        <w:t xml:space="preserve"> du programme</w:t>
      </w:r>
      <w:bookmarkEnd w:id="17"/>
      <w:bookmarkEnd w:id="19"/>
      <w:r w:rsidR="00953EB5" w:rsidRPr="007B2E0E">
        <w:rPr>
          <w:color w:val="auto"/>
        </w:rPr>
        <w:t xml:space="preserve"> </w:t>
      </w:r>
    </w:p>
    <w:p w:rsidR="00672C42" w:rsidRPr="001C079B" w:rsidRDefault="00B233DD" w:rsidP="005365E9">
      <w:pPr>
        <w:jc w:val="center"/>
        <w:rPr>
          <w:rFonts w:asciiTheme="minorHAnsi" w:hAnsiTheme="minorHAnsi" w:cstheme="minorHAnsi"/>
          <w:b/>
          <w:sz w:val="20"/>
          <w:szCs w:val="20"/>
          <w:lang w:val="fr-FR"/>
        </w:rPr>
      </w:pPr>
      <w:r>
        <w:rPr>
          <w:noProof/>
        </w:rPr>
        <mc:AlternateContent>
          <mc:Choice Requires="wps">
            <w:drawing>
              <wp:anchor distT="0" distB="0" distL="114300" distR="114300" simplePos="0" relativeHeight="251663360" behindDoc="0" locked="0" layoutInCell="1" allowOverlap="1">
                <wp:simplePos x="0" y="0"/>
                <wp:positionH relativeFrom="column">
                  <wp:posOffset>544830</wp:posOffset>
                </wp:positionH>
                <wp:positionV relativeFrom="paragraph">
                  <wp:posOffset>234315</wp:posOffset>
                </wp:positionV>
                <wp:extent cx="4553585" cy="2911475"/>
                <wp:effectExtent l="0" t="0" r="18415" b="2222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2911475"/>
                        </a:xfrm>
                        <a:prstGeom prst="rect">
                          <a:avLst/>
                        </a:prstGeom>
                        <a:solidFill>
                          <a:srgbClr val="FFFFFF"/>
                        </a:solidFill>
                        <a:ln w="9525">
                          <a:solidFill>
                            <a:srgbClr val="000000"/>
                          </a:solidFill>
                          <a:miter lim="800000"/>
                          <a:headEnd/>
                          <a:tailEnd/>
                        </a:ln>
                      </wps:spPr>
                      <wps:txbx>
                        <w:txbxContent>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Juil. 2007 :</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Approbation de la note conceptuelle</w:t>
                            </w:r>
                            <w:r>
                              <w:rPr>
                                <w:rFonts w:asciiTheme="minorHAnsi" w:hAnsiTheme="minorHAnsi" w:cstheme="minorHAnsi"/>
                                <w:sz w:val="20"/>
                                <w:szCs w:val="20"/>
                                <w:lang w:val="fr-FR"/>
                              </w:rPr>
                              <w:t xml:space="preserve"> par le Secrétariat du F-OMD</w:t>
                            </w:r>
                            <w:r w:rsidRPr="00672C42">
                              <w:rPr>
                                <w:rFonts w:asciiTheme="minorHAnsi" w:hAnsiTheme="minorHAnsi" w:cstheme="minorHAnsi"/>
                                <w:sz w:val="20"/>
                                <w:szCs w:val="20"/>
                                <w:lang w:val="fr-FR"/>
                              </w:rPr>
                              <w:t xml:space="preserve"> </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Janv. 2008</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Approbation du document de projet par les autorités algériennes</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Fév.2009</w:t>
                            </w:r>
                            <w:r>
                              <w:rPr>
                                <w:rFonts w:asciiTheme="minorHAnsi" w:hAnsiTheme="minorHAnsi" w:cstheme="minorHAnsi"/>
                                <w:sz w:val="20"/>
                                <w:szCs w:val="20"/>
                                <w:lang w:val="fr-FR"/>
                              </w:rPr>
                              <w:t> :</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Sign</w:t>
                            </w:r>
                            <w:r>
                              <w:rPr>
                                <w:rFonts w:asciiTheme="minorHAnsi" w:hAnsiTheme="minorHAnsi" w:cstheme="minorHAnsi"/>
                                <w:sz w:val="20"/>
                                <w:szCs w:val="20"/>
                                <w:lang w:val="fr-FR"/>
                              </w:rPr>
                              <w:t xml:space="preserve">ature du document de projet SNU </w:t>
                            </w:r>
                            <w:r w:rsidRPr="00672C42">
                              <w:rPr>
                                <w:rFonts w:asciiTheme="minorHAnsi" w:hAnsiTheme="minorHAnsi" w:cstheme="minorHAnsi"/>
                                <w:sz w:val="20"/>
                                <w:szCs w:val="20"/>
                                <w:lang w:val="fr-FR"/>
                              </w:rPr>
                              <w:t>/ gouvernement algérien</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Nov. 2009:</w:t>
                            </w:r>
                            <w:r>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1</w:t>
                            </w:r>
                            <w:r w:rsidRPr="00F549A5">
                              <w:rPr>
                                <w:rFonts w:asciiTheme="minorHAnsi" w:hAnsiTheme="minorHAnsi" w:cstheme="minorHAnsi"/>
                                <w:sz w:val="20"/>
                                <w:szCs w:val="20"/>
                                <w:vertAlign w:val="superscript"/>
                                <w:lang w:val="fr-FR"/>
                              </w:rPr>
                              <w:t>ère</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r</w:t>
                            </w:r>
                            <w:r w:rsidRPr="00672C42">
                              <w:rPr>
                                <w:rFonts w:asciiTheme="minorHAnsi" w:hAnsiTheme="minorHAnsi" w:cstheme="minorHAnsi"/>
                                <w:sz w:val="20"/>
                                <w:szCs w:val="20"/>
                                <w:lang w:val="fr-FR"/>
                              </w:rPr>
                              <w:t>éunion du Comité National de Pilotage</w:t>
                            </w:r>
                            <w:r>
                              <w:rPr>
                                <w:rFonts w:asciiTheme="minorHAnsi" w:hAnsiTheme="minorHAnsi" w:cstheme="minorHAnsi"/>
                                <w:sz w:val="20"/>
                                <w:szCs w:val="20"/>
                                <w:lang w:val="fr-FR"/>
                              </w:rPr>
                              <w:t xml:space="preserve"> (CNP)</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Mars 2010</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t>Démarrage officiel</w:t>
                            </w:r>
                            <w:r w:rsidRPr="00672C42">
                              <w:rPr>
                                <w:rFonts w:asciiTheme="minorHAnsi" w:hAnsiTheme="minorHAnsi" w:cstheme="minorHAnsi"/>
                                <w:sz w:val="20"/>
                                <w:szCs w:val="20"/>
                                <w:lang w:val="fr-FR"/>
                              </w:rPr>
                              <w:t xml:space="preserve"> du programme</w:t>
                            </w:r>
                            <w:r>
                              <w:rPr>
                                <w:rFonts w:asciiTheme="minorHAnsi" w:hAnsiTheme="minorHAnsi" w:cstheme="minorHAnsi"/>
                                <w:sz w:val="20"/>
                                <w:szCs w:val="20"/>
                                <w:lang w:val="fr-FR"/>
                              </w:rPr>
                              <w:t xml:space="preserve"> (transfert 1</w:t>
                            </w:r>
                            <w:r w:rsidRPr="003060D6">
                              <w:rPr>
                                <w:rFonts w:asciiTheme="minorHAnsi" w:hAnsiTheme="minorHAnsi" w:cstheme="minorHAnsi"/>
                                <w:sz w:val="20"/>
                                <w:szCs w:val="20"/>
                                <w:vertAlign w:val="superscript"/>
                                <w:lang w:val="fr-FR"/>
                              </w:rPr>
                              <w:t>ère</w:t>
                            </w:r>
                            <w:r>
                              <w:rPr>
                                <w:rFonts w:asciiTheme="minorHAnsi" w:hAnsiTheme="minorHAnsi" w:cstheme="minorHAnsi"/>
                                <w:sz w:val="20"/>
                                <w:szCs w:val="20"/>
                                <w:lang w:val="fr-FR"/>
                              </w:rPr>
                              <w:t xml:space="preserve"> tranche)</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Mai 2010</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Mission du Secrétariat du F-OMD</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6 Juil. 2010</w:t>
                            </w:r>
                            <w:r>
                              <w:rPr>
                                <w:rFonts w:asciiTheme="minorHAnsi" w:hAnsiTheme="minorHAnsi" w:cstheme="minorHAnsi"/>
                                <w:sz w:val="20"/>
                                <w:szCs w:val="20"/>
                                <w:lang w:val="fr-FR"/>
                              </w:rPr>
                              <w:t xml:space="preserve"> : </w:t>
                            </w:r>
                            <w:r>
                              <w:rPr>
                                <w:rFonts w:asciiTheme="minorHAnsi" w:hAnsiTheme="minorHAnsi" w:cstheme="minorHAnsi"/>
                                <w:sz w:val="20"/>
                                <w:szCs w:val="20"/>
                                <w:lang w:val="fr-FR"/>
                              </w:rPr>
                              <w:tab/>
                              <w:t xml:space="preserve">Réunion de mise à niveau </w:t>
                            </w:r>
                            <w:r w:rsidRPr="00672C42">
                              <w:rPr>
                                <w:rFonts w:asciiTheme="minorHAnsi" w:hAnsiTheme="minorHAnsi" w:cstheme="minorHAnsi"/>
                                <w:sz w:val="20"/>
                                <w:szCs w:val="20"/>
                                <w:lang w:val="fr-FR"/>
                              </w:rPr>
                              <w:t>des représentants des secteurs</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12 Août 2010 :</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Recrutement du Coordonnateur du Programme</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1</w:t>
                            </w:r>
                            <w:r w:rsidRPr="003060D6">
                              <w:rPr>
                                <w:rFonts w:asciiTheme="minorHAnsi" w:hAnsiTheme="minorHAnsi" w:cstheme="minorHAnsi"/>
                                <w:b/>
                                <w:sz w:val="20"/>
                                <w:szCs w:val="20"/>
                                <w:vertAlign w:val="superscript"/>
                                <w:lang w:val="fr-FR"/>
                              </w:rPr>
                              <w:t>er</w:t>
                            </w:r>
                            <w:r>
                              <w:rPr>
                                <w:rFonts w:asciiTheme="minorHAnsi" w:hAnsiTheme="minorHAnsi" w:cstheme="minorHAnsi"/>
                                <w:b/>
                                <w:sz w:val="20"/>
                                <w:szCs w:val="20"/>
                                <w:lang w:val="fr-FR"/>
                              </w:rPr>
                              <w:t xml:space="preserve"> </w:t>
                            </w:r>
                            <w:r w:rsidRPr="003060D6">
                              <w:rPr>
                                <w:rFonts w:asciiTheme="minorHAnsi" w:hAnsiTheme="minorHAnsi" w:cstheme="minorHAnsi"/>
                                <w:b/>
                                <w:sz w:val="20"/>
                                <w:szCs w:val="20"/>
                                <w:lang w:val="fr-FR"/>
                              </w:rPr>
                              <w:t>Sept.  2010:</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Organisation de l’Atelier de lancement du Programme</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28 Fév. 2011</w:t>
                            </w:r>
                            <w:r w:rsidRPr="00672C42">
                              <w:rPr>
                                <w:rFonts w:asciiTheme="minorHAnsi" w:hAnsiTheme="minorHAnsi" w:cstheme="minorHAnsi"/>
                                <w:sz w:val="20"/>
                                <w:szCs w:val="20"/>
                                <w:lang w:val="fr-FR"/>
                              </w:rPr>
                              <w:t>:</w:t>
                            </w:r>
                            <w:r>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2</w:t>
                            </w:r>
                            <w:r w:rsidRPr="003060D6">
                              <w:rPr>
                                <w:rFonts w:asciiTheme="minorHAnsi" w:hAnsiTheme="minorHAnsi" w:cstheme="minorHAnsi"/>
                                <w:sz w:val="20"/>
                                <w:szCs w:val="20"/>
                                <w:vertAlign w:val="superscript"/>
                                <w:lang w:val="fr-FR"/>
                              </w:rPr>
                              <w:t>ème</w:t>
                            </w:r>
                            <w:r>
                              <w:rPr>
                                <w:rFonts w:asciiTheme="minorHAnsi" w:hAnsiTheme="minorHAnsi" w:cstheme="minorHAnsi"/>
                                <w:sz w:val="20"/>
                                <w:szCs w:val="20"/>
                                <w:lang w:val="fr-FR"/>
                              </w:rPr>
                              <w:t xml:space="preserve">  r</w:t>
                            </w:r>
                            <w:r w:rsidRPr="00672C42">
                              <w:rPr>
                                <w:rFonts w:asciiTheme="minorHAnsi" w:hAnsiTheme="minorHAnsi" w:cstheme="minorHAnsi"/>
                                <w:sz w:val="20"/>
                                <w:szCs w:val="20"/>
                                <w:lang w:val="fr-FR"/>
                              </w:rPr>
                              <w:t xml:space="preserve">éunion du </w:t>
                            </w:r>
                            <w:r>
                              <w:rPr>
                                <w:rFonts w:asciiTheme="minorHAnsi" w:hAnsiTheme="minorHAnsi" w:cstheme="minorHAnsi"/>
                                <w:sz w:val="20"/>
                                <w:szCs w:val="20"/>
                                <w:lang w:val="fr-FR"/>
                              </w:rPr>
                              <w:t>CNP</w:t>
                            </w:r>
                          </w:p>
                          <w:p w:rsidR="00E46B31"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16 Nov.  2011:</w:t>
                            </w:r>
                            <w:r>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3</w:t>
                            </w:r>
                            <w:r w:rsidRPr="003060D6">
                              <w:rPr>
                                <w:rFonts w:asciiTheme="minorHAnsi" w:hAnsiTheme="minorHAnsi" w:cstheme="minorHAnsi"/>
                                <w:sz w:val="20"/>
                                <w:szCs w:val="20"/>
                                <w:vertAlign w:val="superscript"/>
                                <w:lang w:val="fr-FR"/>
                              </w:rPr>
                              <w:t>ème</w:t>
                            </w:r>
                            <w:r>
                              <w:rPr>
                                <w:rFonts w:asciiTheme="minorHAnsi" w:hAnsiTheme="minorHAnsi" w:cstheme="minorHAnsi"/>
                                <w:sz w:val="20"/>
                                <w:szCs w:val="20"/>
                                <w:lang w:val="fr-FR"/>
                              </w:rPr>
                              <w:t xml:space="preserve">  r</w:t>
                            </w:r>
                            <w:r w:rsidRPr="00672C42">
                              <w:rPr>
                                <w:rFonts w:asciiTheme="minorHAnsi" w:hAnsiTheme="minorHAnsi" w:cstheme="minorHAnsi"/>
                                <w:sz w:val="20"/>
                                <w:szCs w:val="20"/>
                                <w:lang w:val="fr-FR"/>
                              </w:rPr>
                              <w:t xml:space="preserve">éunion du </w:t>
                            </w:r>
                            <w:r>
                              <w:rPr>
                                <w:rFonts w:asciiTheme="minorHAnsi" w:hAnsiTheme="minorHAnsi" w:cstheme="minorHAnsi"/>
                                <w:sz w:val="20"/>
                                <w:szCs w:val="20"/>
                                <w:lang w:val="fr-FR"/>
                              </w:rPr>
                              <w:t>CNP</w:t>
                            </w:r>
                          </w:p>
                          <w:p w:rsidR="00E46B31"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Juil. 2011</w:t>
                            </w:r>
                            <w:r>
                              <w:rPr>
                                <w:rFonts w:asciiTheme="minorHAnsi" w:hAnsiTheme="minorHAnsi" w:cstheme="minorHAnsi"/>
                                <w:sz w:val="20"/>
                                <w:szCs w:val="20"/>
                                <w:lang w:val="fr-FR"/>
                              </w:rPr>
                              <w:t> :</w:t>
                            </w:r>
                            <w:r>
                              <w:rPr>
                                <w:rFonts w:asciiTheme="minorHAnsi" w:hAnsiTheme="minorHAnsi" w:cstheme="minorHAnsi"/>
                                <w:sz w:val="20"/>
                                <w:szCs w:val="20"/>
                                <w:lang w:val="fr-FR"/>
                              </w:rPr>
                              <w:tab/>
                              <w:t>2</w:t>
                            </w:r>
                            <w:r w:rsidRPr="003060D6">
                              <w:rPr>
                                <w:rFonts w:asciiTheme="minorHAnsi" w:hAnsiTheme="minorHAnsi" w:cstheme="minorHAnsi"/>
                                <w:sz w:val="20"/>
                                <w:szCs w:val="20"/>
                                <w:vertAlign w:val="superscript"/>
                                <w:lang w:val="fr-FR"/>
                              </w:rPr>
                              <w:t>ème</w:t>
                            </w:r>
                            <w:r>
                              <w:rPr>
                                <w:rFonts w:asciiTheme="minorHAnsi" w:hAnsiTheme="minorHAnsi" w:cstheme="minorHAnsi"/>
                                <w:sz w:val="20"/>
                                <w:szCs w:val="20"/>
                                <w:lang w:val="fr-FR"/>
                              </w:rPr>
                              <w:t xml:space="preserve"> mission du </w:t>
                            </w:r>
                            <w:r w:rsidRPr="00672C42">
                              <w:rPr>
                                <w:rFonts w:asciiTheme="minorHAnsi" w:hAnsiTheme="minorHAnsi" w:cstheme="minorHAnsi"/>
                                <w:sz w:val="20"/>
                                <w:szCs w:val="20"/>
                                <w:lang w:val="fr-FR"/>
                              </w:rPr>
                              <w:t>Secrétariat du F-OMD</w:t>
                            </w:r>
                          </w:p>
                          <w:p w:rsidR="00E46B31" w:rsidRDefault="00E46B31" w:rsidP="005365E9">
                            <w:pPr>
                              <w:rPr>
                                <w:rFonts w:asciiTheme="minorHAnsi" w:hAnsiTheme="minorHAnsi" w:cstheme="minorHAnsi"/>
                                <w:sz w:val="20"/>
                                <w:szCs w:val="20"/>
                                <w:lang w:val="fr-FR"/>
                              </w:rPr>
                            </w:pPr>
                            <w:r>
                              <w:rPr>
                                <w:rFonts w:asciiTheme="minorHAnsi" w:hAnsiTheme="minorHAnsi" w:cstheme="minorHAnsi"/>
                                <w:b/>
                                <w:sz w:val="20"/>
                                <w:szCs w:val="20"/>
                                <w:lang w:val="fr-FR"/>
                              </w:rPr>
                              <w:t>Déc. 2011 :</w:t>
                            </w:r>
                            <w:r>
                              <w:rPr>
                                <w:rFonts w:asciiTheme="minorHAnsi" w:hAnsiTheme="minorHAnsi" w:cstheme="minorHAnsi"/>
                                <w:b/>
                                <w:sz w:val="20"/>
                                <w:szCs w:val="20"/>
                                <w:lang w:val="fr-FR"/>
                              </w:rPr>
                              <w:tab/>
                            </w:r>
                            <w:r w:rsidRPr="00F549A5">
                              <w:rPr>
                                <w:rFonts w:asciiTheme="minorHAnsi" w:hAnsiTheme="minorHAnsi" w:cstheme="minorHAnsi"/>
                                <w:sz w:val="20"/>
                                <w:szCs w:val="20"/>
                                <w:lang w:val="fr-FR"/>
                              </w:rPr>
                              <w:t>4</w:t>
                            </w:r>
                            <w:r w:rsidRPr="00F549A5">
                              <w:rPr>
                                <w:rFonts w:asciiTheme="minorHAnsi" w:hAnsiTheme="minorHAnsi" w:cstheme="minorHAnsi"/>
                                <w:sz w:val="20"/>
                                <w:szCs w:val="20"/>
                                <w:vertAlign w:val="superscript"/>
                                <w:lang w:val="fr-FR"/>
                              </w:rPr>
                              <w:t>ème</w:t>
                            </w:r>
                            <w:r w:rsidRPr="00F549A5">
                              <w:rPr>
                                <w:rFonts w:asciiTheme="minorHAnsi" w:hAnsiTheme="minorHAnsi" w:cstheme="minorHAnsi"/>
                                <w:sz w:val="20"/>
                                <w:szCs w:val="20"/>
                                <w:lang w:val="fr-FR"/>
                              </w:rPr>
                              <w:t xml:space="preserve"> réunion du CNP</w:t>
                            </w:r>
                          </w:p>
                          <w:p w:rsidR="00E46B31" w:rsidRDefault="00E46B31" w:rsidP="005365E9">
                            <w:pPr>
                              <w:rPr>
                                <w:rFonts w:asciiTheme="minorHAnsi" w:hAnsiTheme="minorHAnsi" w:cstheme="minorHAnsi"/>
                                <w:b/>
                                <w:sz w:val="20"/>
                                <w:szCs w:val="20"/>
                                <w:lang w:val="fr-FR"/>
                              </w:rPr>
                            </w:pPr>
                            <w:r w:rsidRPr="00F549A5">
                              <w:rPr>
                                <w:rFonts w:asciiTheme="minorHAnsi" w:hAnsiTheme="minorHAnsi" w:cstheme="minorHAnsi"/>
                                <w:b/>
                                <w:sz w:val="20"/>
                                <w:szCs w:val="20"/>
                                <w:lang w:val="fr-FR"/>
                              </w:rPr>
                              <w:t>Déc. 2011 :</w:t>
                            </w:r>
                            <w:r>
                              <w:rPr>
                                <w:rFonts w:asciiTheme="minorHAnsi" w:hAnsiTheme="minorHAnsi" w:cstheme="minorHAnsi"/>
                                <w:sz w:val="20"/>
                                <w:szCs w:val="20"/>
                                <w:lang w:val="fr-FR"/>
                              </w:rPr>
                              <w:tab/>
                              <w:t>Revue annuelle</w:t>
                            </w:r>
                          </w:p>
                          <w:p w:rsidR="00E46B31"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Janv. 2012</w:t>
                            </w:r>
                            <w:r>
                              <w:rPr>
                                <w:rFonts w:asciiTheme="minorHAnsi" w:hAnsiTheme="minorHAnsi" w:cstheme="minorHAnsi"/>
                                <w:sz w:val="20"/>
                                <w:szCs w:val="20"/>
                                <w:lang w:val="fr-FR"/>
                              </w:rPr>
                              <w:t xml:space="preserve"> : </w:t>
                            </w:r>
                            <w:r>
                              <w:rPr>
                                <w:rFonts w:asciiTheme="minorHAnsi" w:hAnsiTheme="minorHAnsi" w:cstheme="minorHAnsi"/>
                                <w:sz w:val="20"/>
                                <w:szCs w:val="20"/>
                                <w:lang w:val="fr-FR"/>
                              </w:rPr>
                              <w:tab/>
                              <w:t>Evaluation à mi-parcours</w:t>
                            </w:r>
                          </w:p>
                          <w:p w:rsidR="00E46B31"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Fév. 2013</w:t>
                            </w:r>
                            <w:r>
                              <w:rPr>
                                <w:rFonts w:asciiTheme="minorHAnsi" w:hAnsiTheme="minorHAnsi" w:cstheme="minorHAnsi"/>
                                <w:sz w:val="20"/>
                                <w:szCs w:val="20"/>
                                <w:lang w:val="fr-FR"/>
                              </w:rPr>
                              <w:t> :</w:t>
                            </w:r>
                            <w:r>
                              <w:rPr>
                                <w:rFonts w:asciiTheme="minorHAnsi" w:hAnsiTheme="minorHAnsi" w:cstheme="minorHAnsi"/>
                                <w:sz w:val="20"/>
                                <w:szCs w:val="20"/>
                                <w:lang w:val="fr-FR"/>
                              </w:rPr>
                              <w:tab/>
                              <w:t>Clôture prévue du programme conjoint</w:t>
                            </w:r>
                          </w:p>
                          <w:p w:rsidR="00E46B31" w:rsidRPr="002213EB" w:rsidRDefault="00E46B31" w:rsidP="005365E9">
                            <w:pPr>
                              <w:rPr>
                                <w:rFonts w:asciiTheme="minorHAnsi" w:hAnsiTheme="minorHAnsi" w:cstheme="minorHAnsi"/>
                                <w:i/>
                                <w:sz w:val="20"/>
                                <w:szCs w:val="20"/>
                                <w:lang w:val="fr-FR"/>
                              </w:rPr>
                            </w:pPr>
                            <w:r>
                              <w:rPr>
                                <w:rFonts w:asciiTheme="minorHAnsi" w:hAnsiTheme="minorHAnsi" w:cstheme="minorHAnsi"/>
                                <w:i/>
                                <w:sz w:val="20"/>
                                <w:szCs w:val="20"/>
                                <w:lang w:val="fr-FR"/>
                              </w:rPr>
                              <w:t>(</w:t>
                            </w:r>
                            <w:r w:rsidRPr="002213EB">
                              <w:rPr>
                                <w:rFonts w:asciiTheme="minorHAnsi" w:hAnsiTheme="minorHAnsi" w:cstheme="minorHAnsi"/>
                                <w:i/>
                                <w:sz w:val="20"/>
                                <w:szCs w:val="20"/>
                                <w:lang w:val="fr-FR"/>
                              </w:rPr>
                              <w:t>Juin 2013</w:t>
                            </w:r>
                            <w:r>
                              <w:rPr>
                                <w:rFonts w:asciiTheme="minorHAnsi" w:hAnsiTheme="minorHAnsi" w:cstheme="minorHAnsi"/>
                                <w:i/>
                                <w:sz w:val="20"/>
                                <w:szCs w:val="20"/>
                                <w:lang w:val="fr-FR"/>
                              </w:rPr>
                              <w:t>)</w:t>
                            </w:r>
                            <w:r w:rsidRPr="002213EB">
                              <w:rPr>
                                <w:rFonts w:asciiTheme="minorHAnsi" w:hAnsiTheme="minorHAnsi" w:cstheme="minorHAnsi"/>
                                <w:i/>
                                <w:sz w:val="20"/>
                                <w:szCs w:val="20"/>
                                <w:lang w:val="fr-FR"/>
                              </w:rPr>
                              <w:t> :</w:t>
                            </w:r>
                            <w:r w:rsidRPr="002213EB">
                              <w:rPr>
                                <w:rFonts w:asciiTheme="minorHAnsi" w:hAnsiTheme="minorHAnsi" w:cstheme="minorHAnsi"/>
                                <w:i/>
                                <w:sz w:val="20"/>
                                <w:szCs w:val="20"/>
                                <w:lang w:val="fr-FR"/>
                              </w:rPr>
                              <w:tab/>
                            </w:r>
                            <w:r>
                              <w:rPr>
                                <w:rFonts w:asciiTheme="minorHAnsi" w:hAnsiTheme="minorHAnsi" w:cstheme="minorHAnsi"/>
                                <w:i/>
                                <w:sz w:val="20"/>
                                <w:szCs w:val="20"/>
                                <w:lang w:val="fr-FR"/>
                              </w:rPr>
                              <w:t>(</w:t>
                            </w:r>
                            <w:r w:rsidRPr="002213EB">
                              <w:rPr>
                                <w:rFonts w:asciiTheme="minorHAnsi" w:hAnsiTheme="minorHAnsi" w:cstheme="minorHAnsi"/>
                                <w:i/>
                                <w:sz w:val="20"/>
                                <w:szCs w:val="20"/>
                                <w:lang w:val="fr-FR"/>
                              </w:rPr>
                              <w:t>Extension maximale possible de la date de clôture du programme</w:t>
                            </w:r>
                            <w:r>
                              <w:rPr>
                                <w:rFonts w:asciiTheme="minorHAnsi" w:hAnsiTheme="minorHAnsi" w:cstheme="minorHAnsi"/>
                                <w:i/>
                                <w:sz w:val="20"/>
                                <w:szCs w:val="20"/>
                                <w:lang w:val="fr-FR"/>
                              </w:rPr>
                              <w:t>)</w:t>
                            </w:r>
                            <w:r w:rsidRPr="002213EB">
                              <w:rPr>
                                <w:rFonts w:asciiTheme="minorHAnsi" w:hAnsiTheme="minorHAnsi" w:cstheme="minorHAnsi"/>
                                <w:i/>
                                <w:sz w:val="20"/>
                                <w:szCs w:val="20"/>
                                <w:lang w:val="fr-FR"/>
                              </w:rPr>
                              <w:t xml:space="preserve"> </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Déc. 2013</w:t>
                            </w:r>
                            <w:r>
                              <w:rPr>
                                <w:rFonts w:asciiTheme="minorHAnsi" w:hAnsiTheme="minorHAnsi" w:cstheme="minorHAnsi"/>
                                <w:sz w:val="20"/>
                                <w:szCs w:val="20"/>
                                <w:lang w:val="fr-FR"/>
                              </w:rPr>
                              <w:t> :</w:t>
                            </w:r>
                            <w:r>
                              <w:rPr>
                                <w:rFonts w:asciiTheme="minorHAnsi" w:hAnsiTheme="minorHAnsi" w:cstheme="minorHAnsi"/>
                                <w:sz w:val="20"/>
                                <w:szCs w:val="20"/>
                                <w:lang w:val="fr-FR"/>
                              </w:rPr>
                              <w:tab/>
                              <w:t>Clôture prévue du F-OMD</w:t>
                            </w:r>
                          </w:p>
                          <w:p w:rsidR="00E46B31" w:rsidRPr="00672C42" w:rsidRDefault="00E46B31" w:rsidP="005365E9">
                            <w:pPr>
                              <w:rPr>
                                <w:rFonts w:asciiTheme="minorHAnsi" w:hAnsiTheme="minorHAnsi" w:cstheme="minorHAnsi"/>
                                <w:sz w:val="20"/>
                                <w:szCs w:val="20"/>
                                <w:lang w:val="fr-FR"/>
                              </w:rPr>
                            </w:pPr>
                          </w:p>
                          <w:p w:rsidR="00E46B31" w:rsidRPr="003060D6" w:rsidRDefault="00E46B31" w:rsidP="005365E9">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pt;margin-top:18.45pt;width:358.55pt;height:2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">
                <v:textbox>
                  <w:txbxContent>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Juil. 2007 :</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Approbation de la note conceptuelle</w:t>
                      </w:r>
                      <w:r>
                        <w:rPr>
                          <w:rFonts w:asciiTheme="minorHAnsi" w:hAnsiTheme="minorHAnsi" w:cstheme="minorHAnsi"/>
                          <w:sz w:val="20"/>
                          <w:szCs w:val="20"/>
                          <w:lang w:val="fr-FR"/>
                        </w:rPr>
                        <w:t xml:space="preserve"> par le Secrétariat du F-OMD</w:t>
                      </w:r>
                      <w:r w:rsidRPr="00672C42">
                        <w:rPr>
                          <w:rFonts w:asciiTheme="minorHAnsi" w:hAnsiTheme="minorHAnsi" w:cstheme="minorHAnsi"/>
                          <w:sz w:val="20"/>
                          <w:szCs w:val="20"/>
                          <w:lang w:val="fr-FR"/>
                        </w:rPr>
                        <w:t xml:space="preserve"> </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Janv. 2008</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Approbation du document de projet par les autorités algériennes</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Fév.2009</w:t>
                      </w:r>
                      <w:r>
                        <w:rPr>
                          <w:rFonts w:asciiTheme="minorHAnsi" w:hAnsiTheme="minorHAnsi" w:cstheme="minorHAnsi"/>
                          <w:sz w:val="20"/>
                          <w:szCs w:val="20"/>
                          <w:lang w:val="fr-FR"/>
                        </w:rPr>
                        <w:t> :</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Sign</w:t>
                      </w:r>
                      <w:r>
                        <w:rPr>
                          <w:rFonts w:asciiTheme="minorHAnsi" w:hAnsiTheme="minorHAnsi" w:cstheme="minorHAnsi"/>
                          <w:sz w:val="20"/>
                          <w:szCs w:val="20"/>
                          <w:lang w:val="fr-FR"/>
                        </w:rPr>
                        <w:t xml:space="preserve">ature du document de projet SNU </w:t>
                      </w:r>
                      <w:r w:rsidRPr="00672C42">
                        <w:rPr>
                          <w:rFonts w:asciiTheme="minorHAnsi" w:hAnsiTheme="minorHAnsi" w:cstheme="minorHAnsi"/>
                          <w:sz w:val="20"/>
                          <w:szCs w:val="20"/>
                          <w:lang w:val="fr-FR"/>
                        </w:rPr>
                        <w:t>/ gouvernement algérien</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Nov. 2009:</w:t>
                      </w:r>
                      <w:r>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1</w:t>
                      </w:r>
                      <w:r w:rsidRPr="00F549A5">
                        <w:rPr>
                          <w:rFonts w:asciiTheme="minorHAnsi" w:hAnsiTheme="minorHAnsi" w:cstheme="minorHAnsi"/>
                          <w:sz w:val="20"/>
                          <w:szCs w:val="20"/>
                          <w:vertAlign w:val="superscript"/>
                          <w:lang w:val="fr-FR"/>
                        </w:rPr>
                        <w:t>ère</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r</w:t>
                      </w:r>
                      <w:r w:rsidRPr="00672C42">
                        <w:rPr>
                          <w:rFonts w:asciiTheme="minorHAnsi" w:hAnsiTheme="minorHAnsi" w:cstheme="minorHAnsi"/>
                          <w:sz w:val="20"/>
                          <w:szCs w:val="20"/>
                          <w:lang w:val="fr-FR"/>
                        </w:rPr>
                        <w:t>éunion du Comité National de Pilotage</w:t>
                      </w:r>
                      <w:r>
                        <w:rPr>
                          <w:rFonts w:asciiTheme="minorHAnsi" w:hAnsiTheme="minorHAnsi" w:cstheme="minorHAnsi"/>
                          <w:sz w:val="20"/>
                          <w:szCs w:val="20"/>
                          <w:lang w:val="fr-FR"/>
                        </w:rPr>
                        <w:t xml:space="preserve"> (CNP)</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Mars 2010</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t>Démarrage officiel</w:t>
                      </w:r>
                      <w:r w:rsidRPr="00672C42">
                        <w:rPr>
                          <w:rFonts w:asciiTheme="minorHAnsi" w:hAnsiTheme="minorHAnsi" w:cstheme="minorHAnsi"/>
                          <w:sz w:val="20"/>
                          <w:szCs w:val="20"/>
                          <w:lang w:val="fr-FR"/>
                        </w:rPr>
                        <w:t xml:space="preserve"> du programme</w:t>
                      </w:r>
                      <w:r>
                        <w:rPr>
                          <w:rFonts w:asciiTheme="minorHAnsi" w:hAnsiTheme="minorHAnsi" w:cstheme="minorHAnsi"/>
                          <w:sz w:val="20"/>
                          <w:szCs w:val="20"/>
                          <w:lang w:val="fr-FR"/>
                        </w:rPr>
                        <w:t xml:space="preserve"> (transfert 1</w:t>
                      </w:r>
                      <w:r w:rsidRPr="003060D6">
                        <w:rPr>
                          <w:rFonts w:asciiTheme="minorHAnsi" w:hAnsiTheme="minorHAnsi" w:cstheme="minorHAnsi"/>
                          <w:sz w:val="20"/>
                          <w:szCs w:val="20"/>
                          <w:vertAlign w:val="superscript"/>
                          <w:lang w:val="fr-FR"/>
                        </w:rPr>
                        <w:t>ère</w:t>
                      </w:r>
                      <w:r>
                        <w:rPr>
                          <w:rFonts w:asciiTheme="minorHAnsi" w:hAnsiTheme="minorHAnsi" w:cstheme="minorHAnsi"/>
                          <w:sz w:val="20"/>
                          <w:szCs w:val="20"/>
                          <w:lang w:val="fr-FR"/>
                        </w:rPr>
                        <w:t xml:space="preserve"> tranche)</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Mai 2010</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Mission du Secrétariat du F-OMD</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6 Juil. 2010</w:t>
                      </w:r>
                      <w:r>
                        <w:rPr>
                          <w:rFonts w:asciiTheme="minorHAnsi" w:hAnsiTheme="minorHAnsi" w:cstheme="minorHAnsi"/>
                          <w:sz w:val="20"/>
                          <w:szCs w:val="20"/>
                          <w:lang w:val="fr-FR"/>
                        </w:rPr>
                        <w:t xml:space="preserve"> : </w:t>
                      </w:r>
                      <w:r>
                        <w:rPr>
                          <w:rFonts w:asciiTheme="minorHAnsi" w:hAnsiTheme="minorHAnsi" w:cstheme="minorHAnsi"/>
                          <w:sz w:val="20"/>
                          <w:szCs w:val="20"/>
                          <w:lang w:val="fr-FR"/>
                        </w:rPr>
                        <w:tab/>
                        <w:t xml:space="preserve">Réunion de mise à niveau </w:t>
                      </w:r>
                      <w:r w:rsidRPr="00672C42">
                        <w:rPr>
                          <w:rFonts w:asciiTheme="minorHAnsi" w:hAnsiTheme="minorHAnsi" w:cstheme="minorHAnsi"/>
                          <w:sz w:val="20"/>
                          <w:szCs w:val="20"/>
                          <w:lang w:val="fr-FR"/>
                        </w:rPr>
                        <w:t>des représentants des secteurs</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12 Août 2010 :</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Recrutement du Coordonnateur du Programme</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1</w:t>
                      </w:r>
                      <w:r w:rsidRPr="003060D6">
                        <w:rPr>
                          <w:rFonts w:asciiTheme="minorHAnsi" w:hAnsiTheme="minorHAnsi" w:cstheme="minorHAnsi"/>
                          <w:b/>
                          <w:sz w:val="20"/>
                          <w:szCs w:val="20"/>
                          <w:vertAlign w:val="superscript"/>
                          <w:lang w:val="fr-FR"/>
                        </w:rPr>
                        <w:t>er</w:t>
                      </w:r>
                      <w:r>
                        <w:rPr>
                          <w:rFonts w:asciiTheme="minorHAnsi" w:hAnsiTheme="minorHAnsi" w:cstheme="minorHAnsi"/>
                          <w:b/>
                          <w:sz w:val="20"/>
                          <w:szCs w:val="20"/>
                          <w:lang w:val="fr-FR"/>
                        </w:rPr>
                        <w:t xml:space="preserve"> </w:t>
                      </w:r>
                      <w:r w:rsidRPr="003060D6">
                        <w:rPr>
                          <w:rFonts w:asciiTheme="minorHAnsi" w:hAnsiTheme="minorHAnsi" w:cstheme="minorHAnsi"/>
                          <w:b/>
                          <w:sz w:val="20"/>
                          <w:szCs w:val="20"/>
                          <w:lang w:val="fr-FR"/>
                        </w:rPr>
                        <w:t>Sept.  2010:</w:t>
                      </w:r>
                      <w:r w:rsidRPr="00672C42">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Organisation de l’Atelier de lancement du Programme</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28 Fév. 2011</w:t>
                      </w:r>
                      <w:r w:rsidRPr="00672C42">
                        <w:rPr>
                          <w:rFonts w:asciiTheme="minorHAnsi" w:hAnsiTheme="minorHAnsi" w:cstheme="minorHAnsi"/>
                          <w:sz w:val="20"/>
                          <w:szCs w:val="20"/>
                          <w:lang w:val="fr-FR"/>
                        </w:rPr>
                        <w:t>:</w:t>
                      </w:r>
                      <w:r>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2</w:t>
                      </w:r>
                      <w:r w:rsidRPr="003060D6">
                        <w:rPr>
                          <w:rFonts w:asciiTheme="minorHAnsi" w:hAnsiTheme="minorHAnsi" w:cstheme="minorHAnsi"/>
                          <w:sz w:val="20"/>
                          <w:szCs w:val="20"/>
                          <w:vertAlign w:val="superscript"/>
                          <w:lang w:val="fr-FR"/>
                        </w:rPr>
                        <w:t>ème</w:t>
                      </w:r>
                      <w:r>
                        <w:rPr>
                          <w:rFonts w:asciiTheme="minorHAnsi" w:hAnsiTheme="minorHAnsi" w:cstheme="minorHAnsi"/>
                          <w:sz w:val="20"/>
                          <w:szCs w:val="20"/>
                          <w:lang w:val="fr-FR"/>
                        </w:rPr>
                        <w:t xml:space="preserve">  r</w:t>
                      </w:r>
                      <w:r w:rsidRPr="00672C42">
                        <w:rPr>
                          <w:rFonts w:asciiTheme="minorHAnsi" w:hAnsiTheme="minorHAnsi" w:cstheme="minorHAnsi"/>
                          <w:sz w:val="20"/>
                          <w:szCs w:val="20"/>
                          <w:lang w:val="fr-FR"/>
                        </w:rPr>
                        <w:t xml:space="preserve">éunion du </w:t>
                      </w:r>
                      <w:r>
                        <w:rPr>
                          <w:rFonts w:asciiTheme="minorHAnsi" w:hAnsiTheme="minorHAnsi" w:cstheme="minorHAnsi"/>
                          <w:sz w:val="20"/>
                          <w:szCs w:val="20"/>
                          <w:lang w:val="fr-FR"/>
                        </w:rPr>
                        <w:t>CNP</w:t>
                      </w:r>
                    </w:p>
                    <w:p w:rsidR="00E46B31"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16 Nov.  2011:</w:t>
                      </w:r>
                      <w:r>
                        <w:rPr>
                          <w:rFonts w:asciiTheme="minorHAnsi" w:hAnsiTheme="minorHAnsi" w:cstheme="minorHAnsi"/>
                          <w:sz w:val="20"/>
                          <w:szCs w:val="20"/>
                          <w:lang w:val="fr-FR"/>
                        </w:rPr>
                        <w:t xml:space="preserve"> </w:t>
                      </w:r>
                      <w:r>
                        <w:rPr>
                          <w:rFonts w:asciiTheme="minorHAnsi" w:hAnsiTheme="minorHAnsi" w:cstheme="minorHAnsi"/>
                          <w:sz w:val="20"/>
                          <w:szCs w:val="20"/>
                          <w:lang w:val="fr-FR"/>
                        </w:rPr>
                        <w:tab/>
                      </w:r>
                      <w:r w:rsidRPr="00672C42">
                        <w:rPr>
                          <w:rFonts w:asciiTheme="minorHAnsi" w:hAnsiTheme="minorHAnsi" w:cstheme="minorHAnsi"/>
                          <w:sz w:val="20"/>
                          <w:szCs w:val="20"/>
                          <w:lang w:val="fr-FR"/>
                        </w:rPr>
                        <w:t>3</w:t>
                      </w:r>
                      <w:r w:rsidRPr="003060D6">
                        <w:rPr>
                          <w:rFonts w:asciiTheme="minorHAnsi" w:hAnsiTheme="minorHAnsi" w:cstheme="minorHAnsi"/>
                          <w:sz w:val="20"/>
                          <w:szCs w:val="20"/>
                          <w:vertAlign w:val="superscript"/>
                          <w:lang w:val="fr-FR"/>
                        </w:rPr>
                        <w:t>ème</w:t>
                      </w:r>
                      <w:r>
                        <w:rPr>
                          <w:rFonts w:asciiTheme="minorHAnsi" w:hAnsiTheme="minorHAnsi" w:cstheme="minorHAnsi"/>
                          <w:sz w:val="20"/>
                          <w:szCs w:val="20"/>
                          <w:lang w:val="fr-FR"/>
                        </w:rPr>
                        <w:t xml:space="preserve">  r</w:t>
                      </w:r>
                      <w:r w:rsidRPr="00672C42">
                        <w:rPr>
                          <w:rFonts w:asciiTheme="minorHAnsi" w:hAnsiTheme="minorHAnsi" w:cstheme="minorHAnsi"/>
                          <w:sz w:val="20"/>
                          <w:szCs w:val="20"/>
                          <w:lang w:val="fr-FR"/>
                        </w:rPr>
                        <w:t xml:space="preserve">éunion du </w:t>
                      </w:r>
                      <w:r>
                        <w:rPr>
                          <w:rFonts w:asciiTheme="minorHAnsi" w:hAnsiTheme="minorHAnsi" w:cstheme="minorHAnsi"/>
                          <w:sz w:val="20"/>
                          <w:szCs w:val="20"/>
                          <w:lang w:val="fr-FR"/>
                        </w:rPr>
                        <w:t>CNP</w:t>
                      </w:r>
                    </w:p>
                    <w:p w:rsidR="00E46B31"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Juil. 2011</w:t>
                      </w:r>
                      <w:r>
                        <w:rPr>
                          <w:rFonts w:asciiTheme="minorHAnsi" w:hAnsiTheme="minorHAnsi" w:cstheme="minorHAnsi"/>
                          <w:sz w:val="20"/>
                          <w:szCs w:val="20"/>
                          <w:lang w:val="fr-FR"/>
                        </w:rPr>
                        <w:t> :</w:t>
                      </w:r>
                      <w:r>
                        <w:rPr>
                          <w:rFonts w:asciiTheme="minorHAnsi" w:hAnsiTheme="minorHAnsi" w:cstheme="minorHAnsi"/>
                          <w:sz w:val="20"/>
                          <w:szCs w:val="20"/>
                          <w:lang w:val="fr-FR"/>
                        </w:rPr>
                        <w:tab/>
                        <w:t>2</w:t>
                      </w:r>
                      <w:r w:rsidRPr="003060D6">
                        <w:rPr>
                          <w:rFonts w:asciiTheme="minorHAnsi" w:hAnsiTheme="minorHAnsi" w:cstheme="minorHAnsi"/>
                          <w:sz w:val="20"/>
                          <w:szCs w:val="20"/>
                          <w:vertAlign w:val="superscript"/>
                          <w:lang w:val="fr-FR"/>
                        </w:rPr>
                        <w:t>ème</w:t>
                      </w:r>
                      <w:r>
                        <w:rPr>
                          <w:rFonts w:asciiTheme="minorHAnsi" w:hAnsiTheme="minorHAnsi" w:cstheme="minorHAnsi"/>
                          <w:sz w:val="20"/>
                          <w:szCs w:val="20"/>
                          <w:lang w:val="fr-FR"/>
                        </w:rPr>
                        <w:t xml:space="preserve"> mission du </w:t>
                      </w:r>
                      <w:r w:rsidRPr="00672C42">
                        <w:rPr>
                          <w:rFonts w:asciiTheme="minorHAnsi" w:hAnsiTheme="minorHAnsi" w:cstheme="minorHAnsi"/>
                          <w:sz w:val="20"/>
                          <w:szCs w:val="20"/>
                          <w:lang w:val="fr-FR"/>
                        </w:rPr>
                        <w:t>Secrétariat du F-OMD</w:t>
                      </w:r>
                    </w:p>
                    <w:p w:rsidR="00E46B31" w:rsidRDefault="00E46B31" w:rsidP="005365E9">
                      <w:pPr>
                        <w:rPr>
                          <w:rFonts w:asciiTheme="minorHAnsi" w:hAnsiTheme="minorHAnsi" w:cstheme="minorHAnsi"/>
                          <w:sz w:val="20"/>
                          <w:szCs w:val="20"/>
                          <w:lang w:val="fr-FR"/>
                        </w:rPr>
                      </w:pPr>
                      <w:r>
                        <w:rPr>
                          <w:rFonts w:asciiTheme="minorHAnsi" w:hAnsiTheme="minorHAnsi" w:cstheme="minorHAnsi"/>
                          <w:b/>
                          <w:sz w:val="20"/>
                          <w:szCs w:val="20"/>
                          <w:lang w:val="fr-FR"/>
                        </w:rPr>
                        <w:t>Déc. 2011 :</w:t>
                      </w:r>
                      <w:r>
                        <w:rPr>
                          <w:rFonts w:asciiTheme="minorHAnsi" w:hAnsiTheme="minorHAnsi" w:cstheme="minorHAnsi"/>
                          <w:b/>
                          <w:sz w:val="20"/>
                          <w:szCs w:val="20"/>
                          <w:lang w:val="fr-FR"/>
                        </w:rPr>
                        <w:tab/>
                      </w:r>
                      <w:r w:rsidRPr="00F549A5">
                        <w:rPr>
                          <w:rFonts w:asciiTheme="minorHAnsi" w:hAnsiTheme="minorHAnsi" w:cstheme="minorHAnsi"/>
                          <w:sz w:val="20"/>
                          <w:szCs w:val="20"/>
                          <w:lang w:val="fr-FR"/>
                        </w:rPr>
                        <w:t>4</w:t>
                      </w:r>
                      <w:r w:rsidRPr="00F549A5">
                        <w:rPr>
                          <w:rFonts w:asciiTheme="minorHAnsi" w:hAnsiTheme="minorHAnsi" w:cstheme="minorHAnsi"/>
                          <w:sz w:val="20"/>
                          <w:szCs w:val="20"/>
                          <w:vertAlign w:val="superscript"/>
                          <w:lang w:val="fr-FR"/>
                        </w:rPr>
                        <w:t>ème</w:t>
                      </w:r>
                      <w:r w:rsidRPr="00F549A5">
                        <w:rPr>
                          <w:rFonts w:asciiTheme="minorHAnsi" w:hAnsiTheme="minorHAnsi" w:cstheme="minorHAnsi"/>
                          <w:sz w:val="20"/>
                          <w:szCs w:val="20"/>
                          <w:lang w:val="fr-FR"/>
                        </w:rPr>
                        <w:t xml:space="preserve"> réunion du CNP</w:t>
                      </w:r>
                    </w:p>
                    <w:p w:rsidR="00E46B31" w:rsidRDefault="00E46B31" w:rsidP="005365E9">
                      <w:pPr>
                        <w:rPr>
                          <w:rFonts w:asciiTheme="minorHAnsi" w:hAnsiTheme="minorHAnsi" w:cstheme="minorHAnsi"/>
                          <w:b/>
                          <w:sz w:val="20"/>
                          <w:szCs w:val="20"/>
                          <w:lang w:val="fr-FR"/>
                        </w:rPr>
                      </w:pPr>
                      <w:r w:rsidRPr="00F549A5">
                        <w:rPr>
                          <w:rFonts w:asciiTheme="minorHAnsi" w:hAnsiTheme="minorHAnsi" w:cstheme="minorHAnsi"/>
                          <w:b/>
                          <w:sz w:val="20"/>
                          <w:szCs w:val="20"/>
                          <w:lang w:val="fr-FR"/>
                        </w:rPr>
                        <w:t>Déc. 2011 :</w:t>
                      </w:r>
                      <w:r>
                        <w:rPr>
                          <w:rFonts w:asciiTheme="minorHAnsi" w:hAnsiTheme="minorHAnsi" w:cstheme="minorHAnsi"/>
                          <w:sz w:val="20"/>
                          <w:szCs w:val="20"/>
                          <w:lang w:val="fr-FR"/>
                        </w:rPr>
                        <w:tab/>
                        <w:t>Revue annuelle</w:t>
                      </w:r>
                    </w:p>
                    <w:p w:rsidR="00E46B31"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Janv. 2012</w:t>
                      </w:r>
                      <w:r>
                        <w:rPr>
                          <w:rFonts w:asciiTheme="minorHAnsi" w:hAnsiTheme="minorHAnsi" w:cstheme="minorHAnsi"/>
                          <w:sz w:val="20"/>
                          <w:szCs w:val="20"/>
                          <w:lang w:val="fr-FR"/>
                        </w:rPr>
                        <w:t xml:space="preserve"> : </w:t>
                      </w:r>
                      <w:r>
                        <w:rPr>
                          <w:rFonts w:asciiTheme="minorHAnsi" w:hAnsiTheme="minorHAnsi" w:cstheme="minorHAnsi"/>
                          <w:sz w:val="20"/>
                          <w:szCs w:val="20"/>
                          <w:lang w:val="fr-FR"/>
                        </w:rPr>
                        <w:tab/>
                        <w:t>Evaluation à mi-parcours</w:t>
                      </w:r>
                    </w:p>
                    <w:p w:rsidR="00E46B31"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Fév. 2013</w:t>
                      </w:r>
                      <w:r>
                        <w:rPr>
                          <w:rFonts w:asciiTheme="minorHAnsi" w:hAnsiTheme="minorHAnsi" w:cstheme="minorHAnsi"/>
                          <w:sz w:val="20"/>
                          <w:szCs w:val="20"/>
                          <w:lang w:val="fr-FR"/>
                        </w:rPr>
                        <w:t> :</w:t>
                      </w:r>
                      <w:r>
                        <w:rPr>
                          <w:rFonts w:asciiTheme="minorHAnsi" w:hAnsiTheme="minorHAnsi" w:cstheme="minorHAnsi"/>
                          <w:sz w:val="20"/>
                          <w:szCs w:val="20"/>
                          <w:lang w:val="fr-FR"/>
                        </w:rPr>
                        <w:tab/>
                        <w:t>Clôture prévue du programme conjoint</w:t>
                      </w:r>
                    </w:p>
                    <w:p w:rsidR="00E46B31" w:rsidRPr="002213EB" w:rsidRDefault="00E46B31" w:rsidP="005365E9">
                      <w:pPr>
                        <w:rPr>
                          <w:rFonts w:asciiTheme="minorHAnsi" w:hAnsiTheme="minorHAnsi" w:cstheme="minorHAnsi"/>
                          <w:i/>
                          <w:sz w:val="20"/>
                          <w:szCs w:val="20"/>
                          <w:lang w:val="fr-FR"/>
                        </w:rPr>
                      </w:pPr>
                      <w:r>
                        <w:rPr>
                          <w:rFonts w:asciiTheme="minorHAnsi" w:hAnsiTheme="minorHAnsi" w:cstheme="minorHAnsi"/>
                          <w:i/>
                          <w:sz w:val="20"/>
                          <w:szCs w:val="20"/>
                          <w:lang w:val="fr-FR"/>
                        </w:rPr>
                        <w:t>(</w:t>
                      </w:r>
                      <w:r w:rsidRPr="002213EB">
                        <w:rPr>
                          <w:rFonts w:asciiTheme="minorHAnsi" w:hAnsiTheme="minorHAnsi" w:cstheme="minorHAnsi"/>
                          <w:i/>
                          <w:sz w:val="20"/>
                          <w:szCs w:val="20"/>
                          <w:lang w:val="fr-FR"/>
                        </w:rPr>
                        <w:t>Juin 2013</w:t>
                      </w:r>
                      <w:r>
                        <w:rPr>
                          <w:rFonts w:asciiTheme="minorHAnsi" w:hAnsiTheme="minorHAnsi" w:cstheme="minorHAnsi"/>
                          <w:i/>
                          <w:sz w:val="20"/>
                          <w:szCs w:val="20"/>
                          <w:lang w:val="fr-FR"/>
                        </w:rPr>
                        <w:t>)</w:t>
                      </w:r>
                      <w:r w:rsidRPr="002213EB">
                        <w:rPr>
                          <w:rFonts w:asciiTheme="minorHAnsi" w:hAnsiTheme="minorHAnsi" w:cstheme="minorHAnsi"/>
                          <w:i/>
                          <w:sz w:val="20"/>
                          <w:szCs w:val="20"/>
                          <w:lang w:val="fr-FR"/>
                        </w:rPr>
                        <w:t> :</w:t>
                      </w:r>
                      <w:r w:rsidRPr="002213EB">
                        <w:rPr>
                          <w:rFonts w:asciiTheme="minorHAnsi" w:hAnsiTheme="minorHAnsi" w:cstheme="minorHAnsi"/>
                          <w:i/>
                          <w:sz w:val="20"/>
                          <w:szCs w:val="20"/>
                          <w:lang w:val="fr-FR"/>
                        </w:rPr>
                        <w:tab/>
                      </w:r>
                      <w:r>
                        <w:rPr>
                          <w:rFonts w:asciiTheme="minorHAnsi" w:hAnsiTheme="minorHAnsi" w:cstheme="minorHAnsi"/>
                          <w:i/>
                          <w:sz w:val="20"/>
                          <w:szCs w:val="20"/>
                          <w:lang w:val="fr-FR"/>
                        </w:rPr>
                        <w:t>(</w:t>
                      </w:r>
                      <w:r w:rsidRPr="002213EB">
                        <w:rPr>
                          <w:rFonts w:asciiTheme="minorHAnsi" w:hAnsiTheme="minorHAnsi" w:cstheme="minorHAnsi"/>
                          <w:i/>
                          <w:sz w:val="20"/>
                          <w:szCs w:val="20"/>
                          <w:lang w:val="fr-FR"/>
                        </w:rPr>
                        <w:t>Extension maximale possible de la date de clôture du programme</w:t>
                      </w:r>
                      <w:r>
                        <w:rPr>
                          <w:rFonts w:asciiTheme="minorHAnsi" w:hAnsiTheme="minorHAnsi" w:cstheme="minorHAnsi"/>
                          <w:i/>
                          <w:sz w:val="20"/>
                          <w:szCs w:val="20"/>
                          <w:lang w:val="fr-FR"/>
                        </w:rPr>
                        <w:t>)</w:t>
                      </w:r>
                      <w:r w:rsidRPr="002213EB">
                        <w:rPr>
                          <w:rFonts w:asciiTheme="minorHAnsi" w:hAnsiTheme="minorHAnsi" w:cstheme="minorHAnsi"/>
                          <w:i/>
                          <w:sz w:val="20"/>
                          <w:szCs w:val="20"/>
                          <w:lang w:val="fr-FR"/>
                        </w:rPr>
                        <w:t xml:space="preserve"> </w:t>
                      </w:r>
                    </w:p>
                    <w:p w:rsidR="00E46B31" w:rsidRPr="00672C42" w:rsidRDefault="00E46B31" w:rsidP="005365E9">
                      <w:pPr>
                        <w:rPr>
                          <w:rFonts w:asciiTheme="minorHAnsi" w:hAnsiTheme="minorHAnsi" w:cstheme="minorHAnsi"/>
                          <w:sz w:val="20"/>
                          <w:szCs w:val="20"/>
                          <w:lang w:val="fr-FR"/>
                        </w:rPr>
                      </w:pPr>
                      <w:r w:rsidRPr="003060D6">
                        <w:rPr>
                          <w:rFonts w:asciiTheme="minorHAnsi" w:hAnsiTheme="minorHAnsi" w:cstheme="minorHAnsi"/>
                          <w:b/>
                          <w:sz w:val="20"/>
                          <w:szCs w:val="20"/>
                          <w:lang w:val="fr-FR"/>
                        </w:rPr>
                        <w:t>Déc. 2013</w:t>
                      </w:r>
                      <w:r>
                        <w:rPr>
                          <w:rFonts w:asciiTheme="minorHAnsi" w:hAnsiTheme="minorHAnsi" w:cstheme="minorHAnsi"/>
                          <w:sz w:val="20"/>
                          <w:szCs w:val="20"/>
                          <w:lang w:val="fr-FR"/>
                        </w:rPr>
                        <w:t> :</w:t>
                      </w:r>
                      <w:r>
                        <w:rPr>
                          <w:rFonts w:asciiTheme="minorHAnsi" w:hAnsiTheme="minorHAnsi" w:cstheme="minorHAnsi"/>
                          <w:sz w:val="20"/>
                          <w:szCs w:val="20"/>
                          <w:lang w:val="fr-FR"/>
                        </w:rPr>
                        <w:tab/>
                        <w:t>Clôture prévue du F-OMD</w:t>
                      </w:r>
                    </w:p>
                    <w:p w:rsidR="00E46B31" w:rsidRPr="00672C42" w:rsidRDefault="00E46B31" w:rsidP="005365E9">
                      <w:pPr>
                        <w:rPr>
                          <w:rFonts w:asciiTheme="minorHAnsi" w:hAnsiTheme="minorHAnsi" w:cstheme="minorHAnsi"/>
                          <w:sz w:val="20"/>
                          <w:szCs w:val="20"/>
                          <w:lang w:val="fr-FR"/>
                        </w:rPr>
                      </w:pPr>
                    </w:p>
                    <w:p w:rsidR="00E46B31" w:rsidRPr="003060D6" w:rsidRDefault="00E46B31" w:rsidP="005365E9">
                      <w:pPr>
                        <w:rPr>
                          <w:lang w:val="fr-FR"/>
                        </w:rPr>
                      </w:pPr>
                    </w:p>
                  </w:txbxContent>
                </v:textbox>
                <w10:wrap type="topAndBottom"/>
              </v:shape>
            </w:pict>
          </mc:Fallback>
        </mc:AlternateContent>
      </w:r>
      <w:r w:rsidR="00672C42" w:rsidRPr="001C079B">
        <w:rPr>
          <w:rFonts w:asciiTheme="minorHAnsi" w:hAnsiTheme="minorHAnsi" w:cstheme="minorHAnsi"/>
          <w:b/>
          <w:sz w:val="20"/>
          <w:szCs w:val="20"/>
          <w:lang w:val="fr-FR"/>
        </w:rPr>
        <w:t>Les principales dates</w:t>
      </w:r>
      <w:r w:rsidR="005365E9" w:rsidRPr="001C079B">
        <w:rPr>
          <w:rFonts w:asciiTheme="minorHAnsi" w:hAnsiTheme="minorHAnsi" w:cstheme="minorHAnsi"/>
          <w:b/>
          <w:sz w:val="20"/>
          <w:szCs w:val="20"/>
          <w:lang w:val="fr-FR"/>
        </w:rPr>
        <w:t xml:space="preserve"> du programme</w:t>
      </w:r>
    </w:p>
    <w:p w:rsidR="00AE51C9" w:rsidRDefault="00812186" w:rsidP="00123C70">
      <w:pPr>
        <w:pStyle w:val="NoSpacing"/>
        <w:numPr>
          <w:ilvl w:val="0"/>
          <w:numId w:val="1"/>
        </w:numPr>
        <w:ind w:left="0" w:firstLine="0"/>
        <w:rPr>
          <w:lang w:val="fr-CA"/>
        </w:rPr>
      </w:pPr>
      <w:r w:rsidRPr="00AE51C9">
        <w:rPr>
          <w:lang w:val="fr-CA"/>
        </w:rPr>
        <w:t xml:space="preserve">Ainsi que le montre le calendrier ci-dessus, </w:t>
      </w:r>
      <w:r w:rsidR="00AE51C9" w:rsidRPr="00AE51C9">
        <w:rPr>
          <w:lang w:val="fr-CA"/>
        </w:rPr>
        <w:t xml:space="preserve">il fallut près de deux ans pour que le document de projet ne soit préparé et </w:t>
      </w:r>
      <w:r w:rsidR="00AE51C9">
        <w:rPr>
          <w:lang w:val="fr-CA"/>
        </w:rPr>
        <w:t>signé</w:t>
      </w:r>
      <w:r w:rsidR="00AE51C9" w:rsidRPr="00AE51C9">
        <w:rPr>
          <w:lang w:val="fr-CA"/>
        </w:rPr>
        <w:t xml:space="preserve">, </w:t>
      </w:r>
      <w:r w:rsidR="00AE51C9">
        <w:rPr>
          <w:lang w:val="fr-CA"/>
        </w:rPr>
        <w:t xml:space="preserve">après l’approbation par le Fonds-OMD de la note conceptuelle en juillet 2007, </w:t>
      </w:r>
      <w:r w:rsidR="00AE51C9" w:rsidRPr="00AE51C9">
        <w:rPr>
          <w:lang w:val="fr-CA"/>
        </w:rPr>
        <w:t xml:space="preserve">puis encore 12 mois avant que le programme ne démarre officiellement. </w:t>
      </w:r>
      <w:r w:rsidRPr="00AE51C9">
        <w:rPr>
          <w:lang w:val="fr-CA"/>
        </w:rPr>
        <w:t xml:space="preserve">Selon les informations recueillies par la mission, ce long laps de </w:t>
      </w:r>
      <w:r w:rsidRPr="000C666A">
        <w:rPr>
          <w:lang w:val="fr-FR"/>
        </w:rPr>
        <w:t>temps</w:t>
      </w:r>
      <w:r w:rsidRPr="00AE51C9">
        <w:rPr>
          <w:lang w:val="fr-CA"/>
        </w:rPr>
        <w:t xml:space="preserve"> a été nécessaire pour que les agences des Nations Unies, grandement affectées par l’attentat terroriste de décembre 2007, reconstituent leurs forces opérationnelles (tout au long de l’ann</w:t>
      </w:r>
      <w:r w:rsidR="00AE51C9">
        <w:rPr>
          <w:lang w:val="fr-CA"/>
        </w:rPr>
        <w:t xml:space="preserve">ée 2008); </w:t>
      </w:r>
      <w:r w:rsidRPr="00AE51C9">
        <w:rPr>
          <w:lang w:val="fr-CA"/>
        </w:rPr>
        <w:t xml:space="preserve"> </w:t>
      </w:r>
      <w:r w:rsidR="00AE51C9">
        <w:rPr>
          <w:lang w:val="fr-CA"/>
        </w:rPr>
        <w:t>avant que d’autres responsables ne</w:t>
      </w:r>
      <w:r w:rsidRPr="00AE51C9">
        <w:rPr>
          <w:lang w:val="fr-CA"/>
        </w:rPr>
        <w:t xml:space="preserve"> </w:t>
      </w:r>
      <w:r w:rsidR="00AE51C9">
        <w:rPr>
          <w:lang w:val="fr-CA"/>
        </w:rPr>
        <w:t xml:space="preserve">s’approprient la conception d’un programme </w:t>
      </w:r>
      <w:r w:rsidR="00A4153F">
        <w:rPr>
          <w:lang w:val="fr-CA"/>
        </w:rPr>
        <w:t>qu’ils n’étaient pas tout-à-fait certains de pouvoir mettre en œuvre</w:t>
      </w:r>
      <w:r w:rsidR="00AE51C9">
        <w:rPr>
          <w:lang w:val="fr-CA"/>
        </w:rPr>
        <w:t xml:space="preserve"> (tout au long de l’année 2009); et enfin parviennent à établir la plateforme opérationnelle du programme (en 2010). </w:t>
      </w:r>
    </w:p>
    <w:p w:rsidR="001C079B" w:rsidRPr="00AE51C9" w:rsidRDefault="00AE51C9" w:rsidP="00123C70">
      <w:pPr>
        <w:pStyle w:val="NoSpacing"/>
        <w:numPr>
          <w:ilvl w:val="0"/>
          <w:numId w:val="1"/>
        </w:numPr>
        <w:ind w:left="0" w:firstLine="0"/>
        <w:rPr>
          <w:lang w:val="fr-CA"/>
        </w:rPr>
      </w:pPr>
      <w:r>
        <w:rPr>
          <w:lang w:val="fr-CA"/>
        </w:rPr>
        <w:t xml:space="preserve">Au moment de la réalisation de la présente évaluation à mi-parcours, le programme n’est </w:t>
      </w:r>
      <w:r w:rsidR="002213EB" w:rsidRPr="00123C70">
        <w:rPr>
          <w:lang w:val="fr-FR"/>
        </w:rPr>
        <w:t>réellement</w:t>
      </w:r>
      <w:r w:rsidR="002213EB">
        <w:rPr>
          <w:lang w:val="fr-CA"/>
        </w:rPr>
        <w:t xml:space="preserve"> </w:t>
      </w:r>
      <w:r>
        <w:rPr>
          <w:lang w:val="fr-CA"/>
        </w:rPr>
        <w:t>opérationnel que depuis environ 1</w:t>
      </w:r>
      <w:r w:rsidR="002213EB">
        <w:rPr>
          <w:lang w:val="fr-CA"/>
        </w:rPr>
        <w:t>4</w:t>
      </w:r>
      <w:r w:rsidR="00F549A5">
        <w:rPr>
          <w:lang w:val="fr-CA"/>
        </w:rPr>
        <w:t xml:space="preserve"> mois et une extension de sa date de clôture n’est possible que jusqu’à la fin du mois de juin 2013, sous réserve de l’approbation du Fonds-OMD. </w:t>
      </w:r>
      <w:r w:rsidR="002213EB">
        <w:rPr>
          <w:lang w:val="fr-CA"/>
        </w:rPr>
        <w:t>Les chapitres suivant présentent les observations et conclusion</w:t>
      </w:r>
      <w:r w:rsidR="00A4153F">
        <w:rPr>
          <w:lang w:val="fr-CA"/>
        </w:rPr>
        <w:t>s</w:t>
      </w:r>
      <w:r w:rsidR="002213EB">
        <w:rPr>
          <w:lang w:val="fr-CA"/>
        </w:rPr>
        <w:t xml:space="preserve"> de la mission s’agissant de l’état d’avancement du programme conjoint et </w:t>
      </w:r>
      <w:r w:rsidR="00A4153F">
        <w:rPr>
          <w:lang w:val="fr-CA"/>
        </w:rPr>
        <w:t xml:space="preserve">de </w:t>
      </w:r>
      <w:r w:rsidR="002213EB">
        <w:rPr>
          <w:lang w:val="fr-CA"/>
        </w:rPr>
        <w:t>la qualité des réalisations ou des préparatifs</w:t>
      </w:r>
      <w:r w:rsidR="00A4153F">
        <w:rPr>
          <w:lang w:val="fr-CA"/>
        </w:rPr>
        <w:t xml:space="preserve"> en cours.</w:t>
      </w:r>
    </w:p>
    <w:p w:rsidR="00E17D9B" w:rsidRDefault="00E17D9B">
      <w:pPr>
        <w:rPr>
          <w:rFonts w:ascii="Calibri" w:hAnsi="Calibri"/>
          <w:b/>
          <w:sz w:val="22"/>
          <w:szCs w:val="22"/>
          <w:lang w:val="fr-CA"/>
        </w:rPr>
      </w:pPr>
    </w:p>
    <w:p w:rsidR="008E367D" w:rsidRPr="008E367D" w:rsidRDefault="00F549A5" w:rsidP="0038607C">
      <w:pPr>
        <w:pStyle w:val="UNDPTitle1"/>
        <w:numPr>
          <w:ilvl w:val="1"/>
          <w:numId w:val="6"/>
        </w:numPr>
        <w:tabs>
          <w:tab w:val="left" w:pos="1530"/>
        </w:tabs>
        <w:outlineLvl w:val="2"/>
        <w:rPr>
          <w:color w:val="auto"/>
          <w:lang w:val="fr-FR"/>
        </w:rPr>
      </w:pPr>
      <w:bookmarkStart w:id="20" w:name="_Toc322342010"/>
      <w:r w:rsidRPr="00EA4985">
        <w:rPr>
          <w:b w:val="0"/>
          <w:noProof/>
          <w:lang w:val="en-US"/>
        </w:rPr>
        <w:drawing>
          <wp:anchor distT="0" distB="0" distL="114300" distR="114300" simplePos="0" relativeHeight="251684864" behindDoc="0" locked="0" layoutInCell="1" allowOverlap="1">
            <wp:simplePos x="0" y="0"/>
            <wp:positionH relativeFrom="column">
              <wp:posOffset>3201035</wp:posOffset>
            </wp:positionH>
            <wp:positionV relativeFrom="paragraph">
              <wp:posOffset>315595</wp:posOffset>
            </wp:positionV>
            <wp:extent cx="2855595" cy="1643380"/>
            <wp:effectExtent l="0" t="0" r="20955" b="13970"/>
            <wp:wrapSquare wrapText="bothSides"/>
            <wp:docPr id="19" name="Diagram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EA4985" w:rsidRPr="008118D1">
        <w:rPr>
          <w:color w:val="auto"/>
          <w:lang w:val="fr-FR"/>
        </w:rPr>
        <w:t>Taux d’exécution budgétaire</w:t>
      </w:r>
      <w:bookmarkEnd w:id="20"/>
    </w:p>
    <w:p w:rsidR="002213EB" w:rsidRDefault="00EA4985" w:rsidP="00123C70">
      <w:pPr>
        <w:pStyle w:val="NoSpacing"/>
        <w:numPr>
          <w:ilvl w:val="0"/>
          <w:numId w:val="1"/>
        </w:numPr>
        <w:ind w:left="0" w:firstLine="0"/>
        <w:rPr>
          <w:lang w:val="fr-CA"/>
        </w:rPr>
      </w:pPr>
      <w:r w:rsidRPr="008E367D">
        <w:rPr>
          <w:b/>
          <w:lang w:val="fr-CA"/>
        </w:rPr>
        <w:t>Un très faible taux d’exécution</w:t>
      </w:r>
      <w:r w:rsidRPr="008E367D">
        <w:rPr>
          <w:lang w:val="fr-CA"/>
        </w:rPr>
        <w:t xml:space="preserve">. A la date de l’évaluation à mi-parcours, soit quelques 13 mois </w:t>
      </w:r>
      <w:r w:rsidRPr="00123C70">
        <w:rPr>
          <w:lang w:val="fr-FR"/>
        </w:rPr>
        <w:t>avant</w:t>
      </w:r>
      <w:r w:rsidRPr="008E367D">
        <w:rPr>
          <w:lang w:val="fr-CA"/>
        </w:rPr>
        <w:t xml:space="preserve"> la date prévue de la clôture du programme conjoint, le montant total des engagements et des dépenses ne s’élevait qu’à quelques 365.208 dollars américains</w:t>
      </w:r>
      <w:r w:rsidR="002213EB">
        <w:rPr>
          <w:rStyle w:val="FootnoteReference"/>
          <w:lang w:val="fr-CA"/>
        </w:rPr>
        <w:footnoteReference w:id="19"/>
      </w:r>
      <w:r w:rsidR="002213EB">
        <w:rPr>
          <w:lang w:val="fr-CA"/>
        </w:rPr>
        <w:t>,</w:t>
      </w:r>
      <w:r w:rsidR="00691BAD">
        <w:rPr>
          <w:lang w:val="fr-CA"/>
        </w:rPr>
        <w:t xml:space="preserve"> </w:t>
      </w:r>
      <w:r w:rsidRPr="008E367D">
        <w:rPr>
          <w:lang w:val="fr-CA"/>
        </w:rPr>
        <w:t>représentant 30% du montant de la première tranche et seulement 10% du budget total. Il va sans dire que le niveau extrême bas des engagements et des dépenses est une source de grande préoccupation</w:t>
      </w:r>
      <w:r w:rsidR="00DB7AB3">
        <w:rPr>
          <w:lang w:val="fr-CA"/>
        </w:rPr>
        <w:t xml:space="preserve"> pour les bailleurs de fonds du </w:t>
      </w:r>
      <w:r w:rsidR="00DB7AB3">
        <w:rPr>
          <w:lang w:val="fr-CA"/>
        </w:rPr>
        <w:lastRenderedPageBreak/>
        <w:t>programme</w:t>
      </w:r>
      <w:r w:rsidRPr="008E367D">
        <w:rPr>
          <w:lang w:val="fr-CA"/>
        </w:rPr>
        <w:t xml:space="preserve"> : pour l’instant, tout porte à croire qu’un important reliquat budgétaire existera à la fin de la période de mise en œuvre. Il est à noter que certains partenaires des Nations Unies semblent de plus en plus irrités par ce qu’ils estiment être une attention trop grande portée par le F-OMD sur le taux d’exécution au motif que ce dernier ne reflèterait qu’imparfaitement l’état d’avancement réel du programme. </w:t>
      </w:r>
      <w:r w:rsidR="002213EB">
        <w:rPr>
          <w:lang w:val="fr-CA"/>
        </w:rPr>
        <w:t xml:space="preserve">Cette tension entre l’impatience des uns et  leur focalisation sur le taux d’exécution budgétaire, d’une part, et d’autre part le souci de progresser avec prudence et sans précipitation des autres, reflète bien le défi principal du programme conjoint: depuis le démarrage du programme, le « temps » des bailleurs n’est pas le même que le « temps » des partenaires d’exécution. De surcroit, la mauvaise documentation des processus parfois complexes  </w:t>
      </w:r>
    </w:p>
    <w:p w:rsidR="00EA4985" w:rsidRPr="00F625CA" w:rsidRDefault="00EA4985" w:rsidP="00EA4985">
      <w:pPr>
        <w:pStyle w:val="NoSpacing"/>
        <w:jc w:val="center"/>
        <w:rPr>
          <w:b/>
          <w:sz w:val="20"/>
          <w:szCs w:val="20"/>
          <w:lang w:val="fr-CA"/>
        </w:rPr>
      </w:pPr>
      <w:r>
        <w:rPr>
          <w:b/>
          <w:sz w:val="20"/>
          <w:szCs w:val="20"/>
          <w:lang w:val="fr-CA"/>
        </w:rPr>
        <w:t xml:space="preserve">État des transferts, engagements et dépenses </w:t>
      </w:r>
      <w:r w:rsidRPr="00F625CA">
        <w:rPr>
          <w:sz w:val="18"/>
          <w:szCs w:val="18"/>
          <w:lang w:val="fr-CA"/>
        </w:rPr>
        <w:t>(au 31/12/11)</w:t>
      </w:r>
    </w:p>
    <w:tbl>
      <w:tblPr>
        <w:tblW w:w="6834" w:type="dxa"/>
        <w:jc w:val="center"/>
        <w:tblInd w:w="93" w:type="dxa"/>
        <w:tblBorders>
          <w:insideH w:val="dotted" w:sz="4" w:space="0" w:color="auto"/>
          <w:insideV w:val="dotted" w:sz="4" w:space="0" w:color="auto"/>
        </w:tblBorders>
        <w:tblLook w:val="04A0" w:firstRow="1" w:lastRow="0" w:firstColumn="1" w:lastColumn="0" w:noHBand="0" w:noVBand="1"/>
      </w:tblPr>
      <w:tblGrid>
        <w:gridCol w:w="1105"/>
        <w:gridCol w:w="1018"/>
        <w:gridCol w:w="1237"/>
        <w:gridCol w:w="1237"/>
        <w:gridCol w:w="911"/>
        <w:gridCol w:w="1326"/>
      </w:tblGrid>
      <w:tr w:rsidR="00EA4985" w:rsidRPr="00FE0C45" w:rsidTr="00EA4985">
        <w:trPr>
          <w:trHeight w:val="450"/>
          <w:jc w:val="center"/>
        </w:trPr>
        <w:tc>
          <w:tcPr>
            <w:tcW w:w="1105" w:type="dxa"/>
            <w:shd w:val="clear" w:color="auto" w:fill="F2F2F2" w:themeFill="background1" w:themeFillShade="F2"/>
            <w:noWrap/>
            <w:vAlign w:val="center"/>
            <w:hideMark/>
          </w:tcPr>
          <w:p w:rsidR="00EA4985" w:rsidRPr="00F625CA" w:rsidRDefault="00EA4985" w:rsidP="00EA4985">
            <w:pPr>
              <w:jc w:val="center"/>
              <w:rPr>
                <w:rFonts w:ascii="Calibri" w:hAnsi="Calibri" w:cs="Calibri"/>
                <w:i/>
                <w:color w:val="000000"/>
                <w:sz w:val="16"/>
                <w:szCs w:val="16"/>
                <w:lang w:val="fr-FR"/>
              </w:rPr>
            </w:pPr>
            <w:r w:rsidRPr="00F625CA">
              <w:rPr>
                <w:rFonts w:ascii="Calibri" w:hAnsi="Calibri" w:cs="Calibri"/>
                <w:i/>
                <w:color w:val="000000"/>
                <w:sz w:val="16"/>
                <w:szCs w:val="16"/>
                <w:lang w:val="fr-FR"/>
              </w:rPr>
              <w:t>(</w:t>
            </w:r>
            <w:r>
              <w:rPr>
                <w:rFonts w:ascii="Calibri" w:hAnsi="Calibri" w:cs="Calibri"/>
                <w:i/>
                <w:color w:val="000000"/>
                <w:sz w:val="16"/>
                <w:szCs w:val="16"/>
                <w:lang w:val="fr-FR"/>
              </w:rPr>
              <w:t xml:space="preserve">Montants </w:t>
            </w:r>
            <w:r w:rsidRPr="00F625CA">
              <w:rPr>
                <w:rFonts w:ascii="Calibri" w:hAnsi="Calibri" w:cs="Calibri"/>
                <w:i/>
                <w:color w:val="000000"/>
                <w:sz w:val="16"/>
                <w:szCs w:val="16"/>
                <w:lang w:val="fr-FR"/>
              </w:rPr>
              <w:t>en USD)</w:t>
            </w:r>
          </w:p>
        </w:tc>
        <w:tc>
          <w:tcPr>
            <w:tcW w:w="1018" w:type="dxa"/>
            <w:shd w:val="clear" w:color="auto" w:fill="D9D9D9" w:themeFill="background1" w:themeFillShade="D9"/>
            <w:vAlign w:val="center"/>
            <w:hideMark/>
          </w:tcPr>
          <w:p w:rsidR="00EA4985" w:rsidRPr="00FE0C45" w:rsidRDefault="00EA4985" w:rsidP="00EA4985">
            <w:pPr>
              <w:jc w:val="center"/>
              <w:rPr>
                <w:rFonts w:ascii="Calibri" w:hAnsi="Calibri" w:cs="Calibri"/>
                <w:b/>
                <w:bCs/>
                <w:color w:val="000000"/>
                <w:sz w:val="16"/>
                <w:szCs w:val="16"/>
                <w:lang w:val="fr-FR"/>
              </w:rPr>
            </w:pPr>
            <w:r w:rsidRPr="00FE0C45">
              <w:rPr>
                <w:rFonts w:ascii="Calibri" w:hAnsi="Calibri" w:cs="Calibri"/>
                <w:b/>
                <w:bCs/>
                <w:color w:val="000000"/>
                <w:sz w:val="16"/>
                <w:szCs w:val="16"/>
                <w:lang w:val="fr-FR"/>
              </w:rPr>
              <w:t>Le budget alloué</w:t>
            </w:r>
          </w:p>
        </w:tc>
        <w:tc>
          <w:tcPr>
            <w:tcW w:w="1237" w:type="dxa"/>
            <w:shd w:val="clear" w:color="auto" w:fill="F2F2F2" w:themeFill="background1" w:themeFillShade="F2"/>
            <w:vAlign w:val="center"/>
            <w:hideMark/>
          </w:tcPr>
          <w:p w:rsidR="00EA4985" w:rsidRPr="00FE0C45" w:rsidRDefault="00EA4985" w:rsidP="00EA4985">
            <w:pPr>
              <w:jc w:val="center"/>
              <w:rPr>
                <w:rFonts w:ascii="Calibri" w:hAnsi="Calibri" w:cs="Calibri"/>
                <w:b/>
                <w:bCs/>
                <w:color w:val="000000"/>
                <w:sz w:val="16"/>
                <w:szCs w:val="16"/>
                <w:lang w:val="fr-FR"/>
              </w:rPr>
            </w:pPr>
            <w:r w:rsidRPr="00FE0C45">
              <w:rPr>
                <w:rFonts w:ascii="Calibri" w:hAnsi="Calibri" w:cs="Calibri"/>
                <w:b/>
                <w:bCs/>
                <w:color w:val="000000"/>
                <w:sz w:val="16"/>
                <w:szCs w:val="16"/>
                <w:lang w:val="fr-FR"/>
              </w:rPr>
              <w:t>Les transferts  (1ère tranche)</w:t>
            </w:r>
          </w:p>
        </w:tc>
        <w:tc>
          <w:tcPr>
            <w:tcW w:w="1237" w:type="dxa"/>
            <w:shd w:val="clear" w:color="auto" w:fill="D9D9D9" w:themeFill="background1" w:themeFillShade="D9"/>
            <w:vAlign w:val="center"/>
            <w:hideMark/>
          </w:tcPr>
          <w:p w:rsidR="00EA4985" w:rsidRPr="00FE0C45" w:rsidRDefault="00EA4985" w:rsidP="00EA4985">
            <w:pPr>
              <w:jc w:val="center"/>
              <w:rPr>
                <w:rFonts w:ascii="Calibri" w:hAnsi="Calibri" w:cs="Calibri"/>
                <w:b/>
                <w:bCs/>
                <w:color w:val="000000"/>
                <w:sz w:val="16"/>
                <w:szCs w:val="16"/>
                <w:lang w:val="fr-FR"/>
              </w:rPr>
            </w:pPr>
            <w:r w:rsidRPr="00FE0C45">
              <w:rPr>
                <w:rFonts w:ascii="Calibri" w:hAnsi="Calibri" w:cs="Calibri"/>
                <w:b/>
                <w:bCs/>
                <w:color w:val="000000"/>
                <w:sz w:val="16"/>
                <w:szCs w:val="16"/>
                <w:lang w:val="fr-FR"/>
              </w:rPr>
              <w:t>Total engagements</w:t>
            </w:r>
          </w:p>
        </w:tc>
        <w:tc>
          <w:tcPr>
            <w:tcW w:w="911" w:type="dxa"/>
            <w:shd w:val="clear" w:color="auto" w:fill="F2F2F2" w:themeFill="background1" w:themeFillShade="F2"/>
            <w:vAlign w:val="center"/>
            <w:hideMark/>
          </w:tcPr>
          <w:p w:rsidR="00EA4985" w:rsidRPr="00FE0C45" w:rsidRDefault="00EA4985" w:rsidP="00EA4985">
            <w:pPr>
              <w:jc w:val="center"/>
              <w:rPr>
                <w:rFonts w:ascii="Calibri" w:hAnsi="Calibri" w:cs="Calibri"/>
                <w:b/>
                <w:bCs/>
                <w:color w:val="000000"/>
                <w:sz w:val="16"/>
                <w:szCs w:val="16"/>
                <w:lang w:val="fr-FR"/>
              </w:rPr>
            </w:pPr>
            <w:r w:rsidRPr="00FE0C45">
              <w:rPr>
                <w:rFonts w:ascii="Calibri" w:hAnsi="Calibri" w:cs="Calibri"/>
                <w:b/>
                <w:bCs/>
                <w:color w:val="000000"/>
                <w:sz w:val="16"/>
                <w:szCs w:val="16"/>
                <w:lang w:val="fr-FR"/>
              </w:rPr>
              <w:t>Total dépenses</w:t>
            </w:r>
          </w:p>
        </w:tc>
        <w:tc>
          <w:tcPr>
            <w:tcW w:w="1326" w:type="dxa"/>
            <w:shd w:val="clear" w:color="auto" w:fill="D9D9D9" w:themeFill="background1" w:themeFillShade="D9"/>
            <w:vAlign w:val="center"/>
            <w:hideMark/>
          </w:tcPr>
          <w:p w:rsidR="00EA4985" w:rsidRPr="00FE0C45" w:rsidRDefault="00EA4985" w:rsidP="00EA4985">
            <w:pPr>
              <w:jc w:val="center"/>
              <w:rPr>
                <w:rFonts w:ascii="Calibri" w:hAnsi="Calibri" w:cs="Calibri"/>
                <w:b/>
                <w:bCs/>
                <w:color w:val="000000"/>
                <w:sz w:val="16"/>
                <w:szCs w:val="16"/>
                <w:lang w:val="fr-FR"/>
              </w:rPr>
            </w:pPr>
            <w:r w:rsidRPr="00FE0C45">
              <w:rPr>
                <w:rFonts w:ascii="Calibri" w:hAnsi="Calibri" w:cs="Calibri"/>
                <w:b/>
                <w:bCs/>
                <w:color w:val="000000"/>
                <w:sz w:val="16"/>
                <w:szCs w:val="16"/>
                <w:lang w:val="fr-FR"/>
              </w:rPr>
              <w:t>% 1ère tranche engagé/dépensé</w:t>
            </w:r>
          </w:p>
        </w:tc>
      </w:tr>
      <w:tr w:rsidR="00EA4985" w:rsidRPr="00FE0C45" w:rsidTr="00EA4985">
        <w:trPr>
          <w:trHeight w:val="225"/>
          <w:jc w:val="center"/>
        </w:trPr>
        <w:tc>
          <w:tcPr>
            <w:tcW w:w="1105" w:type="dxa"/>
            <w:shd w:val="clear" w:color="auto" w:fill="F2F2F2" w:themeFill="background1" w:themeFillShade="F2"/>
            <w:noWrap/>
            <w:vAlign w:val="center"/>
            <w:hideMark/>
          </w:tcPr>
          <w:p w:rsidR="00EA4985" w:rsidRPr="00FE0C45" w:rsidRDefault="00EA4985" w:rsidP="00EA4985">
            <w:pPr>
              <w:rPr>
                <w:rFonts w:ascii="Calibri" w:hAnsi="Calibri" w:cs="Calibri"/>
                <w:color w:val="000000"/>
                <w:sz w:val="16"/>
                <w:szCs w:val="16"/>
                <w:lang w:val="fr-FR"/>
              </w:rPr>
            </w:pPr>
            <w:r w:rsidRPr="00FE0C45">
              <w:rPr>
                <w:rFonts w:ascii="Calibri" w:hAnsi="Calibri" w:cs="Calibri"/>
                <w:color w:val="000000"/>
                <w:sz w:val="16"/>
                <w:szCs w:val="16"/>
                <w:lang w:val="fr-FR"/>
              </w:rPr>
              <w:t>PNUD</w:t>
            </w:r>
          </w:p>
        </w:tc>
        <w:tc>
          <w:tcPr>
            <w:tcW w:w="1018"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1</w:t>
            </w:r>
            <w:r>
              <w:rPr>
                <w:rFonts w:ascii="Calibri" w:hAnsi="Calibri" w:cs="Calibri"/>
                <w:color w:val="000000"/>
                <w:sz w:val="16"/>
                <w:szCs w:val="16"/>
                <w:lang w:val="fr-FR"/>
              </w:rPr>
              <w:t>.</w:t>
            </w:r>
            <w:r w:rsidRPr="00FE0C45">
              <w:rPr>
                <w:rFonts w:ascii="Calibri" w:hAnsi="Calibri" w:cs="Calibri"/>
                <w:color w:val="000000"/>
                <w:sz w:val="16"/>
                <w:szCs w:val="16"/>
                <w:lang w:val="fr-FR"/>
              </w:rPr>
              <w:t>312</w:t>
            </w:r>
            <w:r>
              <w:rPr>
                <w:rFonts w:ascii="Calibri" w:hAnsi="Calibri" w:cs="Calibri"/>
                <w:color w:val="000000"/>
                <w:sz w:val="16"/>
                <w:szCs w:val="16"/>
                <w:lang w:val="fr-FR"/>
              </w:rPr>
              <w:t>.</w:t>
            </w:r>
            <w:r w:rsidRPr="00FE0C45">
              <w:rPr>
                <w:rFonts w:ascii="Calibri" w:hAnsi="Calibri" w:cs="Calibri"/>
                <w:color w:val="000000"/>
                <w:sz w:val="16"/>
                <w:szCs w:val="16"/>
                <w:lang w:val="fr-FR"/>
              </w:rPr>
              <w:t>140</w:t>
            </w:r>
          </w:p>
        </w:tc>
        <w:tc>
          <w:tcPr>
            <w:tcW w:w="1237"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471</w:t>
            </w:r>
            <w:r>
              <w:rPr>
                <w:rFonts w:ascii="Calibri" w:hAnsi="Calibri" w:cs="Calibri"/>
                <w:color w:val="000000"/>
                <w:sz w:val="16"/>
                <w:szCs w:val="16"/>
                <w:lang w:val="fr-FR"/>
              </w:rPr>
              <w:t>.</w:t>
            </w:r>
            <w:r w:rsidRPr="00FE0C45">
              <w:rPr>
                <w:rFonts w:ascii="Calibri" w:hAnsi="Calibri" w:cs="Calibri"/>
                <w:color w:val="000000"/>
                <w:sz w:val="16"/>
                <w:szCs w:val="16"/>
                <w:lang w:val="fr-FR"/>
              </w:rPr>
              <w:t>555</w:t>
            </w:r>
          </w:p>
        </w:tc>
        <w:tc>
          <w:tcPr>
            <w:tcW w:w="1237"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166</w:t>
            </w:r>
            <w:r>
              <w:rPr>
                <w:rFonts w:ascii="Calibri" w:hAnsi="Calibri" w:cs="Calibri"/>
                <w:color w:val="000000"/>
                <w:sz w:val="16"/>
                <w:szCs w:val="16"/>
                <w:lang w:val="fr-FR"/>
              </w:rPr>
              <w:t>.</w:t>
            </w:r>
            <w:r w:rsidRPr="00FE0C45">
              <w:rPr>
                <w:rFonts w:ascii="Calibri" w:hAnsi="Calibri" w:cs="Calibri"/>
                <w:color w:val="000000"/>
                <w:sz w:val="16"/>
                <w:szCs w:val="16"/>
                <w:lang w:val="fr-FR"/>
              </w:rPr>
              <w:t>264</w:t>
            </w:r>
          </w:p>
        </w:tc>
        <w:tc>
          <w:tcPr>
            <w:tcW w:w="911"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166</w:t>
            </w:r>
            <w:r>
              <w:rPr>
                <w:rFonts w:ascii="Calibri" w:hAnsi="Calibri" w:cs="Calibri"/>
                <w:color w:val="000000"/>
                <w:sz w:val="16"/>
                <w:szCs w:val="16"/>
                <w:lang w:val="fr-FR"/>
              </w:rPr>
              <w:t>.</w:t>
            </w:r>
            <w:r w:rsidRPr="00FE0C45">
              <w:rPr>
                <w:rFonts w:ascii="Calibri" w:hAnsi="Calibri" w:cs="Calibri"/>
                <w:color w:val="000000"/>
                <w:sz w:val="16"/>
                <w:szCs w:val="16"/>
                <w:lang w:val="fr-FR"/>
              </w:rPr>
              <w:t>264</w:t>
            </w:r>
          </w:p>
        </w:tc>
        <w:tc>
          <w:tcPr>
            <w:tcW w:w="1326" w:type="dxa"/>
            <w:shd w:val="clear" w:color="auto" w:fill="D9D9D9" w:themeFill="background1" w:themeFillShade="D9"/>
            <w:noWrap/>
            <w:vAlign w:val="bottom"/>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35%</w:t>
            </w:r>
          </w:p>
        </w:tc>
      </w:tr>
      <w:tr w:rsidR="00EA4985" w:rsidRPr="00FE0C45" w:rsidTr="00EA4985">
        <w:trPr>
          <w:trHeight w:val="225"/>
          <w:jc w:val="center"/>
        </w:trPr>
        <w:tc>
          <w:tcPr>
            <w:tcW w:w="1105" w:type="dxa"/>
            <w:shd w:val="clear" w:color="auto" w:fill="F2F2F2" w:themeFill="background1" w:themeFillShade="F2"/>
            <w:noWrap/>
            <w:vAlign w:val="center"/>
            <w:hideMark/>
          </w:tcPr>
          <w:p w:rsidR="00EA4985" w:rsidRPr="00FE0C45" w:rsidRDefault="00EA4985" w:rsidP="00EA4985">
            <w:pPr>
              <w:rPr>
                <w:rFonts w:ascii="Calibri" w:hAnsi="Calibri" w:cs="Calibri"/>
                <w:color w:val="000000"/>
                <w:sz w:val="16"/>
                <w:szCs w:val="16"/>
                <w:lang w:val="fr-FR"/>
              </w:rPr>
            </w:pPr>
            <w:r w:rsidRPr="00FE0C45">
              <w:rPr>
                <w:rFonts w:ascii="Calibri" w:hAnsi="Calibri" w:cs="Calibri"/>
                <w:color w:val="000000"/>
                <w:sz w:val="16"/>
                <w:szCs w:val="16"/>
                <w:lang w:val="fr-FR"/>
              </w:rPr>
              <w:t>ONUFEMMES</w:t>
            </w:r>
          </w:p>
        </w:tc>
        <w:tc>
          <w:tcPr>
            <w:tcW w:w="1018"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738</w:t>
            </w:r>
            <w:r>
              <w:rPr>
                <w:rFonts w:ascii="Calibri" w:hAnsi="Calibri" w:cs="Calibri"/>
                <w:color w:val="000000"/>
                <w:sz w:val="16"/>
                <w:szCs w:val="16"/>
                <w:lang w:val="fr-FR"/>
              </w:rPr>
              <w:t>.</w:t>
            </w:r>
            <w:r w:rsidRPr="00FE0C45">
              <w:rPr>
                <w:rFonts w:ascii="Calibri" w:hAnsi="Calibri" w:cs="Calibri"/>
                <w:color w:val="000000"/>
                <w:sz w:val="16"/>
                <w:szCs w:val="16"/>
                <w:lang w:val="fr-FR"/>
              </w:rPr>
              <w:t>300</w:t>
            </w:r>
          </w:p>
        </w:tc>
        <w:tc>
          <w:tcPr>
            <w:tcW w:w="1237"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142</w:t>
            </w:r>
            <w:r>
              <w:rPr>
                <w:rFonts w:ascii="Calibri" w:hAnsi="Calibri" w:cs="Calibri"/>
                <w:color w:val="000000"/>
                <w:sz w:val="16"/>
                <w:szCs w:val="16"/>
                <w:lang w:val="fr-FR"/>
              </w:rPr>
              <w:t>.</w:t>
            </w:r>
            <w:r w:rsidRPr="00FE0C45">
              <w:rPr>
                <w:rFonts w:ascii="Calibri" w:hAnsi="Calibri" w:cs="Calibri"/>
                <w:color w:val="000000"/>
                <w:sz w:val="16"/>
                <w:szCs w:val="16"/>
                <w:lang w:val="fr-FR"/>
              </w:rPr>
              <w:t>382</w:t>
            </w:r>
          </w:p>
        </w:tc>
        <w:tc>
          <w:tcPr>
            <w:tcW w:w="1237"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68</w:t>
            </w:r>
            <w:r>
              <w:rPr>
                <w:rFonts w:ascii="Calibri" w:hAnsi="Calibri" w:cs="Calibri"/>
                <w:color w:val="000000"/>
                <w:sz w:val="16"/>
                <w:szCs w:val="16"/>
                <w:lang w:val="fr-FR"/>
              </w:rPr>
              <w:t>.</w:t>
            </w:r>
            <w:r w:rsidRPr="00FE0C45">
              <w:rPr>
                <w:rFonts w:ascii="Calibri" w:hAnsi="Calibri" w:cs="Calibri"/>
                <w:color w:val="000000"/>
                <w:sz w:val="16"/>
                <w:szCs w:val="16"/>
                <w:lang w:val="fr-FR"/>
              </w:rPr>
              <w:t>444</w:t>
            </w:r>
          </w:p>
        </w:tc>
        <w:tc>
          <w:tcPr>
            <w:tcW w:w="911"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68</w:t>
            </w:r>
            <w:r>
              <w:rPr>
                <w:rFonts w:ascii="Calibri" w:hAnsi="Calibri" w:cs="Calibri"/>
                <w:color w:val="000000"/>
                <w:sz w:val="16"/>
                <w:szCs w:val="16"/>
                <w:lang w:val="fr-FR"/>
              </w:rPr>
              <w:t>.</w:t>
            </w:r>
            <w:r w:rsidRPr="00FE0C45">
              <w:rPr>
                <w:rFonts w:ascii="Calibri" w:hAnsi="Calibri" w:cs="Calibri"/>
                <w:color w:val="000000"/>
                <w:sz w:val="16"/>
                <w:szCs w:val="16"/>
                <w:lang w:val="fr-FR"/>
              </w:rPr>
              <w:t>444</w:t>
            </w:r>
          </w:p>
        </w:tc>
        <w:tc>
          <w:tcPr>
            <w:tcW w:w="1326" w:type="dxa"/>
            <w:shd w:val="clear" w:color="auto" w:fill="D9D9D9" w:themeFill="background1" w:themeFillShade="D9"/>
            <w:noWrap/>
            <w:vAlign w:val="bottom"/>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48%</w:t>
            </w:r>
          </w:p>
        </w:tc>
      </w:tr>
      <w:tr w:rsidR="00EA4985" w:rsidRPr="00FE0C45" w:rsidTr="00EA4985">
        <w:trPr>
          <w:trHeight w:val="225"/>
          <w:jc w:val="center"/>
        </w:trPr>
        <w:tc>
          <w:tcPr>
            <w:tcW w:w="1105" w:type="dxa"/>
            <w:shd w:val="clear" w:color="auto" w:fill="F2F2F2" w:themeFill="background1" w:themeFillShade="F2"/>
            <w:noWrap/>
            <w:vAlign w:val="center"/>
            <w:hideMark/>
          </w:tcPr>
          <w:p w:rsidR="00EA4985" w:rsidRPr="00FE0C45" w:rsidRDefault="00EA4985" w:rsidP="00EA4985">
            <w:pPr>
              <w:rPr>
                <w:rFonts w:ascii="Calibri" w:hAnsi="Calibri" w:cs="Calibri"/>
                <w:color w:val="000000"/>
                <w:sz w:val="16"/>
                <w:szCs w:val="16"/>
                <w:lang w:val="fr-FR"/>
              </w:rPr>
            </w:pPr>
            <w:r w:rsidRPr="00FE0C45">
              <w:rPr>
                <w:rFonts w:ascii="Calibri" w:hAnsi="Calibri" w:cs="Calibri"/>
                <w:color w:val="000000"/>
                <w:sz w:val="16"/>
                <w:szCs w:val="16"/>
                <w:lang w:val="fr-FR"/>
              </w:rPr>
              <w:t>BIT</w:t>
            </w:r>
          </w:p>
        </w:tc>
        <w:tc>
          <w:tcPr>
            <w:tcW w:w="1018"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631</w:t>
            </w:r>
            <w:r>
              <w:rPr>
                <w:rFonts w:ascii="Calibri" w:hAnsi="Calibri" w:cs="Calibri"/>
                <w:color w:val="000000"/>
                <w:sz w:val="16"/>
                <w:szCs w:val="16"/>
                <w:lang w:val="fr-FR"/>
              </w:rPr>
              <w:t>.</w:t>
            </w:r>
            <w:r w:rsidRPr="00FE0C45">
              <w:rPr>
                <w:rFonts w:ascii="Calibri" w:hAnsi="Calibri" w:cs="Calibri"/>
                <w:color w:val="000000"/>
                <w:sz w:val="16"/>
                <w:szCs w:val="16"/>
                <w:lang w:val="fr-FR"/>
              </w:rPr>
              <w:t>300</w:t>
            </w:r>
          </w:p>
        </w:tc>
        <w:tc>
          <w:tcPr>
            <w:tcW w:w="1237"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246</w:t>
            </w:r>
            <w:r>
              <w:rPr>
                <w:rFonts w:ascii="Calibri" w:hAnsi="Calibri" w:cs="Calibri"/>
                <w:color w:val="000000"/>
                <w:sz w:val="16"/>
                <w:szCs w:val="16"/>
                <w:lang w:val="fr-FR"/>
              </w:rPr>
              <w:t>.</w:t>
            </w:r>
            <w:r w:rsidRPr="00FE0C45">
              <w:rPr>
                <w:rFonts w:ascii="Calibri" w:hAnsi="Calibri" w:cs="Calibri"/>
                <w:color w:val="000000"/>
                <w:sz w:val="16"/>
                <w:szCs w:val="16"/>
                <w:lang w:val="fr-FR"/>
              </w:rPr>
              <w:t>100</w:t>
            </w:r>
          </w:p>
        </w:tc>
        <w:tc>
          <w:tcPr>
            <w:tcW w:w="1237"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6</w:t>
            </w:r>
            <w:r>
              <w:rPr>
                <w:rFonts w:ascii="Calibri" w:hAnsi="Calibri" w:cs="Calibri"/>
                <w:color w:val="000000"/>
                <w:sz w:val="16"/>
                <w:szCs w:val="16"/>
                <w:lang w:val="fr-FR"/>
              </w:rPr>
              <w:t>.</w:t>
            </w:r>
            <w:r w:rsidRPr="00FE0C45">
              <w:rPr>
                <w:rFonts w:ascii="Calibri" w:hAnsi="Calibri" w:cs="Calibri"/>
                <w:color w:val="000000"/>
                <w:sz w:val="16"/>
                <w:szCs w:val="16"/>
                <w:lang w:val="fr-FR"/>
              </w:rPr>
              <w:t>000</w:t>
            </w:r>
          </w:p>
        </w:tc>
        <w:tc>
          <w:tcPr>
            <w:tcW w:w="911"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6</w:t>
            </w:r>
            <w:r>
              <w:rPr>
                <w:rFonts w:ascii="Calibri" w:hAnsi="Calibri" w:cs="Calibri"/>
                <w:color w:val="000000"/>
                <w:sz w:val="16"/>
                <w:szCs w:val="16"/>
                <w:lang w:val="fr-FR"/>
              </w:rPr>
              <w:t>.</w:t>
            </w:r>
            <w:r w:rsidRPr="00FE0C45">
              <w:rPr>
                <w:rFonts w:ascii="Calibri" w:hAnsi="Calibri" w:cs="Calibri"/>
                <w:color w:val="000000"/>
                <w:sz w:val="16"/>
                <w:szCs w:val="16"/>
                <w:lang w:val="fr-FR"/>
              </w:rPr>
              <w:t>000</w:t>
            </w:r>
          </w:p>
        </w:tc>
        <w:tc>
          <w:tcPr>
            <w:tcW w:w="1326" w:type="dxa"/>
            <w:shd w:val="clear" w:color="auto" w:fill="D9D9D9" w:themeFill="background1" w:themeFillShade="D9"/>
            <w:noWrap/>
            <w:vAlign w:val="bottom"/>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2%</w:t>
            </w:r>
          </w:p>
        </w:tc>
      </w:tr>
      <w:tr w:rsidR="00EA4985" w:rsidRPr="00FE0C45" w:rsidTr="00EA4985">
        <w:trPr>
          <w:trHeight w:val="225"/>
          <w:jc w:val="center"/>
        </w:trPr>
        <w:tc>
          <w:tcPr>
            <w:tcW w:w="1105" w:type="dxa"/>
            <w:shd w:val="clear" w:color="auto" w:fill="F2F2F2" w:themeFill="background1" w:themeFillShade="F2"/>
            <w:noWrap/>
            <w:vAlign w:val="center"/>
            <w:hideMark/>
          </w:tcPr>
          <w:p w:rsidR="00EA4985" w:rsidRPr="00FE0C45" w:rsidRDefault="00EA4985" w:rsidP="00EA4985">
            <w:pPr>
              <w:rPr>
                <w:rFonts w:ascii="Calibri" w:hAnsi="Calibri" w:cs="Calibri"/>
                <w:color w:val="000000"/>
                <w:sz w:val="16"/>
                <w:szCs w:val="16"/>
                <w:lang w:val="fr-FR"/>
              </w:rPr>
            </w:pPr>
            <w:r w:rsidRPr="00FE0C45">
              <w:rPr>
                <w:rFonts w:ascii="Calibri" w:hAnsi="Calibri" w:cs="Calibri"/>
                <w:color w:val="000000"/>
                <w:sz w:val="16"/>
                <w:szCs w:val="16"/>
                <w:lang w:val="fr-FR"/>
              </w:rPr>
              <w:t>UNFPA</w:t>
            </w:r>
          </w:p>
        </w:tc>
        <w:tc>
          <w:tcPr>
            <w:tcW w:w="1018"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492</w:t>
            </w:r>
            <w:r>
              <w:rPr>
                <w:rFonts w:ascii="Calibri" w:hAnsi="Calibri" w:cs="Calibri"/>
                <w:color w:val="000000"/>
                <w:sz w:val="16"/>
                <w:szCs w:val="16"/>
                <w:lang w:val="fr-FR"/>
              </w:rPr>
              <w:t>.</w:t>
            </w:r>
            <w:r w:rsidRPr="00FE0C45">
              <w:rPr>
                <w:rFonts w:ascii="Calibri" w:hAnsi="Calibri" w:cs="Calibri"/>
                <w:color w:val="000000"/>
                <w:sz w:val="16"/>
                <w:szCs w:val="16"/>
                <w:lang w:val="fr-FR"/>
              </w:rPr>
              <w:t>200</w:t>
            </w:r>
          </w:p>
        </w:tc>
        <w:tc>
          <w:tcPr>
            <w:tcW w:w="1237"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310</w:t>
            </w:r>
            <w:r>
              <w:rPr>
                <w:rFonts w:ascii="Calibri" w:hAnsi="Calibri" w:cs="Calibri"/>
                <w:color w:val="000000"/>
                <w:sz w:val="16"/>
                <w:szCs w:val="16"/>
                <w:lang w:val="fr-FR"/>
              </w:rPr>
              <w:t>.</w:t>
            </w:r>
            <w:r w:rsidRPr="00FE0C45">
              <w:rPr>
                <w:rFonts w:ascii="Calibri" w:hAnsi="Calibri" w:cs="Calibri"/>
                <w:color w:val="000000"/>
                <w:sz w:val="16"/>
                <w:szCs w:val="16"/>
                <w:lang w:val="fr-FR"/>
              </w:rPr>
              <w:t>300</w:t>
            </w:r>
          </w:p>
        </w:tc>
        <w:tc>
          <w:tcPr>
            <w:tcW w:w="1237"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71</w:t>
            </w:r>
            <w:r>
              <w:rPr>
                <w:rFonts w:ascii="Calibri" w:hAnsi="Calibri" w:cs="Calibri"/>
                <w:color w:val="000000"/>
                <w:sz w:val="16"/>
                <w:szCs w:val="16"/>
                <w:lang w:val="fr-FR"/>
              </w:rPr>
              <w:t>.</w:t>
            </w:r>
            <w:r w:rsidRPr="00FE0C45">
              <w:rPr>
                <w:rFonts w:ascii="Calibri" w:hAnsi="Calibri" w:cs="Calibri"/>
                <w:color w:val="000000"/>
                <w:sz w:val="16"/>
                <w:szCs w:val="16"/>
                <w:lang w:val="fr-FR"/>
              </w:rPr>
              <w:t>000</w:t>
            </w:r>
          </w:p>
        </w:tc>
        <w:tc>
          <w:tcPr>
            <w:tcW w:w="911"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71</w:t>
            </w:r>
            <w:r>
              <w:rPr>
                <w:rFonts w:ascii="Calibri" w:hAnsi="Calibri" w:cs="Calibri"/>
                <w:color w:val="000000"/>
                <w:sz w:val="16"/>
                <w:szCs w:val="16"/>
                <w:lang w:val="fr-FR"/>
              </w:rPr>
              <w:t>.</w:t>
            </w:r>
            <w:r w:rsidRPr="00FE0C45">
              <w:rPr>
                <w:rFonts w:ascii="Calibri" w:hAnsi="Calibri" w:cs="Calibri"/>
                <w:color w:val="000000"/>
                <w:sz w:val="16"/>
                <w:szCs w:val="16"/>
                <w:lang w:val="fr-FR"/>
              </w:rPr>
              <w:t>000</w:t>
            </w:r>
          </w:p>
        </w:tc>
        <w:tc>
          <w:tcPr>
            <w:tcW w:w="1326" w:type="dxa"/>
            <w:shd w:val="clear" w:color="auto" w:fill="D9D9D9" w:themeFill="background1" w:themeFillShade="D9"/>
            <w:noWrap/>
            <w:vAlign w:val="bottom"/>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23%</w:t>
            </w:r>
          </w:p>
        </w:tc>
      </w:tr>
      <w:tr w:rsidR="00EA4985" w:rsidRPr="00FE0C45" w:rsidTr="00EA4985">
        <w:trPr>
          <w:trHeight w:val="225"/>
          <w:jc w:val="center"/>
        </w:trPr>
        <w:tc>
          <w:tcPr>
            <w:tcW w:w="1105" w:type="dxa"/>
            <w:shd w:val="clear" w:color="auto" w:fill="F2F2F2" w:themeFill="background1" w:themeFillShade="F2"/>
            <w:noWrap/>
            <w:vAlign w:val="center"/>
            <w:hideMark/>
          </w:tcPr>
          <w:p w:rsidR="00EA4985" w:rsidRPr="00FE0C45" w:rsidRDefault="00EA4985" w:rsidP="00EA4985">
            <w:pPr>
              <w:rPr>
                <w:rFonts w:ascii="Calibri" w:hAnsi="Calibri" w:cs="Calibri"/>
                <w:color w:val="000000"/>
                <w:sz w:val="16"/>
                <w:szCs w:val="16"/>
                <w:lang w:val="fr-FR"/>
              </w:rPr>
            </w:pPr>
            <w:r w:rsidRPr="00FE0C45">
              <w:rPr>
                <w:rFonts w:ascii="Calibri" w:hAnsi="Calibri" w:cs="Calibri"/>
                <w:color w:val="000000"/>
                <w:sz w:val="16"/>
                <w:szCs w:val="16"/>
                <w:lang w:val="fr-FR"/>
              </w:rPr>
              <w:t>UNICEF</w:t>
            </w:r>
          </w:p>
        </w:tc>
        <w:tc>
          <w:tcPr>
            <w:tcW w:w="1018"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267</w:t>
            </w:r>
            <w:r>
              <w:rPr>
                <w:rFonts w:ascii="Calibri" w:hAnsi="Calibri" w:cs="Calibri"/>
                <w:color w:val="000000"/>
                <w:sz w:val="16"/>
                <w:szCs w:val="16"/>
                <w:lang w:val="fr-FR"/>
              </w:rPr>
              <w:t>.</w:t>
            </w:r>
            <w:r w:rsidRPr="00FE0C45">
              <w:rPr>
                <w:rFonts w:ascii="Calibri" w:hAnsi="Calibri" w:cs="Calibri"/>
                <w:color w:val="000000"/>
                <w:sz w:val="16"/>
                <w:szCs w:val="16"/>
                <w:lang w:val="fr-FR"/>
              </w:rPr>
              <w:t>500</w:t>
            </w:r>
          </w:p>
        </w:tc>
        <w:tc>
          <w:tcPr>
            <w:tcW w:w="1237"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w:t>
            </w:r>
          </w:p>
        </w:tc>
        <w:tc>
          <w:tcPr>
            <w:tcW w:w="1237"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w:t>
            </w:r>
          </w:p>
        </w:tc>
        <w:tc>
          <w:tcPr>
            <w:tcW w:w="911"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w:t>
            </w:r>
          </w:p>
        </w:tc>
        <w:tc>
          <w:tcPr>
            <w:tcW w:w="1326" w:type="dxa"/>
            <w:shd w:val="clear" w:color="auto" w:fill="D9D9D9" w:themeFill="background1" w:themeFillShade="D9"/>
            <w:noWrap/>
            <w:vAlign w:val="bottom"/>
            <w:hideMark/>
          </w:tcPr>
          <w:p w:rsidR="00EA4985" w:rsidRPr="00FE0C45" w:rsidRDefault="00EA4985" w:rsidP="00EA4985">
            <w:pPr>
              <w:jc w:val="center"/>
              <w:rPr>
                <w:rFonts w:ascii="Calibri" w:hAnsi="Calibri" w:cs="Calibri"/>
                <w:color w:val="000000"/>
                <w:sz w:val="16"/>
                <w:szCs w:val="16"/>
                <w:lang w:val="fr-FR"/>
              </w:rPr>
            </w:pPr>
          </w:p>
        </w:tc>
      </w:tr>
      <w:tr w:rsidR="00EA4985" w:rsidRPr="00FE0C45" w:rsidTr="00EA4985">
        <w:trPr>
          <w:trHeight w:val="225"/>
          <w:jc w:val="center"/>
        </w:trPr>
        <w:tc>
          <w:tcPr>
            <w:tcW w:w="1105" w:type="dxa"/>
            <w:shd w:val="clear" w:color="auto" w:fill="F2F2F2" w:themeFill="background1" w:themeFillShade="F2"/>
            <w:noWrap/>
            <w:vAlign w:val="center"/>
            <w:hideMark/>
          </w:tcPr>
          <w:p w:rsidR="00EA4985" w:rsidRPr="00FE0C45" w:rsidRDefault="00EA4985" w:rsidP="00EA4985">
            <w:pPr>
              <w:rPr>
                <w:rFonts w:ascii="Calibri" w:hAnsi="Calibri" w:cs="Calibri"/>
                <w:color w:val="000000"/>
                <w:sz w:val="16"/>
                <w:szCs w:val="16"/>
                <w:lang w:val="fr-FR"/>
              </w:rPr>
            </w:pPr>
            <w:r w:rsidRPr="00FE0C45">
              <w:rPr>
                <w:rFonts w:ascii="Calibri" w:hAnsi="Calibri" w:cs="Calibri"/>
                <w:color w:val="000000"/>
                <w:sz w:val="16"/>
                <w:szCs w:val="16"/>
                <w:lang w:val="fr-FR"/>
              </w:rPr>
              <w:t>ONUSIDA</w:t>
            </w:r>
          </w:p>
        </w:tc>
        <w:tc>
          <w:tcPr>
            <w:tcW w:w="1018"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160</w:t>
            </w:r>
            <w:r>
              <w:rPr>
                <w:rFonts w:ascii="Calibri" w:hAnsi="Calibri" w:cs="Calibri"/>
                <w:color w:val="000000"/>
                <w:sz w:val="16"/>
                <w:szCs w:val="16"/>
                <w:lang w:val="fr-FR"/>
              </w:rPr>
              <w:t>.</w:t>
            </w:r>
            <w:r w:rsidRPr="00FE0C45">
              <w:rPr>
                <w:rFonts w:ascii="Calibri" w:hAnsi="Calibri" w:cs="Calibri"/>
                <w:color w:val="000000"/>
                <w:sz w:val="16"/>
                <w:szCs w:val="16"/>
                <w:lang w:val="fr-FR"/>
              </w:rPr>
              <w:t>500</w:t>
            </w:r>
          </w:p>
        </w:tc>
        <w:tc>
          <w:tcPr>
            <w:tcW w:w="1237"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53</w:t>
            </w:r>
            <w:r>
              <w:rPr>
                <w:rFonts w:ascii="Calibri" w:hAnsi="Calibri" w:cs="Calibri"/>
                <w:color w:val="000000"/>
                <w:sz w:val="16"/>
                <w:szCs w:val="16"/>
                <w:lang w:val="fr-FR"/>
              </w:rPr>
              <w:t>.</w:t>
            </w:r>
            <w:r w:rsidRPr="00FE0C45">
              <w:rPr>
                <w:rFonts w:ascii="Calibri" w:hAnsi="Calibri" w:cs="Calibri"/>
                <w:color w:val="000000"/>
                <w:sz w:val="16"/>
                <w:szCs w:val="16"/>
                <w:lang w:val="fr-FR"/>
              </w:rPr>
              <w:t>500</w:t>
            </w:r>
          </w:p>
        </w:tc>
        <w:tc>
          <w:tcPr>
            <w:tcW w:w="1237"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53</w:t>
            </w:r>
            <w:r>
              <w:rPr>
                <w:rFonts w:ascii="Calibri" w:hAnsi="Calibri" w:cs="Calibri"/>
                <w:color w:val="000000"/>
                <w:sz w:val="16"/>
                <w:szCs w:val="16"/>
                <w:lang w:val="fr-FR"/>
              </w:rPr>
              <w:t>.</w:t>
            </w:r>
            <w:r w:rsidRPr="00FE0C45">
              <w:rPr>
                <w:rFonts w:ascii="Calibri" w:hAnsi="Calibri" w:cs="Calibri"/>
                <w:color w:val="000000"/>
                <w:sz w:val="16"/>
                <w:szCs w:val="16"/>
                <w:lang w:val="fr-FR"/>
              </w:rPr>
              <w:t>500</w:t>
            </w:r>
          </w:p>
        </w:tc>
        <w:tc>
          <w:tcPr>
            <w:tcW w:w="911"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53</w:t>
            </w:r>
            <w:r>
              <w:rPr>
                <w:rFonts w:ascii="Calibri" w:hAnsi="Calibri" w:cs="Calibri"/>
                <w:color w:val="000000"/>
                <w:sz w:val="16"/>
                <w:szCs w:val="16"/>
                <w:lang w:val="fr-FR"/>
              </w:rPr>
              <w:t>.</w:t>
            </w:r>
            <w:r w:rsidRPr="00FE0C45">
              <w:rPr>
                <w:rFonts w:ascii="Calibri" w:hAnsi="Calibri" w:cs="Calibri"/>
                <w:color w:val="000000"/>
                <w:sz w:val="16"/>
                <w:szCs w:val="16"/>
                <w:lang w:val="fr-FR"/>
              </w:rPr>
              <w:t>500</w:t>
            </w:r>
          </w:p>
        </w:tc>
        <w:tc>
          <w:tcPr>
            <w:tcW w:w="1326" w:type="dxa"/>
            <w:shd w:val="clear" w:color="auto" w:fill="D9D9D9" w:themeFill="background1" w:themeFillShade="D9"/>
            <w:noWrap/>
            <w:vAlign w:val="bottom"/>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100%</w:t>
            </w:r>
          </w:p>
        </w:tc>
      </w:tr>
      <w:tr w:rsidR="00EA4985" w:rsidRPr="00FE0C45" w:rsidTr="00EA4985">
        <w:trPr>
          <w:trHeight w:val="225"/>
          <w:jc w:val="center"/>
        </w:trPr>
        <w:tc>
          <w:tcPr>
            <w:tcW w:w="1105" w:type="dxa"/>
            <w:shd w:val="clear" w:color="auto" w:fill="F2F2F2" w:themeFill="background1" w:themeFillShade="F2"/>
            <w:noWrap/>
            <w:vAlign w:val="center"/>
            <w:hideMark/>
          </w:tcPr>
          <w:p w:rsidR="00EA4985" w:rsidRPr="00FE0C45" w:rsidRDefault="00EA4985" w:rsidP="00EA4985">
            <w:pPr>
              <w:rPr>
                <w:rFonts w:ascii="Calibri" w:hAnsi="Calibri" w:cs="Calibri"/>
                <w:color w:val="000000"/>
                <w:sz w:val="16"/>
                <w:szCs w:val="16"/>
                <w:lang w:val="fr-FR"/>
              </w:rPr>
            </w:pPr>
            <w:r w:rsidRPr="00FE0C45">
              <w:rPr>
                <w:rFonts w:ascii="Calibri" w:hAnsi="Calibri" w:cs="Calibri"/>
                <w:color w:val="000000"/>
                <w:sz w:val="16"/>
                <w:szCs w:val="16"/>
                <w:lang w:val="fr-FR"/>
              </w:rPr>
              <w:t>ONUDI</w:t>
            </w:r>
          </w:p>
        </w:tc>
        <w:tc>
          <w:tcPr>
            <w:tcW w:w="1018"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42</w:t>
            </w:r>
            <w:r>
              <w:rPr>
                <w:rFonts w:ascii="Calibri" w:hAnsi="Calibri" w:cs="Calibri"/>
                <w:color w:val="000000"/>
                <w:sz w:val="16"/>
                <w:szCs w:val="16"/>
                <w:lang w:val="fr-FR"/>
              </w:rPr>
              <w:t>.</w:t>
            </w:r>
            <w:r w:rsidRPr="00FE0C45">
              <w:rPr>
                <w:rFonts w:ascii="Calibri" w:hAnsi="Calibri" w:cs="Calibri"/>
                <w:color w:val="000000"/>
                <w:sz w:val="16"/>
                <w:szCs w:val="16"/>
                <w:lang w:val="fr-FR"/>
              </w:rPr>
              <w:t>800</w:t>
            </w:r>
          </w:p>
        </w:tc>
        <w:tc>
          <w:tcPr>
            <w:tcW w:w="1237"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w:t>
            </w:r>
          </w:p>
        </w:tc>
        <w:tc>
          <w:tcPr>
            <w:tcW w:w="1237" w:type="dxa"/>
            <w:shd w:val="clear" w:color="auto" w:fill="D9D9D9" w:themeFill="background1" w:themeFillShade="D9"/>
            <w:noWrap/>
            <w:vAlign w:val="center"/>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w:t>
            </w:r>
          </w:p>
        </w:tc>
        <w:tc>
          <w:tcPr>
            <w:tcW w:w="911"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p>
        </w:tc>
        <w:tc>
          <w:tcPr>
            <w:tcW w:w="1326" w:type="dxa"/>
            <w:shd w:val="clear" w:color="auto" w:fill="D9D9D9" w:themeFill="background1" w:themeFillShade="D9"/>
            <w:noWrap/>
            <w:vAlign w:val="bottom"/>
            <w:hideMark/>
          </w:tcPr>
          <w:p w:rsidR="00EA4985" w:rsidRPr="00FE0C45" w:rsidRDefault="00EA4985" w:rsidP="00EA4985">
            <w:pPr>
              <w:jc w:val="center"/>
              <w:rPr>
                <w:rFonts w:ascii="Calibri" w:hAnsi="Calibri" w:cs="Calibri"/>
                <w:color w:val="000000"/>
                <w:sz w:val="16"/>
                <w:szCs w:val="16"/>
                <w:lang w:val="fr-FR"/>
              </w:rPr>
            </w:pPr>
          </w:p>
        </w:tc>
      </w:tr>
      <w:tr w:rsidR="00EA4985" w:rsidRPr="00FE0C45" w:rsidTr="00EA4985">
        <w:trPr>
          <w:trHeight w:val="225"/>
          <w:jc w:val="center"/>
        </w:trPr>
        <w:tc>
          <w:tcPr>
            <w:tcW w:w="1105" w:type="dxa"/>
            <w:shd w:val="clear" w:color="auto" w:fill="F2F2F2" w:themeFill="background1" w:themeFillShade="F2"/>
            <w:noWrap/>
            <w:vAlign w:val="center"/>
            <w:hideMark/>
          </w:tcPr>
          <w:p w:rsidR="00EA4985" w:rsidRPr="00FE0C45" w:rsidRDefault="00EA4985" w:rsidP="00EA4985">
            <w:pPr>
              <w:jc w:val="center"/>
              <w:rPr>
                <w:rFonts w:ascii="Calibri" w:hAnsi="Calibri" w:cs="Calibri"/>
                <w:color w:val="000000"/>
                <w:sz w:val="16"/>
                <w:szCs w:val="16"/>
                <w:lang w:val="fr-FR"/>
              </w:rPr>
            </w:pPr>
          </w:p>
        </w:tc>
        <w:tc>
          <w:tcPr>
            <w:tcW w:w="1018" w:type="dxa"/>
            <w:shd w:val="clear" w:color="auto" w:fill="D9D9D9" w:themeFill="background1" w:themeFillShade="D9"/>
            <w:noWrap/>
            <w:vAlign w:val="center"/>
            <w:hideMark/>
          </w:tcPr>
          <w:p w:rsidR="00EA4985" w:rsidRPr="00FE0C45" w:rsidRDefault="00EA4985" w:rsidP="00EA4985">
            <w:pPr>
              <w:jc w:val="center"/>
              <w:rPr>
                <w:rFonts w:ascii="Calibri" w:hAnsi="Calibri" w:cs="Calibri"/>
                <w:b/>
                <w:bCs/>
                <w:color w:val="000000"/>
                <w:sz w:val="16"/>
                <w:szCs w:val="16"/>
                <w:lang w:val="fr-FR"/>
              </w:rPr>
            </w:pPr>
            <w:r w:rsidRPr="00FE0C45">
              <w:rPr>
                <w:rFonts w:ascii="Calibri" w:hAnsi="Calibri" w:cs="Calibri"/>
                <w:b/>
                <w:bCs/>
                <w:color w:val="000000"/>
                <w:sz w:val="16"/>
                <w:szCs w:val="16"/>
                <w:lang w:val="fr-FR"/>
              </w:rPr>
              <w:t>3</w:t>
            </w:r>
            <w:r>
              <w:rPr>
                <w:rFonts w:ascii="Calibri" w:hAnsi="Calibri" w:cs="Calibri"/>
                <w:b/>
                <w:bCs/>
                <w:color w:val="000000"/>
                <w:sz w:val="16"/>
                <w:szCs w:val="16"/>
                <w:lang w:val="fr-FR"/>
              </w:rPr>
              <w:t>.</w:t>
            </w:r>
            <w:r w:rsidRPr="00FE0C45">
              <w:rPr>
                <w:rFonts w:ascii="Calibri" w:hAnsi="Calibri" w:cs="Calibri"/>
                <w:b/>
                <w:bCs/>
                <w:color w:val="000000"/>
                <w:sz w:val="16"/>
                <w:szCs w:val="16"/>
                <w:lang w:val="fr-FR"/>
              </w:rPr>
              <w:t>644</w:t>
            </w:r>
            <w:r>
              <w:rPr>
                <w:rFonts w:ascii="Calibri" w:hAnsi="Calibri" w:cs="Calibri"/>
                <w:b/>
                <w:bCs/>
                <w:color w:val="000000"/>
                <w:sz w:val="16"/>
                <w:szCs w:val="16"/>
                <w:lang w:val="fr-FR"/>
              </w:rPr>
              <w:t>.</w:t>
            </w:r>
            <w:r w:rsidRPr="00FE0C45">
              <w:rPr>
                <w:rFonts w:ascii="Calibri" w:hAnsi="Calibri" w:cs="Calibri"/>
                <w:b/>
                <w:bCs/>
                <w:color w:val="000000"/>
                <w:sz w:val="16"/>
                <w:szCs w:val="16"/>
                <w:lang w:val="fr-FR"/>
              </w:rPr>
              <w:t>740</w:t>
            </w:r>
          </w:p>
        </w:tc>
        <w:tc>
          <w:tcPr>
            <w:tcW w:w="1237" w:type="dxa"/>
            <w:shd w:val="clear" w:color="auto" w:fill="F2F2F2" w:themeFill="background1" w:themeFillShade="F2"/>
            <w:noWrap/>
            <w:vAlign w:val="center"/>
            <w:hideMark/>
          </w:tcPr>
          <w:p w:rsidR="00EA4985" w:rsidRPr="00FE0C45" w:rsidRDefault="00EA4985" w:rsidP="00EA4985">
            <w:pPr>
              <w:jc w:val="center"/>
              <w:rPr>
                <w:rFonts w:ascii="Calibri" w:hAnsi="Calibri" w:cs="Calibri"/>
                <w:b/>
                <w:bCs/>
                <w:color w:val="000000"/>
                <w:sz w:val="16"/>
                <w:szCs w:val="16"/>
                <w:lang w:val="fr-FR"/>
              </w:rPr>
            </w:pPr>
            <w:r w:rsidRPr="00FE0C45">
              <w:rPr>
                <w:rFonts w:ascii="Calibri" w:hAnsi="Calibri" w:cs="Calibri"/>
                <w:b/>
                <w:bCs/>
                <w:color w:val="000000"/>
                <w:sz w:val="16"/>
                <w:szCs w:val="16"/>
                <w:lang w:val="fr-FR"/>
              </w:rPr>
              <w:t>1</w:t>
            </w:r>
            <w:r>
              <w:rPr>
                <w:rFonts w:ascii="Calibri" w:hAnsi="Calibri" w:cs="Calibri"/>
                <w:b/>
                <w:bCs/>
                <w:color w:val="000000"/>
                <w:sz w:val="16"/>
                <w:szCs w:val="16"/>
                <w:lang w:val="fr-FR"/>
              </w:rPr>
              <w:t>.</w:t>
            </w:r>
            <w:r w:rsidRPr="00FE0C45">
              <w:rPr>
                <w:rFonts w:ascii="Calibri" w:hAnsi="Calibri" w:cs="Calibri"/>
                <w:b/>
                <w:bCs/>
                <w:color w:val="000000"/>
                <w:sz w:val="16"/>
                <w:szCs w:val="16"/>
                <w:lang w:val="fr-FR"/>
              </w:rPr>
              <w:t>223</w:t>
            </w:r>
            <w:r>
              <w:rPr>
                <w:rFonts w:ascii="Calibri" w:hAnsi="Calibri" w:cs="Calibri"/>
                <w:b/>
                <w:bCs/>
                <w:color w:val="000000"/>
                <w:sz w:val="16"/>
                <w:szCs w:val="16"/>
                <w:lang w:val="fr-FR"/>
              </w:rPr>
              <w:t>.</w:t>
            </w:r>
            <w:r w:rsidRPr="00FE0C45">
              <w:rPr>
                <w:rFonts w:ascii="Calibri" w:hAnsi="Calibri" w:cs="Calibri"/>
                <w:b/>
                <w:bCs/>
                <w:color w:val="000000"/>
                <w:sz w:val="16"/>
                <w:szCs w:val="16"/>
                <w:lang w:val="fr-FR"/>
              </w:rPr>
              <w:t>837</w:t>
            </w:r>
          </w:p>
        </w:tc>
        <w:tc>
          <w:tcPr>
            <w:tcW w:w="1237" w:type="dxa"/>
            <w:shd w:val="clear" w:color="auto" w:fill="D9D9D9" w:themeFill="background1" w:themeFillShade="D9"/>
            <w:noWrap/>
            <w:vAlign w:val="center"/>
            <w:hideMark/>
          </w:tcPr>
          <w:p w:rsidR="00EA4985" w:rsidRPr="00FE0C45" w:rsidRDefault="00EA4985" w:rsidP="00EA4985">
            <w:pPr>
              <w:jc w:val="center"/>
              <w:rPr>
                <w:rFonts w:ascii="Calibri" w:hAnsi="Calibri" w:cs="Calibri"/>
                <w:b/>
                <w:bCs/>
                <w:color w:val="000000"/>
                <w:sz w:val="16"/>
                <w:szCs w:val="16"/>
                <w:lang w:val="fr-FR"/>
              </w:rPr>
            </w:pPr>
            <w:r w:rsidRPr="00FE0C45">
              <w:rPr>
                <w:rFonts w:ascii="Calibri" w:hAnsi="Calibri" w:cs="Calibri"/>
                <w:b/>
                <w:bCs/>
                <w:color w:val="000000"/>
                <w:sz w:val="16"/>
                <w:szCs w:val="16"/>
                <w:lang w:val="fr-FR"/>
              </w:rPr>
              <w:t>365</w:t>
            </w:r>
            <w:r>
              <w:rPr>
                <w:rFonts w:ascii="Calibri" w:hAnsi="Calibri" w:cs="Calibri"/>
                <w:b/>
                <w:bCs/>
                <w:color w:val="000000"/>
                <w:sz w:val="16"/>
                <w:szCs w:val="16"/>
                <w:lang w:val="fr-FR"/>
              </w:rPr>
              <w:t>.</w:t>
            </w:r>
            <w:r w:rsidRPr="00FE0C45">
              <w:rPr>
                <w:rFonts w:ascii="Calibri" w:hAnsi="Calibri" w:cs="Calibri"/>
                <w:b/>
                <w:bCs/>
                <w:color w:val="000000"/>
                <w:sz w:val="16"/>
                <w:szCs w:val="16"/>
                <w:lang w:val="fr-FR"/>
              </w:rPr>
              <w:t>208</w:t>
            </w:r>
          </w:p>
        </w:tc>
        <w:tc>
          <w:tcPr>
            <w:tcW w:w="911" w:type="dxa"/>
            <w:shd w:val="clear" w:color="auto" w:fill="F2F2F2" w:themeFill="background1" w:themeFillShade="F2"/>
            <w:noWrap/>
            <w:vAlign w:val="center"/>
            <w:hideMark/>
          </w:tcPr>
          <w:p w:rsidR="00EA4985" w:rsidRPr="00FE0C45" w:rsidRDefault="00EA4985" w:rsidP="00EA4985">
            <w:pPr>
              <w:jc w:val="center"/>
              <w:rPr>
                <w:rFonts w:ascii="Calibri" w:hAnsi="Calibri" w:cs="Calibri"/>
                <w:b/>
                <w:bCs/>
                <w:color w:val="000000"/>
                <w:sz w:val="16"/>
                <w:szCs w:val="16"/>
                <w:lang w:val="fr-FR"/>
              </w:rPr>
            </w:pPr>
            <w:r w:rsidRPr="00FE0C45">
              <w:rPr>
                <w:rFonts w:ascii="Calibri" w:hAnsi="Calibri" w:cs="Calibri"/>
                <w:b/>
                <w:bCs/>
                <w:color w:val="000000"/>
                <w:sz w:val="16"/>
                <w:szCs w:val="16"/>
                <w:lang w:val="fr-FR"/>
              </w:rPr>
              <w:t>365</w:t>
            </w:r>
            <w:r>
              <w:rPr>
                <w:rFonts w:ascii="Calibri" w:hAnsi="Calibri" w:cs="Calibri"/>
                <w:b/>
                <w:bCs/>
                <w:color w:val="000000"/>
                <w:sz w:val="16"/>
                <w:szCs w:val="16"/>
                <w:lang w:val="fr-FR"/>
              </w:rPr>
              <w:t>.</w:t>
            </w:r>
            <w:r w:rsidRPr="00FE0C45">
              <w:rPr>
                <w:rFonts w:ascii="Calibri" w:hAnsi="Calibri" w:cs="Calibri"/>
                <w:b/>
                <w:bCs/>
                <w:color w:val="000000"/>
                <w:sz w:val="16"/>
                <w:szCs w:val="16"/>
                <w:lang w:val="fr-FR"/>
              </w:rPr>
              <w:t>208</w:t>
            </w:r>
          </w:p>
        </w:tc>
        <w:tc>
          <w:tcPr>
            <w:tcW w:w="1326" w:type="dxa"/>
            <w:shd w:val="clear" w:color="auto" w:fill="D9D9D9" w:themeFill="background1" w:themeFillShade="D9"/>
            <w:noWrap/>
            <w:vAlign w:val="bottom"/>
            <w:hideMark/>
          </w:tcPr>
          <w:p w:rsidR="00EA4985" w:rsidRPr="00FE0C45" w:rsidRDefault="00EA4985" w:rsidP="00EA4985">
            <w:pPr>
              <w:jc w:val="center"/>
              <w:rPr>
                <w:rFonts w:ascii="Calibri" w:hAnsi="Calibri" w:cs="Calibri"/>
                <w:color w:val="000000"/>
                <w:sz w:val="16"/>
                <w:szCs w:val="16"/>
                <w:lang w:val="fr-FR"/>
              </w:rPr>
            </w:pPr>
            <w:r w:rsidRPr="00FE0C45">
              <w:rPr>
                <w:rFonts w:ascii="Calibri" w:hAnsi="Calibri" w:cs="Calibri"/>
                <w:color w:val="000000"/>
                <w:sz w:val="16"/>
                <w:szCs w:val="16"/>
                <w:lang w:val="fr-FR"/>
              </w:rPr>
              <w:t>30%</w:t>
            </w:r>
          </w:p>
        </w:tc>
      </w:tr>
    </w:tbl>
    <w:p w:rsidR="00EA4985" w:rsidRPr="00DF5ACA" w:rsidRDefault="00B87D33" w:rsidP="00123C70">
      <w:pPr>
        <w:pStyle w:val="NoSpacing"/>
        <w:numPr>
          <w:ilvl w:val="0"/>
          <w:numId w:val="1"/>
        </w:numPr>
        <w:ind w:left="0" w:firstLine="0"/>
        <w:rPr>
          <w:i/>
          <w:u w:val="single"/>
          <w:lang w:val="fr-CA"/>
        </w:rPr>
      </w:pPr>
      <w:r>
        <w:rPr>
          <w:noProof/>
        </w:rPr>
        <w:drawing>
          <wp:anchor distT="0" distB="0" distL="114300" distR="114300" simplePos="0" relativeHeight="251682816" behindDoc="0" locked="0" layoutInCell="1" allowOverlap="0">
            <wp:simplePos x="0" y="0"/>
            <wp:positionH relativeFrom="column">
              <wp:posOffset>35560</wp:posOffset>
            </wp:positionH>
            <wp:positionV relativeFrom="paragraph">
              <wp:posOffset>2602230</wp:posOffset>
            </wp:positionV>
            <wp:extent cx="2623820" cy="1748790"/>
            <wp:effectExtent l="0" t="0" r="24130" b="22860"/>
            <wp:wrapSquare wrapText="bothSides"/>
            <wp:docPr id="11" name="Diagram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noProof/>
        </w:rPr>
        <w:drawing>
          <wp:anchor distT="0" distB="0" distL="114300" distR="114300" simplePos="0" relativeHeight="251708416" behindDoc="0" locked="0" layoutInCell="1" allowOverlap="1">
            <wp:simplePos x="0" y="0"/>
            <wp:positionH relativeFrom="column">
              <wp:posOffset>3565525</wp:posOffset>
            </wp:positionH>
            <wp:positionV relativeFrom="paragraph">
              <wp:posOffset>260985</wp:posOffset>
            </wp:positionV>
            <wp:extent cx="2226310" cy="1718945"/>
            <wp:effectExtent l="0" t="0" r="21590" b="14605"/>
            <wp:wrapSquare wrapText="bothSides"/>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AE26BC" w:rsidRPr="00AE26BC">
        <w:rPr>
          <w:noProof/>
          <w:lang w:val="fr-FR"/>
        </w:rPr>
        <w:t>Le</w:t>
      </w:r>
      <w:r w:rsidR="00AE26BC">
        <w:rPr>
          <w:noProof/>
          <w:lang w:val="fr-FR"/>
        </w:rPr>
        <w:t>s</w:t>
      </w:r>
      <w:r w:rsidR="00AE26BC">
        <w:rPr>
          <w:lang w:val="fr-CA"/>
        </w:rPr>
        <w:t xml:space="preserve"> dépenses du PNUD représentent près de la moitié du total</w:t>
      </w:r>
      <w:r w:rsidR="00DB7AB3">
        <w:rPr>
          <w:lang w:val="fr-CA"/>
        </w:rPr>
        <w:t xml:space="preserve"> des dépenses encourues</w:t>
      </w:r>
      <w:r w:rsidR="001A0092">
        <w:rPr>
          <w:lang w:val="fr-CA"/>
        </w:rPr>
        <w:t xml:space="preserve">. </w:t>
      </w:r>
      <w:r w:rsidR="00AE26BC">
        <w:rPr>
          <w:lang w:val="fr-CA"/>
        </w:rPr>
        <w:t>U</w:t>
      </w:r>
      <w:r w:rsidR="00FB741B">
        <w:rPr>
          <w:lang w:val="fr-CA"/>
        </w:rPr>
        <w:t>ne seule agence est parvenue à consommer l’</w:t>
      </w:r>
      <w:r w:rsidR="00DF5ACA">
        <w:rPr>
          <w:lang w:val="fr-CA"/>
        </w:rPr>
        <w:t>entièreté</w:t>
      </w:r>
      <w:r w:rsidR="00FB741B">
        <w:rPr>
          <w:lang w:val="fr-CA"/>
        </w:rPr>
        <w:t xml:space="preserve"> de la </w:t>
      </w:r>
      <w:r w:rsidR="00DF5ACA">
        <w:rPr>
          <w:lang w:val="fr-CA"/>
        </w:rPr>
        <w:t>première</w:t>
      </w:r>
      <w:r w:rsidR="00FB741B">
        <w:rPr>
          <w:lang w:val="fr-CA"/>
        </w:rPr>
        <w:t xml:space="preserve"> </w:t>
      </w:r>
      <w:r w:rsidR="00FB741B" w:rsidRPr="000C666A">
        <w:rPr>
          <w:lang w:val="fr-FR"/>
        </w:rPr>
        <w:t>tranche</w:t>
      </w:r>
      <w:r w:rsidR="00FB741B">
        <w:rPr>
          <w:lang w:val="fr-CA"/>
        </w:rPr>
        <w:t xml:space="preserve"> (l’ONUSIDA), alors que les</w:t>
      </w:r>
      <w:r w:rsidR="002213EB">
        <w:rPr>
          <w:lang w:val="fr-CA"/>
        </w:rPr>
        <w:t xml:space="preserve"> </w:t>
      </w:r>
      <w:r w:rsidR="00FB741B">
        <w:rPr>
          <w:lang w:val="fr-CA"/>
        </w:rPr>
        <w:t xml:space="preserve">dépenses de </w:t>
      </w:r>
      <w:r w:rsidR="00FB741B" w:rsidRPr="000C666A">
        <w:rPr>
          <w:lang w:val="fr-FR"/>
        </w:rPr>
        <w:t>l’UNFPA</w:t>
      </w:r>
      <w:r w:rsidR="00FB741B">
        <w:rPr>
          <w:lang w:val="fr-CA"/>
        </w:rPr>
        <w:t xml:space="preserve"> </w:t>
      </w:r>
      <w:r w:rsidR="004A2A9B">
        <w:rPr>
          <w:lang w:val="fr-CA"/>
        </w:rPr>
        <w:t xml:space="preserve">et </w:t>
      </w:r>
      <w:r w:rsidR="00FB741B">
        <w:rPr>
          <w:lang w:val="fr-CA"/>
        </w:rPr>
        <w:t>du PNUD sont très inférieures aux prévisions, ce qui est problématique au regard de l’importance des montants re</w:t>
      </w:r>
      <w:r w:rsidR="00FB741B">
        <w:rPr>
          <w:rFonts w:cs="Calibri"/>
          <w:lang w:val="fr-CA"/>
        </w:rPr>
        <w:t>ç</w:t>
      </w:r>
      <w:r w:rsidR="00FB741B">
        <w:rPr>
          <w:lang w:val="fr-CA"/>
        </w:rPr>
        <w:t>us</w:t>
      </w:r>
      <w:r w:rsidR="00DF5ACA">
        <w:rPr>
          <w:lang w:val="fr-CA"/>
        </w:rPr>
        <w:t xml:space="preserve"> </w:t>
      </w:r>
      <w:r w:rsidR="004A2A9B">
        <w:rPr>
          <w:lang w:val="fr-CA"/>
        </w:rPr>
        <w:t xml:space="preserve">par ces agences </w:t>
      </w:r>
      <w:r w:rsidR="00DF5ACA">
        <w:rPr>
          <w:lang w:val="fr-CA"/>
        </w:rPr>
        <w:t>(</w:t>
      </w:r>
      <w:r w:rsidR="00DF5ACA" w:rsidRPr="00123C70">
        <w:rPr>
          <w:lang w:val="fr-FR"/>
        </w:rPr>
        <w:t>représentant</w:t>
      </w:r>
      <w:r w:rsidR="00DF5ACA">
        <w:rPr>
          <w:lang w:val="fr-CA"/>
        </w:rPr>
        <w:t xml:space="preserve"> respectivement 39% et 25% du montant total de la première tranche)</w:t>
      </w:r>
      <w:r w:rsidR="00FB741B">
        <w:rPr>
          <w:lang w:val="fr-CA"/>
        </w:rPr>
        <w:t>. Dans le cas du BIT</w:t>
      </w:r>
      <w:r w:rsidR="00DF5ACA">
        <w:rPr>
          <w:lang w:val="fr-CA"/>
        </w:rPr>
        <w:t>, le taux d’exécution budgétaire quasi-</w:t>
      </w:r>
      <w:r w:rsidR="004A2A9B">
        <w:rPr>
          <w:lang w:val="fr-CA"/>
        </w:rPr>
        <w:t xml:space="preserve">nul est d’autant plus problématique que le montant déjà transféré </w:t>
      </w:r>
      <w:r w:rsidR="00DF5ACA">
        <w:rPr>
          <w:lang w:val="fr-CA"/>
        </w:rPr>
        <w:t>représente 20% du montant total de la première tranche. Notons aussi que deux agences n’ont per</w:t>
      </w:r>
      <w:r w:rsidR="00DF5ACA">
        <w:rPr>
          <w:rFonts w:cs="Calibri"/>
          <w:lang w:val="fr-CA"/>
        </w:rPr>
        <w:t>ç</w:t>
      </w:r>
      <w:r w:rsidR="00DF5ACA">
        <w:rPr>
          <w:lang w:val="fr-CA"/>
        </w:rPr>
        <w:t xml:space="preserve">u aucun fonds au titre de la première tranche, au motif que les activités dont elles étaient responsables n’étaient </w:t>
      </w:r>
      <w:r w:rsidR="00DB7AB3">
        <w:rPr>
          <w:lang w:val="fr-CA"/>
        </w:rPr>
        <w:t xml:space="preserve">pas </w:t>
      </w:r>
      <w:r w:rsidR="00DF5ACA">
        <w:rPr>
          <w:lang w:val="fr-CA"/>
        </w:rPr>
        <w:t>prévues pour dé</w:t>
      </w:r>
      <w:r w:rsidR="004A2A9B">
        <w:rPr>
          <w:lang w:val="fr-CA"/>
        </w:rPr>
        <w:t>marrer à l’année 1 du programme : il s’agit de l’UNICEF et de l’ONUDI.</w:t>
      </w:r>
      <w:r w:rsidR="00DF5ACA">
        <w:rPr>
          <w:lang w:val="fr-CA"/>
        </w:rPr>
        <w:t xml:space="preserve">  Notons enfin que, faute de fonds, l’ONUSIDA a utilisé le montant versé au titre de ses « </w:t>
      </w:r>
      <w:r w:rsidR="00DF5ACA" w:rsidRPr="00DF5ACA">
        <w:rPr>
          <w:i/>
          <w:lang w:val="fr-CA"/>
        </w:rPr>
        <w:t>frais d’agence</w:t>
      </w:r>
      <w:r w:rsidR="00DF5ACA">
        <w:rPr>
          <w:lang w:val="fr-CA"/>
        </w:rPr>
        <w:t> »</w:t>
      </w:r>
      <w:r w:rsidR="002213EB">
        <w:rPr>
          <w:lang w:val="fr-CA"/>
        </w:rPr>
        <w:t xml:space="preserve"> </w:t>
      </w:r>
      <w:r w:rsidR="004A2A9B">
        <w:rPr>
          <w:lang w:val="fr-CA"/>
        </w:rPr>
        <w:t>estimés à 3.500 dollars</w:t>
      </w:r>
      <w:r w:rsidR="002213EB">
        <w:rPr>
          <w:lang w:val="fr-CA"/>
        </w:rPr>
        <w:t xml:space="preserve"> </w:t>
      </w:r>
      <w:r w:rsidR="00DF5ACA">
        <w:rPr>
          <w:lang w:val="fr-CA"/>
        </w:rPr>
        <w:t xml:space="preserve">afin de financer certaines activités urgentes, alors que d’autres ont dû être interrompues ou annulées. </w:t>
      </w:r>
    </w:p>
    <w:p w:rsidR="008E367D" w:rsidRPr="006500B9" w:rsidRDefault="008E367D" w:rsidP="00123C70">
      <w:pPr>
        <w:pStyle w:val="NoSpacing"/>
        <w:numPr>
          <w:ilvl w:val="0"/>
          <w:numId w:val="1"/>
        </w:numPr>
        <w:ind w:left="0" w:firstLine="0"/>
        <w:rPr>
          <w:lang w:val="fr-CA"/>
        </w:rPr>
      </w:pPr>
      <w:r w:rsidRPr="006500B9">
        <w:rPr>
          <w:lang w:val="fr-CA"/>
        </w:rPr>
        <w:t xml:space="preserve">S’agissant des engagements et des dépenses par </w:t>
      </w:r>
      <w:r w:rsidR="004A2A9B">
        <w:rPr>
          <w:lang w:val="fr-CA"/>
        </w:rPr>
        <w:t>trimestre,</w:t>
      </w:r>
      <w:r w:rsidR="006500B9">
        <w:rPr>
          <w:lang w:val="fr-CA"/>
        </w:rPr>
        <w:t xml:space="preserve"> </w:t>
      </w:r>
      <w:r w:rsidR="00DF5ACA" w:rsidRPr="006500B9">
        <w:rPr>
          <w:lang w:val="fr-CA"/>
        </w:rPr>
        <w:t>on note une accélération des dépenses au cours du troisième trimestre 2011, et fâcheusement, un tassement des dépenses au cours du dernier trimestre de l’année</w:t>
      </w:r>
      <w:r w:rsidR="00DB7AB3">
        <w:rPr>
          <w:lang w:val="fr-CA"/>
        </w:rPr>
        <w:t>, alors q</w:t>
      </w:r>
      <w:r w:rsidR="00B87D33">
        <w:rPr>
          <w:lang w:val="fr-CA"/>
        </w:rPr>
        <w:t>ue cette période de l’année est généralement fa</w:t>
      </w:r>
      <w:r w:rsidR="00DB7AB3">
        <w:rPr>
          <w:lang w:val="fr-CA"/>
        </w:rPr>
        <w:t>vorable aux forts décaissements avant la cl</w:t>
      </w:r>
      <w:r w:rsidR="00DB7AB3">
        <w:rPr>
          <w:rFonts w:cs="Calibri"/>
          <w:lang w:val="fr-CA"/>
        </w:rPr>
        <w:t>ô</w:t>
      </w:r>
      <w:r w:rsidR="00DB7AB3">
        <w:rPr>
          <w:lang w:val="fr-CA"/>
        </w:rPr>
        <w:t>ture des comptes.</w:t>
      </w:r>
    </w:p>
    <w:p w:rsidR="008E367D" w:rsidRDefault="008E367D" w:rsidP="008E367D">
      <w:pPr>
        <w:pStyle w:val="ListParagraph"/>
        <w:rPr>
          <w:color w:val="FF0000"/>
          <w:lang w:val="fr-CA"/>
        </w:rPr>
      </w:pPr>
    </w:p>
    <w:p w:rsidR="008E367D" w:rsidRDefault="008E367D">
      <w:pPr>
        <w:rPr>
          <w:rFonts w:ascii="Calibri" w:hAnsi="Calibri"/>
          <w:b/>
          <w:sz w:val="22"/>
          <w:szCs w:val="22"/>
          <w:lang w:val="fr-CA"/>
        </w:rPr>
      </w:pPr>
    </w:p>
    <w:p w:rsidR="00B87D33" w:rsidRDefault="00B87D33">
      <w:pPr>
        <w:rPr>
          <w:rFonts w:ascii="Calibri" w:hAnsi="Calibri"/>
          <w:b/>
          <w:sz w:val="22"/>
          <w:szCs w:val="22"/>
          <w:lang w:val="fr-CA"/>
        </w:rPr>
      </w:pPr>
      <w:r w:rsidRPr="00B87D33">
        <w:rPr>
          <w:lang w:val="fr-FR"/>
        </w:rPr>
        <w:br w:type="page"/>
      </w:r>
    </w:p>
    <w:p w:rsidR="00656207" w:rsidRPr="007B2E0E" w:rsidRDefault="00656207" w:rsidP="0038607C">
      <w:pPr>
        <w:pStyle w:val="UNDPTitle1"/>
        <w:numPr>
          <w:ilvl w:val="1"/>
          <w:numId w:val="6"/>
        </w:numPr>
        <w:outlineLvl w:val="2"/>
        <w:rPr>
          <w:color w:val="auto"/>
        </w:rPr>
      </w:pPr>
      <w:bookmarkStart w:id="21" w:name="_Toc322342011"/>
      <w:r w:rsidRPr="007B2E0E">
        <w:rPr>
          <w:color w:val="auto"/>
        </w:rPr>
        <w:lastRenderedPageBreak/>
        <w:t>Les principales réalisations</w:t>
      </w:r>
      <w:bookmarkEnd w:id="21"/>
    </w:p>
    <w:p w:rsidR="00CD04C7" w:rsidRPr="005A3F7B" w:rsidRDefault="00CD04C7" w:rsidP="00123C70">
      <w:pPr>
        <w:pStyle w:val="NoSpacing"/>
        <w:numPr>
          <w:ilvl w:val="0"/>
          <w:numId w:val="1"/>
        </w:numPr>
        <w:ind w:left="0" w:firstLine="0"/>
        <w:rPr>
          <w:lang w:val="fr-CA"/>
        </w:rPr>
      </w:pPr>
      <w:r w:rsidRPr="00CD04C7">
        <w:rPr>
          <w:b/>
          <w:lang w:val="fr-CA"/>
        </w:rPr>
        <w:t>Un retard considérable dans le calendrier d’exécution.</w:t>
      </w:r>
      <w:r w:rsidRPr="005A3F7B">
        <w:rPr>
          <w:lang w:val="fr-CA"/>
        </w:rPr>
        <w:t xml:space="preserve"> </w:t>
      </w:r>
      <w:r>
        <w:rPr>
          <w:lang w:val="fr-CA"/>
        </w:rPr>
        <w:t>A la date de l’évaluation à mi</w:t>
      </w:r>
      <w:r w:rsidRPr="00EA4985">
        <w:rPr>
          <w:lang w:val="fr-CA"/>
        </w:rPr>
        <w:t xml:space="preserve">-parcours, et selon les données transmises à la mission, seuls 2 des 36 produits attendus </w:t>
      </w:r>
      <w:r w:rsidRPr="00123C70">
        <w:rPr>
          <w:lang w:val="fr-FR"/>
        </w:rPr>
        <w:t>avaient</w:t>
      </w:r>
      <w:r w:rsidRPr="00EA4985">
        <w:rPr>
          <w:lang w:val="fr-CA"/>
        </w:rPr>
        <w:t xml:space="preserve"> été pleinement réalisés et 11 étaient en cours de </w:t>
      </w:r>
      <w:r w:rsidR="000C3892">
        <w:rPr>
          <w:lang w:val="fr-CA"/>
        </w:rPr>
        <w:t>réalisation</w:t>
      </w:r>
      <w:r w:rsidRPr="00EA4985">
        <w:rPr>
          <w:lang w:val="fr-CA"/>
        </w:rPr>
        <w:t>. Sur les 25 activités qui n’avaient pas encore démarré, 6 seraient en état avancé de préparation.</w:t>
      </w:r>
    </w:p>
    <w:p w:rsidR="00EA4985" w:rsidRPr="00E821D4" w:rsidRDefault="00EA4985" w:rsidP="000C3892">
      <w:pPr>
        <w:pStyle w:val="NoSpacing"/>
        <w:spacing w:after="0"/>
        <w:jc w:val="center"/>
        <w:rPr>
          <w:sz w:val="20"/>
          <w:szCs w:val="20"/>
          <w:lang w:val="fr-CA"/>
        </w:rPr>
      </w:pPr>
      <w:r w:rsidRPr="005A3F7B">
        <w:rPr>
          <w:rFonts w:asciiTheme="minorHAnsi" w:hAnsiTheme="minorHAnsi" w:cstheme="minorHAnsi"/>
          <w:b/>
          <w:color w:val="000000"/>
          <w:sz w:val="20"/>
          <w:szCs w:val="20"/>
          <w:lang w:val="fr-CA"/>
        </w:rPr>
        <w:t>État d’avancement</w:t>
      </w:r>
      <w:r>
        <w:rPr>
          <w:rFonts w:asciiTheme="minorHAnsi" w:hAnsiTheme="minorHAnsi" w:cstheme="minorHAnsi"/>
          <w:b/>
          <w:color w:val="000000"/>
          <w:sz w:val="20"/>
          <w:szCs w:val="20"/>
          <w:lang w:val="fr-CA"/>
        </w:rPr>
        <w:t xml:space="preserve"> des activités/produits</w:t>
      </w:r>
    </w:p>
    <w:tbl>
      <w:tblPr>
        <w:tblW w:w="6179" w:type="dxa"/>
        <w:jc w:val="center"/>
        <w:tblInd w:w="-9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83"/>
        <w:gridCol w:w="1026"/>
        <w:gridCol w:w="1270"/>
      </w:tblGrid>
      <w:tr w:rsidR="00EA4985" w:rsidRPr="005A3F7B" w:rsidTr="000C3892">
        <w:trPr>
          <w:trHeight w:val="166"/>
          <w:jc w:val="center"/>
        </w:trPr>
        <w:tc>
          <w:tcPr>
            <w:tcW w:w="3883" w:type="dxa"/>
            <w:shd w:val="clear" w:color="auto" w:fill="auto"/>
            <w:vAlign w:val="center"/>
            <w:hideMark/>
          </w:tcPr>
          <w:p w:rsidR="00EA4985" w:rsidRPr="00394684" w:rsidRDefault="00EA4985" w:rsidP="00EA4985">
            <w:pPr>
              <w:jc w:val="center"/>
              <w:rPr>
                <w:rFonts w:asciiTheme="minorHAnsi" w:hAnsiTheme="minorHAnsi" w:cstheme="minorHAnsi"/>
                <w:b/>
                <w:color w:val="000000"/>
                <w:sz w:val="20"/>
                <w:szCs w:val="20"/>
                <w:lang w:val="fr-FR"/>
              </w:rPr>
            </w:pPr>
          </w:p>
        </w:tc>
        <w:tc>
          <w:tcPr>
            <w:tcW w:w="1026" w:type="dxa"/>
            <w:shd w:val="clear" w:color="auto" w:fill="auto"/>
            <w:vAlign w:val="center"/>
            <w:hideMark/>
          </w:tcPr>
          <w:p w:rsidR="00EA4985" w:rsidRPr="000C3892" w:rsidRDefault="00EA4985" w:rsidP="00EA4985">
            <w:pPr>
              <w:jc w:val="center"/>
              <w:rPr>
                <w:rFonts w:asciiTheme="minorHAnsi" w:hAnsiTheme="minorHAnsi" w:cstheme="minorHAnsi"/>
                <w:b/>
                <w:color w:val="000000"/>
                <w:sz w:val="18"/>
                <w:szCs w:val="18"/>
                <w:lang w:val="fr-FR"/>
              </w:rPr>
            </w:pPr>
            <w:r w:rsidRPr="000C3892">
              <w:rPr>
                <w:rFonts w:asciiTheme="minorHAnsi" w:hAnsiTheme="minorHAnsi" w:cstheme="minorHAnsi"/>
                <w:b/>
                <w:color w:val="000000"/>
                <w:sz w:val="18"/>
                <w:szCs w:val="18"/>
                <w:lang w:val="fr-CA"/>
              </w:rPr>
              <w:t>Nombre</w:t>
            </w:r>
          </w:p>
        </w:tc>
        <w:tc>
          <w:tcPr>
            <w:tcW w:w="1270" w:type="dxa"/>
            <w:shd w:val="clear" w:color="auto" w:fill="auto"/>
            <w:vAlign w:val="center"/>
            <w:hideMark/>
          </w:tcPr>
          <w:p w:rsidR="00EA4985" w:rsidRPr="000C3892" w:rsidRDefault="00EA4985" w:rsidP="00EA4985">
            <w:pPr>
              <w:jc w:val="center"/>
              <w:rPr>
                <w:rFonts w:asciiTheme="minorHAnsi" w:hAnsiTheme="minorHAnsi" w:cstheme="minorHAnsi"/>
                <w:b/>
                <w:i/>
                <w:iCs/>
                <w:color w:val="000000"/>
                <w:sz w:val="18"/>
                <w:szCs w:val="18"/>
                <w:lang w:val="fr-FR"/>
              </w:rPr>
            </w:pPr>
            <w:r w:rsidRPr="000C3892">
              <w:rPr>
                <w:rFonts w:asciiTheme="minorHAnsi" w:hAnsiTheme="minorHAnsi" w:cstheme="minorHAnsi"/>
                <w:b/>
                <w:i/>
                <w:iCs/>
                <w:color w:val="000000"/>
                <w:sz w:val="18"/>
                <w:szCs w:val="18"/>
                <w:lang w:val="fr-CA"/>
              </w:rPr>
              <w:t>% total</w:t>
            </w:r>
          </w:p>
        </w:tc>
      </w:tr>
      <w:tr w:rsidR="00EA4985" w:rsidRPr="005A3F7B" w:rsidTr="000C3892">
        <w:trPr>
          <w:trHeight w:val="166"/>
          <w:jc w:val="center"/>
        </w:trPr>
        <w:tc>
          <w:tcPr>
            <w:tcW w:w="3883" w:type="dxa"/>
            <w:shd w:val="clear" w:color="auto" w:fill="auto"/>
            <w:vAlign w:val="center"/>
            <w:hideMark/>
          </w:tcPr>
          <w:p w:rsidR="00EA4985" w:rsidRPr="008E367D" w:rsidRDefault="00EA4985" w:rsidP="00EA4985">
            <w:pPr>
              <w:jc w:val="both"/>
              <w:rPr>
                <w:rFonts w:asciiTheme="minorHAnsi" w:hAnsiTheme="minorHAnsi" w:cstheme="minorHAnsi"/>
                <w:color w:val="000000"/>
                <w:sz w:val="18"/>
                <w:szCs w:val="18"/>
                <w:lang w:val="fr-FR"/>
              </w:rPr>
            </w:pPr>
            <w:r w:rsidRPr="008E367D">
              <w:rPr>
                <w:rFonts w:asciiTheme="minorHAnsi" w:hAnsiTheme="minorHAnsi" w:cstheme="minorHAnsi"/>
                <w:color w:val="000000"/>
                <w:sz w:val="18"/>
                <w:szCs w:val="18"/>
                <w:lang w:val="fr-CA"/>
              </w:rPr>
              <w:t>Nombre total d’activités prévu dans le document de projet :</w:t>
            </w:r>
          </w:p>
        </w:tc>
        <w:tc>
          <w:tcPr>
            <w:tcW w:w="1026" w:type="dxa"/>
            <w:shd w:val="clear" w:color="auto" w:fill="auto"/>
            <w:vAlign w:val="center"/>
            <w:hideMark/>
          </w:tcPr>
          <w:p w:rsidR="00EA4985" w:rsidRPr="008E367D" w:rsidRDefault="00EA4985" w:rsidP="00EA4985">
            <w:pPr>
              <w:jc w:val="center"/>
              <w:rPr>
                <w:rFonts w:asciiTheme="minorHAnsi" w:hAnsiTheme="minorHAnsi" w:cstheme="minorHAnsi"/>
                <w:color w:val="000000"/>
                <w:sz w:val="18"/>
                <w:szCs w:val="18"/>
                <w:lang w:val="fr-FR"/>
              </w:rPr>
            </w:pPr>
            <w:r w:rsidRPr="008E367D">
              <w:rPr>
                <w:rFonts w:asciiTheme="minorHAnsi" w:hAnsiTheme="minorHAnsi" w:cstheme="minorHAnsi"/>
                <w:color w:val="000000"/>
                <w:sz w:val="18"/>
                <w:szCs w:val="18"/>
                <w:lang w:val="fr-CA"/>
              </w:rPr>
              <w:t>36</w:t>
            </w:r>
          </w:p>
        </w:tc>
        <w:tc>
          <w:tcPr>
            <w:tcW w:w="1270" w:type="dxa"/>
            <w:shd w:val="clear" w:color="auto" w:fill="auto"/>
            <w:vAlign w:val="center"/>
            <w:hideMark/>
          </w:tcPr>
          <w:p w:rsidR="00EA4985" w:rsidRPr="008E367D" w:rsidRDefault="00EA4985" w:rsidP="00EA4985">
            <w:pPr>
              <w:jc w:val="center"/>
              <w:rPr>
                <w:rFonts w:asciiTheme="minorHAnsi" w:hAnsiTheme="minorHAnsi" w:cstheme="minorHAnsi"/>
                <w:i/>
                <w:iCs/>
                <w:color w:val="000000"/>
                <w:sz w:val="18"/>
                <w:szCs w:val="18"/>
                <w:lang w:val="fr-FR"/>
              </w:rPr>
            </w:pPr>
            <w:r w:rsidRPr="008E367D">
              <w:rPr>
                <w:rFonts w:asciiTheme="minorHAnsi" w:hAnsiTheme="minorHAnsi" w:cstheme="minorHAnsi"/>
                <w:i/>
                <w:iCs/>
                <w:color w:val="000000"/>
                <w:sz w:val="18"/>
                <w:szCs w:val="18"/>
                <w:lang w:val="fr-CA"/>
              </w:rPr>
              <w:t> </w:t>
            </w:r>
          </w:p>
        </w:tc>
      </w:tr>
      <w:tr w:rsidR="00EA4985" w:rsidRPr="005A3F7B" w:rsidTr="000C3892">
        <w:trPr>
          <w:trHeight w:val="211"/>
          <w:jc w:val="center"/>
        </w:trPr>
        <w:tc>
          <w:tcPr>
            <w:tcW w:w="3883" w:type="dxa"/>
            <w:shd w:val="clear" w:color="auto" w:fill="auto"/>
            <w:vAlign w:val="center"/>
            <w:hideMark/>
          </w:tcPr>
          <w:p w:rsidR="00EA4985" w:rsidRPr="008E367D" w:rsidRDefault="00EA4985" w:rsidP="00EA4985">
            <w:pPr>
              <w:jc w:val="both"/>
              <w:rPr>
                <w:rFonts w:asciiTheme="minorHAnsi" w:hAnsiTheme="minorHAnsi" w:cstheme="minorHAnsi"/>
                <w:color w:val="000000"/>
                <w:sz w:val="18"/>
                <w:szCs w:val="18"/>
                <w:lang w:val="fr-FR"/>
              </w:rPr>
            </w:pPr>
            <w:r w:rsidRPr="008E367D">
              <w:rPr>
                <w:rFonts w:asciiTheme="minorHAnsi" w:hAnsiTheme="minorHAnsi" w:cstheme="minorHAnsi"/>
                <w:color w:val="000000"/>
                <w:sz w:val="18"/>
                <w:szCs w:val="18"/>
                <w:lang w:val="fr-CA"/>
              </w:rPr>
              <w:t>Activités/Produits déjà réalisés :</w:t>
            </w:r>
          </w:p>
        </w:tc>
        <w:tc>
          <w:tcPr>
            <w:tcW w:w="1026" w:type="dxa"/>
            <w:shd w:val="clear" w:color="auto" w:fill="auto"/>
            <w:vAlign w:val="center"/>
            <w:hideMark/>
          </w:tcPr>
          <w:p w:rsidR="00EA4985" w:rsidRPr="008E367D" w:rsidRDefault="00EA4985" w:rsidP="00EA4985">
            <w:pPr>
              <w:jc w:val="center"/>
              <w:rPr>
                <w:rFonts w:asciiTheme="minorHAnsi" w:hAnsiTheme="minorHAnsi" w:cstheme="minorHAnsi"/>
                <w:color w:val="000000"/>
                <w:sz w:val="18"/>
                <w:szCs w:val="18"/>
                <w:lang w:val="fr-FR"/>
              </w:rPr>
            </w:pPr>
            <w:r w:rsidRPr="008E367D">
              <w:rPr>
                <w:rFonts w:asciiTheme="minorHAnsi" w:hAnsiTheme="minorHAnsi" w:cstheme="minorHAnsi"/>
                <w:color w:val="000000"/>
                <w:sz w:val="18"/>
                <w:szCs w:val="18"/>
                <w:lang w:val="fr-CA"/>
              </w:rPr>
              <w:t>2</w:t>
            </w:r>
          </w:p>
        </w:tc>
        <w:tc>
          <w:tcPr>
            <w:tcW w:w="1270" w:type="dxa"/>
            <w:shd w:val="clear" w:color="auto" w:fill="auto"/>
            <w:vAlign w:val="center"/>
            <w:hideMark/>
          </w:tcPr>
          <w:p w:rsidR="00EA4985" w:rsidRPr="008E367D" w:rsidRDefault="00EA4985" w:rsidP="00EA4985">
            <w:pPr>
              <w:jc w:val="center"/>
              <w:rPr>
                <w:rFonts w:asciiTheme="minorHAnsi" w:hAnsiTheme="minorHAnsi" w:cstheme="minorHAnsi"/>
                <w:i/>
                <w:iCs/>
                <w:color w:val="000000"/>
                <w:sz w:val="18"/>
                <w:szCs w:val="18"/>
                <w:lang w:val="fr-FR"/>
              </w:rPr>
            </w:pPr>
            <w:r w:rsidRPr="008E367D">
              <w:rPr>
                <w:rFonts w:asciiTheme="minorHAnsi" w:hAnsiTheme="minorHAnsi" w:cstheme="minorHAnsi"/>
                <w:i/>
                <w:iCs/>
                <w:color w:val="000000"/>
                <w:sz w:val="18"/>
                <w:szCs w:val="18"/>
                <w:lang w:val="fr-CA"/>
              </w:rPr>
              <w:t>6%</w:t>
            </w:r>
          </w:p>
        </w:tc>
      </w:tr>
      <w:tr w:rsidR="00EA4985" w:rsidRPr="005A3F7B" w:rsidTr="000C3892">
        <w:trPr>
          <w:trHeight w:val="184"/>
          <w:jc w:val="center"/>
        </w:trPr>
        <w:tc>
          <w:tcPr>
            <w:tcW w:w="3883" w:type="dxa"/>
            <w:shd w:val="clear" w:color="auto" w:fill="auto"/>
            <w:vAlign w:val="center"/>
            <w:hideMark/>
          </w:tcPr>
          <w:p w:rsidR="00EA4985" w:rsidRPr="008E367D" w:rsidRDefault="00EA4985" w:rsidP="00EA4985">
            <w:pPr>
              <w:jc w:val="both"/>
              <w:rPr>
                <w:rFonts w:asciiTheme="minorHAnsi" w:hAnsiTheme="minorHAnsi" w:cstheme="minorHAnsi"/>
                <w:color w:val="000000"/>
                <w:sz w:val="18"/>
                <w:szCs w:val="18"/>
                <w:lang w:val="fr-FR"/>
              </w:rPr>
            </w:pPr>
            <w:r w:rsidRPr="008E367D">
              <w:rPr>
                <w:rFonts w:asciiTheme="minorHAnsi" w:hAnsiTheme="minorHAnsi" w:cstheme="minorHAnsi"/>
                <w:color w:val="000000"/>
                <w:sz w:val="18"/>
                <w:szCs w:val="18"/>
                <w:lang w:val="fr-CA"/>
              </w:rPr>
              <w:t>Activités/Produits en cours de réalisation :</w:t>
            </w:r>
          </w:p>
        </w:tc>
        <w:tc>
          <w:tcPr>
            <w:tcW w:w="1026" w:type="dxa"/>
            <w:shd w:val="clear" w:color="auto" w:fill="auto"/>
            <w:vAlign w:val="center"/>
            <w:hideMark/>
          </w:tcPr>
          <w:p w:rsidR="00EA4985" w:rsidRPr="008E367D" w:rsidRDefault="00EA4985" w:rsidP="00EA4985">
            <w:pPr>
              <w:jc w:val="center"/>
              <w:rPr>
                <w:rFonts w:asciiTheme="minorHAnsi" w:hAnsiTheme="minorHAnsi" w:cstheme="minorHAnsi"/>
                <w:color w:val="000000"/>
                <w:sz w:val="18"/>
                <w:szCs w:val="18"/>
                <w:lang w:val="fr-FR"/>
              </w:rPr>
            </w:pPr>
            <w:r w:rsidRPr="008E367D">
              <w:rPr>
                <w:rFonts w:asciiTheme="minorHAnsi" w:hAnsiTheme="minorHAnsi" w:cstheme="minorHAnsi"/>
                <w:color w:val="000000"/>
                <w:sz w:val="18"/>
                <w:szCs w:val="18"/>
                <w:lang w:val="fr-CA"/>
              </w:rPr>
              <w:t>9</w:t>
            </w:r>
          </w:p>
        </w:tc>
        <w:tc>
          <w:tcPr>
            <w:tcW w:w="1270" w:type="dxa"/>
            <w:shd w:val="clear" w:color="auto" w:fill="auto"/>
            <w:vAlign w:val="center"/>
            <w:hideMark/>
          </w:tcPr>
          <w:p w:rsidR="00EA4985" w:rsidRPr="008E367D" w:rsidRDefault="00EA4985" w:rsidP="00EA4985">
            <w:pPr>
              <w:jc w:val="center"/>
              <w:rPr>
                <w:rFonts w:asciiTheme="minorHAnsi" w:hAnsiTheme="minorHAnsi" w:cstheme="minorHAnsi"/>
                <w:i/>
                <w:iCs/>
                <w:color w:val="000000"/>
                <w:sz w:val="18"/>
                <w:szCs w:val="18"/>
                <w:lang w:val="fr-FR"/>
              </w:rPr>
            </w:pPr>
            <w:r w:rsidRPr="008E367D">
              <w:rPr>
                <w:rFonts w:asciiTheme="minorHAnsi" w:hAnsiTheme="minorHAnsi" w:cstheme="minorHAnsi"/>
                <w:i/>
                <w:iCs/>
                <w:color w:val="000000"/>
                <w:sz w:val="18"/>
                <w:szCs w:val="18"/>
                <w:lang w:val="fr-CA"/>
              </w:rPr>
              <w:t>25%</w:t>
            </w:r>
          </w:p>
        </w:tc>
      </w:tr>
      <w:tr w:rsidR="00EA4985" w:rsidRPr="00394684" w:rsidTr="000C3892">
        <w:trPr>
          <w:trHeight w:val="79"/>
          <w:jc w:val="center"/>
        </w:trPr>
        <w:tc>
          <w:tcPr>
            <w:tcW w:w="3883" w:type="dxa"/>
            <w:shd w:val="clear" w:color="auto" w:fill="auto"/>
            <w:vAlign w:val="center"/>
            <w:hideMark/>
          </w:tcPr>
          <w:p w:rsidR="00EA4985" w:rsidRPr="008E367D" w:rsidRDefault="00EA4985" w:rsidP="00EA4985">
            <w:pPr>
              <w:jc w:val="both"/>
              <w:rPr>
                <w:rFonts w:asciiTheme="minorHAnsi" w:hAnsiTheme="minorHAnsi" w:cstheme="minorHAnsi"/>
                <w:color w:val="000000"/>
                <w:sz w:val="18"/>
                <w:szCs w:val="18"/>
              </w:rPr>
            </w:pPr>
            <w:r w:rsidRPr="008E367D">
              <w:rPr>
                <w:rFonts w:asciiTheme="minorHAnsi" w:hAnsiTheme="minorHAnsi" w:cstheme="minorHAnsi"/>
                <w:color w:val="000000"/>
                <w:sz w:val="18"/>
                <w:szCs w:val="18"/>
                <w:lang w:val="fr-CA"/>
              </w:rPr>
              <w:t>Activités non démarrées:</w:t>
            </w:r>
          </w:p>
        </w:tc>
        <w:tc>
          <w:tcPr>
            <w:tcW w:w="1026" w:type="dxa"/>
            <w:shd w:val="clear" w:color="auto" w:fill="auto"/>
            <w:vAlign w:val="center"/>
            <w:hideMark/>
          </w:tcPr>
          <w:p w:rsidR="00EA4985" w:rsidRPr="008E367D" w:rsidRDefault="00EA4985" w:rsidP="00EA4985">
            <w:pPr>
              <w:jc w:val="center"/>
              <w:rPr>
                <w:rFonts w:asciiTheme="minorHAnsi" w:hAnsiTheme="minorHAnsi" w:cstheme="minorHAnsi"/>
                <w:color w:val="000000"/>
                <w:sz w:val="18"/>
                <w:szCs w:val="18"/>
              </w:rPr>
            </w:pPr>
            <w:r w:rsidRPr="008E367D">
              <w:rPr>
                <w:rFonts w:asciiTheme="minorHAnsi" w:hAnsiTheme="minorHAnsi" w:cstheme="minorHAnsi"/>
                <w:color w:val="000000"/>
                <w:sz w:val="18"/>
                <w:szCs w:val="18"/>
                <w:lang w:val="fr-CA"/>
              </w:rPr>
              <w:t>25</w:t>
            </w:r>
          </w:p>
        </w:tc>
        <w:tc>
          <w:tcPr>
            <w:tcW w:w="1270" w:type="dxa"/>
            <w:shd w:val="clear" w:color="auto" w:fill="auto"/>
            <w:vAlign w:val="center"/>
            <w:hideMark/>
          </w:tcPr>
          <w:p w:rsidR="00EA4985" w:rsidRPr="008E367D" w:rsidRDefault="00EA4985" w:rsidP="00EA4985">
            <w:pPr>
              <w:jc w:val="center"/>
              <w:rPr>
                <w:rFonts w:asciiTheme="minorHAnsi" w:hAnsiTheme="minorHAnsi" w:cstheme="minorHAnsi"/>
                <w:i/>
                <w:iCs/>
                <w:color w:val="000000"/>
                <w:sz w:val="18"/>
                <w:szCs w:val="18"/>
              </w:rPr>
            </w:pPr>
            <w:r w:rsidRPr="008E367D">
              <w:rPr>
                <w:rFonts w:asciiTheme="minorHAnsi" w:hAnsiTheme="minorHAnsi" w:cstheme="minorHAnsi"/>
                <w:i/>
                <w:iCs/>
                <w:color w:val="000000"/>
                <w:sz w:val="18"/>
                <w:szCs w:val="18"/>
                <w:lang w:val="fr-CA"/>
              </w:rPr>
              <w:t>69%</w:t>
            </w:r>
          </w:p>
        </w:tc>
      </w:tr>
      <w:tr w:rsidR="00EA4985" w:rsidRPr="00394684" w:rsidTr="000C3892">
        <w:trPr>
          <w:trHeight w:val="300"/>
          <w:jc w:val="center"/>
        </w:trPr>
        <w:tc>
          <w:tcPr>
            <w:tcW w:w="3883" w:type="dxa"/>
            <w:shd w:val="clear" w:color="auto" w:fill="auto"/>
            <w:vAlign w:val="center"/>
            <w:hideMark/>
          </w:tcPr>
          <w:p w:rsidR="00EA4985" w:rsidRPr="008E367D" w:rsidRDefault="00EA4985" w:rsidP="00EA4985">
            <w:pPr>
              <w:rPr>
                <w:rFonts w:asciiTheme="minorHAnsi" w:hAnsiTheme="minorHAnsi" w:cstheme="minorHAnsi"/>
                <w:i/>
                <w:iCs/>
                <w:color w:val="000000"/>
                <w:sz w:val="18"/>
                <w:szCs w:val="18"/>
                <w:lang w:val="fr-FR"/>
              </w:rPr>
            </w:pPr>
            <w:r w:rsidRPr="008E367D">
              <w:rPr>
                <w:rFonts w:asciiTheme="minorHAnsi" w:hAnsiTheme="minorHAnsi" w:cstheme="minorHAnsi"/>
                <w:i/>
                <w:iCs/>
                <w:color w:val="000000"/>
                <w:sz w:val="18"/>
                <w:szCs w:val="18"/>
                <w:lang w:val="fr-CA"/>
              </w:rPr>
              <w:t xml:space="preserve"> - Dont activités en état de préparation avancée :</w:t>
            </w:r>
          </w:p>
        </w:tc>
        <w:tc>
          <w:tcPr>
            <w:tcW w:w="1026" w:type="dxa"/>
            <w:shd w:val="clear" w:color="auto" w:fill="auto"/>
            <w:vAlign w:val="center"/>
            <w:hideMark/>
          </w:tcPr>
          <w:p w:rsidR="00EA4985" w:rsidRPr="008E367D" w:rsidRDefault="00EA4985" w:rsidP="00EA4985">
            <w:pPr>
              <w:ind w:left="708"/>
              <w:jc w:val="center"/>
              <w:rPr>
                <w:rFonts w:asciiTheme="minorHAnsi" w:hAnsiTheme="minorHAnsi" w:cstheme="minorHAnsi"/>
                <w:i/>
                <w:iCs/>
                <w:color w:val="000000"/>
                <w:sz w:val="18"/>
                <w:szCs w:val="18"/>
              </w:rPr>
            </w:pPr>
            <w:r w:rsidRPr="008E367D">
              <w:rPr>
                <w:rFonts w:asciiTheme="minorHAnsi" w:hAnsiTheme="minorHAnsi" w:cstheme="minorHAnsi"/>
                <w:i/>
                <w:iCs/>
                <w:color w:val="000000"/>
                <w:sz w:val="18"/>
                <w:szCs w:val="18"/>
                <w:lang w:val="fr-CA"/>
              </w:rPr>
              <w:t>6</w:t>
            </w:r>
          </w:p>
        </w:tc>
        <w:tc>
          <w:tcPr>
            <w:tcW w:w="1270" w:type="dxa"/>
            <w:shd w:val="clear" w:color="auto" w:fill="auto"/>
            <w:vAlign w:val="center"/>
            <w:hideMark/>
          </w:tcPr>
          <w:p w:rsidR="00EA4985" w:rsidRPr="008E367D" w:rsidRDefault="00EA4985" w:rsidP="00EA4985">
            <w:pPr>
              <w:ind w:left="708"/>
              <w:jc w:val="center"/>
              <w:rPr>
                <w:rFonts w:asciiTheme="minorHAnsi" w:hAnsiTheme="minorHAnsi" w:cstheme="minorHAnsi"/>
                <w:i/>
                <w:iCs/>
                <w:color w:val="000000"/>
                <w:sz w:val="18"/>
                <w:szCs w:val="18"/>
              </w:rPr>
            </w:pPr>
            <w:r w:rsidRPr="008E367D">
              <w:rPr>
                <w:rFonts w:asciiTheme="minorHAnsi" w:hAnsiTheme="minorHAnsi" w:cstheme="minorHAnsi"/>
                <w:i/>
                <w:iCs/>
                <w:color w:val="000000"/>
                <w:sz w:val="18"/>
                <w:szCs w:val="18"/>
                <w:lang w:val="fr-CA"/>
              </w:rPr>
              <w:t>24%</w:t>
            </w:r>
          </w:p>
        </w:tc>
      </w:tr>
      <w:tr w:rsidR="00EA4985" w:rsidRPr="00394684" w:rsidTr="000C3892">
        <w:trPr>
          <w:trHeight w:val="89"/>
          <w:jc w:val="center"/>
        </w:trPr>
        <w:tc>
          <w:tcPr>
            <w:tcW w:w="3883" w:type="dxa"/>
            <w:shd w:val="clear" w:color="auto" w:fill="auto"/>
            <w:vAlign w:val="center"/>
            <w:hideMark/>
          </w:tcPr>
          <w:p w:rsidR="00EA4985" w:rsidRPr="008E367D" w:rsidRDefault="00EA4985" w:rsidP="00EA4985">
            <w:pPr>
              <w:rPr>
                <w:rFonts w:asciiTheme="minorHAnsi" w:hAnsiTheme="minorHAnsi" w:cstheme="minorHAnsi"/>
                <w:i/>
                <w:iCs/>
                <w:color w:val="000000"/>
                <w:sz w:val="18"/>
                <w:szCs w:val="18"/>
                <w:lang w:val="fr-CA"/>
              </w:rPr>
            </w:pPr>
            <w:r w:rsidRPr="008E367D">
              <w:rPr>
                <w:rFonts w:asciiTheme="minorHAnsi" w:hAnsiTheme="minorHAnsi" w:cstheme="minorHAnsi"/>
                <w:i/>
                <w:iCs/>
                <w:color w:val="000000"/>
                <w:sz w:val="18"/>
                <w:szCs w:val="18"/>
                <w:lang w:val="fr-CA"/>
              </w:rPr>
              <w:t xml:space="preserve"> - Dont activités au point mort :</w:t>
            </w:r>
          </w:p>
        </w:tc>
        <w:tc>
          <w:tcPr>
            <w:tcW w:w="1026" w:type="dxa"/>
            <w:shd w:val="clear" w:color="auto" w:fill="auto"/>
            <w:vAlign w:val="center"/>
            <w:hideMark/>
          </w:tcPr>
          <w:p w:rsidR="00EA4985" w:rsidRPr="008E367D" w:rsidRDefault="00EA4985" w:rsidP="00EA4985">
            <w:pPr>
              <w:ind w:left="798" w:hanging="90"/>
              <w:jc w:val="center"/>
              <w:rPr>
                <w:rFonts w:asciiTheme="minorHAnsi" w:hAnsiTheme="minorHAnsi" w:cstheme="minorHAnsi"/>
                <w:i/>
                <w:iCs/>
                <w:color w:val="000000"/>
                <w:sz w:val="18"/>
                <w:szCs w:val="18"/>
                <w:lang w:val="fr-CA"/>
              </w:rPr>
            </w:pPr>
            <w:r w:rsidRPr="008E367D">
              <w:rPr>
                <w:rFonts w:asciiTheme="minorHAnsi" w:hAnsiTheme="minorHAnsi" w:cstheme="minorHAnsi"/>
                <w:i/>
                <w:iCs/>
                <w:color w:val="000000"/>
                <w:sz w:val="18"/>
                <w:szCs w:val="18"/>
                <w:lang w:val="fr-CA"/>
              </w:rPr>
              <w:t>2</w:t>
            </w:r>
          </w:p>
        </w:tc>
        <w:tc>
          <w:tcPr>
            <w:tcW w:w="1270" w:type="dxa"/>
            <w:shd w:val="clear" w:color="auto" w:fill="auto"/>
            <w:vAlign w:val="center"/>
            <w:hideMark/>
          </w:tcPr>
          <w:p w:rsidR="00EA4985" w:rsidRPr="008E367D" w:rsidRDefault="00EA4985" w:rsidP="00EA4985">
            <w:pPr>
              <w:ind w:left="708"/>
              <w:jc w:val="center"/>
              <w:rPr>
                <w:rFonts w:asciiTheme="minorHAnsi" w:hAnsiTheme="minorHAnsi" w:cstheme="minorHAnsi"/>
                <w:i/>
                <w:iCs/>
                <w:color w:val="000000"/>
                <w:sz w:val="18"/>
                <w:szCs w:val="18"/>
              </w:rPr>
            </w:pPr>
            <w:r w:rsidRPr="008E367D">
              <w:rPr>
                <w:rFonts w:asciiTheme="minorHAnsi" w:hAnsiTheme="minorHAnsi" w:cstheme="minorHAnsi"/>
                <w:i/>
                <w:iCs/>
                <w:color w:val="000000"/>
                <w:sz w:val="18"/>
                <w:szCs w:val="18"/>
              </w:rPr>
              <w:t>8%</w:t>
            </w:r>
          </w:p>
        </w:tc>
      </w:tr>
    </w:tbl>
    <w:p w:rsidR="00CD04C7" w:rsidRDefault="00E07DC6" w:rsidP="00123C70">
      <w:pPr>
        <w:pStyle w:val="NoSpacing"/>
        <w:numPr>
          <w:ilvl w:val="0"/>
          <w:numId w:val="1"/>
        </w:numPr>
        <w:ind w:left="0" w:firstLine="0"/>
        <w:rPr>
          <w:lang w:val="fr-CA"/>
        </w:rPr>
      </w:pPr>
      <w:r>
        <w:rPr>
          <w:lang w:val="fr-CA"/>
        </w:rPr>
        <w:t>Même si le taux de décaissement global n’est qu’un indicateur imparfait de l’état général d’avancement, il n’en demeure pas moins qu’à</w:t>
      </w:r>
      <w:r w:rsidR="00CD04C7">
        <w:rPr>
          <w:lang w:val="fr-CA"/>
        </w:rPr>
        <w:t xml:space="preserve"> </w:t>
      </w:r>
      <w:r w:rsidR="00CD04C7" w:rsidRPr="00EA4985">
        <w:rPr>
          <w:lang w:val="fr-CA"/>
        </w:rPr>
        <w:t>treize mois de la clôture prévue</w:t>
      </w:r>
      <w:r w:rsidR="00CD04C7">
        <w:rPr>
          <w:lang w:val="fr-CA"/>
        </w:rPr>
        <w:t xml:space="preserve"> du programme, ce bilan est très insatisfaisant et reflète </w:t>
      </w:r>
      <w:r>
        <w:rPr>
          <w:lang w:val="fr-CA"/>
        </w:rPr>
        <w:t>au minimum le grand</w:t>
      </w:r>
      <w:r w:rsidR="00CD04C7">
        <w:rPr>
          <w:lang w:val="fr-CA"/>
        </w:rPr>
        <w:t xml:space="preserve"> retard accumulé dans le calendrier initial d’exécution. Pour le Fonds-OMD comme le </w:t>
      </w:r>
      <w:r w:rsidR="00CD04C7" w:rsidRPr="00123C70">
        <w:rPr>
          <w:lang w:val="fr-FR"/>
        </w:rPr>
        <w:t>gouvernement</w:t>
      </w:r>
      <w:r w:rsidR="00CD04C7">
        <w:rPr>
          <w:lang w:val="fr-CA"/>
        </w:rPr>
        <w:t xml:space="preserve"> espagnol, ce retard considérable est une source de vive préoccupation. Pour certains partenaires, en revanche, le décompte mécanique et </w:t>
      </w:r>
      <w:r w:rsidR="00CD04C7" w:rsidRPr="000C666A">
        <w:rPr>
          <w:lang w:val="fr-FR"/>
        </w:rPr>
        <w:t>quantitatif</w:t>
      </w:r>
      <w:r w:rsidR="00CD04C7">
        <w:rPr>
          <w:lang w:val="fr-CA"/>
        </w:rPr>
        <w:t xml:space="preserve"> du nombre de produits pleinement réalisés et d’activités en cours ne fait pas honneur au travail considérable de préparation et de discussions que suppose le démarrage d’une activité donnée. De surcroît, ce travail invisible - mais néanmoins jugé indispensable pour établir de solides fondations à toutes les  activités -  ne nécessite d’autres intrants que le temps passé en réunions ou ateliers de réflexion. Il n’est donc aucu</w:t>
      </w:r>
      <w:r w:rsidR="000C3892">
        <w:rPr>
          <w:lang w:val="fr-CA"/>
        </w:rPr>
        <w:t>ne</w:t>
      </w:r>
      <w:r w:rsidR="00CD04C7">
        <w:rPr>
          <w:lang w:val="fr-CA"/>
        </w:rPr>
        <w:t>ment reflété au niveau du taux d’exécution budgétaire.</w:t>
      </w:r>
    </w:p>
    <w:p w:rsidR="00E44983" w:rsidRPr="00E44983" w:rsidRDefault="000C3892" w:rsidP="00CD04C7">
      <w:pPr>
        <w:pStyle w:val="NoSpacing"/>
        <w:numPr>
          <w:ilvl w:val="0"/>
          <w:numId w:val="1"/>
        </w:numPr>
        <w:ind w:left="0" w:firstLine="0"/>
        <w:rPr>
          <w:lang w:val="fr-CA"/>
        </w:rPr>
      </w:pPr>
      <w:r w:rsidRPr="007B3E95">
        <w:rPr>
          <w:lang w:val="fr-FR"/>
        </w:rPr>
        <w:t>Déjà, e</w:t>
      </w:r>
      <w:r w:rsidR="00CD04C7" w:rsidRPr="007B3E95">
        <w:rPr>
          <w:lang w:val="fr-FR"/>
        </w:rPr>
        <w:t>n janvier 2010, l</w:t>
      </w:r>
      <w:r w:rsidRPr="007B3E95">
        <w:rPr>
          <w:lang w:val="fr-FR"/>
        </w:rPr>
        <w:t xml:space="preserve">’évaluation </w:t>
      </w:r>
      <w:r w:rsidR="007B3E95" w:rsidRPr="007B3E95">
        <w:rPr>
          <w:lang w:val="fr-FR"/>
        </w:rPr>
        <w:t xml:space="preserve">du programme de pays du PNUD qui notait le retard considérable pris pour la formulation et le démarrage du programme conjoint, </w:t>
      </w:r>
      <w:r w:rsidRPr="007B3E95">
        <w:rPr>
          <w:lang w:val="fr-FR"/>
        </w:rPr>
        <w:t xml:space="preserve">prévoyait </w:t>
      </w:r>
      <w:r w:rsidR="007B3E95" w:rsidRPr="007B3E95">
        <w:rPr>
          <w:lang w:val="fr-FR"/>
        </w:rPr>
        <w:t>qu’</w:t>
      </w:r>
      <w:r w:rsidR="007B3E95" w:rsidRPr="007B3E95">
        <w:rPr>
          <w:lang w:val="fr-CA"/>
        </w:rPr>
        <w:t>il serait difficile de mettre en œuvre un programme « </w:t>
      </w:r>
      <w:r w:rsidR="00CD04C7" w:rsidRPr="007B3E95">
        <w:rPr>
          <w:i/>
          <w:lang w:val="fr-FR"/>
        </w:rPr>
        <w:t>dont les objectifs sont très ambitieux mais dont les capacités nécessaires à l</w:t>
      </w:r>
      <w:r w:rsidRPr="007B3E95">
        <w:rPr>
          <w:i/>
          <w:lang w:val="fr-FR"/>
        </w:rPr>
        <w:t>a</w:t>
      </w:r>
      <w:r w:rsidR="00CD04C7" w:rsidRPr="007B3E95">
        <w:rPr>
          <w:i/>
          <w:lang w:val="fr-FR"/>
        </w:rPr>
        <w:t xml:space="preserve"> mise en œuvre sont limitées et </w:t>
      </w:r>
      <w:r w:rsidR="007B3E95" w:rsidRPr="007B3E95">
        <w:rPr>
          <w:i/>
          <w:lang w:val="fr-FR"/>
        </w:rPr>
        <w:t xml:space="preserve">qui auraient dû </w:t>
      </w:r>
      <w:r w:rsidR="00CD04C7" w:rsidRPr="007B3E95">
        <w:rPr>
          <w:i/>
          <w:lang w:val="fr-FR"/>
        </w:rPr>
        <w:t xml:space="preserve">être évaluées avec précision avant </w:t>
      </w:r>
      <w:r w:rsidR="007B3E95" w:rsidRPr="007B3E95">
        <w:rPr>
          <w:i/>
          <w:lang w:val="fr-FR"/>
        </w:rPr>
        <w:t>que le</w:t>
      </w:r>
      <w:r w:rsidR="00CD04C7" w:rsidRPr="007B3E95">
        <w:rPr>
          <w:i/>
          <w:lang w:val="fr-FR"/>
        </w:rPr>
        <w:t xml:space="preserve"> d</w:t>
      </w:r>
      <w:r w:rsidR="007B3E95" w:rsidRPr="007B3E95">
        <w:rPr>
          <w:i/>
          <w:lang w:val="fr-FR"/>
        </w:rPr>
        <w:t>ocument</w:t>
      </w:r>
      <w:r w:rsidR="00CD04C7" w:rsidRPr="007B3E95">
        <w:rPr>
          <w:i/>
          <w:lang w:val="fr-FR"/>
        </w:rPr>
        <w:t xml:space="preserve"> de projet</w:t>
      </w:r>
      <w:r w:rsidR="007B3E95" w:rsidRPr="007B3E95">
        <w:rPr>
          <w:i/>
          <w:lang w:val="fr-FR"/>
        </w:rPr>
        <w:t xml:space="preserve"> ne soit signé</w:t>
      </w:r>
      <w:r w:rsidR="00CD04C7" w:rsidRPr="007B3E95">
        <w:rPr>
          <w:lang w:val="fr-FR"/>
        </w:rPr>
        <w:t> »</w:t>
      </w:r>
      <w:r w:rsidR="007B3E95" w:rsidRPr="007B3E95">
        <w:rPr>
          <w:lang w:val="fr-FR"/>
        </w:rPr>
        <w:t>.</w:t>
      </w:r>
      <w:r w:rsidR="00CD04C7" w:rsidRPr="007B3E95">
        <w:rPr>
          <w:lang w:val="fr-FR"/>
        </w:rPr>
        <w:t xml:space="preserve"> </w:t>
      </w:r>
      <w:r w:rsidR="007B3E95" w:rsidRPr="007B3E95">
        <w:rPr>
          <w:lang w:val="fr-FR"/>
        </w:rPr>
        <w:t>L’évaluation concluait : « </w:t>
      </w:r>
      <w:r w:rsidR="00CD04C7" w:rsidRPr="007B3E95">
        <w:rPr>
          <w:i/>
          <w:lang w:val="fr-FR"/>
        </w:rPr>
        <w:t xml:space="preserve">Pour les équipes actuelles des agences des Nations Unies, la relance </w:t>
      </w:r>
      <w:r w:rsidR="007B3E95" w:rsidRPr="007B3E95">
        <w:rPr>
          <w:i/>
          <w:lang w:val="fr-FR"/>
        </w:rPr>
        <w:t xml:space="preserve">sera difficile </w:t>
      </w:r>
      <w:r w:rsidR="00CD04C7" w:rsidRPr="007B3E95">
        <w:rPr>
          <w:lang w:val="fr-FR"/>
        </w:rPr>
        <w:t>».</w:t>
      </w:r>
      <w:r w:rsidR="00E44983">
        <w:rPr>
          <w:lang w:val="fr-FR"/>
        </w:rPr>
        <w:t xml:space="preserve"> </w:t>
      </w:r>
    </w:p>
    <w:p w:rsidR="00916838" w:rsidRPr="007B3E95" w:rsidRDefault="0073050D" w:rsidP="00CD04C7">
      <w:pPr>
        <w:pStyle w:val="NoSpacing"/>
        <w:numPr>
          <w:ilvl w:val="0"/>
          <w:numId w:val="1"/>
        </w:numPr>
        <w:ind w:left="0" w:firstLine="0"/>
        <w:rPr>
          <w:lang w:val="fr-CA"/>
        </w:rPr>
      </w:pPr>
      <w:r w:rsidRPr="007B3E95">
        <w:rPr>
          <w:lang w:val="fr-FR"/>
        </w:rPr>
        <w:t>Les</w:t>
      </w:r>
      <w:r w:rsidR="00265029" w:rsidRPr="007B3E95">
        <w:rPr>
          <w:lang w:val="fr-FR"/>
        </w:rPr>
        <w:t xml:space="preserve"> chapitres suivants</w:t>
      </w:r>
      <w:r w:rsidRPr="007B3E95">
        <w:rPr>
          <w:lang w:val="fr-FR"/>
        </w:rPr>
        <w:t xml:space="preserve"> présentent l’état d’avancement exact d</w:t>
      </w:r>
      <w:r w:rsidR="007B3E95" w:rsidRPr="007B3E95">
        <w:rPr>
          <w:lang w:val="fr-FR"/>
        </w:rPr>
        <w:t xml:space="preserve">u programme douze mois après </w:t>
      </w:r>
      <w:r w:rsidR="00E44983">
        <w:rPr>
          <w:lang w:val="fr-FR"/>
        </w:rPr>
        <w:t>ce constat en passant en revue, pour toutes les activités, les actions engagées ou l’état de préparation.</w:t>
      </w:r>
    </w:p>
    <w:p w:rsidR="00E60606" w:rsidRPr="0031650C" w:rsidRDefault="00E60606">
      <w:pPr>
        <w:rPr>
          <w:rFonts w:ascii="Calibri" w:hAnsi="Calibri"/>
          <w:b/>
          <w:color w:val="FF0000"/>
          <w:sz w:val="22"/>
          <w:szCs w:val="22"/>
          <w:lang w:val="fr-CA"/>
        </w:rPr>
      </w:pPr>
    </w:p>
    <w:p w:rsidR="00737BDE" w:rsidRPr="005365E9" w:rsidRDefault="00737BDE" w:rsidP="0038607C">
      <w:pPr>
        <w:pStyle w:val="UNDPTitle1"/>
        <w:numPr>
          <w:ilvl w:val="2"/>
          <w:numId w:val="10"/>
        </w:numPr>
        <w:tabs>
          <w:tab w:val="left" w:pos="900"/>
        </w:tabs>
        <w:ind w:left="900" w:hanging="270"/>
        <w:outlineLvl w:val="2"/>
        <w:rPr>
          <w:i/>
          <w:color w:val="auto"/>
        </w:rPr>
      </w:pPr>
      <w:bookmarkStart w:id="22" w:name="_Toc322342012"/>
      <w:r w:rsidRPr="005365E9">
        <w:rPr>
          <w:i/>
          <w:color w:val="auto"/>
        </w:rPr>
        <w:t xml:space="preserve">Effet 1 – Renforcement du processus de prise de décision équitable en matière de stratégies et </w:t>
      </w:r>
      <w:r w:rsidR="00E44983">
        <w:rPr>
          <w:i/>
          <w:color w:val="auto"/>
        </w:rPr>
        <w:t xml:space="preserve">de </w:t>
      </w:r>
      <w:r w:rsidRPr="005365E9">
        <w:rPr>
          <w:i/>
          <w:color w:val="auto"/>
        </w:rPr>
        <w:t>programmes de développement</w:t>
      </w:r>
      <w:bookmarkEnd w:id="22"/>
    </w:p>
    <w:tbl>
      <w:tblPr>
        <w:tblW w:w="8460" w:type="dxa"/>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737BDE" w:rsidRPr="0052245B" w:rsidTr="00D77088">
        <w:tc>
          <w:tcPr>
            <w:tcW w:w="8460" w:type="dxa"/>
            <w:shd w:val="clear" w:color="auto" w:fill="D9D9D9" w:themeFill="background1" w:themeFillShade="D9"/>
          </w:tcPr>
          <w:p w:rsidR="00737BDE" w:rsidRPr="00E33C66" w:rsidRDefault="00737BDE" w:rsidP="00D77088">
            <w:pPr>
              <w:pStyle w:val="NoSpacing"/>
              <w:ind w:left="252"/>
              <w:rPr>
                <w:rFonts w:cs="Calibri"/>
                <w:b/>
                <w:color w:val="FF0000"/>
                <w:szCs w:val="22"/>
                <w:lang w:val="fr-FR"/>
              </w:rPr>
            </w:pPr>
            <w:r w:rsidRPr="0031650C">
              <w:rPr>
                <w:color w:val="FF0000"/>
                <w:lang w:val="fr-FR"/>
              </w:rPr>
              <w:br w:type="page"/>
            </w:r>
            <w:r w:rsidRPr="00E821D4">
              <w:rPr>
                <w:b/>
                <w:szCs w:val="22"/>
                <w:shd w:val="clear" w:color="auto" w:fill="D9D9D9" w:themeFill="background1" w:themeFillShade="D9"/>
                <w:lang w:val="fr-CA"/>
              </w:rPr>
              <w:t xml:space="preserve">Produit 1. </w:t>
            </w:r>
            <w:r w:rsidRPr="00262A1A">
              <w:rPr>
                <w:rFonts w:asciiTheme="minorHAnsi" w:hAnsiTheme="minorHAnsi" w:cstheme="minorHAnsi"/>
                <w:b/>
                <w:szCs w:val="22"/>
                <w:shd w:val="clear" w:color="auto" w:fill="D9D9D9" w:themeFill="background1" w:themeFillShade="D9"/>
                <w:lang w:val="fr-FR" w:eastAsia="fr-FR"/>
              </w:rPr>
              <w:t>Connaissances, savoirs et données sur le genre produits et diffusés</w:t>
            </w:r>
          </w:p>
        </w:tc>
      </w:tr>
    </w:tbl>
    <w:p w:rsidR="008E367D" w:rsidRDefault="00737BDE" w:rsidP="00123C70">
      <w:pPr>
        <w:pStyle w:val="NoSpacing"/>
        <w:numPr>
          <w:ilvl w:val="0"/>
          <w:numId w:val="1"/>
        </w:numPr>
        <w:ind w:left="0" w:firstLine="0"/>
        <w:rPr>
          <w:lang w:val="fr-CA"/>
        </w:rPr>
      </w:pPr>
      <w:r w:rsidRPr="008E367D">
        <w:rPr>
          <w:lang w:val="fr-CA"/>
        </w:rPr>
        <w:t xml:space="preserve">Afin de répondre au problème soulevé dans le document de projet </w:t>
      </w:r>
      <w:r w:rsidR="00E44983">
        <w:rPr>
          <w:lang w:val="fr-CA"/>
        </w:rPr>
        <w:t>du</w:t>
      </w:r>
      <w:r w:rsidRPr="008E367D">
        <w:rPr>
          <w:lang w:val="fr-CA"/>
        </w:rPr>
        <w:t xml:space="preserve"> manque de données et d’informations sur le genre,</w:t>
      </w:r>
      <w:r w:rsidRPr="0073050D">
        <w:rPr>
          <w:lang w:val="fr-CA"/>
        </w:rPr>
        <w:t xml:space="preserve"> il était prévu que quatre enquêtes ou études soient réalisées. Pour trois d’entre elles (l’audit genre, l’enquête  budget-temps et l’étude de l’impact genre du processus de libéralisation économique), les concepteurs prévoyaient qu’elles serviraient en outre à la </w:t>
      </w:r>
      <w:r w:rsidRPr="00123C70">
        <w:rPr>
          <w:lang w:val="fr-FR"/>
        </w:rPr>
        <w:t>définition</w:t>
      </w:r>
      <w:r w:rsidRPr="0073050D">
        <w:rPr>
          <w:lang w:val="fr-CA"/>
        </w:rPr>
        <w:t xml:space="preserve"> d’autres activités du programme (sans que celles-ci ne soient mentionnées). Il est important de noter que le document de projet ne donne aucun détail sur ces études (par exemple leur portée exacte, les objectifs, les éléments de connaissance à acquérir, etc.) pour ne mentionner que leur intitulé. Une autre difficulté concerne le fait qu’il était prévu qu’au moins trois agences différentes soient impliquées dans la réalisation des études (l’UNFPA, le PNUD, et l’ONUFEMMES), alors qu’il aurait sans </w:t>
      </w:r>
      <w:r w:rsidRPr="0073050D">
        <w:rPr>
          <w:lang w:val="fr-CA"/>
        </w:rPr>
        <w:lastRenderedPageBreak/>
        <w:t>doute été préférable, dans un souci de cohérence, qu’une agence unique soit chargée de l’exécution en fonction de son expertise et de sa valeur ajoutée.</w:t>
      </w:r>
    </w:p>
    <w:p w:rsidR="008E367D" w:rsidRDefault="00737BDE" w:rsidP="00123C70">
      <w:pPr>
        <w:pStyle w:val="NoSpacing"/>
        <w:numPr>
          <w:ilvl w:val="0"/>
          <w:numId w:val="1"/>
        </w:numPr>
        <w:ind w:left="0" w:firstLine="0"/>
        <w:rPr>
          <w:lang w:val="fr-CA"/>
        </w:rPr>
      </w:pPr>
      <w:r w:rsidRPr="008E367D">
        <w:rPr>
          <w:b/>
          <w:lang w:val="fr-CA"/>
        </w:rPr>
        <w:t>Audit Genre (A1) :</w:t>
      </w:r>
      <w:r w:rsidRPr="008E367D">
        <w:rPr>
          <w:lang w:val="fr-CA"/>
        </w:rPr>
        <w:t xml:space="preserve"> Après une longue période de maturation et de réflexion sur les objectifs de de cet « audit », la première version des Termes de Référence (TdR) fut produite par </w:t>
      </w:r>
      <w:r w:rsidR="00E44983">
        <w:rPr>
          <w:lang w:val="fr-CA"/>
        </w:rPr>
        <w:t>l’UNFPA</w:t>
      </w:r>
      <w:r w:rsidRPr="008E367D">
        <w:rPr>
          <w:lang w:val="fr-CA"/>
        </w:rPr>
        <w:t xml:space="preserve"> et transmise à la Directrice Nationale du Programme (DNP) en octobre 2010. Cette version initiale proposait que l’audit soit réalisé auprès du Ministère de la Santé, de la Population et de la Réforme Hospitalière</w:t>
      </w:r>
      <w:r w:rsidR="00E44983">
        <w:rPr>
          <w:lang w:val="fr-CA"/>
        </w:rPr>
        <w:t xml:space="preserve"> </w:t>
      </w:r>
      <w:r w:rsidRPr="008E367D">
        <w:rPr>
          <w:lang w:val="fr-CA"/>
        </w:rPr>
        <w:t>(MSPRH), avant d’être élargie du Ministère de l’Éducation (ME) et au Ministère du Travail, de l’Emploi et de la Sécurité Social</w:t>
      </w:r>
      <w:r w:rsidR="00E44983">
        <w:rPr>
          <w:lang w:val="fr-CA"/>
        </w:rPr>
        <w:t>e</w:t>
      </w:r>
      <w:r w:rsidRPr="008E367D">
        <w:rPr>
          <w:lang w:val="fr-CA"/>
        </w:rPr>
        <w:t>(MTESS)</w:t>
      </w:r>
      <w:r w:rsidR="00E44983">
        <w:rPr>
          <w:rStyle w:val="FootnoteReference"/>
          <w:lang w:val="fr-CA"/>
        </w:rPr>
        <w:footnoteReference w:id="20"/>
      </w:r>
      <w:r w:rsidRPr="008E367D">
        <w:rPr>
          <w:lang w:val="fr-CA"/>
        </w:rPr>
        <w:t xml:space="preserve">. Par la suite, l’Équipe de Programme proposa que l’audit soit, à la place, réalisé auprès de </w:t>
      </w:r>
      <w:r w:rsidR="00E44983">
        <w:rPr>
          <w:lang w:val="fr-CA"/>
        </w:rPr>
        <w:t>cinq</w:t>
      </w:r>
      <w:r w:rsidRPr="008E367D">
        <w:rPr>
          <w:lang w:val="fr-CA"/>
        </w:rPr>
        <w:t xml:space="preserve"> ministères p</w:t>
      </w:r>
      <w:r w:rsidR="00E44983">
        <w:rPr>
          <w:lang w:val="fr-CA"/>
        </w:rPr>
        <w:t>artenaires du programme</w:t>
      </w:r>
      <w:r w:rsidRPr="008E367D">
        <w:rPr>
          <w:lang w:val="fr-CA"/>
        </w:rPr>
        <w:t xml:space="preserve"> : </w:t>
      </w:r>
      <w:r w:rsidR="00E44983">
        <w:rPr>
          <w:lang w:val="fr-CA"/>
        </w:rPr>
        <w:t xml:space="preserve">le </w:t>
      </w:r>
      <w:r w:rsidR="00E44983">
        <w:rPr>
          <w:lang w:val="fr-FR"/>
        </w:rPr>
        <w:t>MIPIPME,</w:t>
      </w:r>
      <w:r w:rsidRPr="008E367D">
        <w:rPr>
          <w:lang w:val="fr-FR"/>
        </w:rPr>
        <w:t xml:space="preserve"> </w:t>
      </w:r>
      <w:r w:rsidR="00E44983">
        <w:rPr>
          <w:lang w:val="fr-CA"/>
        </w:rPr>
        <w:t xml:space="preserve">le </w:t>
      </w:r>
      <w:r w:rsidRPr="008E367D">
        <w:rPr>
          <w:lang w:val="fr-CA"/>
        </w:rPr>
        <w:t xml:space="preserve">MTA, le </w:t>
      </w:r>
      <w:r w:rsidR="00E44983">
        <w:rPr>
          <w:lang w:val="fr-CA"/>
        </w:rPr>
        <w:t>MADR, le</w:t>
      </w:r>
      <w:r w:rsidRPr="008E367D">
        <w:rPr>
          <w:lang w:val="fr-CA"/>
        </w:rPr>
        <w:t xml:space="preserve"> </w:t>
      </w:r>
      <w:r w:rsidR="00E44983">
        <w:rPr>
          <w:lang w:val="fr-CA"/>
        </w:rPr>
        <w:t xml:space="preserve">MSNF </w:t>
      </w:r>
      <w:r w:rsidRPr="008E367D">
        <w:rPr>
          <w:lang w:val="fr-CA"/>
        </w:rPr>
        <w:t xml:space="preserve">et </w:t>
      </w:r>
      <w:r w:rsidR="00E44983">
        <w:rPr>
          <w:lang w:val="fr-CA"/>
        </w:rPr>
        <w:t>le MTESS</w:t>
      </w:r>
      <w:r w:rsidR="00E44983">
        <w:rPr>
          <w:rStyle w:val="FootnoteReference"/>
          <w:lang w:val="fr-CA"/>
        </w:rPr>
        <w:footnoteReference w:id="21"/>
      </w:r>
      <w:r w:rsidR="00E44983">
        <w:rPr>
          <w:lang w:val="fr-CA"/>
        </w:rPr>
        <w:t xml:space="preserve">. Au final, il semble que </w:t>
      </w:r>
      <w:r w:rsidRPr="008E367D">
        <w:rPr>
          <w:lang w:val="fr-CA"/>
        </w:rPr>
        <w:t xml:space="preserve">les ministères suivants </w:t>
      </w:r>
      <w:r w:rsidR="00E44983">
        <w:rPr>
          <w:lang w:val="fr-CA"/>
        </w:rPr>
        <w:t>ont été</w:t>
      </w:r>
      <w:r w:rsidRPr="008E367D">
        <w:rPr>
          <w:lang w:val="fr-CA"/>
        </w:rPr>
        <w:t xml:space="preserve"> retenus : le MIPMPI, le MADR, le MPS et le MTA.</w:t>
      </w:r>
    </w:p>
    <w:p w:rsidR="00737BDE" w:rsidRPr="008E367D" w:rsidRDefault="00737BDE" w:rsidP="00123C70">
      <w:pPr>
        <w:pStyle w:val="NoSpacing"/>
        <w:numPr>
          <w:ilvl w:val="0"/>
          <w:numId w:val="1"/>
        </w:numPr>
        <w:ind w:left="0" w:firstLine="0"/>
        <w:rPr>
          <w:lang w:val="fr-CA"/>
        </w:rPr>
      </w:pPr>
      <w:r w:rsidRPr="008E367D">
        <w:rPr>
          <w:lang w:val="fr-CA"/>
        </w:rPr>
        <w:t>Après le lancement par l’UNFPA d’un Appel à Manifestation d’intérêt</w:t>
      </w:r>
      <w:r w:rsidR="00E44983">
        <w:rPr>
          <w:lang w:val="fr-CA"/>
        </w:rPr>
        <w:t>, l’audit genre (</w:t>
      </w:r>
      <w:r w:rsidRPr="008E367D">
        <w:rPr>
          <w:lang w:val="fr-CA"/>
        </w:rPr>
        <w:t>prévue dans un premier temps pour démarrer en janvier 2011</w:t>
      </w:r>
      <w:r w:rsidRPr="00A61A8F">
        <w:rPr>
          <w:rStyle w:val="FootnoteReference"/>
          <w:lang w:val="fr-CA"/>
        </w:rPr>
        <w:footnoteReference w:id="22"/>
      </w:r>
      <w:r w:rsidR="00E44983">
        <w:rPr>
          <w:lang w:val="fr-CA"/>
        </w:rPr>
        <w:t>) est en cours depuis mars 2011</w:t>
      </w:r>
      <w:r w:rsidRPr="008E367D">
        <w:rPr>
          <w:lang w:val="fr-CA"/>
        </w:rPr>
        <w:t xml:space="preserve"> avec une finalisation maintenant fixée au mois d</w:t>
      </w:r>
      <w:r w:rsidR="00E44983">
        <w:rPr>
          <w:lang w:val="fr-CA"/>
        </w:rPr>
        <w:t>e février 2012</w:t>
      </w:r>
      <w:r w:rsidRPr="008E367D">
        <w:rPr>
          <w:lang w:val="fr-CA"/>
        </w:rPr>
        <w:t xml:space="preserve">. Il semble que les experts en charge de l’audit </w:t>
      </w:r>
      <w:r w:rsidR="00E44983">
        <w:rPr>
          <w:lang w:val="fr-CA"/>
        </w:rPr>
        <w:t>sont</w:t>
      </w:r>
      <w:r w:rsidRPr="008E367D">
        <w:rPr>
          <w:lang w:val="fr-CA"/>
        </w:rPr>
        <w:t xml:space="preserve"> confrontés à des résistances de la part des ministères retenus à l’exception du MPS, ainsi qu’au manque de disponibilité des Points Focaux du programme ou des autres interlocuteurs au sein des ministères. Ainsi la plupart des interlocuteurs se méprennent sur les objectif de ce </w:t>
      </w:r>
      <w:r w:rsidRPr="00123C70">
        <w:rPr>
          <w:lang w:val="fr-FR"/>
        </w:rPr>
        <w:t>qui</w:t>
      </w:r>
      <w:r w:rsidRPr="008E367D">
        <w:rPr>
          <w:lang w:val="fr-CA"/>
        </w:rPr>
        <w:t xml:space="preserve"> n’est, au final, qu’une étude, le terme « audit » étant interprété dans son sens le plus restrictif et normatif</w:t>
      </w:r>
      <w:r w:rsidR="00E44983">
        <w:rPr>
          <w:lang w:val="fr-CA"/>
        </w:rPr>
        <w:t>,</w:t>
      </w:r>
      <w:r w:rsidRPr="008E367D">
        <w:rPr>
          <w:lang w:val="fr-CA"/>
        </w:rPr>
        <w:t xml:space="preserve"> ce qui semble susciter inquiétude ou refus de collaborer. Du retard a donc été accumulé dans les travaux et il semble que cette étude n’ait progressé qu’au niveau du MPS, un ministère plus « jeune » et réceptif à ce type d’enquête. En l’absence, apparemment, d’un rapport d’étape (pourtant identifié comme produit intermédiaire de l’étude), la mission n’a pas été en mesure d’évaluer plus avant l’état d’avancement réel de cette activité.</w:t>
      </w:r>
      <w:r w:rsidR="00F818B8" w:rsidRPr="008E367D">
        <w:rPr>
          <w:lang w:val="fr-CA"/>
        </w:rPr>
        <w:t xml:space="preserve"> Dotée d’un budget de 110.00 dollars (qui semble avoir été entièrement transféré), les dépenses s’élevaient à 7.000 dollars en décembre 2011.</w:t>
      </w:r>
    </w:p>
    <w:p w:rsidR="00737BDE" w:rsidRPr="000C7212" w:rsidRDefault="00737BDE" w:rsidP="00123C70">
      <w:pPr>
        <w:pStyle w:val="NoSpacing"/>
        <w:numPr>
          <w:ilvl w:val="0"/>
          <w:numId w:val="1"/>
        </w:numPr>
        <w:ind w:left="0" w:firstLine="0"/>
        <w:rPr>
          <w:lang w:val="fr-FR"/>
        </w:rPr>
      </w:pPr>
      <w:r w:rsidRPr="000C7212">
        <w:rPr>
          <w:lang w:val="fr-CA"/>
        </w:rPr>
        <w:t xml:space="preserve">A l’occasion de la revue annuelle de décembre 2011, </w:t>
      </w:r>
      <w:r>
        <w:rPr>
          <w:lang w:val="fr-CA"/>
        </w:rPr>
        <w:t>l’</w:t>
      </w:r>
      <w:r w:rsidRPr="000C7212">
        <w:rPr>
          <w:lang w:val="fr-CA"/>
        </w:rPr>
        <w:t xml:space="preserve">audit a fait l’objet de nombreux questionnements très pertinents portant notamment sur </w:t>
      </w:r>
      <w:r w:rsidR="00E44983">
        <w:rPr>
          <w:lang w:val="fr-CA"/>
        </w:rPr>
        <w:t>le choix</w:t>
      </w:r>
      <w:r w:rsidRPr="000C7212">
        <w:rPr>
          <w:lang w:val="fr-CA"/>
        </w:rPr>
        <w:t xml:space="preserve"> des quatre ministères retenus, sur l’objectif ultime poursuivi et sur l’utilité/utilisation finale des travaux une fois qu’ils seront finalisés. L’étude des TdR de cet audit révèle </w:t>
      </w:r>
      <w:r>
        <w:rPr>
          <w:lang w:val="fr-CA"/>
        </w:rPr>
        <w:t xml:space="preserve">en outre </w:t>
      </w:r>
      <w:r w:rsidRPr="000C7212">
        <w:rPr>
          <w:lang w:val="fr-CA"/>
        </w:rPr>
        <w:t>son caractère très ambitieux</w:t>
      </w:r>
      <w:r w:rsidR="000B6DB2">
        <w:rPr>
          <w:lang w:val="fr-CA"/>
        </w:rPr>
        <w:t>, particulièrement en</w:t>
      </w:r>
      <w:r w:rsidR="000B6DB2" w:rsidRPr="000B6DB2">
        <w:rPr>
          <w:lang w:val="fr-FR"/>
        </w:rPr>
        <w:t xml:space="preserve"> </w:t>
      </w:r>
      <w:r w:rsidR="000B6DB2">
        <w:rPr>
          <w:lang w:val="fr-FR"/>
        </w:rPr>
        <w:t>considération du temps extrêmement court imparti pour sa réalisation (45 jours)</w:t>
      </w:r>
      <w:r w:rsidRPr="000C7212">
        <w:rPr>
          <w:lang w:val="fr-CA"/>
        </w:rPr>
        <w:t>. L’objectif globa</w:t>
      </w:r>
      <w:r w:rsidR="000B6DB2">
        <w:rPr>
          <w:lang w:val="fr-CA"/>
        </w:rPr>
        <w:t xml:space="preserve">l est ainsi </w:t>
      </w:r>
      <w:r w:rsidRPr="000C7212">
        <w:rPr>
          <w:lang w:val="fr-CA"/>
        </w:rPr>
        <w:t>« </w:t>
      </w:r>
      <w:r w:rsidRPr="000C7212">
        <w:rPr>
          <w:i/>
          <w:lang w:val="fr-CA"/>
        </w:rPr>
        <w:t>d’</w:t>
      </w:r>
      <w:r w:rsidRPr="000C7212">
        <w:rPr>
          <w:i/>
          <w:lang w:val="fr-FR"/>
        </w:rPr>
        <w:t>évaluer dans quelle mesure l’égalité entre les genres est intégrée dans les politiques, programmes, ainsi que dans la structure organisationnelle et les procédures du Ministère [concerné] et de renforcer les connaissances des fonctionnaires sur la manière de mettre en œuvre l’égalité entre les genres dans les divers aspects</w:t>
      </w:r>
      <w:r w:rsidRPr="000C7212">
        <w:rPr>
          <w:lang w:val="fr-FR"/>
        </w:rPr>
        <w:t> ». En outre, l’objectif est que « </w:t>
      </w:r>
      <w:r w:rsidRPr="000C7212">
        <w:rPr>
          <w:i/>
          <w:lang w:val="fr-FR"/>
        </w:rPr>
        <w:t xml:space="preserve">les résultats de l’audit contribueront à l’élaboration de politiques efficaces adaptées, de programmes ou stratégies et au renforceront des capacités du Ministère à intégrer l’égalité des genres dans son fonctionnement. » </w:t>
      </w:r>
    </w:p>
    <w:p w:rsidR="004E01D2" w:rsidRDefault="00737BDE" w:rsidP="000B6DB2">
      <w:pPr>
        <w:pStyle w:val="NoSpacing"/>
        <w:numPr>
          <w:ilvl w:val="0"/>
          <w:numId w:val="1"/>
        </w:numPr>
        <w:ind w:left="0" w:firstLine="0"/>
        <w:rPr>
          <w:lang w:val="fr-FR"/>
        </w:rPr>
      </w:pPr>
      <w:r>
        <w:rPr>
          <w:lang w:val="fr-FR"/>
        </w:rPr>
        <w:t>Il semble</w:t>
      </w:r>
      <w:r w:rsidR="000B6DB2">
        <w:rPr>
          <w:lang w:val="fr-FR"/>
        </w:rPr>
        <w:t xml:space="preserve"> en outre</w:t>
      </w:r>
      <w:r>
        <w:rPr>
          <w:lang w:val="fr-FR"/>
        </w:rPr>
        <w:t xml:space="preserve"> qu’il n’y ait pas eu suffisamment d’efforts de sensibilisation au niveau des ministères de la part de l’Equipe du Programme afin de bien expliquer les objectifs de l’audit auprè</w:t>
      </w:r>
      <w:r w:rsidR="000B6DB2">
        <w:rPr>
          <w:lang w:val="fr-FR"/>
        </w:rPr>
        <w:t xml:space="preserve">s des décideurs au plus niveau. </w:t>
      </w:r>
      <w:r>
        <w:rPr>
          <w:lang w:val="fr-FR"/>
        </w:rPr>
        <w:t>En outre, la mission est d’avis que les TdR semblent bien trop ambitieux en et ils recouvrent deux dimensions différentes</w:t>
      </w:r>
      <w:r w:rsidR="000B6DB2">
        <w:rPr>
          <w:rStyle w:val="FootnoteReference"/>
          <w:lang w:val="fr-FR"/>
        </w:rPr>
        <w:footnoteReference w:id="23"/>
      </w:r>
      <w:r>
        <w:rPr>
          <w:lang w:val="fr-FR"/>
        </w:rPr>
        <w:t xml:space="preserve"> dont seule celle visant à l’identification du niveau </w:t>
      </w:r>
      <w:r>
        <w:rPr>
          <w:lang w:val="fr-FR"/>
        </w:rPr>
        <w:lastRenderedPageBreak/>
        <w:t>d’intégration de l’approche genre dans les programmes et politiques des ministères semble immédiatement pertinente. Il semble également qu’il aurait était préférable de tester la méthodologie de l’audit au niveau d’un premier ministère pilote, avant de l’étendre aux autres, ce qui aurait permis de concentrer les efforts, notamment d’explication, sur un ministère à la fois et de corriger les erreurs</w:t>
      </w:r>
      <w:r>
        <w:rPr>
          <w:rStyle w:val="FootnoteReference"/>
          <w:lang w:val="fr-FR"/>
        </w:rPr>
        <w:footnoteReference w:id="24"/>
      </w:r>
      <w:r>
        <w:rPr>
          <w:lang w:val="fr-FR"/>
        </w:rPr>
        <w:t xml:space="preserve">. </w:t>
      </w:r>
      <w:r w:rsidR="000B6DB2">
        <w:rPr>
          <w:lang w:val="fr-FR"/>
        </w:rPr>
        <w:t xml:space="preserve">Quoiqu’il en soit, il conviendra que le programme lance aussi rapidement une </w:t>
      </w:r>
      <w:r>
        <w:rPr>
          <w:lang w:val="fr-FR"/>
        </w:rPr>
        <w:t xml:space="preserve"> réflexion </w:t>
      </w:r>
      <w:r w:rsidR="000B6DB2">
        <w:rPr>
          <w:lang w:val="fr-FR"/>
        </w:rPr>
        <w:t xml:space="preserve">sur l’utilisation et </w:t>
      </w:r>
      <w:r>
        <w:rPr>
          <w:lang w:val="fr-FR"/>
        </w:rPr>
        <w:t>la diffusion des résultats de cet audit</w:t>
      </w:r>
      <w:r w:rsidR="000B6DB2">
        <w:rPr>
          <w:lang w:val="fr-FR"/>
        </w:rPr>
        <w:t>.</w:t>
      </w:r>
    </w:p>
    <w:p w:rsidR="004E01D2" w:rsidRDefault="00737BDE" w:rsidP="00123C70">
      <w:pPr>
        <w:pStyle w:val="NoSpacing"/>
        <w:numPr>
          <w:ilvl w:val="0"/>
          <w:numId w:val="1"/>
        </w:numPr>
        <w:ind w:left="0" w:firstLine="0"/>
        <w:rPr>
          <w:lang w:val="fr-FR"/>
        </w:rPr>
      </w:pPr>
      <w:r w:rsidRPr="004E01D2">
        <w:rPr>
          <w:b/>
          <w:lang w:val="fr-FR"/>
        </w:rPr>
        <w:t>Enquête budget-temps</w:t>
      </w:r>
      <w:r w:rsidRPr="004E01D2">
        <w:rPr>
          <w:lang w:val="fr-FR"/>
        </w:rPr>
        <w:t xml:space="preserve"> (A2) : Dans les pays où elles sont réalisées régulièrement, les enquêtes budget-temps ont pour objectif de faire progresser l'étude des comportements dans le domaine des </w:t>
      </w:r>
      <w:r w:rsidRPr="004E01D2">
        <w:rPr>
          <w:bCs/>
          <w:lang w:val="fr-FR"/>
        </w:rPr>
        <w:t>activités de la vie quotidienne et des emplois du temps,</w:t>
      </w:r>
      <w:r w:rsidRPr="004E01D2">
        <w:rPr>
          <w:b/>
          <w:bCs/>
          <w:lang w:val="fr-FR"/>
        </w:rPr>
        <w:t xml:space="preserve"> </w:t>
      </w:r>
      <w:r w:rsidRPr="004E01D2">
        <w:rPr>
          <w:lang w:val="fr-FR"/>
        </w:rPr>
        <w:t>en quantifiant la durée des activités quotidiennes et la répartition dans une journée des quatre temps fondamentaux du quotidien : travail professionnel, travail domestique, temps libre et temps physiologique.</w:t>
      </w:r>
    </w:p>
    <w:p w:rsidR="00737BDE" w:rsidRPr="004E01D2" w:rsidRDefault="00737BDE" w:rsidP="00123C70">
      <w:pPr>
        <w:pStyle w:val="NoSpacing"/>
        <w:numPr>
          <w:ilvl w:val="0"/>
          <w:numId w:val="1"/>
        </w:numPr>
        <w:ind w:left="0" w:firstLine="0"/>
        <w:rPr>
          <w:lang w:val="fr-FR"/>
        </w:rPr>
      </w:pPr>
      <w:r w:rsidRPr="004E01D2">
        <w:rPr>
          <w:lang w:val="fr-FR"/>
        </w:rPr>
        <w:t>Le fait que ce type d’enquête n’a</w:t>
      </w:r>
      <w:r w:rsidR="000B6DB2">
        <w:rPr>
          <w:lang w:val="fr-FR"/>
        </w:rPr>
        <w:t>it</w:t>
      </w:r>
      <w:r w:rsidRPr="004E01D2">
        <w:rPr>
          <w:lang w:val="fr-FR"/>
        </w:rPr>
        <w:t xml:space="preserve"> encore jamais été réalisé </w:t>
      </w:r>
      <w:r w:rsidR="000B6DB2">
        <w:rPr>
          <w:lang w:val="fr-FR"/>
        </w:rPr>
        <w:t>en Algérie</w:t>
      </w:r>
      <w:r w:rsidRPr="004E01D2">
        <w:rPr>
          <w:lang w:val="fr-FR"/>
        </w:rPr>
        <w:t xml:space="preserve"> confère à cette activité du programme une importance stratégique indéniable. Elle a en effet le potentiel d’apporter un éclairage quantitatif nouveau dans un grand nombre de domaines: mesure de la qualité </w:t>
      </w:r>
      <w:r w:rsidR="000B6DB2">
        <w:rPr>
          <w:lang w:val="fr-FR"/>
        </w:rPr>
        <w:t xml:space="preserve">de vie ou du bien-être général, </w:t>
      </w:r>
      <w:r w:rsidRPr="004E01D2">
        <w:rPr>
          <w:lang w:val="fr-FR"/>
        </w:rPr>
        <w:t>estimation du travail rémunéré et non rémunéré (notamment des femmes)</w:t>
      </w:r>
      <w:r w:rsidR="000B6DB2">
        <w:rPr>
          <w:lang w:val="fr-FR"/>
        </w:rPr>
        <w:t>,</w:t>
      </w:r>
      <w:r w:rsidRPr="004E01D2">
        <w:rPr>
          <w:lang w:val="fr-FR"/>
        </w:rPr>
        <w:t xml:space="preserve"> évaluation et meilleur ciblage des politiques économiques et sociales. </w:t>
      </w:r>
    </w:p>
    <w:p w:rsidR="00737BDE" w:rsidRDefault="00F818B8" w:rsidP="00123C70">
      <w:pPr>
        <w:pStyle w:val="NoSpacing"/>
        <w:numPr>
          <w:ilvl w:val="0"/>
          <w:numId w:val="1"/>
        </w:numPr>
        <w:ind w:left="0" w:firstLine="0"/>
        <w:rPr>
          <w:lang w:val="fr-FR"/>
        </w:rPr>
      </w:pPr>
      <w:r>
        <w:rPr>
          <w:lang w:val="fr-FR"/>
        </w:rPr>
        <w:t>Dotée d’un important budget de 360.000 dollars (dont 54.000 ont été transférés) et i</w:t>
      </w:r>
      <w:r w:rsidR="00737BDE" w:rsidRPr="000344AB">
        <w:rPr>
          <w:lang w:val="fr-FR"/>
        </w:rPr>
        <w:t>nitialement prévue pour être réalisée par l’ONUFEMMES et le MDCFC</w:t>
      </w:r>
      <w:r w:rsidR="00737BDE">
        <w:rPr>
          <w:lang w:val="fr-FR"/>
        </w:rPr>
        <w:t>F</w:t>
      </w:r>
      <w:r w:rsidR="00737BDE" w:rsidRPr="000344AB">
        <w:rPr>
          <w:lang w:val="fr-FR"/>
        </w:rPr>
        <w:t xml:space="preserve">, la réalisation </w:t>
      </w:r>
      <w:r w:rsidR="00BC04F1">
        <w:rPr>
          <w:lang w:val="fr-FR"/>
        </w:rPr>
        <w:t xml:space="preserve">de l’enquête </w:t>
      </w:r>
      <w:r w:rsidR="00737BDE" w:rsidRPr="000344AB">
        <w:rPr>
          <w:lang w:val="fr-FR"/>
        </w:rPr>
        <w:t>a finalement été confiée à l’Office National des Statistiques (ONS)</w:t>
      </w:r>
      <w:r w:rsidR="0044584A">
        <w:rPr>
          <w:lang w:val="fr-FR"/>
        </w:rPr>
        <w:t xml:space="preserve"> qui a aussi accepté d’autofinancer l’enquête pilote. Ainsi, a</w:t>
      </w:r>
      <w:r w:rsidR="00737BDE">
        <w:rPr>
          <w:lang w:val="fr-FR"/>
        </w:rPr>
        <w:t>près une phase de maturation du concept, le programme a été confronté au problème de la localisation du budget nécessaire</w:t>
      </w:r>
      <w:r w:rsidR="00274CF7">
        <w:rPr>
          <w:lang w:val="fr-FR"/>
        </w:rPr>
        <w:t xml:space="preserve"> puisque ni le MDCFCF (</w:t>
      </w:r>
      <w:r w:rsidR="00737BDE">
        <w:rPr>
          <w:lang w:val="fr-FR"/>
        </w:rPr>
        <w:t>en raison de son statut de ministère délégué</w:t>
      </w:r>
      <w:r w:rsidR="00274CF7">
        <w:rPr>
          <w:lang w:val="fr-FR"/>
        </w:rPr>
        <w:t>), ni l’ONS (</w:t>
      </w:r>
      <w:r w:rsidR="00737BDE">
        <w:rPr>
          <w:lang w:val="fr-FR"/>
        </w:rPr>
        <w:t>en vertu de son statut d’EPA</w:t>
      </w:r>
      <w:r w:rsidR="00274CF7">
        <w:rPr>
          <w:lang w:val="fr-FR"/>
        </w:rPr>
        <w:t>)</w:t>
      </w:r>
      <w:r w:rsidR="00737BDE">
        <w:rPr>
          <w:lang w:val="fr-FR"/>
        </w:rPr>
        <w:t xml:space="preserve"> ne peuvent recevoir de fonds et les gérer. Un temps précieux a donc été perdu à essayer de trouver une solution à ce problème, et c’est finalement l’Institut Supérieur de Ges</w:t>
      </w:r>
      <w:r w:rsidR="00274CF7">
        <w:rPr>
          <w:lang w:val="fr-FR"/>
        </w:rPr>
        <w:t>tion et de Planification (ISGP)</w:t>
      </w:r>
      <w:r w:rsidR="00737BDE">
        <w:rPr>
          <w:rStyle w:val="FootnoteReference"/>
          <w:lang w:val="fr-FR"/>
        </w:rPr>
        <w:footnoteReference w:id="25"/>
      </w:r>
      <w:r w:rsidR="00274CF7">
        <w:rPr>
          <w:lang w:val="fr-FR"/>
        </w:rPr>
        <w:t xml:space="preserve"> </w:t>
      </w:r>
      <w:r w:rsidR="00737BDE">
        <w:rPr>
          <w:lang w:val="fr-FR"/>
        </w:rPr>
        <w:t>qui abritera le budget nécessaire.</w:t>
      </w:r>
      <w:r w:rsidR="00BC04F1">
        <w:rPr>
          <w:lang w:val="fr-FR"/>
        </w:rPr>
        <w:t xml:space="preserve"> </w:t>
      </w:r>
    </w:p>
    <w:p w:rsidR="00737BDE" w:rsidRPr="00C558DC" w:rsidRDefault="00737BDE" w:rsidP="00123C70">
      <w:pPr>
        <w:pStyle w:val="NoSpacing"/>
        <w:numPr>
          <w:ilvl w:val="0"/>
          <w:numId w:val="1"/>
        </w:numPr>
        <w:ind w:left="0" w:firstLine="0"/>
        <w:rPr>
          <w:lang w:val="fr-FR"/>
        </w:rPr>
      </w:pPr>
      <w:r w:rsidRPr="00C558DC">
        <w:rPr>
          <w:lang w:val="fr-FR"/>
        </w:rPr>
        <w:t>Les activités préparatoires ont culminé avec l’organisation, en décembre 2011, d’un séminaire de deux jours financé par l’Union européenne</w:t>
      </w:r>
      <w:r w:rsidRPr="004315F4">
        <w:rPr>
          <w:vertAlign w:val="superscript"/>
          <w:lang w:val="fr-FR"/>
        </w:rPr>
        <w:footnoteReference w:id="26"/>
      </w:r>
      <w:r w:rsidRPr="00C558DC">
        <w:rPr>
          <w:lang w:val="fr-FR"/>
        </w:rPr>
        <w:t xml:space="preserve"> et consacré à la « </w:t>
      </w:r>
      <w:r w:rsidRPr="00C558DC">
        <w:rPr>
          <w:i/>
          <w:lang w:val="fr-FR"/>
        </w:rPr>
        <w:t>mise en place et l’exploitation des enquêtes Emploi du Temps dans les pays de l’Union Européenne</w:t>
      </w:r>
      <w:r w:rsidRPr="00C558DC">
        <w:rPr>
          <w:lang w:val="fr-FR"/>
        </w:rPr>
        <w:t> ». Les quelques 50 participants</w:t>
      </w:r>
      <w:r w:rsidRPr="004315F4">
        <w:rPr>
          <w:vertAlign w:val="superscript"/>
          <w:lang w:val="fr-FR"/>
        </w:rPr>
        <w:footnoteReference w:id="27"/>
      </w:r>
      <w:r w:rsidRPr="00C558DC">
        <w:rPr>
          <w:lang w:val="fr-FR"/>
        </w:rPr>
        <w:t xml:space="preserve"> ont assisté à des présentations techniques portant sur l’élaboration et la réalisation d’enquêtes emploi du temps en Belgique et dans d’autres pays d’Europe, alors que le Point Focal du programme conjoint au sein de l’ONS fit une présentation du projet d’enquête emploi du temps en Algérie.</w:t>
      </w:r>
      <w:r w:rsidR="00C558DC" w:rsidRPr="00C558DC">
        <w:rPr>
          <w:lang w:val="fr-FR"/>
        </w:rPr>
        <w:t xml:space="preserve"> </w:t>
      </w:r>
      <w:r w:rsidRPr="00C558DC">
        <w:rPr>
          <w:lang w:val="fr-FR"/>
        </w:rPr>
        <w:t xml:space="preserve">L’ONS et l’ONUFEMMES estiment </w:t>
      </w:r>
      <w:r w:rsidR="00C558DC">
        <w:rPr>
          <w:lang w:val="fr-FR"/>
        </w:rPr>
        <w:t xml:space="preserve">actuellement </w:t>
      </w:r>
      <w:r w:rsidRPr="00C558DC">
        <w:rPr>
          <w:lang w:val="fr-FR"/>
        </w:rPr>
        <w:t xml:space="preserve">que la réalisation de l’enquête, depuis le lancement de l’enquête-test jusqu’à l’analyse et la restitution des conclusions, prendra au minimum 11 mois. Il est donc urgent de trouver une solution au principal facteur de blocage : l’absence de fonds, ONUFEMMES ayant utilisé tous les fonds de la première tranche. Une autre inquiétude concerne le </w:t>
      </w:r>
      <w:r w:rsidRPr="00C558DC">
        <w:rPr>
          <w:lang w:val="fr-FR"/>
        </w:rPr>
        <w:lastRenderedPageBreak/>
        <w:t>montant élevé du budget alloué pour cette enquête d’envergure nationale, et qui sera sans doute insuffisant</w:t>
      </w:r>
      <w:r w:rsidR="000B6DB2" w:rsidRPr="00C558DC">
        <w:rPr>
          <w:lang w:val="fr-FR"/>
        </w:rPr>
        <w:t>.</w:t>
      </w:r>
      <w:r w:rsidRPr="00C558DC">
        <w:rPr>
          <w:lang w:val="fr-FR"/>
        </w:rPr>
        <w:t xml:space="preserve"> Si le montant de la première tranche (soit quelques 54.000 dollars) a bien été versé, l’ONUFEMMES est préoccupée par les conséquences que pourraient avoir les difficultés du programme conjoint à atteindre la cible de 70% du montant de la dernière tranche reçue afin de recevoir la tranche suivante. En d’autres termes, l’ONUFEMMES n’a pas actuellement la certitude que la totalité du montant nécessaire à la réalisation de l’enquête et l’agence hésite à signer le protocole d’accord avec </w:t>
      </w:r>
      <w:r w:rsidR="00C558DC" w:rsidRPr="00C558DC">
        <w:rPr>
          <w:lang w:val="fr-FR"/>
        </w:rPr>
        <w:t>les partenaires</w:t>
      </w:r>
      <w:r w:rsidRPr="00C558DC">
        <w:rPr>
          <w:lang w:val="fr-FR"/>
        </w:rPr>
        <w:t xml:space="preserve"> pourtant très important</w:t>
      </w:r>
      <w:r w:rsidR="00C558DC">
        <w:rPr>
          <w:rStyle w:val="FootnoteReference"/>
          <w:lang w:val="fr-FR"/>
        </w:rPr>
        <w:footnoteReference w:id="28"/>
      </w:r>
      <w:r w:rsidRPr="00C558DC">
        <w:rPr>
          <w:lang w:val="fr-FR"/>
        </w:rPr>
        <w:t xml:space="preserve">. </w:t>
      </w:r>
    </w:p>
    <w:p w:rsidR="00737BDE" w:rsidRPr="00C558DC" w:rsidRDefault="00737BDE" w:rsidP="00123C70">
      <w:pPr>
        <w:pStyle w:val="NoSpacing"/>
        <w:numPr>
          <w:ilvl w:val="0"/>
          <w:numId w:val="1"/>
        </w:numPr>
        <w:ind w:left="0" w:firstLine="0"/>
        <w:rPr>
          <w:lang w:val="fr-FR"/>
        </w:rPr>
      </w:pPr>
      <w:r w:rsidRPr="00C558DC">
        <w:rPr>
          <w:lang w:val="fr-FR"/>
        </w:rPr>
        <w:t>Conscient du risque de retard et ne voulant risquer, ultérieurement, de devoir sacrifier à la qualité des travaux pour respecter les délais, l’ONS a décidé de financer l’enquête test</w:t>
      </w:r>
      <w:r w:rsidR="00A15A94">
        <w:rPr>
          <w:lang w:val="fr-FR"/>
        </w:rPr>
        <w:t xml:space="preserve"> sur fonds propres</w:t>
      </w:r>
      <w:r w:rsidRPr="00C558DC">
        <w:rPr>
          <w:lang w:val="fr-FR"/>
        </w:rPr>
        <w:t xml:space="preserve"> pour pallier au problème d’absences de fonds, ce qui atteste de l’engagement très fort de ce partenaire, de son intérêt pour cette activité et de sa bonne compréhension de la contrainte de temps imposée par la clôture proche du programme conjoint. La mission tient en outre à saluer les efforts de synergie avec le programme </w:t>
      </w:r>
      <w:r w:rsidR="000B6DB2" w:rsidRPr="00C558DC">
        <w:rPr>
          <w:lang w:val="fr-FR"/>
        </w:rPr>
        <w:t>financé par l’Union Européenne.</w:t>
      </w:r>
      <w:r w:rsidR="00C558DC">
        <w:rPr>
          <w:lang w:val="fr-FR"/>
        </w:rPr>
        <w:t xml:space="preserve"> </w:t>
      </w:r>
      <w:r w:rsidRPr="00C558DC">
        <w:rPr>
          <w:lang w:val="fr-FR"/>
        </w:rPr>
        <w:t xml:space="preserve">Pour la bonne réussite de cette importante activité, </w:t>
      </w:r>
      <w:r w:rsidR="00C558DC">
        <w:rPr>
          <w:lang w:val="fr-FR"/>
        </w:rPr>
        <w:t xml:space="preserve">cependant, </w:t>
      </w:r>
      <w:r w:rsidRPr="00C558DC">
        <w:rPr>
          <w:lang w:val="fr-FR"/>
        </w:rPr>
        <w:t>il conviendra de trouver dans les plus brefs délais une solution au problème soulevé plus haut : la nécessité d’apporter à ONUFEMMES la garantie que le budget significatif nécessaire à la réalisation de l’enquête sera disponible afin que le protocole d’accord soit signé au plus vite et que les travaux puissent commencer.</w:t>
      </w:r>
    </w:p>
    <w:p w:rsidR="00C558DC" w:rsidRDefault="00737BDE" w:rsidP="00123C70">
      <w:pPr>
        <w:pStyle w:val="NoSpacing"/>
        <w:numPr>
          <w:ilvl w:val="0"/>
          <w:numId w:val="1"/>
        </w:numPr>
        <w:ind w:left="0" w:firstLine="0"/>
        <w:rPr>
          <w:lang w:val="fr-FR"/>
        </w:rPr>
      </w:pPr>
      <w:r w:rsidRPr="00C558DC">
        <w:rPr>
          <w:b/>
          <w:lang w:val="fr-FR"/>
        </w:rPr>
        <w:t>Concep</w:t>
      </w:r>
      <w:r w:rsidR="00040BAA">
        <w:rPr>
          <w:b/>
          <w:lang w:val="fr-FR"/>
        </w:rPr>
        <w:t>tion d’une base de données sexo</w:t>
      </w:r>
      <w:r w:rsidR="00040BAA" w:rsidRPr="00C558DC">
        <w:rPr>
          <w:b/>
          <w:lang w:val="fr-FR"/>
        </w:rPr>
        <w:t>spécifiques</w:t>
      </w:r>
      <w:r w:rsidRPr="00C558DC">
        <w:rPr>
          <w:b/>
          <w:lang w:val="fr-FR"/>
        </w:rPr>
        <w:t xml:space="preserve"> (A3)</w:t>
      </w:r>
      <w:r w:rsidRPr="00C558DC">
        <w:rPr>
          <w:lang w:val="fr-FR"/>
        </w:rPr>
        <w:t xml:space="preserve">. Afin d’améliorer la production de données sexospécifiques, le document de projet prévoyait la conception d’une base de données, avec le PNUD et le MDCFCF comme principal partenaire d’exécution. Il convient de relever que le document de projet n’apporte aucune précision utile sur cette base de données, comme </w:t>
      </w:r>
      <w:r w:rsidR="00C558DC" w:rsidRPr="00C558DC">
        <w:rPr>
          <w:lang w:val="fr-FR"/>
        </w:rPr>
        <w:t xml:space="preserve">son </w:t>
      </w:r>
      <w:r w:rsidRPr="00C558DC">
        <w:rPr>
          <w:lang w:val="fr-FR"/>
        </w:rPr>
        <w:t>lieu de domiciliation</w:t>
      </w:r>
      <w:r>
        <w:rPr>
          <w:rStyle w:val="FootnoteReference"/>
          <w:lang w:val="fr-FR"/>
        </w:rPr>
        <w:footnoteReference w:id="29"/>
      </w:r>
      <w:r w:rsidRPr="00C558DC">
        <w:rPr>
          <w:lang w:val="fr-FR"/>
        </w:rPr>
        <w:t xml:space="preserve"> ou son mode de fonctionnement, ce qui a été préjudiciable à l</w:t>
      </w:r>
      <w:r w:rsidR="00C558DC" w:rsidRPr="00C558DC">
        <w:rPr>
          <w:lang w:val="fr-FR"/>
        </w:rPr>
        <w:t xml:space="preserve">a bonne maturation de cette activité </w:t>
      </w:r>
      <w:r w:rsidR="00BC04F1" w:rsidRPr="00C558DC">
        <w:rPr>
          <w:lang w:val="fr-FR"/>
        </w:rPr>
        <w:t>dotée d’un budget de 70.000 dollars</w:t>
      </w:r>
      <w:r w:rsidR="00C558DC" w:rsidRPr="00C558DC">
        <w:rPr>
          <w:lang w:val="fr-FR"/>
        </w:rPr>
        <w:t>,</w:t>
      </w:r>
      <w:r w:rsidR="00BC04F1" w:rsidRPr="00C558DC">
        <w:rPr>
          <w:lang w:val="fr-FR"/>
        </w:rPr>
        <w:t xml:space="preserve"> dont 40.000 ont été transférés.</w:t>
      </w:r>
      <w:r w:rsidR="00C558DC" w:rsidRPr="00C558DC">
        <w:rPr>
          <w:lang w:val="fr-FR"/>
        </w:rPr>
        <w:t xml:space="preserve"> </w:t>
      </w:r>
    </w:p>
    <w:p w:rsidR="00C558DC" w:rsidRDefault="00C558DC" w:rsidP="00C558DC">
      <w:pPr>
        <w:pStyle w:val="NoSpacing"/>
        <w:numPr>
          <w:ilvl w:val="0"/>
          <w:numId w:val="1"/>
        </w:numPr>
        <w:ind w:left="0" w:firstLine="0"/>
        <w:rPr>
          <w:lang w:val="fr-FR"/>
        </w:rPr>
      </w:pPr>
      <w:r w:rsidRPr="00513102">
        <w:rPr>
          <w:lang w:val="fr-FR"/>
        </w:rPr>
        <w:t xml:space="preserve">En juillet 2011, une réunion préparatoire fut organisée par le PNUD, avec la participation des Points Focaux du programme au sein du MPS et de l’ONS et du </w:t>
      </w:r>
      <w:r>
        <w:rPr>
          <w:lang w:val="fr-FR"/>
        </w:rPr>
        <w:t>Coordonnateur du programme</w:t>
      </w:r>
      <w:r w:rsidRPr="00513102">
        <w:rPr>
          <w:lang w:val="fr-FR"/>
        </w:rPr>
        <w:t>. A l’issue de cette discussion, les partenaires se mirent d’accord pour recruter un consultant national</w:t>
      </w:r>
      <w:r w:rsidR="006E088D">
        <w:rPr>
          <w:lang w:val="fr-FR"/>
        </w:rPr>
        <w:t xml:space="preserve"> pour la conception de la base de données sexospécifiques ainsi que</w:t>
      </w:r>
      <w:r w:rsidRPr="00513102">
        <w:rPr>
          <w:lang w:val="fr-FR"/>
        </w:rPr>
        <w:t xml:space="preserve"> sur le besoin d’organiser une formation pour l’utilisation de logiciel </w:t>
      </w:r>
      <w:r w:rsidRPr="00E17D9B">
        <w:rPr>
          <w:i/>
          <w:lang w:val="fr-FR"/>
        </w:rPr>
        <w:t>DevInfo</w:t>
      </w:r>
      <w:r w:rsidRPr="00513102">
        <w:rPr>
          <w:lang w:val="fr-FR"/>
        </w:rPr>
        <w:t xml:space="preserve">. </w:t>
      </w:r>
      <w:r>
        <w:rPr>
          <w:lang w:val="fr-FR"/>
        </w:rPr>
        <w:t>Après cela, c</w:t>
      </w:r>
      <w:r w:rsidRPr="00C558DC">
        <w:rPr>
          <w:lang w:val="fr-FR"/>
        </w:rPr>
        <w:t>ette activité semble être restée au point mort et aucune dépense n’a été engagée à ce jour.</w:t>
      </w:r>
    </w:p>
    <w:p w:rsidR="00C558DC" w:rsidRPr="00C558DC" w:rsidRDefault="00737BDE" w:rsidP="00123C70">
      <w:pPr>
        <w:pStyle w:val="NoSpacing"/>
        <w:numPr>
          <w:ilvl w:val="0"/>
          <w:numId w:val="1"/>
        </w:numPr>
        <w:ind w:left="0" w:firstLine="0"/>
        <w:rPr>
          <w:rFonts w:asciiTheme="minorHAnsi" w:hAnsiTheme="minorHAnsi" w:cstheme="minorHAnsi"/>
          <w:lang w:val="fr-FR"/>
        </w:rPr>
      </w:pPr>
      <w:r w:rsidRPr="00C558DC">
        <w:rPr>
          <w:lang w:val="fr-FR"/>
        </w:rPr>
        <w:t xml:space="preserve">A l’occasion de la revue annuelle du programme de décembre 2011, les partenaires ont soulevé le problème de la domiciliation de cette base de donnée au MDCFCF et il semble que le Ministère de la Prospective et des Statistiques (MPS) serait </w:t>
      </w:r>
      <w:r w:rsidR="00A15A94">
        <w:rPr>
          <w:lang w:val="fr-FR"/>
        </w:rPr>
        <w:t>une meilleure option</w:t>
      </w:r>
      <w:r w:rsidRPr="00C558DC">
        <w:rPr>
          <w:lang w:val="fr-FR"/>
        </w:rPr>
        <w:t>.</w:t>
      </w:r>
      <w:r w:rsidR="00C558DC" w:rsidRPr="00C558DC">
        <w:rPr>
          <w:lang w:val="fr-FR"/>
        </w:rPr>
        <w:t xml:space="preserve"> </w:t>
      </w:r>
      <w:r w:rsidRPr="00C558DC">
        <w:rPr>
          <w:lang w:val="fr-FR"/>
        </w:rPr>
        <w:t>De fait, le MPS et le PNUD mettent en œuvre depuis juillet 2009 un projet d’assistance préparatoire d’a</w:t>
      </w:r>
      <w:hyperlink r:id="rId27" w:history="1">
        <w:r w:rsidRPr="00C558DC">
          <w:rPr>
            <w:lang w:val="fr-FR"/>
          </w:rPr>
          <w:t>ppui à la mise en place d'un système d'information utilisant</w:t>
        </w:r>
        <w:r w:rsidRPr="00C558DC">
          <w:rPr>
            <w:i/>
            <w:lang w:val="fr-FR"/>
          </w:rPr>
          <w:t xml:space="preserve"> DevInfo 6.0</w:t>
        </w:r>
        <w:r w:rsidRPr="00C558DC">
          <w:rPr>
            <w:lang w:val="fr-FR"/>
          </w:rPr>
          <w:t xml:space="preserve"> dont l’objectif et de faciliter l'évaluation des politiques sociales</w:t>
        </w:r>
      </w:hyperlink>
      <w:r w:rsidRPr="00C558DC">
        <w:rPr>
          <w:lang w:val="fr-FR"/>
        </w:rPr>
        <w:t xml:space="preserve"> et de renforcer l’expertise du MPS dans le suivi et l’évaluation des politiques sociales, notamment des indicateurs liés aux Objectifs du Millénaire pour le développement (OMD). </w:t>
      </w:r>
    </w:p>
    <w:p w:rsidR="00737BDE" w:rsidRPr="00C558DC" w:rsidRDefault="00C558DC" w:rsidP="00123C70">
      <w:pPr>
        <w:pStyle w:val="NoSpacing"/>
        <w:numPr>
          <w:ilvl w:val="0"/>
          <w:numId w:val="1"/>
        </w:numPr>
        <w:ind w:left="0" w:firstLine="0"/>
        <w:rPr>
          <w:rFonts w:asciiTheme="minorHAnsi" w:hAnsiTheme="minorHAnsi" w:cstheme="minorHAnsi"/>
          <w:lang w:val="fr-FR"/>
        </w:rPr>
      </w:pPr>
      <w:r w:rsidRPr="00C558DC">
        <w:rPr>
          <w:lang w:val="fr-FR"/>
        </w:rPr>
        <w:t>Quoi qu’il en soit, l</w:t>
      </w:r>
      <w:r w:rsidR="00737BDE" w:rsidRPr="00C558DC">
        <w:rPr>
          <w:lang w:val="fr-FR"/>
        </w:rPr>
        <w:t xml:space="preserve">a mission a pu constater que le Point Focal du programme au sein du MPS semble avoir déjà commencé le travail </w:t>
      </w:r>
      <w:r>
        <w:rPr>
          <w:lang w:val="fr-FR"/>
        </w:rPr>
        <w:t>de recensement</w:t>
      </w:r>
      <w:r w:rsidR="00737BDE" w:rsidRPr="00C558DC">
        <w:rPr>
          <w:lang w:val="fr-FR"/>
        </w:rPr>
        <w:t xml:space="preserve"> des indicateurs sexospécifiques pertinents existants et ayant déjà fait l’objet de publication (par exemple les données des enquêtes emplois ou des recensements démographiques). La mission a ainsi pu voir une liste préliminaire de 18 indicateurs identifiés portant sur la démographie, l’emploi et l’éducation. Le Point Focal du programme au MPS a également </w:t>
      </w:r>
      <w:r w:rsidR="00A15A94">
        <w:rPr>
          <w:lang w:val="fr-FR"/>
        </w:rPr>
        <w:t>été formé</w:t>
      </w:r>
      <w:r w:rsidR="00737BDE">
        <w:rPr>
          <w:rStyle w:val="FootnoteReference"/>
          <w:lang w:val="fr-FR"/>
        </w:rPr>
        <w:footnoteReference w:id="30"/>
      </w:r>
      <w:r w:rsidR="00737BDE" w:rsidRPr="00C558DC">
        <w:rPr>
          <w:lang w:val="fr-FR"/>
        </w:rPr>
        <w:t xml:space="preserve"> au logiciel </w:t>
      </w:r>
      <w:r w:rsidR="00737BDE" w:rsidRPr="00C558DC">
        <w:rPr>
          <w:i/>
          <w:lang w:val="fr-FR"/>
        </w:rPr>
        <w:t>DevInfo</w:t>
      </w:r>
      <w:r w:rsidR="006E088D">
        <w:rPr>
          <w:rFonts w:asciiTheme="minorHAnsi" w:hAnsiTheme="minorHAnsi" w:cstheme="minorHAnsi"/>
          <w:lang w:val="fr-FR"/>
        </w:rPr>
        <w:t xml:space="preserve"> (niveaux initiation, avancé et administrateur). L’objectif </w:t>
      </w:r>
      <w:r w:rsidR="006E088D" w:rsidRPr="00C558DC">
        <w:rPr>
          <w:rFonts w:asciiTheme="minorHAnsi" w:hAnsiTheme="minorHAnsi" w:cstheme="minorHAnsi"/>
          <w:lang w:val="fr-FR"/>
        </w:rPr>
        <w:lastRenderedPageBreak/>
        <w:t xml:space="preserve">serait </w:t>
      </w:r>
      <w:r w:rsidR="006E088D">
        <w:rPr>
          <w:rFonts w:asciiTheme="minorHAnsi" w:hAnsiTheme="minorHAnsi" w:cstheme="minorHAnsi"/>
          <w:lang w:val="fr-FR"/>
        </w:rPr>
        <w:t xml:space="preserve">semble-t-il </w:t>
      </w:r>
      <w:r w:rsidR="00737BDE" w:rsidRPr="00C558DC">
        <w:rPr>
          <w:rFonts w:asciiTheme="minorHAnsi" w:hAnsiTheme="minorHAnsi" w:cstheme="minorHAnsi"/>
          <w:lang w:val="fr-FR"/>
        </w:rPr>
        <w:t xml:space="preserve">d’adapter la base de données sur les OMDs développée dans le cadre du projet d’assistance technique du PNUD. </w:t>
      </w:r>
      <w:r w:rsidR="006E088D">
        <w:rPr>
          <w:rFonts w:asciiTheme="minorHAnsi" w:hAnsiTheme="minorHAnsi" w:cstheme="minorHAnsi"/>
          <w:lang w:val="fr-FR"/>
        </w:rPr>
        <w:t>Pour ce faire, les partenaires semblent prévoir de constituer un Comité technique intersectoriel dont le rôle sera d’identifier les indicateurs sexospécifiques des secteurs cibles retenus et de faciliter l’accès du consultant aux données, puis leur actualisation.</w:t>
      </w:r>
    </w:p>
    <w:p w:rsidR="00737BDE" w:rsidRDefault="00737BDE" w:rsidP="00123C70">
      <w:pPr>
        <w:pStyle w:val="NoSpacing"/>
        <w:numPr>
          <w:ilvl w:val="0"/>
          <w:numId w:val="1"/>
        </w:numPr>
        <w:ind w:left="0" w:firstLine="0"/>
        <w:rPr>
          <w:lang w:val="fr-FR"/>
        </w:rPr>
      </w:pPr>
      <w:r w:rsidRPr="00B113E0">
        <w:rPr>
          <w:lang w:val="fr-FR"/>
        </w:rPr>
        <w:t>La mission d’évaluation est d’avis que la proposition de loger la base de données au MPS, plutôt qu’au MDCFCF, semble appropriée et pertinente et qu’elle doit être appuyé</w:t>
      </w:r>
      <w:r>
        <w:rPr>
          <w:lang w:val="fr-FR"/>
        </w:rPr>
        <w:t xml:space="preserve">e, d’autant que le MPS semble s’être déjà </w:t>
      </w:r>
      <w:r w:rsidR="00C558DC">
        <w:rPr>
          <w:lang w:val="fr-FR"/>
        </w:rPr>
        <w:t xml:space="preserve">fortement </w:t>
      </w:r>
      <w:r>
        <w:rPr>
          <w:lang w:val="fr-FR"/>
        </w:rPr>
        <w:t xml:space="preserve">approprié cette activité. </w:t>
      </w:r>
      <w:r w:rsidRPr="00B113E0">
        <w:rPr>
          <w:lang w:val="fr-FR"/>
        </w:rPr>
        <w:t>Cette évolution est en outre</w:t>
      </w:r>
      <w:r>
        <w:rPr>
          <w:lang w:val="fr-FR"/>
        </w:rPr>
        <w:t xml:space="preserve"> e</w:t>
      </w:r>
      <w:r w:rsidRPr="00B113E0">
        <w:rPr>
          <w:lang w:val="fr-FR"/>
        </w:rPr>
        <w:t>n droite ligne de la volonté du gouvernement algérien « </w:t>
      </w:r>
      <w:r w:rsidRPr="00B113E0">
        <w:rPr>
          <w:i/>
          <w:lang w:val="fr-FR"/>
        </w:rPr>
        <w:t>d’améliorer la gestion des dépenses publiques par la réforme des sys</w:t>
      </w:r>
      <w:r w:rsidRPr="00123C70">
        <w:rPr>
          <w:lang w:val="fr-FR"/>
        </w:rPr>
        <w:t>t</w:t>
      </w:r>
      <w:r w:rsidRPr="00B113E0">
        <w:rPr>
          <w:i/>
          <w:lang w:val="fr-FR"/>
        </w:rPr>
        <w:t>èmes budgétaires, le développement de la planification et de la prospective […] ainsi que le renforcement de l’inspection</w:t>
      </w:r>
      <w:r w:rsidRPr="00B113E0">
        <w:rPr>
          <w:lang w:val="fr-FR"/>
        </w:rPr>
        <w:t> »</w:t>
      </w:r>
      <w:r w:rsidRPr="00B113E0">
        <w:rPr>
          <w:vertAlign w:val="superscript"/>
        </w:rPr>
        <w:footnoteReference w:id="31"/>
      </w:r>
      <w:r w:rsidRPr="00B113E0">
        <w:rPr>
          <w:lang w:val="fr-FR"/>
        </w:rPr>
        <w:t>, cette évolution est également tout à fait conforme aux efforts en cours au MPS visant à « </w:t>
      </w:r>
      <w:r w:rsidRPr="00B113E0">
        <w:rPr>
          <w:i/>
          <w:lang w:val="fr-FR"/>
        </w:rPr>
        <w:t>assurer la cohérence des données statistiques dans le cadre de la politique nationale de la statistique et la redynamisation du système national de la statistique </w:t>
      </w:r>
      <w:r w:rsidRPr="00B113E0">
        <w:rPr>
          <w:lang w:val="fr-FR"/>
        </w:rPr>
        <w:t>»</w:t>
      </w:r>
      <w:r w:rsidRPr="00B113E0">
        <w:rPr>
          <w:vertAlign w:val="superscript"/>
        </w:rPr>
        <w:footnoteReference w:id="32"/>
      </w:r>
      <w:r w:rsidRPr="00B113E0">
        <w:rPr>
          <w:lang w:val="fr-FR"/>
        </w:rPr>
        <w:t xml:space="preserve">. Fort du constat que 80% des données statistiques proviennent des différents départements ministériels, le PMS entend ainsi organiser une assistance technique et d'appui pour ces ministères et institutions publiques pour la création de bases de données aux normes internationales et les doter ainsi d'une capacité de statistiques. </w:t>
      </w:r>
    </w:p>
    <w:p w:rsidR="00737BDE" w:rsidRPr="00E17D9B" w:rsidRDefault="00737BDE" w:rsidP="00123C70">
      <w:pPr>
        <w:pStyle w:val="NoSpacing"/>
        <w:numPr>
          <w:ilvl w:val="0"/>
          <w:numId w:val="1"/>
        </w:numPr>
        <w:ind w:left="0" w:firstLine="0"/>
        <w:rPr>
          <w:lang w:val="fr-FR"/>
        </w:rPr>
      </w:pPr>
      <w:r>
        <w:rPr>
          <w:lang w:val="fr-FR"/>
        </w:rPr>
        <w:t>Il conviendra de clarifier ce point urgemment et de fa</w:t>
      </w:r>
      <w:r>
        <w:rPr>
          <w:rFonts w:cs="Calibri"/>
          <w:lang w:val="fr-FR"/>
        </w:rPr>
        <w:t>ç</w:t>
      </w:r>
      <w:r>
        <w:rPr>
          <w:lang w:val="fr-FR"/>
        </w:rPr>
        <w:t xml:space="preserve">on officielle, tout en gardant à l’esprit que </w:t>
      </w:r>
      <w:r w:rsidRPr="00E17D9B">
        <w:rPr>
          <w:lang w:val="fr-FR"/>
        </w:rPr>
        <w:t xml:space="preserve">la nouvelle architecture gouvernementale concernant les activités de prospective économique et de statistiques qui s’est mise en place il y a peu </w:t>
      </w:r>
      <w:r>
        <w:rPr>
          <w:lang w:val="fr-FR"/>
        </w:rPr>
        <w:t>n’est peut-être pas</w:t>
      </w:r>
      <w:r w:rsidRPr="00E17D9B">
        <w:rPr>
          <w:lang w:val="fr-FR"/>
        </w:rPr>
        <w:t xml:space="preserve"> tout à fait définitive</w:t>
      </w:r>
      <w:r>
        <w:rPr>
          <w:lang w:val="fr-FR"/>
        </w:rPr>
        <w:t xml:space="preserve">. </w:t>
      </w:r>
      <w:r w:rsidRPr="00E17D9B">
        <w:rPr>
          <w:lang w:val="fr-FR"/>
        </w:rPr>
        <w:t xml:space="preserve">En outre, la mission est d’avis que la phase de réflexion et de maturation de cette activité n’est pas encore achevée, s’agissant notamment des points suivants: </w:t>
      </w:r>
    </w:p>
    <w:p w:rsidR="00737BDE" w:rsidRPr="00C558DC" w:rsidRDefault="00737BDE" w:rsidP="00C558DC">
      <w:pPr>
        <w:pStyle w:val="NoSpacing"/>
        <w:numPr>
          <w:ilvl w:val="0"/>
          <w:numId w:val="12"/>
        </w:numPr>
        <w:spacing w:before="0" w:after="0"/>
        <w:ind w:left="763"/>
        <w:rPr>
          <w:sz w:val="20"/>
          <w:szCs w:val="20"/>
          <w:lang w:val="fr-FR"/>
        </w:rPr>
      </w:pPr>
      <w:r w:rsidRPr="00C558DC">
        <w:rPr>
          <w:sz w:val="20"/>
          <w:szCs w:val="20"/>
          <w:lang w:val="fr-FR"/>
        </w:rPr>
        <w:t xml:space="preserve">Comment exploiter les données existantes, mais non exploitées, qui existent dans les ministères ou les institutions de l’Etat ? </w:t>
      </w:r>
    </w:p>
    <w:p w:rsidR="00737BDE" w:rsidRPr="00C558DC" w:rsidRDefault="00737BDE" w:rsidP="00C558DC">
      <w:pPr>
        <w:pStyle w:val="NoSpacing"/>
        <w:numPr>
          <w:ilvl w:val="0"/>
          <w:numId w:val="12"/>
        </w:numPr>
        <w:spacing w:before="0" w:after="0"/>
        <w:ind w:left="763"/>
        <w:rPr>
          <w:sz w:val="20"/>
          <w:szCs w:val="20"/>
          <w:lang w:val="fr-FR"/>
        </w:rPr>
      </w:pPr>
      <w:r w:rsidRPr="00C558DC">
        <w:rPr>
          <w:sz w:val="20"/>
          <w:szCs w:val="20"/>
          <w:lang w:val="fr-FR"/>
        </w:rPr>
        <w:t>Comment s’assurer l’accès à toutes les données produites dans tous les secteurs ? Un audit des données existantes dans tous les ministères et les institutions publiques est-il un préalable nécessaire ?</w:t>
      </w:r>
    </w:p>
    <w:p w:rsidR="00737BDE" w:rsidRPr="00C558DC" w:rsidRDefault="00737BDE" w:rsidP="00C558DC">
      <w:pPr>
        <w:pStyle w:val="NoSpacing"/>
        <w:numPr>
          <w:ilvl w:val="0"/>
          <w:numId w:val="12"/>
        </w:numPr>
        <w:spacing w:before="0" w:after="0"/>
        <w:ind w:left="763"/>
        <w:rPr>
          <w:sz w:val="20"/>
          <w:szCs w:val="20"/>
          <w:lang w:val="fr-FR"/>
        </w:rPr>
      </w:pPr>
      <w:r w:rsidRPr="00C558DC">
        <w:rPr>
          <w:sz w:val="20"/>
          <w:szCs w:val="20"/>
          <w:lang w:val="fr-FR"/>
        </w:rPr>
        <w:t>Quels mécanismes établir pour l’actualisation et la pérennisation de la base de données ? Quelles seront les sources de financement de ces activités ?</w:t>
      </w:r>
    </w:p>
    <w:p w:rsidR="00737BDE" w:rsidRPr="00C558DC" w:rsidRDefault="00737BDE" w:rsidP="00C558DC">
      <w:pPr>
        <w:pStyle w:val="NoSpacing"/>
        <w:numPr>
          <w:ilvl w:val="0"/>
          <w:numId w:val="12"/>
        </w:numPr>
        <w:spacing w:before="0" w:after="0"/>
        <w:ind w:left="763"/>
        <w:rPr>
          <w:sz w:val="20"/>
          <w:szCs w:val="20"/>
          <w:lang w:val="fr-FR"/>
        </w:rPr>
      </w:pPr>
      <w:r w:rsidRPr="00C558DC">
        <w:rPr>
          <w:sz w:val="20"/>
          <w:szCs w:val="20"/>
          <w:lang w:val="fr-FR"/>
        </w:rPr>
        <w:t>A qui doivent s’adresser les activités de formation de gestionnaires de base de données initialement prévues dans le document de projet ?,</w:t>
      </w:r>
    </w:p>
    <w:p w:rsidR="00737BDE" w:rsidRPr="00C558DC" w:rsidRDefault="00737BDE" w:rsidP="00C558DC">
      <w:pPr>
        <w:pStyle w:val="NoSpacing"/>
        <w:numPr>
          <w:ilvl w:val="0"/>
          <w:numId w:val="12"/>
        </w:numPr>
        <w:spacing w:before="0" w:after="0"/>
        <w:ind w:left="763"/>
        <w:rPr>
          <w:sz w:val="20"/>
          <w:szCs w:val="20"/>
          <w:lang w:val="fr-FR"/>
        </w:rPr>
      </w:pPr>
      <w:r w:rsidRPr="00C558DC">
        <w:rPr>
          <w:sz w:val="20"/>
          <w:szCs w:val="20"/>
          <w:lang w:val="fr-FR"/>
        </w:rPr>
        <w:t>Comment inciter les autres ministères et autres institutions à partager leurs données de façon régulière ?</w:t>
      </w:r>
    </w:p>
    <w:p w:rsidR="00737BDE" w:rsidRPr="00C558DC" w:rsidRDefault="00737BDE" w:rsidP="00C558DC">
      <w:pPr>
        <w:pStyle w:val="NoSpacing"/>
        <w:numPr>
          <w:ilvl w:val="0"/>
          <w:numId w:val="12"/>
        </w:numPr>
        <w:spacing w:before="0" w:after="0"/>
        <w:ind w:left="763"/>
        <w:rPr>
          <w:sz w:val="20"/>
          <w:szCs w:val="20"/>
          <w:lang w:val="fr-FR"/>
        </w:rPr>
      </w:pPr>
      <w:r w:rsidRPr="00C558DC">
        <w:rPr>
          <w:sz w:val="20"/>
          <w:szCs w:val="20"/>
          <w:lang w:val="fr-FR"/>
        </w:rPr>
        <w:t>Etant donné que la base de données sera domiciliée au MPS, comment s’assurer qu’elle pourra être utile au MDCFCF ? Comment maximiser les chances que ces données soient régulièrement actualisées, analysées et utilisées par les décideurs  au plus haut niveau ?</w:t>
      </w:r>
    </w:p>
    <w:p w:rsidR="00737BDE" w:rsidRPr="00C558DC" w:rsidRDefault="00737BDE" w:rsidP="00123C70">
      <w:pPr>
        <w:pStyle w:val="NoSpacing"/>
        <w:numPr>
          <w:ilvl w:val="0"/>
          <w:numId w:val="1"/>
        </w:numPr>
        <w:ind w:left="0" w:firstLine="0"/>
        <w:rPr>
          <w:lang w:val="fr-FR"/>
        </w:rPr>
      </w:pPr>
      <w:r w:rsidRPr="00C558DC">
        <w:rPr>
          <w:lang w:val="fr-FR"/>
        </w:rPr>
        <w:t>Il sera également très important de bien coordonner les activités avec le projet d’assistance technique financé par le PNUD et d’établir les synergies qui s’imposent avec les autres activités du programme conjoint, notamment l’A5.</w:t>
      </w:r>
    </w:p>
    <w:p w:rsidR="00737BDE" w:rsidRPr="00C558DC" w:rsidRDefault="00737BDE" w:rsidP="00123C70">
      <w:pPr>
        <w:pStyle w:val="NoSpacing"/>
        <w:numPr>
          <w:ilvl w:val="0"/>
          <w:numId w:val="1"/>
        </w:numPr>
        <w:ind w:left="0" w:firstLine="0"/>
        <w:rPr>
          <w:lang w:val="fr-FR"/>
        </w:rPr>
      </w:pPr>
      <w:r w:rsidRPr="00C647FA">
        <w:rPr>
          <w:b/>
          <w:lang w:val="fr-FR"/>
        </w:rPr>
        <w:t>Etude sur l’impact genre du processus de libéralisation économique</w:t>
      </w:r>
      <w:r>
        <w:rPr>
          <w:b/>
          <w:lang w:val="fr-FR"/>
        </w:rPr>
        <w:t xml:space="preserve"> (A4)</w:t>
      </w:r>
      <w:r>
        <w:rPr>
          <w:lang w:val="fr-FR"/>
        </w:rPr>
        <w:t xml:space="preserve">. Comme le définissent les TdR de cette étude, </w:t>
      </w:r>
      <w:r>
        <w:rPr>
          <w:i/>
          <w:lang w:val="fr-FR"/>
        </w:rPr>
        <w:t>« l</w:t>
      </w:r>
      <w:r w:rsidRPr="00881823">
        <w:rPr>
          <w:i/>
          <w:lang w:val="fr-FR"/>
        </w:rPr>
        <w:t xml:space="preserve">e contexte économique algérien, marqué au cours de la dernière décennie par la libéralisation de l’économie, exige une  analyse du  rapport entre croissance économique axée sur la libéralisation et le développement durable humain d’autre part. </w:t>
      </w:r>
      <w:r w:rsidRPr="00123C70">
        <w:rPr>
          <w:lang w:val="fr-FR"/>
        </w:rPr>
        <w:t>Ces</w:t>
      </w:r>
      <w:r w:rsidRPr="00881823">
        <w:rPr>
          <w:i/>
          <w:lang w:val="fr-FR"/>
        </w:rPr>
        <w:t xml:space="preserve"> crises, ainsi que les conséquences sur la nature des décisions prises en matière de politiques macroéconomiques</w:t>
      </w:r>
      <w:r w:rsidR="00C558DC">
        <w:rPr>
          <w:i/>
          <w:lang w:val="fr-FR"/>
        </w:rPr>
        <w:t>,</w:t>
      </w:r>
      <w:r w:rsidRPr="00881823">
        <w:rPr>
          <w:i/>
          <w:lang w:val="fr-FR"/>
        </w:rPr>
        <w:t xml:space="preserve"> ont un impact très différencié sur les hommes et les femmes. Les études classiques de l’impact de la libéralisation économique et des crises économiques et financières se </w:t>
      </w:r>
      <w:r w:rsidRPr="00881823">
        <w:rPr>
          <w:i/>
          <w:lang w:val="fr-FR"/>
        </w:rPr>
        <w:lastRenderedPageBreak/>
        <w:t xml:space="preserve">penchent surtout sur les conséquences sur l’emploi, la production, les revenus et leur répartition et moins sur </w:t>
      </w:r>
      <w:r w:rsidRPr="00C558DC">
        <w:rPr>
          <w:i/>
          <w:lang w:val="fr-FR"/>
        </w:rPr>
        <w:t>l’impact en matière d’inégalités de genre ».</w:t>
      </w:r>
      <w:r w:rsidRPr="00C558DC">
        <w:rPr>
          <w:lang w:val="fr-FR"/>
        </w:rPr>
        <w:t xml:space="preserve">  </w:t>
      </w:r>
    </w:p>
    <w:p w:rsidR="002D4626" w:rsidRPr="00C558DC" w:rsidRDefault="00737BDE" w:rsidP="00123C70">
      <w:pPr>
        <w:pStyle w:val="NoSpacing"/>
        <w:numPr>
          <w:ilvl w:val="0"/>
          <w:numId w:val="1"/>
        </w:numPr>
        <w:ind w:left="0" w:firstLine="0"/>
        <w:rPr>
          <w:lang w:val="fr-FR"/>
        </w:rPr>
      </w:pPr>
      <w:r w:rsidRPr="00C558DC">
        <w:rPr>
          <w:lang w:val="fr-FR"/>
        </w:rPr>
        <w:t>La réalisation de cette étude plutôt complexe a été confiée à l’ONUFEMMES et au Commissariat général à la planification et à la prospection (</w:t>
      </w:r>
      <w:r w:rsidRPr="00C558DC">
        <w:rPr>
          <w:bCs/>
          <w:lang w:val="fr-FR"/>
        </w:rPr>
        <w:t>CGPP</w:t>
      </w:r>
      <w:r w:rsidR="00C558DC">
        <w:rPr>
          <w:lang w:val="fr-FR"/>
        </w:rPr>
        <w:t>) (l</w:t>
      </w:r>
      <w:r w:rsidRPr="00C558DC">
        <w:rPr>
          <w:lang w:val="fr-FR"/>
        </w:rPr>
        <w:t>equel est par la suite devenu le MPS</w:t>
      </w:r>
      <w:r w:rsidR="00C558DC">
        <w:rPr>
          <w:lang w:val="fr-FR"/>
        </w:rPr>
        <w:t>)</w:t>
      </w:r>
      <w:r w:rsidR="00BC04F1" w:rsidRPr="00C558DC">
        <w:rPr>
          <w:lang w:val="fr-FR"/>
        </w:rPr>
        <w:t xml:space="preserve"> pour un budget de 40.000 dollars</w:t>
      </w:r>
      <w:r w:rsidRPr="00C558DC">
        <w:rPr>
          <w:lang w:val="fr-FR"/>
        </w:rPr>
        <w:t xml:space="preserve">. Suite à une séance de travail organisée en juillet 2011, des </w:t>
      </w:r>
      <w:r w:rsidR="00C558DC">
        <w:rPr>
          <w:lang w:val="fr-FR"/>
        </w:rPr>
        <w:t>TdR</w:t>
      </w:r>
      <w:r w:rsidRPr="00C558DC">
        <w:rPr>
          <w:lang w:val="fr-FR"/>
        </w:rPr>
        <w:t xml:space="preserve"> ont été finalisé</w:t>
      </w:r>
      <w:r w:rsidR="002D4626" w:rsidRPr="00C558DC">
        <w:rPr>
          <w:lang w:val="fr-FR"/>
        </w:rPr>
        <w:t>s</w:t>
      </w:r>
      <w:r w:rsidRPr="00C558DC">
        <w:rPr>
          <w:lang w:val="fr-FR"/>
        </w:rPr>
        <w:t xml:space="preserve"> en août 2011. </w:t>
      </w:r>
      <w:r w:rsidR="002D4626" w:rsidRPr="00C558DC">
        <w:rPr>
          <w:lang w:val="fr-FR"/>
        </w:rPr>
        <w:t>La mission tient à souligner que ces Termes de Références, même s’ils pêchent par leur ambition, font partie des rares TdR élaborés dans le cadre conjoint qui</w:t>
      </w:r>
      <w:r w:rsidR="00C333C7" w:rsidRPr="00C558DC">
        <w:rPr>
          <w:lang w:val="fr-FR"/>
        </w:rPr>
        <w:t xml:space="preserve"> soient vraiment de qualité, c’est-à-dire qui ne se contentent pas de « copier/coller » certains paragraphes du document de projet pour approfondir la réflexion</w:t>
      </w:r>
      <w:r w:rsidR="00C558DC" w:rsidRPr="00C558DC">
        <w:rPr>
          <w:b/>
          <w:lang w:val="fr-FR"/>
        </w:rPr>
        <w:t>.</w:t>
      </w:r>
    </w:p>
    <w:p w:rsidR="00737BDE" w:rsidRDefault="00385EE0" w:rsidP="00123C70">
      <w:pPr>
        <w:pStyle w:val="NoSpacing"/>
        <w:numPr>
          <w:ilvl w:val="0"/>
          <w:numId w:val="1"/>
        </w:numPr>
        <w:ind w:left="0" w:firstLine="0"/>
        <w:rPr>
          <w:lang w:val="fr-FR"/>
        </w:rPr>
      </w:pPr>
      <w:r>
        <w:rPr>
          <w:lang w:val="fr-FR"/>
        </w:rPr>
        <w:t xml:space="preserve">A l’issue de l’appel </w:t>
      </w:r>
      <w:r w:rsidR="00737BDE" w:rsidRPr="00471A29">
        <w:rPr>
          <w:lang w:val="fr-FR"/>
        </w:rPr>
        <w:t>d’offre national, trois CVs ont été sélectionnés et les candidats ont été invités à préparer une note méthodologique détaillée. Bien qu’aucune</w:t>
      </w:r>
      <w:r>
        <w:rPr>
          <w:lang w:val="fr-FR"/>
        </w:rPr>
        <w:t xml:space="preserve"> de ces notes</w:t>
      </w:r>
      <w:r w:rsidR="00737BDE" w:rsidRPr="00471A29">
        <w:rPr>
          <w:lang w:val="fr-FR"/>
        </w:rPr>
        <w:t xml:space="preserve"> ne corresponde vraiment aux attentes, un consultant a quand même été sélectionné et recruté à l’issue de ce processus. Plus de deux mois après le démarrage des travaux, ce consultant n’a pu respecter le calendrier établi et le résultat des travaux préliminaires portant sur l’expérience à l’international </w:t>
      </w:r>
      <w:r>
        <w:rPr>
          <w:lang w:val="fr-FR"/>
        </w:rPr>
        <w:t xml:space="preserve">a </w:t>
      </w:r>
      <w:r w:rsidR="00737BDE" w:rsidRPr="00471A29">
        <w:rPr>
          <w:lang w:val="fr-FR"/>
        </w:rPr>
        <w:t>été jugé trop insatisfaisant pour que la collaboration ne continue</w:t>
      </w:r>
      <w:r w:rsidR="00737BDE">
        <w:rPr>
          <w:rStyle w:val="FootnoteReference"/>
          <w:lang w:val="fr-FR"/>
        </w:rPr>
        <w:footnoteReference w:id="33"/>
      </w:r>
      <w:r w:rsidR="00737BDE" w:rsidRPr="00471A29">
        <w:rPr>
          <w:lang w:val="fr-FR"/>
        </w:rPr>
        <w:t xml:space="preserve">. </w:t>
      </w:r>
      <w:r w:rsidR="00BC04F1">
        <w:rPr>
          <w:lang w:val="fr-FR"/>
        </w:rPr>
        <w:t>Sur les 63.900 dollars qui semblent avoir été transférés (alors que le budget initial s’élevait à 40.000 dollars), les dépenses s’élevaient à quelques 13.000 dollars à la fin décembre 2011, ce qui représente un taux d’exécution budgétaire de 21% alors qu’aucun résultat satisfaisant n’a été produit.</w:t>
      </w:r>
    </w:p>
    <w:p w:rsidR="00737BDE" w:rsidRPr="00385EE0" w:rsidRDefault="00737BDE" w:rsidP="00123C70">
      <w:pPr>
        <w:pStyle w:val="NoSpacing"/>
        <w:numPr>
          <w:ilvl w:val="0"/>
          <w:numId w:val="1"/>
        </w:numPr>
        <w:ind w:left="0" w:firstLine="0"/>
        <w:rPr>
          <w:lang w:val="fr-FR"/>
        </w:rPr>
      </w:pPr>
      <w:r w:rsidRPr="00471A29">
        <w:rPr>
          <w:lang w:val="fr-FR"/>
        </w:rPr>
        <w:t>Alors que le gouvernement a</w:t>
      </w:r>
      <w:r>
        <w:rPr>
          <w:lang w:val="fr-FR"/>
        </w:rPr>
        <w:t>vait</w:t>
      </w:r>
      <w:r w:rsidRPr="00471A29">
        <w:rPr>
          <w:lang w:val="fr-FR"/>
        </w:rPr>
        <w:t xml:space="preserve"> apparemment insisté pour qu’un consultant national soit recruté, il </w:t>
      </w:r>
      <w:r>
        <w:rPr>
          <w:lang w:val="fr-FR"/>
        </w:rPr>
        <w:t xml:space="preserve">semble </w:t>
      </w:r>
      <w:r w:rsidRPr="00471A29">
        <w:rPr>
          <w:lang w:val="fr-FR"/>
        </w:rPr>
        <w:t>qu’il soit difficile de trouver dans le pays l’expertise requise pour cette analyse d’une très grande complexité et nécessitant une grande connaissance du processus de libéralisation économique, un phénomène somme toute encor</w:t>
      </w:r>
      <w:r w:rsidR="00385EE0">
        <w:rPr>
          <w:lang w:val="fr-FR"/>
        </w:rPr>
        <w:t>e  récent dans le pays. Le laps</w:t>
      </w:r>
      <w:r w:rsidRPr="00471A29">
        <w:rPr>
          <w:lang w:val="fr-FR"/>
        </w:rPr>
        <w:t xml:space="preserve"> de temps trop court laissé aux candidats potentiels pour manifester leur intérêt lors de l’appel d’offre (deux semaines), ainsi que le montant relativement limité des honoraires que peuvent offrir les Nations Unies sont </w:t>
      </w:r>
      <w:r w:rsidRPr="00385EE0">
        <w:rPr>
          <w:lang w:val="fr-FR"/>
        </w:rPr>
        <w:t>autant d’obstacles qui n’ont pas permis d’attirer la candidature des meilleurs consultants nationaux. Avec le recul, l’ONUFEMMES est d’avis que l’on aurait peut-être dû scinder la consultation en deux parties : une étude d’exploration et de capitalisation de l’expérience dans les autres pays à réaliser par un économiste international, le reste des TdR étant confiés à un économiste national.  Il semble que ce soit l’option maintenant à l’étude alors que l’activité A4 est pour l’instant au point mort.</w:t>
      </w:r>
    </w:p>
    <w:p w:rsidR="00737BDE" w:rsidRPr="00846164" w:rsidRDefault="00737BDE" w:rsidP="00123C70">
      <w:pPr>
        <w:pStyle w:val="NoSpacing"/>
        <w:numPr>
          <w:ilvl w:val="0"/>
          <w:numId w:val="1"/>
        </w:numPr>
        <w:ind w:left="0" w:firstLine="0"/>
        <w:rPr>
          <w:lang w:val="fr-FR"/>
        </w:rPr>
      </w:pPr>
      <w:r>
        <w:rPr>
          <w:lang w:val="fr-FR"/>
        </w:rPr>
        <w:t xml:space="preserve">Etant donné le caractère très pointu et très ambitieux des Termes de Référence, la mission est d’avis qu’il sera difficile pour les partenaires non seulement d’identifier rapidement de nouveaux experts, mais surtout, par la suite, de suivre et guider leurs travaux, aucune agence ne possédant l’expertise requise. Or, à moins que l’étude ne soit d’une grande robustesse méthodologique et analytique, ses résultats pourront très facilement être mis en doute, ce qui viendra miner sa valeur et les perspectives de son utilisation. Enfin, la mission est d’avis que la pertinence de cette activité, par rapport aux objectifs globaux du programme, est certes réelle, mais sans grande perspective d’application immédiate et directe. La mission suggère donc que cette activité soit supprimée et que  le reliquat budgétaire de quelques 50.000 dollars soit réaffecté à d’autres activités (par exemple l’A2). </w:t>
      </w:r>
    </w:p>
    <w:p w:rsidR="00385EE0" w:rsidRDefault="00385EE0">
      <w:pPr>
        <w:rPr>
          <w:rFonts w:ascii="Calibri" w:hAnsi="Calibri"/>
          <w:sz w:val="22"/>
          <w:lang w:val="fr-FR"/>
        </w:rPr>
      </w:pPr>
      <w:r>
        <w:rPr>
          <w:lang w:val="fr-FR"/>
        </w:rPr>
        <w:br w:type="page"/>
      </w:r>
    </w:p>
    <w:p w:rsidR="00385EE0" w:rsidRDefault="00B233DD" w:rsidP="00385EE0">
      <w:pPr>
        <w:pStyle w:val="NoSpacing"/>
        <w:numPr>
          <w:ilvl w:val="0"/>
          <w:numId w:val="1"/>
        </w:numPr>
        <w:ind w:left="0" w:firstLine="0"/>
        <w:rPr>
          <w:lang w:val="fr-FR"/>
        </w:rPr>
      </w:pPr>
      <w:r>
        <w:rPr>
          <w:b/>
          <w:noProof/>
        </w:rPr>
        <w:lastRenderedPageBreak/>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59690</wp:posOffset>
                </wp:positionV>
                <wp:extent cx="5772150" cy="457200"/>
                <wp:effectExtent l="0" t="0" r="19050" b="1905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57200"/>
                        </a:xfrm>
                        <a:prstGeom prst="rect">
                          <a:avLst/>
                        </a:prstGeom>
                        <a:solidFill>
                          <a:schemeClr val="bg1">
                            <a:lumMod val="85000"/>
                            <a:alpha val="88000"/>
                          </a:schemeClr>
                        </a:solidFill>
                        <a:ln w="9525">
                          <a:solidFill>
                            <a:srgbClr val="000000"/>
                          </a:solidFill>
                          <a:miter lim="800000"/>
                          <a:headEnd/>
                          <a:tailEnd/>
                        </a:ln>
                      </wps:spPr>
                      <wps:txbx>
                        <w:txbxContent>
                          <w:p w:rsidR="00E46B31" w:rsidRPr="00D3047F" w:rsidRDefault="00E46B31" w:rsidP="00737BDE">
                            <w:pPr>
                              <w:rPr>
                                <w:rFonts w:asciiTheme="minorHAnsi" w:hAnsiTheme="minorHAnsi" w:cstheme="minorHAnsi"/>
                                <w:sz w:val="22"/>
                                <w:szCs w:val="22"/>
                                <w:lang w:val="fr-FR"/>
                              </w:rPr>
                            </w:pPr>
                            <w:r>
                              <w:rPr>
                                <w:rFonts w:asciiTheme="minorHAnsi" w:hAnsiTheme="minorHAnsi" w:cstheme="minorHAnsi"/>
                                <w:b/>
                                <w:sz w:val="22"/>
                                <w:szCs w:val="22"/>
                                <w:lang w:val="fr-FR"/>
                              </w:rPr>
                              <w:t>P</w:t>
                            </w:r>
                            <w:r w:rsidRPr="00D3047F">
                              <w:rPr>
                                <w:rFonts w:asciiTheme="minorHAnsi" w:hAnsiTheme="minorHAnsi" w:cstheme="minorHAnsi"/>
                                <w:b/>
                                <w:sz w:val="22"/>
                                <w:szCs w:val="22"/>
                                <w:lang w:val="fr-FR"/>
                              </w:rPr>
                              <w:t>2</w:t>
                            </w:r>
                            <w:r w:rsidRPr="00D3047F">
                              <w:rPr>
                                <w:rFonts w:asciiTheme="minorHAnsi" w:hAnsiTheme="minorHAnsi" w:cstheme="minorHAnsi"/>
                                <w:sz w:val="22"/>
                                <w:szCs w:val="22"/>
                                <w:lang w:val="fr-FR"/>
                              </w:rPr>
                              <w:t xml:space="preserve">: </w:t>
                            </w:r>
                            <w:r w:rsidRPr="00262A1A">
                              <w:rPr>
                                <w:rFonts w:asciiTheme="minorHAnsi" w:hAnsiTheme="minorHAnsi" w:cstheme="minorHAnsi"/>
                                <w:b/>
                                <w:sz w:val="22"/>
                                <w:szCs w:val="22"/>
                                <w:lang w:val="fr-FR"/>
                              </w:rPr>
                              <w:t>Capacités des institutions nationales productrices de statistiques renforcées en matière de production de données sexospécifiques et d’établissement d’indicateurs pertinents et d’analyse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5pt;margin-top:4.7pt;width:454.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" fillcolor="#d8d8d8 [2732]">
                <v:fill opacity="57568f"/>
                <v:textbox>
                  <w:txbxContent>
                    <w:p w:rsidR="00E46B31" w:rsidRPr="00D3047F" w:rsidRDefault="00E46B31" w:rsidP="00737BDE">
                      <w:pPr>
                        <w:rPr>
                          <w:rFonts w:asciiTheme="minorHAnsi" w:hAnsiTheme="minorHAnsi" w:cstheme="minorHAnsi"/>
                          <w:sz w:val="22"/>
                          <w:szCs w:val="22"/>
                          <w:lang w:val="fr-FR"/>
                        </w:rPr>
                      </w:pPr>
                      <w:r>
                        <w:rPr>
                          <w:rFonts w:asciiTheme="minorHAnsi" w:hAnsiTheme="minorHAnsi" w:cstheme="minorHAnsi"/>
                          <w:b/>
                          <w:sz w:val="22"/>
                          <w:szCs w:val="22"/>
                          <w:lang w:val="fr-FR"/>
                        </w:rPr>
                        <w:t>P</w:t>
                      </w:r>
                      <w:r w:rsidRPr="00D3047F">
                        <w:rPr>
                          <w:rFonts w:asciiTheme="minorHAnsi" w:hAnsiTheme="minorHAnsi" w:cstheme="minorHAnsi"/>
                          <w:b/>
                          <w:sz w:val="22"/>
                          <w:szCs w:val="22"/>
                          <w:lang w:val="fr-FR"/>
                        </w:rPr>
                        <w:t>2</w:t>
                      </w:r>
                      <w:r w:rsidRPr="00D3047F">
                        <w:rPr>
                          <w:rFonts w:asciiTheme="minorHAnsi" w:hAnsiTheme="minorHAnsi" w:cstheme="minorHAnsi"/>
                          <w:sz w:val="22"/>
                          <w:szCs w:val="22"/>
                          <w:lang w:val="fr-FR"/>
                        </w:rPr>
                        <w:t xml:space="preserve">: </w:t>
                      </w:r>
                      <w:r w:rsidRPr="00262A1A">
                        <w:rPr>
                          <w:rFonts w:asciiTheme="minorHAnsi" w:hAnsiTheme="minorHAnsi" w:cstheme="minorHAnsi"/>
                          <w:b/>
                          <w:sz w:val="22"/>
                          <w:szCs w:val="22"/>
                          <w:lang w:val="fr-FR"/>
                        </w:rPr>
                        <w:t>Capacités des institutions nationales productrices de statistiques renforcées en matière de production de données sexospécifiques et d’établissement d’indicateurs pertinents et d’analyse</w:t>
                      </w:r>
                    </w:p>
                  </w:txbxContent>
                </v:textbox>
                <w10:wrap type="topAndBottom"/>
              </v:shape>
            </w:pict>
          </mc:Fallback>
        </mc:AlternateContent>
      </w:r>
      <w:r w:rsidR="00737BDE" w:rsidRPr="00385EE0">
        <w:rPr>
          <w:lang w:val="fr-FR"/>
        </w:rPr>
        <w:t>Afin de répondre au problème soulevé dans le document de projet de manque de données et d’informations sur le genre, les concepteurs ont également prévu que le programme renforcent les capacités des institutions nationales à produire des informations sensibles au genre.</w:t>
      </w:r>
    </w:p>
    <w:p w:rsidR="00737BDE" w:rsidRPr="00385EE0" w:rsidRDefault="00737BDE" w:rsidP="00385EE0">
      <w:pPr>
        <w:pStyle w:val="NoSpacing"/>
        <w:numPr>
          <w:ilvl w:val="0"/>
          <w:numId w:val="1"/>
        </w:numPr>
        <w:ind w:left="0" w:firstLine="0"/>
        <w:rPr>
          <w:lang w:val="fr-FR"/>
        </w:rPr>
      </w:pPr>
      <w:r w:rsidRPr="00385EE0">
        <w:rPr>
          <w:b/>
          <w:lang w:val="fr-FR"/>
        </w:rPr>
        <w:t>Formation des professionnels de la collecte de données (A5).</w:t>
      </w:r>
      <w:r w:rsidRPr="00385EE0">
        <w:rPr>
          <w:lang w:val="fr-FR"/>
        </w:rPr>
        <w:t xml:space="preserve"> Dans le cadre de cette activité confiée au PNUD et l’ONS, il était prévu que six institutions détentrices de gros fichiers de données (non identifiées dans le document de projet) soient équipées en logiciels spécifiques, puis leur personnel formé à la production de données sexospécifiques. </w:t>
      </w:r>
      <w:r w:rsidR="00BC04F1" w:rsidRPr="00385EE0">
        <w:rPr>
          <w:lang w:val="fr-FR"/>
        </w:rPr>
        <w:t xml:space="preserve">Ces activités ont été dotées d’un </w:t>
      </w:r>
      <w:r w:rsidR="00211F76" w:rsidRPr="00385EE0">
        <w:rPr>
          <w:lang w:val="fr-FR"/>
        </w:rPr>
        <w:t xml:space="preserve">substantiel </w:t>
      </w:r>
      <w:r w:rsidR="00BC04F1" w:rsidRPr="00385EE0">
        <w:rPr>
          <w:lang w:val="fr-FR"/>
        </w:rPr>
        <w:t xml:space="preserve">budget </w:t>
      </w:r>
      <w:r w:rsidR="00211F76" w:rsidRPr="00385EE0">
        <w:rPr>
          <w:lang w:val="fr-FR"/>
        </w:rPr>
        <w:t>de</w:t>
      </w:r>
      <w:r w:rsidR="00BC04F1" w:rsidRPr="00385EE0">
        <w:rPr>
          <w:lang w:val="fr-FR"/>
        </w:rPr>
        <w:t xml:space="preserve"> 212.000 dollars</w:t>
      </w:r>
      <w:r w:rsidR="00211F76" w:rsidRPr="00385EE0">
        <w:rPr>
          <w:lang w:val="fr-FR"/>
        </w:rPr>
        <w:t>, ce qui représente de 2</w:t>
      </w:r>
      <w:r w:rsidR="00211F76" w:rsidRPr="00385EE0">
        <w:rPr>
          <w:vertAlign w:val="superscript"/>
          <w:lang w:val="fr-FR"/>
        </w:rPr>
        <w:t>ème</w:t>
      </w:r>
      <w:r w:rsidR="00211F76" w:rsidRPr="00385EE0">
        <w:rPr>
          <w:lang w:val="fr-FR"/>
        </w:rPr>
        <w:t xml:space="preserve"> budget le plus important du programme, dont la moitié a été transféré sans qu’aucune dépense n’ait eu lieu à ce jour</w:t>
      </w:r>
    </w:p>
    <w:p w:rsidR="00737BDE" w:rsidRDefault="00737BDE" w:rsidP="00123C70">
      <w:pPr>
        <w:pStyle w:val="NoSpacing"/>
        <w:numPr>
          <w:ilvl w:val="0"/>
          <w:numId w:val="1"/>
        </w:numPr>
        <w:ind w:left="0" w:firstLine="0"/>
        <w:rPr>
          <w:lang w:val="fr-FR"/>
        </w:rPr>
      </w:pPr>
      <w:r>
        <w:rPr>
          <w:lang w:val="fr-FR"/>
        </w:rPr>
        <w:t>Bien que cette activité soit identifiée comme étant « en état avancé d’avancement », la mission est d’avis que de nombreuses questions conceptuelles restent encore sans réponse.  En effet, s</w:t>
      </w:r>
      <w:r w:rsidRPr="00471A29">
        <w:rPr>
          <w:lang w:val="fr-FR"/>
        </w:rPr>
        <w:t>uite à une séance de tr</w:t>
      </w:r>
      <w:r>
        <w:rPr>
          <w:lang w:val="fr-FR"/>
        </w:rPr>
        <w:t>avail organisée en juillet 2011 entre le PNUD, l’ONS et le MPS,</w:t>
      </w:r>
      <w:r w:rsidRPr="00471A29">
        <w:rPr>
          <w:lang w:val="fr-FR"/>
        </w:rPr>
        <w:t xml:space="preserve"> des Termes de </w:t>
      </w:r>
      <w:r>
        <w:rPr>
          <w:lang w:val="fr-FR"/>
        </w:rPr>
        <w:t>Référence ont été préparés pour recruter un consultant international sur une durée de trois mois, mais la mission est d’avis qu’ils sont très nettement insatisfaisants. Comme de très nombreux TdR préparés dans le cadre du programme, ceux-ci se contentent de reprendre textuellement les énoncés et descriptions très vagues du document de projet sans qu’un réel effort de réflexion n’ait été engagé afin, notamment, de définir la portée de l’activité, la présélection des ministères partenaires, etc.</w:t>
      </w:r>
    </w:p>
    <w:p w:rsidR="00737BDE" w:rsidRDefault="00737BDE" w:rsidP="00123C70">
      <w:pPr>
        <w:pStyle w:val="NoSpacing"/>
        <w:numPr>
          <w:ilvl w:val="0"/>
          <w:numId w:val="1"/>
        </w:numPr>
        <w:ind w:left="0" w:firstLine="0"/>
        <w:rPr>
          <w:lang w:val="fr-FR"/>
        </w:rPr>
      </w:pPr>
      <w:r>
        <w:rPr>
          <w:lang w:val="fr-FR"/>
        </w:rPr>
        <w:t>Les changements dans le contexte institutionnels de la prospective et des statistiques en Algérie, avec notamment la création du MPS, ainsi que les retards pris dans la mise en œuvre de l’activité A3, aurait dû conduire les partenaires à réfléchir en profondeur à cette intervention. A l’occasion de la revue annuelle de décembre 2011, les partenaires ont en effet questionné sa pertinence et notamment des cibles établies (</w:t>
      </w:r>
      <w:r w:rsidRPr="00AA313C">
        <w:rPr>
          <w:i/>
          <w:lang w:val="fr-FR"/>
        </w:rPr>
        <w:t>par exemple, pourquoi se limiter à 6 institutions ?)</w:t>
      </w:r>
      <w:r>
        <w:rPr>
          <w:lang w:val="fr-FR"/>
        </w:rPr>
        <w:t xml:space="preserve"> et de l’approche (</w:t>
      </w:r>
      <w:r w:rsidRPr="00AA313C">
        <w:rPr>
          <w:i/>
          <w:lang w:val="fr-FR"/>
        </w:rPr>
        <w:t>tous les partenaires/bénéficiaires ont-ils besoin de logiciels ? quels sont les véritables besoins ?</w:t>
      </w:r>
      <w:r>
        <w:rPr>
          <w:lang w:val="fr-FR"/>
        </w:rPr>
        <w:t xml:space="preserve">). La nécessité d’établir des liens avec l’A3, ce que ne fait pas le document de projet, a également été relevée lors du même atelier.  </w:t>
      </w:r>
    </w:p>
    <w:p w:rsidR="00737BDE" w:rsidRDefault="00737BDE" w:rsidP="00123C70">
      <w:pPr>
        <w:pStyle w:val="NoSpacing"/>
        <w:numPr>
          <w:ilvl w:val="0"/>
          <w:numId w:val="1"/>
        </w:numPr>
        <w:ind w:left="0" w:firstLine="0"/>
        <w:rPr>
          <w:lang w:val="fr-FR"/>
        </w:rPr>
      </w:pPr>
      <w:r w:rsidRPr="00756348">
        <w:rPr>
          <w:lang w:val="fr-FR"/>
        </w:rPr>
        <w:t xml:space="preserve">En l’état actuel des choses, la mission est d’avis que le programme ne pourra, au mieux, que réaliser un état des lieux approfondi, avec une identification des besoins en formation et en équipement. L’objectif initial d’amener 6 institutions à adopter de nouveaux logiciels de traitement des données </w:t>
      </w:r>
      <w:r>
        <w:rPr>
          <w:lang w:val="fr-FR"/>
        </w:rPr>
        <w:t xml:space="preserve">et de nouveaux indicateurs </w:t>
      </w:r>
      <w:r w:rsidRPr="00756348">
        <w:rPr>
          <w:lang w:val="fr-FR"/>
        </w:rPr>
        <w:t xml:space="preserve">afin qu’elles </w:t>
      </w:r>
      <w:r>
        <w:rPr>
          <w:lang w:val="fr-FR"/>
        </w:rPr>
        <w:t>produisent</w:t>
      </w:r>
      <w:r w:rsidRPr="00756348">
        <w:rPr>
          <w:lang w:val="fr-FR"/>
        </w:rPr>
        <w:t xml:space="preserve"> des données sexospécifiques et des informations sensibles au genre ne semble pas réalisable d’ici à la fin du programme. </w:t>
      </w:r>
    </w:p>
    <w:p w:rsidR="00737BDE" w:rsidRPr="00756348" w:rsidRDefault="00737BDE" w:rsidP="00123C70">
      <w:pPr>
        <w:pStyle w:val="NoSpacing"/>
        <w:numPr>
          <w:ilvl w:val="0"/>
          <w:numId w:val="1"/>
        </w:numPr>
        <w:ind w:left="0" w:firstLine="0"/>
        <w:rPr>
          <w:lang w:val="fr-FR"/>
        </w:rPr>
      </w:pPr>
      <w:r w:rsidRPr="00756348">
        <w:rPr>
          <w:lang w:val="fr-FR"/>
        </w:rPr>
        <w:t>A priori, donc, la mission n’est pas favorable à la poursuite de cette activité. Si elle devait être poursuivie, une reformulation très en profondeur de cette activité s’impose</w:t>
      </w:r>
      <w:r>
        <w:rPr>
          <w:lang w:val="fr-FR"/>
        </w:rPr>
        <w:t>ra pour redéfinir très précisément, entre autres, les éléments suivants : quels sont les objectifs précis ? ; quels doivent être les critères de sélection des institutions (quelles institutions ? pourquoi ? combien ?) ; quelles actions de sensibilisation et de plaidoyer doit-on prévoir auprès des décideurs de ces institutions ? ; quel calendrier mettre en place ? la formation à l’utilisation des logiciels suffira-t-elle, ou doit-on prévoir des formations à la problématique genre ? etc. Cette réflexion devra en outre se faire en parallèle à la réflexion sur l’activité A3.</w:t>
      </w:r>
    </w:p>
    <w:p w:rsidR="00385EE0" w:rsidRDefault="00385EE0">
      <w:pPr>
        <w:rPr>
          <w:b/>
          <w:lang w:val="fr-FR"/>
        </w:rPr>
      </w:pPr>
      <w:r>
        <w:rPr>
          <w:b/>
          <w:lang w:val="fr-FR"/>
        </w:rPr>
        <w:br w:type="page"/>
      </w:r>
    </w:p>
    <w:p w:rsidR="00737BDE" w:rsidRDefault="00B233DD" w:rsidP="00737BDE">
      <w:pPr>
        <w:pStyle w:val="ListParagraph"/>
        <w:rPr>
          <w:b/>
          <w:lang w:val="fr-FR"/>
        </w:rPr>
      </w:pPr>
      <w:r>
        <w:rPr>
          <w:b/>
          <w:noProof/>
        </w:rPr>
        <w:lastRenderedPageBreak/>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-81280</wp:posOffset>
                </wp:positionV>
                <wp:extent cx="5772150" cy="441960"/>
                <wp:effectExtent l="0" t="0" r="19050" b="158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41960"/>
                        </a:xfrm>
                        <a:prstGeom prst="rect">
                          <a:avLst/>
                        </a:prstGeom>
                        <a:solidFill>
                          <a:sysClr val="window" lastClr="FFFFFF">
                            <a:lumMod val="85000"/>
                            <a:alpha val="88000"/>
                          </a:sysClr>
                        </a:solidFill>
                        <a:ln w="9525">
                          <a:solidFill>
                            <a:srgbClr val="000000"/>
                          </a:solidFill>
                          <a:miter lim="800000"/>
                          <a:headEnd/>
                          <a:tailEnd/>
                        </a:ln>
                      </wps:spPr>
                      <wps:txbx>
                        <w:txbxContent>
                          <w:p w:rsidR="00E46B31" w:rsidRPr="00D3047F" w:rsidRDefault="00E46B31" w:rsidP="00737BDE">
                            <w:pPr>
                              <w:rPr>
                                <w:rFonts w:asciiTheme="minorHAnsi" w:hAnsiTheme="minorHAnsi" w:cstheme="minorHAnsi"/>
                                <w:sz w:val="22"/>
                                <w:szCs w:val="22"/>
                                <w:lang w:val="fr-FR"/>
                              </w:rPr>
                            </w:pPr>
                            <w:r w:rsidRPr="00262A1A">
                              <w:rPr>
                                <w:rFonts w:asciiTheme="minorHAnsi" w:hAnsiTheme="minorHAnsi" w:cstheme="minorHAnsi"/>
                                <w:b/>
                                <w:sz w:val="22"/>
                                <w:szCs w:val="22"/>
                                <w:lang w:val="fr-FR"/>
                              </w:rPr>
                              <w:t>P3. Approche genre intégrée dans les politiques et stratégies sectorielles ainsi que dans les mécanismes d’évaluation</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75pt;margin-top:-6.4pt;width:454.5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" fillcolor="#d9d9d9">
                <v:fill opacity="57568f"/>
                <v:textbox style="mso-fit-shape-to-text:t">
                  <w:txbxContent>
                    <w:p w:rsidR="00E46B31" w:rsidRPr="00D3047F" w:rsidRDefault="00E46B31" w:rsidP="00737BDE">
                      <w:pPr>
                        <w:rPr>
                          <w:rFonts w:asciiTheme="minorHAnsi" w:hAnsiTheme="minorHAnsi" w:cstheme="minorHAnsi"/>
                          <w:sz w:val="22"/>
                          <w:szCs w:val="22"/>
                          <w:lang w:val="fr-FR"/>
                        </w:rPr>
                      </w:pPr>
                      <w:r w:rsidRPr="00262A1A">
                        <w:rPr>
                          <w:rFonts w:asciiTheme="minorHAnsi" w:hAnsiTheme="minorHAnsi" w:cstheme="minorHAnsi"/>
                          <w:b/>
                          <w:sz w:val="22"/>
                          <w:szCs w:val="22"/>
                          <w:lang w:val="fr-FR"/>
                        </w:rPr>
                        <w:t>P3. Approche genre intégrée dans les politiques et stratégies sectorielles ainsi que dans les mécanismes d’évaluation</w:t>
                      </w:r>
                    </w:p>
                  </w:txbxContent>
                </v:textbox>
                <w10:wrap type="topAndBottom"/>
              </v:shape>
            </w:pict>
          </mc:Fallback>
        </mc:AlternateContent>
      </w:r>
    </w:p>
    <w:p w:rsidR="00385EE0" w:rsidRPr="0099406A" w:rsidRDefault="00737BDE" w:rsidP="00385EE0">
      <w:pPr>
        <w:pStyle w:val="NoSpacing"/>
        <w:numPr>
          <w:ilvl w:val="0"/>
          <w:numId w:val="1"/>
        </w:numPr>
        <w:ind w:left="0" w:firstLine="0"/>
        <w:rPr>
          <w:lang w:val="fr-FR"/>
        </w:rPr>
      </w:pPr>
      <w:r w:rsidRPr="0099406A">
        <w:rPr>
          <w:lang w:val="fr-FR"/>
        </w:rPr>
        <w:t xml:space="preserve">La première observation de la mission concerne l’ambition démesurée de ce « produit », lequel pourrait </w:t>
      </w:r>
      <w:r w:rsidR="002D4626" w:rsidRPr="0099406A">
        <w:rPr>
          <w:lang w:val="fr-FR"/>
        </w:rPr>
        <w:t xml:space="preserve">aisément </w:t>
      </w:r>
      <w:r w:rsidRPr="0099406A">
        <w:rPr>
          <w:lang w:val="fr-FR"/>
        </w:rPr>
        <w:t>constituer l</w:t>
      </w:r>
      <w:r w:rsidR="00246E0B">
        <w:rPr>
          <w:lang w:val="fr-FR"/>
        </w:rPr>
        <w:t xml:space="preserve">’objectif </w:t>
      </w:r>
      <w:r w:rsidRPr="0099406A">
        <w:rPr>
          <w:lang w:val="fr-FR"/>
        </w:rPr>
        <w:t xml:space="preserve">principale </w:t>
      </w:r>
      <w:r w:rsidR="00F57F00" w:rsidRPr="0099406A">
        <w:rPr>
          <w:lang w:val="fr-FR"/>
        </w:rPr>
        <w:t>d’un unique</w:t>
      </w:r>
      <w:r w:rsidRPr="0099406A">
        <w:rPr>
          <w:lang w:val="fr-FR"/>
        </w:rPr>
        <w:t xml:space="preserve"> projet.</w:t>
      </w:r>
      <w:r w:rsidR="0099406A">
        <w:rPr>
          <w:lang w:val="fr-FR"/>
        </w:rPr>
        <w:t xml:space="preserve"> Or, la liste des activités prévues pour atteindre cet objectif paraît incomplète et surtout, ces activités semblent de trop faible portée. En outre, d’après la compréhension de la mission d’évaluation, une des hypothèses de base semble avoir été que </w:t>
      </w:r>
      <w:r w:rsidR="00F57F00" w:rsidRPr="0099406A">
        <w:rPr>
          <w:lang w:val="fr-FR"/>
        </w:rPr>
        <w:t xml:space="preserve">l’approche de la BSG serait </w:t>
      </w:r>
      <w:r w:rsidR="0099406A">
        <w:rPr>
          <w:lang w:val="fr-FR"/>
        </w:rPr>
        <w:t xml:space="preserve">(facilement) </w:t>
      </w:r>
      <w:r w:rsidR="002D4626" w:rsidRPr="0099406A">
        <w:rPr>
          <w:lang w:val="fr-FR"/>
        </w:rPr>
        <w:t xml:space="preserve">applicable au contexte algérien, à la suite de quoi elle pourrait être effectivement </w:t>
      </w:r>
      <w:r w:rsidR="00F57F00" w:rsidRPr="0099406A">
        <w:rPr>
          <w:lang w:val="fr-FR"/>
        </w:rPr>
        <w:t xml:space="preserve">adoptée par un certain nombre de ministères. Dans le jargon </w:t>
      </w:r>
      <w:r w:rsidR="002D4626" w:rsidRPr="0099406A">
        <w:rPr>
          <w:lang w:val="fr-FR"/>
        </w:rPr>
        <w:t xml:space="preserve">anglo-saxon </w:t>
      </w:r>
      <w:r w:rsidR="00F57F00" w:rsidRPr="0099406A">
        <w:rPr>
          <w:lang w:val="fr-FR"/>
        </w:rPr>
        <w:t>de la planification axée sur les résultats, il s’agit-là d’une « </w:t>
      </w:r>
      <w:r w:rsidR="00F57F00" w:rsidRPr="0099406A">
        <w:rPr>
          <w:i/>
          <w:lang w:val="fr-FR"/>
        </w:rPr>
        <w:t>killer assumption</w:t>
      </w:r>
      <w:r w:rsidR="00F57F00" w:rsidRPr="0099406A">
        <w:rPr>
          <w:lang w:val="fr-FR"/>
        </w:rPr>
        <w:t> », c’est-à-dire une hypothèse qui a le potentiel de nuire très gravement au succès des interventions si elle ne se réalise pas</w:t>
      </w:r>
      <w:r w:rsidR="0099406A">
        <w:rPr>
          <w:rStyle w:val="FootnoteReference"/>
          <w:lang w:val="fr-FR"/>
        </w:rPr>
        <w:footnoteReference w:id="34"/>
      </w:r>
      <w:r w:rsidR="002D4626" w:rsidRPr="0099406A">
        <w:rPr>
          <w:lang w:val="fr-FR"/>
        </w:rPr>
        <w:t>.</w:t>
      </w:r>
    </w:p>
    <w:p w:rsidR="00737BDE" w:rsidRPr="00385EE0" w:rsidRDefault="00737BDE" w:rsidP="00385EE0">
      <w:pPr>
        <w:pStyle w:val="NoSpacing"/>
        <w:numPr>
          <w:ilvl w:val="0"/>
          <w:numId w:val="1"/>
        </w:numPr>
        <w:ind w:left="0" w:firstLine="0"/>
        <w:rPr>
          <w:lang w:val="fr-FR"/>
        </w:rPr>
      </w:pPr>
      <w:r w:rsidRPr="00385EE0">
        <w:rPr>
          <w:b/>
          <w:lang w:val="fr-FR"/>
        </w:rPr>
        <w:t>Formation des responsables des institutions nationales en planification</w:t>
      </w:r>
      <w:r w:rsidR="002D4626" w:rsidRPr="00385EE0">
        <w:rPr>
          <w:b/>
          <w:lang w:val="fr-FR"/>
        </w:rPr>
        <w:t xml:space="preserve"> à l’approche genre </w:t>
      </w:r>
      <w:r w:rsidRPr="00385EE0">
        <w:rPr>
          <w:b/>
          <w:lang w:val="fr-FR"/>
        </w:rPr>
        <w:t>(A</w:t>
      </w:r>
      <w:r w:rsidR="00B24DEB" w:rsidRPr="00385EE0">
        <w:rPr>
          <w:b/>
          <w:lang w:val="fr-FR"/>
        </w:rPr>
        <w:t>6</w:t>
      </w:r>
      <w:r w:rsidRPr="00385EE0">
        <w:rPr>
          <w:b/>
          <w:lang w:val="fr-FR"/>
        </w:rPr>
        <w:t xml:space="preserve">). </w:t>
      </w:r>
      <w:r w:rsidR="002D4626" w:rsidRPr="00385EE0">
        <w:rPr>
          <w:lang w:val="fr-FR"/>
        </w:rPr>
        <w:t xml:space="preserve">Confiée à l’exécution du </w:t>
      </w:r>
      <w:r w:rsidRPr="00385EE0">
        <w:rPr>
          <w:lang w:val="fr-FR"/>
        </w:rPr>
        <w:t>PNUD et le M</w:t>
      </w:r>
      <w:r w:rsidR="00385EE0">
        <w:rPr>
          <w:lang w:val="fr-FR"/>
        </w:rPr>
        <w:t>D</w:t>
      </w:r>
      <w:r w:rsidRPr="00385EE0">
        <w:rPr>
          <w:lang w:val="fr-FR"/>
        </w:rPr>
        <w:t>CFCF</w:t>
      </w:r>
      <w:r w:rsidR="00211F76" w:rsidRPr="00385EE0">
        <w:rPr>
          <w:lang w:val="fr-FR"/>
        </w:rPr>
        <w:t xml:space="preserve"> et dotée d’un budget de 50.000 dollars</w:t>
      </w:r>
      <w:r w:rsidRPr="00385EE0">
        <w:rPr>
          <w:lang w:val="fr-FR"/>
        </w:rPr>
        <w:t>, cette activité</w:t>
      </w:r>
      <w:r w:rsidR="002D4626" w:rsidRPr="00385EE0">
        <w:rPr>
          <w:lang w:val="fr-FR"/>
        </w:rPr>
        <w:t xml:space="preserve"> pourtant identifiée</w:t>
      </w:r>
      <w:r w:rsidR="00C333C7" w:rsidRPr="00385EE0">
        <w:rPr>
          <w:lang w:val="fr-FR"/>
        </w:rPr>
        <w:t xml:space="preserve"> comme en état de « préparation avancée » semble au point mort. Des TdR très succincts et peu satisfaisants ont été élaborés pour le recrutement d’un consultant international et pour une durée de trois mois, mais il ne semble pas que cette expertise ait effectivement été recrutée. </w:t>
      </w:r>
    </w:p>
    <w:p w:rsidR="00C333C7" w:rsidRDefault="00C333C7" w:rsidP="00123C70">
      <w:pPr>
        <w:pStyle w:val="NoSpacing"/>
        <w:numPr>
          <w:ilvl w:val="0"/>
          <w:numId w:val="1"/>
        </w:numPr>
        <w:ind w:left="0" w:firstLine="0"/>
        <w:rPr>
          <w:lang w:val="fr-FR"/>
        </w:rPr>
      </w:pPr>
      <w:r w:rsidRPr="00C333C7">
        <w:rPr>
          <w:lang w:val="fr-FR"/>
        </w:rPr>
        <w:t xml:space="preserve">Les activités </w:t>
      </w:r>
      <w:r>
        <w:rPr>
          <w:lang w:val="fr-FR"/>
        </w:rPr>
        <w:t xml:space="preserve">se sont </w:t>
      </w:r>
      <w:r w:rsidR="00385EE0">
        <w:rPr>
          <w:lang w:val="fr-FR"/>
        </w:rPr>
        <w:t>semble-</w:t>
      </w:r>
      <w:r>
        <w:rPr>
          <w:lang w:val="fr-FR"/>
        </w:rPr>
        <w:t xml:space="preserve">t-il limitées à </w:t>
      </w:r>
      <w:r w:rsidRPr="00C333C7">
        <w:rPr>
          <w:lang w:val="fr-FR"/>
        </w:rPr>
        <w:t xml:space="preserve">la </w:t>
      </w:r>
      <w:r>
        <w:rPr>
          <w:lang w:val="fr-FR"/>
        </w:rPr>
        <w:t xml:space="preserve">participation, </w:t>
      </w:r>
      <w:r w:rsidRPr="00C333C7">
        <w:rPr>
          <w:lang w:val="fr-FR"/>
        </w:rPr>
        <w:t>en novembre 2011</w:t>
      </w:r>
      <w:r>
        <w:rPr>
          <w:lang w:val="fr-FR"/>
        </w:rPr>
        <w:t>, de sept</w:t>
      </w:r>
      <w:r w:rsidRPr="00C333C7">
        <w:rPr>
          <w:lang w:val="fr-FR"/>
        </w:rPr>
        <w:t xml:space="preserve"> représen</w:t>
      </w:r>
      <w:r w:rsidR="0010043E">
        <w:rPr>
          <w:lang w:val="fr-FR"/>
        </w:rPr>
        <w:t>tant</w:t>
      </w:r>
      <w:r w:rsidRPr="00C333C7">
        <w:rPr>
          <w:lang w:val="fr-FR"/>
        </w:rPr>
        <w:t xml:space="preserve">s des institutions partenaires </w:t>
      </w:r>
      <w:r>
        <w:rPr>
          <w:lang w:val="fr-FR"/>
        </w:rPr>
        <w:t>à</w:t>
      </w:r>
      <w:r w:rsidRPr="00C333C7">
        <w:rPr>
          <w:lang w:val="fr-FR"/>
        </w:rPr>
        <w:t xml:space="preserve"> l’Académie Genre organisée </w:t>
      </w:r>
      <w:r w:rsidR="008624F8">
        <w:rPr>
          <w:lang w:val="fr-FR"/>
        </w:rPr>
        <w:t>au</w:t>
      </w:r>
      <w:r w:rsidRPr="00C333C7">
        <w:rPr>
          <w:lang w:val="fr-FR"/>
        </w:rPr>
        <w:t xml:space="preserve"> </w:t>
      </w:r>
      <w:r w:rsidR="008624F8" w:rsidRPr="008624F8">
        <w:rPr>
          <w:lang w:val="fr-CH"/>
        </w:rPr>
        <w:t>Centre International de l’OIT de Turin</w:t>
      </w:r>
      <w:r>
        <w:rPr>
          <w:lang w:val="fr-FR"/>
        </w:rPr>
        <w:t xml:space="preserve"> (Italie). Le PNUD a financé la participation de trois personnes (la DNP et les Points Focaux du MTESS et du MPS), alors que la participation des autres</w:t>
      </w:r>
      <w:r w:rsidR="00D84A27">
        <w:rPr>
          <w:lang w:val="fr-FR"/>
        </w:rPr>
        <w:t xml:space="preserve">, notamment en provenance du MDCFCF, </w:t>
      </w:r>
      <w:r w:rsidR="0010043E">
        <w:rPr>
          <w:lang w:val="fr-FR"/>
        </w:rPr>
        <w:t>a été financée par l’ONUFEMMES</w:t>
      </w:r>
      <w:r w:rsidR="00D84A27">
        <w:rPr>
          <w:lang w:val="fr-FR"/>
        </w:rPr>
        <w:t xml:space="preserve"> et le FNUAP</w:t>
      </w:r>
      <w:r w:rsidR="0010043E">
        <w:rPr>
          <w:lang w:val="fr-FR"/>
        </w:rPr>
        <w:t xml:space="preserve">. </w:t>
      </w:r>
      <w:r w:rsidR="008624F8">
        <w:rPr>
          <w:lang w:val="fr-FR"/>
        </w:rPr>
        <w:t>La participation à cette formation semble avoir été plut</w:t>
      </w:r>
      <w:r w:rsidR="008624F8">
        <w:rPr>
          <w:rFonts w:cs="Calibri"/>
          <w:lang w:val="fr-FR"/>
        </w:rPr>
        <w:t>ô</w:t>
      </w:r>
      <w:r w:rsidR="008624F8">
        <w:rPr>
          <w:lang w:val="fr-FR"/>
        </w:rPr>
        <w:t>t bénéfique pour les participants, qui ont apprécié tant le contenu que la forme de la formation. Cependant cette</w:t>
      </w:r>
      <w:r w:rsidR="0010043E">
        <w:rPr>
          <w:lang w:val="fr-FR"/>
        </w:rPr>
        <w:t xml:space="preserve"> </w:t>
      </w:r>
      <w:r w:rsidR="008624F8">
        <w:rPr>
          <w:lang w:val="fr-FR"/>
        </w:rPr>
        <w:t xml:space="preserve">activité </w:t>
      </w:r>
      <w:r w:rsidR="00385EE0">
        <w:rPr>
          <w:lang w:val="fr-FR"/>
        </w:rPr>
        <w:t xml:space="preserve">a </w:t>
      </w:r>
      <w:r w:rsidR="008624F8">
        <w:rPr>
          <w:lang w:val="fr-FR"/>
        </w:rPr>
        <w:t xml:space="preserve">aussi, </w:t>
      </w:r>
      <w:r w:rsidR="00385EE0">
        <w:rPr>
          <w:lang w:val="fr-FR"/>
        </w:rPr>
        <w:t>semble-t-il</w:t>
      </w:r>
      <w:r w:rsidR="008624F8">
        <w:rPr>
          <w:rStyle w:val="FootnoteReference"/>
          <w:lang w:val="fr-FR"/>
        </w:rPr>
        <w:footnoteReference w:id="35"/>
      </w:r>
      <w:r w:rsidR="008624F8">
        <w:rPr>
          <w:lang w:val="fr-FR"/>
        </w:rPr>
        <w:t>,</w:t>
      </w:r>
      <w:r w:rsidR="00385EE0">
        <w:rPr>
          <w:lang w:val="fr-FR"/>
        </w:rPr>
        <w:t xml:space="preserve"> </w:t>
      </w:r>
      <w:r w:rsidR="008624F8">
        <w:rPr>
          <w:lang w:val="fr-FR"/>
        </w:rPr>
        <w:t xml:space="preserve"> </w:t>
      </w:r>
      <w:r w:rsidR="00385EE0">
        <w:rPr>
          <w:lang w:val="fr-FR"/>
        </w:rPr>
        <w:t>suscité</w:t>
      </w:r>
      <w:r w:rsidR="0010043E">
        <w:rPr>
          <w:lang w:val="fr-FR"/>
        </w:rPr>
        <w:t xml:space="preserve"> </w:t>
      </w:r>
      <w:r w:rsidR="008624F8">
        <w:rPr>
          <w:lang w:val="fr-FR"/>
        </w:rPr>
        <w:t>quelque</w:t>
      </w:r>
      <w:r w:rsidR="0010043E">
        <w:rPr>
          <w:lang w:val="fr-FR"/>
        </w:rPr>
        <w:t xml:space="preserve">s interrogations et critiques, principalement parce que le programme conjoint n’a pu identifier les personnes devant en bénéficier (lesquelles ont été désignées par le ministère concerné). </w:t>
      </w:r>
      <w:r w:rsidR="008624F8">
        <w:rPr>
          <w:lang w:val="fr-FR"/>
        </w:rPr>
        <w:t xml:space="preserve">D’autres </w:t>
      </w:r>
      <w:r w:rsidR="003445E6">
        <w:rPr>
          <w:lang w:val="fr-FR"/>
        </w:rPr>
        <w:t>acteurs interrogés, au sein des Nations Unies, se sont dits dubitatifs quant à l’impa</w:t>
      </w:r>
      <w:r w:rsidR="00D84A27">
        <w:rPr>
          <w:lang w:val="fr-FR"/>
        </w:rPr>
        <w:t xml:space="preserve">ct réel de ce type de formation, d’autant que cette activité n’était pas à </w:t>
      </w:r>
      <w:r w:rsidR="00363D01">
        <w:rPr>
          <w:lang w:val="fr-FR"/>
        </w:rPr>
        <w:t xml:space="preserve">initialement </w:t>
      </w:r>
      <w:r w:rsidR="00D84A27">
        <w:rPr>
          <w:lang w:val="fr-FR"/>
        </w:rPr>
        <w:t>prévue dans le document de projet.</w:t>
      </w:r>
    </w:p>
    <w:p w:rsidR="00385EE0" w:rsidRDefault="003445E6" w:rsidP="00385EE0">
      <w:pPr>
        <w:pStyle w:val="NoSpacing"/>
        <w:numPr>
          <w:ilvl w:val="0"/>
          <w:numId w:val="1"/>
        </w:numPr>
        <w:ind w:left="0" w:firstLine="0"/>
        <w:rPr>
          <w:lang w:val="fr-FR"/>
        </w:rPr>
      </w:pPr>
      <w:r>
        <w:rPr>
          <w:lang w:val="fr-FR"/>
        </w:rPr>
        <w:t xml:space="preserve">Il est </w:t>
      </w:r>
      <w:r w:rsidR="00D84A27">
        <w:rPr>
          <w:lang w:val="fr-FR"/>
        </w:rPr>
        <w:t>difficile</w:t>
      </w:r>
      <w:r>
        <w:rPr>
          <w:lang w:val="fr-FR"/>
        </w:rPr>
        <w:t xml:space="preserve">, pour la mission d’évaluation à mi-parcours, </w:t>
      </w:r>
      <w:r w:rsidR="00D84A27">
        <w:rPr>
          <w:lang w:val="fr-FR"/>
        </w:rPr>
        <w:t xml:space="preserve">de se prononcer sur la </w:t>
      </w:r>
      <w:r w:rsidR="008624F8">
        <w:rPr>
          <w:lang w:val="fr-FR"/>
        </w:rPr>
        <w:t>qualité</w:t>
      </w:r>
      <w:r w:rsidR="00D84A27">
        <w:rPr>
          <w:lang w:val="fr-FR"/>
        </w:rPr>
        <w:t xml:space="preserve"> de cette formation</w:t>
      </w:r>
      <w:r w:rsidR="00CC2C72">
        <w:rPr>
          <w:lang w:val="fr-FR"/>
        </w:rPr>
        <w:t>, notamment parce qu’elle n’a pas été documentée</w:t>
      </w:r>
      <w:r w:rsidR="00D84A27">
        <w:rPr>
          <w:lang w:val="fr-FR"/>
        </w:rPr>
        <w:t xml:space="preserve">. Les participants interrogés </w:t>
      </w:r>
      <w:r w:rsidR="00CC2C72">
        <w:rPr>
          <w:lang w:val="fr-FR"/>
        </w:rPr>
        <w:t xml:space="preserve">que la mission a pu rencontrer </w:t>
      </w:r>
      <w:r w:rsidR="00D84A27">
        <w:rPr>
          <w:lang w:val="fr-FR"/>
        </w:rPr>
        <w:t>se sont dits très satisfaits de l’apport technique et conceptuel de c</w:t>
      </w:r>
      <w:r w:rsidR="008624F8">
        <w:rPr>
          <w:lang w:val="fr-FR"/>
        </w:rPr>
        <w:t>ette</w:t>
      </w:r>
      <w:r w:rsidR="00D84A27">
        <w:rPr>
          <w:lang w:val="fr-FR"/>
        </w:rPr>
        <w:t xml:space="preserve"> formation de </w:t>
      </w:r>
      <w:r w:rsidR="008624F8">
        <w:rPr>
          <w:lang w:val="fr-FR"/>
        </w:rPr>
        <w:t>12 jours</w:t>
      </w:r>
      <w:r w:rsidR="00D84A27">
        <w:rPr>
          <w:lang w:val="fr-FR"/>
        </w:rPr>
        <w:t xml:space="preserve"> et des interactions avec les autres participan</w:t>
      </w:r>
      <w:r w:rsidR="00385EE0">
        <w:rPr>
          <w:lang w:val="fr-FR"/>
        </w:rPr>
        <w:t xml:space="preserve">ts en provenance de nombreux </w:t>
      </w:r>
      <w:r w:rsidR="00D84A27">
        <w:rPr>
          <w:lang w:val="fr-FR"/>
        </w:rPr>
        <w:t xml:space="preserve">pays. La mission a également pu identifier au moins un impact très concret de cette formation : ainsi, le Point Focal du MPS, </w:t>
      </w:r>
      <w:r w:rsidR="00CC2C72">
        <w:rPr>
          <w:lang w:val="fr-FR"/>
        </w:rPr>
        <w:t xml:space="preserve">après avoir préparé et circulé une note interne sur sa participation à la formation du Turin, a été conviée par son Directeur Général </w:t>
      </w:r>
      <w:r w:rsidR="00385EE0">
        <w:rPr>
          <w:lang w:val="fr-FR"/>
        </w:rPr>
        <w:t>à</w:t>
      </w:r>
      <w:r w:rsidR="00CC2C72">
        <w:rPr>
          <w:lang w:val="fr-FR"/>
        </w:rPr>
        <w:t xml:space="preserve"> faire des propositions concrètes</w:t>
      </w:r>
      <w:r w:rsidR="007E454B">
        <w:rPr>
          <w:rStyle w:val="FootnoteReference"/>
          <w:lang w:val="fr-FR"/>
        </w:rPr>
        <w:footnoteReference w:id="36"/>
      </w:r>
      <w:r w:rsidR="00CC2C72">
        <w:rPr>
          <w:lang w:val="fr-FR"/>
        </w:rPr>
        <w:t xml:space="preserve"> pour l’intégration de l’approche genre dans les travaux de sa Direction Générale.  </w:t>
      </w:r>
      <w:r w:rsidR="007E454B">
        <w:rPr>
          <w:lang w:val="fr-FR"/>
        </w:rPr>
        <w:t xml:space="preserve">Aux vues de ce type d’impact, la mission est d’avis que le programme aurait dû financer la participation </w:t>
      </w:r>
      <w:r w:rsidR="007E454B" w:rsidRPr="009035C8">
        <w:rPr>
          <w:u w:val="single"/>
          <w:lang w:val="fr-FR"/>
        </w:rPr>
        <w:t>de tous les Points Focaux du programme</w:t>
      </w:r>
      <w:r w:rsidR="007E454B">
        <w:rPr>
          <w:lang w:val="fr-FR"/>
        </w:rPr>
        <w:t xml:space="preserve">, certains d’entre eux se disant toujours très démunis, en terme d’argumentaire conceptuel, pour convaincre leur hiérarchie et leurs collègues de l’intérêt de l’approche genre. Il est surtout regrettable que le principal obstacle à la participation d’un nombre plus important de </w:t>
      </w:r>
      <w:r w:rsidR="007E454B">
        <w:rPr>
          <w:lang w:val="fr-FR"/>
        </w:rPr>
        <w:lastRenderedPageBreak/>
        <w:t xml:space="preserve">participants, même lorsque l’EP a constaté que les nominations n’étaient pas toujours conformes aux attentes, semble avoir été le refus </w:t>
      </w:r>
      <w:r w:rsidR="00BB4C20">
        <w:rPr>
          <w:lang w:val="fr-FR"/>
        </w:rPr>
        <w:t xml:space="preserve">de certaines agences </w:t>
      </w:r>
      <w:r w:rsidR="007E454B">
        <w:rPr>
          <w:lang w:val="fr-FR"/>
        </w:rPr>
        <w:t xml:space="preserve">de dépenser </w:t>
      </w:r>
      <w:r w:rsidR="00BB4C20">
        <w:rPr>
          <w:lang w:val="fr-FR"/>
        </w:rPr>
        <w:t>davantage de fonds pour une activité non initialement prévue.</w:t>
      </w:r>
    </w:p>
    <w:p w:rsidR="00BB4C20" w:rsidRPr="00385EE0" w:rsidRDefault="00BB4C20" w:rsidP="00385EE0">
      <w:pPr>
        <w:pStyle w:val="NoSpacing"/>
        <w:numPr>
          <w:ilvl w:val="0"/>
          <w:numId w:val="1"/>
        </w:numPr>
        <w:ind w:left="0" w:firstLine="0"/>
        <w:rPr>
          <w:lang w:val="fr-FR"/>
        </w:rPr>
      </w:pPr>
      <w:r w:rsidRPr="00385EE0">
        <w:rPr>
          <w:lang w:val="fr-FR"/>
        </w:rPr>
        <w:t>S’agissant des activités prévues au document de projet</w:t>
      </w:r>
      <w:r w:rsidR="00385EE0">
        <w:rPr>
          <w:lang w:val="fr-FR"/>
        </w:rPr>
        <w:t>,</w:t>
      </w:r>
      <w:r w:rsidRPr="00385EE0">
        <w:rPr>
          <w:lang w:val="fr-FR"/>
        </w:rPr>
        <w:t xml:space="preserve"> aucun</w:t>
      </w:r>
      <w:r w:rsidR="00385EE0">
        <w:rPr>
          <w:lang w:val="fr-FR"/>
        </w:rPr>
        <w:t>e</w:t>
      </w:r>
      <w:r w:rsidRPr="00385EE0">
        <w:rPr>
          <w:lang w:val="fr-FR"/>
        </w:rPr>
        <w:t xml:space="preserve"> n’a en</w:t>
      </w:r>
      <w:r w:rsidR="00385EE0">
        <w:rPr>
          <w:lang w:val="fr-FR"/>
        </w:rPr>
        <w:t xml:space="preserve">core démarré. La revue annuelle </w:t>
      </w:r>
      <w:r w:rsidRPr="00385EE0">
        <w:rPr>
          <w:lang w:val="fr-FR"/>
        </w:rPr>
        <w:t>de décembre 2011 a été l’occasion pour les partenaires de critiquer la pertinence conceptuelle des activités proposées. Tout d’abord, les mécanismes d’évaluation que le programme est sensé renforcer n’existent pas. En outre, alors que la planification en Algérie se fait essentiellement au niveau local (celui d</w:t>
      </w:r>
      <w:r w:rsidR="00A07856">
        <w:rPr>
          <w:lang w:val="fr-FR"/>
        </w:rPr>
        <w:t>e la</w:t>
      </w:r>
      <w:r w:rsidRPr="00385EE0">
        <w:rPr>
          <w:lang w:val="fr-FR"/>
        </w:rPr>
        <w:t xml:space="preserve"> </w:t>
      </w:r>
      <w:r w:rsidRPr="00385EE0">
        <w:rPr>
          <w:i/>
          <w:lang w:val="fr-FR"/>
        </w:rPr>
        <w:t>wilaya</w:t>
      </w:r>
      <w:r w:rsidRPr="00385EE0">
        <w:rPr>
          <w:lang w:val="fr-FR"/>
        </w:rPr>
        <w:t xml:space="preserve">) et que les institutions centrales et les ministères n’ont qu’un rôle d’arbitrage, le document de projet ne prévoit de formation au concept genre qu’au niveau central. En clair, les activités proposées de formation de cadres nationaux n’auront pas, ou très peu, d’impact au niveau de la réalisation de l’objectif P3. </w:t>
      </w:r>
    </w:p>
    <w:p w:rsidR="00AA739B" w:rsidRPr="00385EE0" w:rsidRDefault="00BB4C20" w:rsidP="00123C70">
      <w:pPr>
        <w:pStyle w:val="NoSpacing"/>
        <w:numPr>
          <w:ilvl w:val="0"/>
          <w:numId w:val="1"/>
        </w:numPr>
        <w:ind w:left="0" w:firstLine="0"/>
        <w:rPr>
          <w:lang w:val="fr-FR"/>
        </w:rPr>
      </w:pPr>
      <w:r w:rsidRPr="00385EE0">
        <w:rPr>
          <w:lang w:val="fr-FR"/>
        </w:rPr>
        <w:t>Ainsi que proposé lors de la revue annuelle, une alternative pourrait être la réorientation de cette activité vers la sensibilisation des décideurs des secteurs institutionnels partenaires à l’approche genre, avec</w:t>
      </w:r>
      <w:r w:rsidR="00AA739B" w:rsidRPr="00385EE0">
        <w:rPr>
          <w:lang w:val="fr-FR"/>
        </w:rPr>
        <w:t xml:space="preserve"> le lancement d’une réflexion sur les outils et les préalables nécessaires à la bonne intégration de l’approche genre dans les processus décisionnels sectoriels. Tout autre objectif plus ambitieux ne s</w:t>
      </w:r>
      <w:r w:rsidR="00A15A94">
        <w:rPr>
          <w:lang w:val="fr-FR"/>
        </w:rPr>
        <w:t>emble</w:t>
      </w:r>
      <w:r w:rsidR="00AA739B" w:rsidRPr="00385EE0">
        <w:rPr>
          <w:lang w:val="fr-FR"/>
        </w:rPr>
        <w:t xml:space="preserve"> pas réalisable étant donné les délais très courts. La mission souhaite en outre suggérer un lien avec les activités A 11 (formation de cadres de collectivités locales en analyse genre, plani</w:t>
      </w:r>
      <w:r w:rsidR="00385EE0" w:rsidRPr="00385EE0">
        <w:rPr>
          <w:lang w:val="fr-FR"/>
        </w:rPr>
        <w:t>fication, programmation) et A8.</w:t>
      </w:r>
    </w:p>
    <w:p w:rsidR="00150D32" w:rsidRDefault="00B24DEB" w:rsidP="00123C70">
      <w:pPr>
        <w:pStyle w:val="NoSpacing"/>
        <w:numPr>
          <w:ilvl w:val="0"/>
          <w:numId w:val="1"/>
        </w:numPr>
        <w:ind w:left="0" w:firstLine="0"/>
        <w:rPr>
          <w:lang w:val="fr-FR"/>
        </w:rPr>
      </w:pPr>
      <w:r w:rsidRPr="00E413B8">
        <w:rPr>
          <w:b/>
          <w:lang w:val="fr-FR"/>
        </w:rPr>
        <w:t>Etude de faisabilité sur la budgétisation sensible au genre</w:t>
      </w:r>
      <w:r w:rsidR="00D77088" w:rsidRPr="00E413B8">
        <w:rPr>
          <w:b/>
          <w:lang w:val="fr-FR"/>
        </w:rPr>
        <w:t xml:space="preserve"> (A7)</w:t>
      </w:r>
      <w:r w:rsidRPr="00E413B8">
        <w:rPr>
          <w:b/>
          <w:lang w:val="fr-FR"/>
        </w:rPr>
        <w:t>.</w:t>
      </w:r>
      <w:r w:rsidRPr="00150D32">
        <w:rPr>
          <w:lang w:val="fr-FR"/>
        </w:rPr>
        <w:t xml:space="preserve"> </w:t>
      </w:r>
      <w:r w:rsidR="00150D32" w:rsidRPr="00150D32">
        <w:rPr>
          <w:lang w:val="fr-FR"/>
        </w:rPr>
        <w:t xml:space="preserve">Partant du principe que </w:t>
      </w:r>
      <w:r w:rsidR="00150D32">
        <w:rPr>
          <w:lang w:val="fr-FR"/>
        </w:rPr>
        <w:t>l</w:t>
      </w:r>
      <w:r w:rsidR="00150D32" w:rsidRPr="00150D32">
        <w:rPr>
          <w:lang w:val="fr-FR"/>
        </w:rPr>
        <w:t xml:space="preserve">e budget est la traduction chiffrée des priorités sociales et économiques du gouvernement </w:t>
      </w:r>
      <w:r w:rsidR="00150D32">
        <w:rPr>
          <w:lang w:val="fr-FR"/>
        </w:rPr>
        <w:t xml:space="preserve">et </w:t>
      </w:r>
      <w:r w:rsidR="00AF1D96">
        <w:rPr>
          <w:lang w:val="fr-FR"/>
        </w:rPr>
        <w:t>qu’il</w:t>
      </w:r>
      <w:r w:rsidR="00150D32" w:rsidRPr="00150D32">
        <w:rPr>
          <w:lang w:val="fr-FR"/>
        </w:rPr>
        <w:t xml:space="preserve"> reflète</w:t>
      </w:r>
      <w:r w:rsidR="00AF1D96">
        <w:rPr>
          <w:lang w:val="fr-FR"/>
        </w:rPr>
        <w:t xml:space="preserve"> donc certaines </w:t>
      </w:r>
      <w:r w:rsidR="00150D32" w:rsidRPr="00150D32">
        <w:rPr>
          <w:lang w:val="fr-FR"/>
        </w:rPr>
        <w:t xml:space="preserve">valeurs, </w:t>
      </w:r>
      <w:r w:rsidR="00AF1D96">
        <w:rPr>
          <w:lang w:val="fr-FR"/>
        </w:rPr>
        <w:t>la BSG vise principalement à ce</w:t>
      </w:r>
      <w:r w:rsidR="00E413B8">
        <w:rPr>
          <w:lang w:val="fr-FR"/>
        </w:rPr>
        <w:t xml:space="preserve"> que </w:t>
      </w:r>
      <w:r w:rsidR="00AF1D96">
        <w:rPr>
          <w:lang w:val="fr-FR"/>
        </w:rPr>
        <w:t xml:space="preserve"> les budgets gouvernementaux, les politiques et les programmes sous-jacents à ces budgets répondent aux besoins et aux </w:t>
      </w:r>
      <w:r w:rsidR="00E413B8">
        <w:rPr>
          <w:lang w:val="fr-FR"/>
        </w:rPr>
        <w:t>intérêts</w:t>
      </w:r>
      <w:r w:rsidR="00AF1D96">
        <w:rPr>
          <w:lang w:val="fr-FR"/>
        </w:rPr>
        <w:t xml:space="preserve"> des individus </w:t>
      </w:r>
      <w:r w:rsidR="00E413B8">
        <w:rPr>
          <w:lang w:val="fr-FR"/>
        </w:rPr>
        <w:t xml:space="preserve">(hommes, femmes, jeunes, vieux) </w:t>
      </w:r>
      <w:r w:rsidR="00AF1D96">
        <w:rPr>
          <w:lang w:val="fr-FR"/>
        </w:rPr>
        <w:t xml:space="preserve">qui </w:t>
      </w:r>
      <w:r w:rsidR="00E413B8">
        <w:rPr>
          <w:lang w:val="fr-FR"/>
        </w:rPr>
        <w:t>appartiennent</w:t>
      </w:r>
      <w:r w:rsidR="00AF1D96">
        <w:rPr>
          <w:lang w:val="fr-FR"/>
        </w:rPr>
        <w:t xml:space="preserve"> </w:t>
      </w:r>
      <w:r w:rsidR="00E413B8">
        <w:rPr>
          <w:lang w:val="fr-FR"/>
        </w:rPr>
        <w:t>à différents groupes sociaux et ont donc des besoins spécifiques</w:t>
      </w:r>
      <w:r w:rsidR="00AF1D96" w:rsidRPr="00932261">
        <w:rPr>
          <w:vertAlign w:val="superscript"/>
        </w:rPr>
        <w:footnoteReference w:id="37"/>
      </w:r>
      <w:r w:rsidR="00E413B8">
        <w:rPr>
          <w:lang w:val="fr-FR"/>
        </w:rPr>
        <w:t>.  Il semble que l’ONUFEMMES et l’UNFPA aient une expérience d’appui à la mise en œuvre de la BSG auprès d’institutions dans de nombreux pays et</w:t>
      </w:r>
      <w:r w:rsidR="00385EE0">
        <w:rPr>
          <w:lang w:val="fr-FR"/>
        </w:rPr>
        <w:t>,</w:t>
      </w:r>
      <w:r w:rsidR="00E413B8">
        <w:rPr>
          <w:lang w:val="fr-FR"/>
        </w:rPr>
        <w:t xml:space="preserve"> en Algérie, les efforts de l’</w:t>
      </w:r>
      <w:r w:rsidR="00385EE0">
        <w:rPr>
          <w:lang w:val="fr-FR"/>
        </w:rPr>
        <w:t xml:space="preserve">ONUFEMMES (alors UNIFEM) </w:t>
      </w:r>
      <w:r w:rsidR="00E413B8">
        <w:rPr>
          <w:lang w:val="fr-FR"/>
        </w:rPr>
        <w:t>pour promouvoir cette approche remontent au moins à 2006.</w:t>
      </w:r>
    </w:p>
    <w:p w:rsidR="00703127" w:rsidRPr="00F818B8" w:rsidRDefault="00F818B8" w:rsidP="00123C70">
      <w:pPr>
        <w:pStyle w:val="NoSpacing"/>
        <w:numPr>
          <w:ilvl w:val="0"/>
          <w:numId w:val="1"/>
        </w:numPr>
        <w:ind w:left="0" w:firstLine="0"/>
        <w:rPr>
          <w:lang w:val="fr-FR"/>
        </w:rPr>
      </w:pPr>
      <w:r w:rsidRPr="00F818B8">
        <w:rPr>
          <w:lang w:val="fr-FR"/>
        </w:rPr>
        <w:t>Dotée d’un budget de 50.000 dollars, l’étude</w:t>
      </w:r>
      <w:r>
        <w:rPr>
          <w:lang w:val="fr-FR"/>
        </w:rPr>
        <w:t xml:space="preserve"> de faisabilité</w:t>
      </w:r>
      <w:r w:rsidRPr="00F818B8">
        <w:rPr>
          <w:lang w:val="fr-FR"/>
        </w:rPr>
        <w:t xml:space="preserve"> a été confiée à l’ONUFEMMES et au MF</w:t>
      </w:r>
      <w:r w:rsidR="00FC37CF">
        <w:rPr>
          <w:lang w:val="fr-FR"/>
        </w:rPr>
        <w:t>. Cett</w:t>
      </w:r>
      <w:r w:rsidR="00246E0B">
        <w:rPr>
          <w:lang w:val="fr-FR"/>
        </w:rPr>
        <w:t xml:space="preserve">e étude scindée en deux parties (une partie plus théorique et un cas pratique), toujours en cours de finalisation, a été réalisée par un consultant recruté par l’ONUFEMMES pour un </w:t>
      </w:r>
      <w:r>
        <w:rPr>
          <w:lang w:val="fr-FR"/>
        </w:rPr>
        <w:t xml:space="preserve">montant </w:t>
      </w:r>
      <w:r w:rsidR="00FC37CF">
        <w:rPr>
          <w:lang w:val="fr-FR"/>
        </w:rPr>
        <w:t xml:space="preserve">engagé </w:t>
      </w:r>
      <w:r>
        <w:rPr>
          <w:lang w:val="fr-FR"/>
        </w:rPr>
        <w:t>de 18.000 dollars</w:t>
      </w:r>
      <w:r w:rsidR="00FC37CF">
        <w:rPr>
          <w:lang w:val="fr-FR"/>
        </w:rPr>
        <w:t xml:space="preserve"> </w:t>
      </w:r>
      <w:r w:rsidR="00246E0B">
        <w:rPr>
          <w:lang w:val="fr-FR"/>
        </w:rPr>
        <w:t>(contre un montant de 14.000 dollars transférés)</w:t>
      </w:r>
      <w:r w:rsidR="00703127" w:rsidRPr="00F818B8">
        <w:rPr>
          <w:lang w:val="fr-FR"/>
        </w:rPr>
        <w:t>. Le rapport intitulé </w:t>
      </w:r>
      <w:r w:rsidR="00703127" w:rsidRPr="00F818B8">
        <w:rPr>
          <w:i/>
          <w:lang w:val="fr-FR"/>
        </w:rPr>
        <w:t>Etude faisabilité de la BSG en Algérie - Partie 1 : Le système budgétaire algérien</w:t>
      </w:r>
      <w:r w:rsidR="00703127">
        <w:rPr>
          <w:rStyle w:val="FootnoteReference"/>
          <w:i/>
          <w:lang w:val="fr-FR"/>
        </w:rPr>
        <w:footnoteReference w:id="38"/>
      </w:r>
      <w:r w:rsidR="00932261" w:rsidRPr="00F818B8">
        <w:rPr>
          <w:i/>
          <w:lang w:val="fr-FR"/>
        </w:rPr>
        <w:t xml:space="preserve">, </w:t>
      </w:r>
      <w:r w:rsidR="00703127" w:rsidRPr="00F818B8">
        <w:rPr>
          <w:lang w:val="fr-FR"/>
        </w:rPr>
        <w:t>très complet et qui semble de grande qualité</w:t>
      </w:r>
      <w:r w:rsidR="00932261" w:rsidRPr="00F818B8">
        <w:rPr>
          <w:lang w:val="fr-FR"/>
        </w:rPr>
        <w:t>, passe en revue le cadre législatif et institutionnel des activités de planification, programmation et de budgétisation de gouvernement algérien</w:t>
      </w:r>
      <w:r w:rsidR="00703127" w:rsidRPr="00F818B8">
        <w:rPr>
          <w:lang w:val="fr-FR"/>
        </w:rPr>
        <w:t xml:space="preserve">. </w:t>
      </w:r>
      <w:r w:rsidR="00FC37CF">
        <w:rPr>
          <w:lang w:val="fr-FR"/>
        </w:rPr>
        <w:t xml:space="preserve">Ce rapport a fait l’objet d’une restitution en septembre 2011. </w:t>
      </w:r>
      <w:r w:rsidR="00703127" w:rsidRPr="00F818B8">
        <w:rPr>
          <w:lang w:val="fr-FR"/>
        </w:rPr>
        <w:t>Cette étude de faisabilité conclut</w:t>
      </w:r>
      <w:r w:rsidR="00932261" w:rsidRPr="00F818B8">
        <w:rPr>
          <w:lang w:val="fr-FR"/>
        </w:rPr>
        <w:t xml:space="preserve"> que</w:t>
      </w:r>
      <w:r w:rsidR="00150D32" w:rsidRPr="00F818B8">
        <w:rPr>
          <w:lang w:val="fr-FR"/>
        </w:rPr>
        <w:t xml:space="preserve"> </w:t>
      </w:r>
      <w:r w:rsidR="00703127" w:rsidRPr="00F818B8">
        <w:rPr>
          <w:lang w:val="fr-FR"/>
        </w:rPr>
        <w:t>« </w:t>
      </w:r>
      <w:r w:rsidR="00932261" w:rsidRPr="00F818B8">
        <w:rPr>
          <w:i/>
          <w:lang w:val="fr-FR"/>
        </w:rPr>
        <w:t xml:space="preserve">bien que </w:t>
      </w:r>
      <w:r w:rsidR="00150D32" w:rsidRPr="00F818B8">
        <w:rPr>
          <w:i/>
          <w:lang w:val="fr-FR"/>
        </w:rPr>
        <w:t xml:space="preserve">les expériences menées </w:t>
      </w:r>
      <w:r w:rsidR="00703127" w:rsidRPr="00F818B8">
        <w:rPr>
          <w:i/>
          <w:lang w:val="fr-FR"/>
        </w:rPr>
        <w:t>jusqu’à</w:t>
      </w:r>
      <w:r w:rsidR="00150D32" w:rsidRPr="00F818B8">
        <w:rPr>
          <w:i/>
          <w:lang w:val="fr-FR"/>
        </w:rPr>
        <w:t xml:space="preserve"> présent dans des pays sociologiquement proches de </w:t>
      </w:r>
      <w:r w:rsidR="00703127" w:rsidRPr="00F818B8">
        <w:rPr>
          <w:i/>
          <w:lang w:val="fr-FR"/>
        </w:rPr>
        <w:t>l’Algérie</w:t>
      </w:r>
      <w:r w:rsidR="00932261" w:rsidRPr="00F818B8">
        <w:rPr>
          <w:i/>
          <w:lang w:val="fr-FR"/>
        </w:rPr>
        <w:t xml:space="preserve"> </w:t>
      </w:r>
      <w:r w:rsidR="00703127" w:rsidRPr="00F818B8">
        <w:rPr>
          <w:i/>
          <w:lang w:val="fr-FR"/>
        </w:rPr>
        <w:t>n’en</w:t>
      </w:r>
      <w:r w:rsidR="00150D32" w:rsidRPr="00F818B8">
        <w:rPr>
          <w:i/>
          <w:lang w:val="fr-FR"/>
        </w:rPr>
        <w:t xml:space="preserve"> soient </w:t>
      </w:r>
      <w:r w:rsidR="00703127" w:rsidRPr="00F818B8">
        <w:rPr>
          <w:i/>
          <w:lang w:val="fr-FR"/>
        </w:rPr>
        <w:t>qu’à</w:t>
      </w:r>
      <w:r w:rsidR="00150D32" w:rsidRPr="00F818B8">
        <w:rPr>
          <w:i/>
          <w:lang w:val="fr-FR"/>
        </w:rPr>
        <w:t xml:space="preserve"> leur début, quelques pistes sont suffisamment balisées pour fournir des indications précieuses en vue de </w:t>
      </w:r>
      <w:r w:rsidR="00703127" w:rsidRPr="00F818B8">
        <w:rPr>
          <w:i/>
          <w:lang w:val="fr-FR"/>
        </w:rPr>
        <w:t>l’introduction</w:t>
      </w:r>
      <w:r w:rsidR="00150D32" w:rsidRPr="00F818B8">
        <w:rPr>
          <w:i/>
          <w:lang w:val="fr-FR"/>
        </w:rPr>
        <w:t xml:space="preserve"> de la BSG en Algérie. En particulier trois grands domaines </w:t>
      </w:r>
      <w:r w:rsidR="00703127" w:rsidRPr="00F818B8">
        <w:rPr>
          <w:i/>
          <w:lang w:val="fr-FR"/>
        </w:rPr>
        <w:t>d’intérêt</w:t>
      </w:r>
      <w:r w:rsidR="00150D32" w:rsidRPr="00F818B8">
        <w:rPr>
          <w:i/>
          <w:lang w:val="fr-FR"/>
        </w:rPr>
        <w:t xml:space="preserve"> sont à considérer : la réforme budgétaire, les systèmes </w:t>
      </w:r>
      <w:r w:rsidR="00703127" w:rsidRPr="00F818B8">
        <w:rPr>
          <w:i/>
          <w:lang w:val="fr-FR"/>
        </w:rPr>
        <w:t>d’information</w:t>
      </w:r>
      <w:r w:rsidR="00150D32" w:rsidRPr="00F818B8">
        <w:rPr>
          <w:i/>
          <w:lang w:val="fr-FR"/>
        </w:rPr>
        <w:t xml:space="preserve"> et les politiques publiques. Il </w:t>
      </w:r>
      <w:r w:rsidR="00703127" w:rsidRPr="00F818B8">
        <w:rPr>
          <w:i/>
          <w:lang w:val="fr-FR"/>
        </w:rPr>
        <w:t>s’agira</w:t>
      </w:r>
      <w:r w:rsidR="00150D32" w:rsidRPr="00F818B8">
        <w:rPr>
          <w:i/>
          <w:lang w:val="fr-FR"/>
        </w:rPr>
        <w:t xml:space="preserve"> de saisir, dans chacun de ces domaines, les opportunités offertes par les actions entreprises, fussent-elles routinières ou bien nouvelles, pour ancrer </w:t>
      </w:r>
      <w:r w:rsidR="00703127" w:rsidRPr="00F818B8">
        <w:rPr>
          <w:i/>
          <w:lang w:val="fr-FR"/>
        </w:rPr>
        <w:t>l’idée</w:t>
      </w:r>
      <w:r w:rsidR="00150D32" w:rsidRPr="00F818B8">
        <w:rPr>
          <w:i/>
          <w:lang w:val="fr-FR"/>
        </w:rPr>
        <w:t xml:space="preserve"> de la BSG dans les programmes de travail et les procédures</w:t>
      </w:r>
      <w:r w:rsidR="00703127" w:rsidRPr="00F818B8">
        <w:rPr>
          <w:i/>
          <w:lang w:val="fr-FR"/>
        </w:rPr>
        <w:t xml:space="preserve"> ». </w:t>
      </w:r>
      <w:r w:rsidR="00703127" w:rsidRPr="00F818B8">
        <w:rPr>
          <w:lang w:val="fr-FR"/>
        </w:rPr>
        <w:t xml:space="preserve">Sans tout-à-fait fermer la porte à l’application de la BSG, </w:t>
      </w:r>
      <w:r w:rsidR="002A706A" w:rsidRPr="00F818B8">
        <w:rPr>
          <w:lang w:val="fr-FR"/>
        </w:rPr>
        <w:t>les nombreuses pistes de travail très concrètes envisagées dans l’étude montrent cependant l’ampleur des travaux que nécessiterait l’adoption de la BSG.</w:t>
      </w:r>
      <w:r w:rsidR="00932261" w:rsidRPr="00F818B8">
        <w:rPr>
          <w:lang w:val="fr-FR"/>
        </w:rPr>
        <w:t xml:space="preserve"> Cet objectif est donc bien trop ambitieux pour un programme d’aussi courte durée. </w:t>
      </w:r>
    </w:p>
    <w:p w:rsidR="002A706A" w:rsidRPr="00F144C7" w:rsidRDefault="00943F74" w:rsidP="00123C70">
      <w:pPr>
        <w:pStyle w:val="NoSpacing"/>
        <w:numPr>
          <w:ilvl w:val="0"/>
          <w:numId w:val="1"/>
        </w:numPr>
        <w:ind w:left="0" w:firstLine="0"/>
        <w:rPr>
          <w:lang w:val="fr-FR"/>
        </w:rPr>
      </w:pPr>
      <w:r>
        <w:rPr>
          <w:lang w:val="fr-FR"/>
        </w:rPr>
        <w:lastRenderedPageBreak/>
        <w:t>En novembre 2010, un atelier d’échanges et d’information a</w:t>
      </w:r>
      <w:r w:rsidR="00FC37CF">
        <w:rPr>
          <w:lang w:val="fr-FR"/>
        </w:rPr>
        <w:t>vait</w:t>
      </w:r>
      <w:r>
        <w:rPr>
          <w:lang w:val="fr-FR"/>
        </w:rPr>
        <w:t xml:space="preserve"> été organisé à Tunis sur l’état du processus de BSG dans les pays du Maghreb, avec la participation de représentants des partenaires institutionnels du programme, mais l’expérience n’a pas été documentée.  Enfin, </w:t>
      </w:r>
      <w:r w:rsidRPr="00943F74">
        <w:rPr>
          <w:lang w:val="fr-FR"/>
        </w:rPr>
        <w:t>un atelier sur la BSG a été organisé par le MDCFCF et l’</w:t>
      </w:r>
      <w:r>
        <w:rPr>
          <w:lang w:val="fr-FR"/>
        </w:rPr>
        <w:t>ONUFEMMES en avril 2011,</w:t>
      </w:r>
      <w:r w:rsidRPr="00943F74">
        <w:rPr>
          <w:lang w:val="fr-FR"/>
        </w:rPr>
        <w:t xml:space="preserve"> avec pour objectif de familiariser les </w:t>
      </w:r>
      <w:r w:rsidRPr="00F144C7">
        <w:rPr>
          <w:lang w:val="fr-FR"/>
        </w:rPr>
        <w:t xml:space="preserve">Points Focaux du programme au sein des divers ministères à la BSG. </w:t>
      </w:r>
    </w:p>
    <w:p w:rsidR="00846D0E" w:rsidRPr="00153516" w:rsidRDefault="00B53004" w:rsidP="00123C70">
      <w:pPr>
        <w:pStyle w:val="NoSpacing"/>
        <w:numPr>
          <w:ilvl w:val="0"/>
          <w:numId w:val="1"/>
        </w:numPr>
        <w:ind w:left="0" w:firstLine="0"/>
        <w:rPr>
          <w:lang w:val="fr-FR"/>
        </w:rPr>
      </w:pPr>
      <w:r w:rsidRPr="00153516">
        <w:rPr>
          <w:lang w:val="fr-FR"/>
        </w:rPr>
        <w:t>Si le</w:t>
      </w:r>
      <w:r w:rsidR="00DF6D2E" w:rsidRPr="00153516">
        <w:rPr>
          <w:lang w:val="fr-FR"/>
        </w:rPr>
        <w:t xml:space="preserve"> résultat attendu A</w:t>
      </w:r>
      <w:r w:rsidR="00F144C7" w:rsidRPr="00153516">
        <w:rPr>
          <w:lang w:val="fr-FR"/>
        </w:rPr>
        <w:t>7 a donc été pleinemen</w:t>
      </w:r>
      <w:r w:rsidR="007E0EE6">
        <w:rPr>
          <w:lang w:val="fr-FR"/>
        </w:rPr>
        <w:t xml:space="preserve">t atteint, </w:t>
      </w:r>
      <w:r w:rsidR="00385EE0">
        <w:rPr>
          <w:lang w:val="fr-FR"/>
        </w:rPr>
        <w:t xml:space="preserve">puisque l’étude de faisabilité a bien été réalisée, </w:t>
      </w:r>
      <w:r w:rsidR="007E0EE6">
        <w:rPr>
          <w:lang w:val="fr-FR"/>
        </w:rPr>
        <w:t>certains partenaires</w:t>
      </w:r>
      <w:r w:rsidR="00F144C7" w:rsidRPr="00153516">
        <w:rPr>
          <w:lang w:val="fr-FR"/>
        </w:rPr>
        <w:t xml:space="preserve"> ont </w:t>
      </w:r>
      <w:r w:rsidRPr="00153516">
        <w:rPr>
          <w:lang w:val="fr-FR"/>
        </w:rPr>
        <w:t xml:space="preserve">de leur propre initiative </w:t>
      </w:r>
      <w:r w:rsidR="00F144C7" w:rsidRPr="00153516">
        <w:rPr>
          <w:lang w:val="fr-FR"/>
        </w:rPr>
        <w:t>choisi d’aller plus loin.</w:t>
      </w:r>
      <w:r w:rsidR="002D2D71" w:rsidRPr="00153516">
        <w:rPr>
          <w:lang w:val="fr-FR"/>
        </w:rPr>
        <w:t xml:space="preserve"> </w:t>
      </w:r>
      <w:r w:rsidR="00385EE0">
        <w:rPr>
          <w:lang w:val="fr-FR"/>
        </w:rPr>
        <w:t>Ainsi</w:t>
      </w:r>
      <w:r w:rsidR="002D2D71" w:rsidRPr="00153516">
        <w:rPr>
          <w:lang w:val="fr-FR"/>
        </w:rPr>
        <w:t xml:space="preserve"> le MADR </w:t>
      </w:r>
      <w:r w:rsidR="00A15A94">
        <w:rPr>
          <w:lang w:val="fr-FR"/>
        </w:rPr>
        <w:t>s’est</w:t>
      </w:r>
      <w:r w:rsidR="002D2D71" w:rsidRPr="00153516">
        <w:rPr>
          <w:lang w:val="fr-FR"/>
        </w:rPr>
        <w:t xml:space="preserve"> porté volontaire pour l’application pratique de la BSG au niveau </w:t>
      </w:r>
      <w:r w:rsidRPr="00153516">
        <w:rPr>
          <w:lang w:val="fr-FR"/>
        </w:rPr>
        <w:t xml:space="preserve">local, c’est-à-dire </w:t>
      </w:r>
      <w:r w:rsidR="005C193E" w:rsidRPr="00153516">
        <w:rPr>
          <w:lang w:val="fr-FR"/>
        </w:rPr>
        <w:t xml:space="preserve">d’une </w:t>
      </w:r>
      <w:r w:rsidR="007E0EE6">
        <w:rPr>
          <w:i/>
          <w:lang w:val="fr-FR"/>
        </w:rPr>
        <w:t xml:space="preserve">wilaya </w:t>
      </w:r>
      <w:r w:rsidR="00006322" w:rsidRPr="00153516">
        <w:rPr>
          <w:lang w:val="fr-FR"/>
        </w:rPr>
        <w:t>pilote</w:t>
      </w:r>
      <w:r w:rsidR="007E0EE6">
        <w:rPr>
          <w:lang w:val="fr-FR"/>
        </w:rPr>
        <w:t>,</w:t>
      </w:r>
      <w:r w:rsidR="00006322" w:rsidRPr="00153516">
        <w:rPr>
          <w:lang w:val="fr-FR"/>
        </w:rPr>
        <w:t xml:space="preserve"> et une feuille de route a été élaborée.</w:t>
      </w:r>
      <w:r w:rsidR="002D2D71" w:rsidRPr="00153516">
        <w:rPr>
          <w:lang w:val="fr-FR"/>
        </w:rPr>
        <w:t xml:space="preserve"> </w:t>
      </w:r>
      <w:r w:rsidR="00846D0E" w:rsidRPr="00153516">
        <w:rPr>
          <w:lang w:val="fr-FR"/>
        </w:rPr>
        <w:t xml:space="preserve">Il est notamment prévu qu’un consultant national soit recruté pour coordonner cette action entre le MF, le MADR, le MDCFCF et l’ONUFEMMES. Après </w:t>
      </w:r>
      <w:r w:rsidR="00153516" w:rsidRPr="00153516">
        <w:rPr>
          <w:lang w:val="fr-FR"/>
        </w:rPr>
        <w:t xml:space="preserve">l’élaboration d’une </w:t>
      </w:r>
      <w:r w:rsidR="00846D0E" w:rsidRPr="00153516">
        <w:rPr>
          <w:lang w:val="fr-FR"/>
        </w:rPr>
        <w:t xml:space="preserve">note de synthèse de l’étude, accompagnée d’une note argumentaire en direction du Secrétariat Général du MADR, un atelier de restitution de l’étude de faisabilité de la BSG sera </w:t>
      </w:r>
      <w:r w:rsidR="00153516" w:rsidRPr="00153516">
        <w:rPr>
          <w:lang w:val="fr-FR"/>
        </w:rPr>
        <w:t>organisé</w:t>
      </w:r>
      <w:r w:rsidR="00846D0E" w:rsidRPr="00153516">
        <w:rPr>
          <w:lang w:val="fr-FR"/>
        </w:rPr>
        <w:t xml:space="preserve"> en direction des cadres responsables du MADR, puis des cadres du MADR seront formés pour suivre le bon déroulement du cas pratique.  Etant donné que le programme conjoint travaille aussi dans la </w:t>
      </w:r>
      <w:r w:rsidR="00846D0E" w:rsidRPr="00153516">
        <w:rPr>
          <w:i/>
          <w:lang w:val="fr-FR"/>
        </w:rPr>
        <w:t>wilaya</w:t>
      </w:r>
      <w:r w:rsidR="00846D0E" w:rsidRPr="00153516">
        <w:rPr>
          <w:lang w:val="fr-FR"/>
        </w:rPr>
        <w:t xml:space="preserve"> de Djelfa dans le cadre d’activités d’appui aux femmes en milieu rural (A26), les partenaires ont recommandé que cette </w:t>
      </w:r>
      <w:r w:rsidR="00846D0E" w:rsidRPr="00153516">
        <w:rPr>
          <w:i/>
          <w:lang w:val="fr-FR"/>
        </w:rPr>
        <w:t>wilaya</w:t>
      </w:r>
      <w:r w:rsidR="00846D0E" w:rsidRPr="00153516">
        <w:rPr>
          <w:lang w:val="fr-FR"/>
        </w:rPr>
        <w:t xml:space="preserve"> soit retenue pour l’exercice pilote.</w:t>
      </w:r>
    </w:p>
    <w:p w:rsidR="005C193E" w:rsidRPr="00153516" w:rsidRDefault="002D2D71" w:rsidP="00123C70">
      <w:pPr>
        <w:pStyle w:val="NoSpacing"/>
        <w:numPr>
          <w:ilvl w:val="0"/>
          <w:numId w:val="1"/>
        </w:numPr>
        <w:ind w:left="0" w:firstLine="0"/>
        <w:rPr>
          <w:lang w:val="fr-FR"/>
        </w:rPr>
      </w:pPr>
      <w:r w:rsidRPr="00153516">
        <w:rPr>
          <w:lang w:val="fr-FR"/>
        </w:rPr>
        <w:t xml:space="preserve">Il s’agit-là, de l’avis de la mission, d’une initiative extrêmement intéressante et qui reflète l’excellente appropriation des objectifs du programme conjoint au sein </w:t>
      </w:r>
      <w:r w:rsidR="00153516" w:rsidRPr="00153516">
        <w:rPr>
          <w:lang w:val="fr-FR"/>
        </w:rPr>
        <w:t>du MADR</w:t>
      </w:r>
      <w:r w:rsidRPr="00153516">
        <w:rPr>
          <w:lang w:val="fr-FR"/>
        </w:rPr>
        <w:t xml:space="preserve">. De fait, </w:t>
      </w:r>
      <w:r w:rsidR="00153516" w:rsidRPr="00153516">
        <w:rPr>
          <w:lang w:val="fr-FR"/>
        </w:rPr>
        <w:t>ce ministère</w:t>
      </w:r>
      <w:r w:rsidRPr="00153516">
        <w:rPr>
          <w:lang w:val="fr-FR"/>
        </w:rPr>
        <w:t xml:space="preserve"> semble se préoccuper</w:t>
      </w:r>
      <w:r w:rsidR="00B53004" w:rsidRPr="00153516">
        <w:rPr>
          <w:lang w:val="fr-FR"/>
        </w:rPr>
        <w:t xml:space="preserve"> depuis longtemps de la situation spécifique de la femme rurale et de nombreux programmes gouvernementaux visant à appuyer ce segment spécifique de la population sont actuellement</w:t>
      </w:r>
      <w:r w:rsidR="005C193E" w:rsidRPr="00153516">
        <w:rPr>
          <w:lang w:val="fr-FR"/>
        </w:rPr>
        <w:t xml:space="preserve"> mis en œuvre.</w:t>
      </w:r>
      <w:r w:rsidR="00781C25" w:rsidRPr="00153516">
        <w:rPr>
          <w:lang w:val="fr-FR"/>
        </w:rPr>
        <w:t xml:space="preserve"> De surcroît</w:t>
      </w:r>
      <w:r w:rsidR="005C193E" w:rsidRPr="00153516">
        <w:rPr>
          <w:lang w:val="fr-FR"/>
        </w:rPr>
        <w:t xml:space="preserve">, la planification des actions des différents ministères se faisant au niveau des </w:t>
      </w:r>
      <w:r w:rsidR="005C193E" w:rsidRPr="00153516">
        <w:rPr>
          <w:i/>
          <w:lang w:val="fr-FR"/>
        </w:rPr>
        <w:t>wilayas</w:t>
      </w:r>
      <w:r w:rsidR="005C193E" w:rsidRPr="00153516">
        <w:rPr>
          <w:lang w:val="fr-FR"/>
        </w:rPr>
        <w:t xml:space="preserve">, en vertu de la décentralisation, les administrations centrales n’ayant qu’un rôle d’arbitrage, c’est donc </w:t>
      </w:r>
      <w:r w:rsidR="00006322" w:rsidRPr="00153516">
        <w:rPr>
          <w:lang w:val="fr-FR"/>
        </w:rPr>
        <w:t xml:space="preserve">bien </w:t>
      </w:r>
      <w:r w:rsidR="005C193E" w:rsidRPr="00153516">
        <w:rPr>
          <w:lang w:val="fr-FR"/>
        </w:rPr>
        <w:t>au niveau local que doivent se concentrer les efforts de sensibilisation sur l’importance de l’intégration du genre.</w:t>
      </w:r>
      <w:r w:rsidR="00153516" w:rsidRPr="00153516">
        <w:rPr>
          <w:lang w:val="fr-FR"/>
        </w:rPr>
        <w:t xml:space="preserve"> </w:t>
      </w:r>
    </w:p>
    <w:p w:rsidR="00DF6D2E" w:rsidRPr="00153516" w:rsidRDefault="005C193E" w:rsidP="00123C70">
      <w:pPr>
        <w:pStyle w:val="NoSpacing"/>
        <w:numPr>
          <w:ilvl w:val="0"/>
          <w:numId w:val="1"/>
        </w:numPr>
        <w:ind w:left="0" w:firstLine="0"/>
        <w:rPr>
          <w:lang w:val="fr-FR"/>
        </w:rPr>
      </w:pPr>
      <w:r w:rsidRPr="00153516">
        <w:rPr>
          <w:lang w:val="fr-FR"/>
        </w:rPr>
        <w:t>L’expérience que les partenaires projettent de réaliser dans un</w:t>
      </w:r>
      <w:r w:rsidR="00006322" w:rsidRPr="00153516">
        <w:rPr>
          <w:lang w:val="fr-FR"/>
        </w:rPr>
        <w:t>e</w:t>
      </w:r>
      <w:r w:rsidRPr="00153516">
        <w:rPr>
          <w:lang w:val="fr-FR"/>
        </w:rPr>
        <w:t xml:space="preserve"> </w:t>
      </w:r>
      <w:r w:rsidRPr="00153516">
        <w:rPr>
          <w:i/>
          <w:lang w:val="fr-FR"/>
        </w:rPr>
        <w:t xml:space="preserve">wilaya </w:t>
      </w:r>
      <w:r w:rsidRPr="00153516">
        <w:rPr>
          <w:lang w:val="fr-FR"/>
        </w:rPr>
        <w:t xml:space="preserve">pilote est donc, à bien des égards, tout-à-fait intéressante et mérite que les moyens humains et financiers nécessaires lui soient alloués.  </w:t>
      </w:r>
      <w:r w:rsidR="00153516" w:rsidRPr="00153516">
        <w:rPr>
          <w:lang w:val="fr-FR"/>
        </w:rPr>
        <w:t xml:space="preserve">La mission cautionne également de choix de la </w:t>
      </w:r>
      <w:r w:rsidR="00153516" w:rsidRPr="00153516">
        <w:rPr>
          <w:i/>
          <w:lang w:val="fr-FR"/>
        </w:rPr>
        <w:t>wilaya</w:t>
      </w:r>
      <w:r w:rsidR="00153516" w:rsidRPr="00153516">
        <w:rPr>
          <w:lang w:val="fr-FR"/>
        </w:rPr>
        <w:t xml:space="preserve"> de Djelfa. </w:t>
      </w:r>
      <w:r w:rsidR="00A15A94">
        <w:rPr>
          <w:lang w:val="fr-FR"/>
        </w:rPr>
        <w:t>C</w:t>
      </w:r>
      <w:r w:rsidR="00A15A94" w:rsidRPr="00153516">
        <w:rPr>
          <w:lang w:val="fr-FR"/>
        </w:rPr>
        <w:t xml:space="preserve">ependant </w:t>
      </w:r>
      <w:r w:rsidR="00A15A94">
        <w:rPr>
          <w:lang w:val="fr-FR"/>
        </w:rPr>
        <w:t>et é</w:t>
      </w:r>
      <w:r w:rsidR="00006322" w:rsidRPr="00153516">
        <w:rPr>
          <w:lang w:val="fr-FR"/>
        </w:rPr>
        <w:t>tant donné le peu de temps qu’il reste au programme, ,</w:t>
      </w:r>
      <w:r w:rsidR="00153516" w:rsidRPr="00153516">
        <w:rPr>
          <w:lang w:val="fr-FR"/>
        </w:rPr>
        <w:t xml:space="preserve"> il semble que</w:t>
      </w:r>
      <w:r w:rsidR="00006322" w:rsidRPr="00153516">
        <w:rPr>
          <w:lang w:val="fr-FR"/>
        </w:rPr>
        <w:t xml:space="preserve"> les partenaires </w:t>
      </w:r>
      <w:r w:rsidR="00555AFF" w:rsidRPr="00153516">
        <w:rPr>
          <w:lang w:val="fr-FR"/>
        </w:rPr>
        <w:t>ne pourront au mieux</w:t>
      </w:r>
      <w:r w:rsidR="00006322" w:rsidRPr="00153516">
        <w:rPr>
          <w:lang w:val="fr-FR"/>
        </w:rPr>
        <w:t xml:space="preserve"> qu’initier un processus d’application pratique de la BSG au niveau local</w:t>
      </w:r>
      <w:r w:rsidR="00555AFF" w:rsidRPr="00153516">
        <w:rPr>
          <w:lang w:val="fr-FR"/>
        </w:rPr>
        <w:t>. L</w:t>
      </w:r>
      <w:r w:rsidR="00006322" w:rsidRPr="00153516">
        <w:rPr>
          <w:lang w:val="fr-FR"/>
        </w:rPr>
        <w:t xml:space="preserve">es efforts devront </w:t>
      </w:r>
      <w:r w:rsidR="00555AFF" w:rsidRPr="00153516">
        <w:rPr>
          <w:lang w:val="fr-FR"/>
        </w:rPr>
        <w:t xml:space="preserve">donc </w:t>
      </w:r>
      <w:r w:rsidR="00006322" w:rsidRPr="00153516">
        <w:rPr>
          <w:lang w:val="fr-FR"/>
        </w:rPr>
        <w:t>certainement se prolonger après l’arrêt du programme afin qu’au moins deux exercices de planification annuelle aient lieu. Il serait donc rassurant qu’un protocole d’accord soit signé entre le MADR et le MDCFCF pour, tout d’abord</w:t>
      </w:r>
      <w:r w:rsidR="00385EE0">
        <w:rPr>
          <w:lang w:val="fr-FR"/>
        </w:rPr>
        <w:t>,</w:t>
      </w:r>
      <w:r w:rsidR="00006322" w:rsidRPr="00153516">
        <w:rPr>
          <w:lang w:val="fr-FR"/>
        </w:rPr>
        <w:t xml:space="preserve"> bien définir l’objet et le processus de l’expérience pilote</w:t>
      </w:r>
      <w:r w:rsidR="00385EE0">
        <w:rPr>
          <w:lang w:val="fr-FR"/>
        </w:rPr>
        <w:t xml:space="preserve"> et permettre ensuite sa continuation après la cl</w:t>
      </w:r>
      <w:r w:rsidR="00385EE0">
        <w:rPr>
          <w:rFonts w:cs="Calibri"/>
          <w:lang w:val="fr-FR"/>
        </w:rPr>
        <w:t>ô</w:t>
      </w:r>
      <w:r w:rsidR="00385EE0">
        <w:rPr>
          <w:lang w:val="fr-FR"/>
        </w:rPr>
        <w:t>ture du programme.</w:t>
      </w:r>
    </w:p>
    <w:p w:rsidR="00555AFF" w:rsidRPr="00153516" w:rsidRDefault="00932261" w:rsidP="00123C70">
      <w:pPr>
        <w:pStyle w:val="NoSpacing"/>
        <w:numPr>
          <w:ilvl w:val="0"/>
          <w:numId w:val="1"/>
        </w:numPr>
        <w:ind w:left="0" w:firstLine="0"/>
        <w:rPr>
          <w:lang w:val="fr-FR"/>
        </w:rPr>
      </w:pPr>
      <w:r w:rsidRPr="00153516">
        <w:rPr>
          <w:lang w:val="fr-FR"/>
        </w:rPr>
        <w:t>En outre, une discussion avec le Ministère des Finances</w:t>
      </w:r>
      <w:r w:rsidR="00555AFF" w:rsidRPr="00153516">
        <w:rPr>
          <w:lang w:val="fr-FR"/>
        </w:rPr>
        <w:t xml:space="preserve"> (MF) </w:t>
      </w:r>
      <w:r w:rsidRPr="00153516">
        <w:rPr>
          <w:lang w:val="fr-FR"/>
        </w:rPr>
        <w:t xml:space="preserve">a fait ressortir le point très important suivant : pour être véritablement applicable, la BSG nécessite un processus de planification et de budgétisation qui </w:t>
      </w:r>
      <w:r w:rsidR="009470B0">
        <w:rPr>
          <w:lang w:val="fr-FR"/>
        </w:rPr>
        <w:t>soit axé vers les résultats. Or</w:t>
      </w:r>
      <w:r w:rsidRPr="00153516">
        <w:rPr>
          <w:lang w:val="fr-FR"/>
        </w:rPr>
        <w:t xml:space="preserve"> bien qu’un programme </w:t>
      </w:r>
      <w:r w:rsidR="00C223E6">
        <w:rPr>
          <w:lang w:val="fr-FR"/>
        </w:rPr>
        <w:t>engagé</w:t>
      </w:r>
      <w:r w:rsidRPr="00153516">
        <w:rPr>
          <w:lang w:val="fr-FR"/>
        </w:rPr>
        <w:t xml:space="preserve"> depuis plusieurs années par le gouvernement </w:t>
      </w:r>
      <w:r w:rsidR="00C223E6">
        <w:rPr>
          <w:lang w:val="fr-FR"/>
        </w:rPr>
        <w:t xml:space="preserve">algérien </w:t>
      </w:r>
      <w:r w:rsidRPr="00153516">
        <w:rPr>
          <w:lang w:val="fr-FR"/>
        </w:rPr>
        <w:t>ait tenté d’introduire le principe de budgétisation axée vers les résultats</w:t>
      </w:r>
      <w:r w:rsidR="00555AFF" w:rsidRPr="00153516">
        <w:rPr>
          <w:lang w:val="fr-FR"/>
        </w:rPr>
        <w:t xml:space="preserve"> au niveau du MF</w:t>
      </w:r>
      <w:r w:rsidR="009470B0">
        <w:rPr>
          <w:lang w:val="fr-FR"/>
        </w:rPr>
        <w:t xml:space="preserve">, </w:t>
      </w:r>
      <w:r w:rsidR="00C223E6">
        <w:rPr>
          <w:lang w:val="fr-FR"/>
        </w:rPr>
        <w:t xml:space="preserve">avec l’appui du gouvernement canadien, </w:t>
      </w:r>
      <w:r w:rsidR="009470B0" w:rsidRPr="00153516">
        <w:rPr>
          <w:lang w:val="fr-FR"/>
        </w:rPr>
        <w:t xml:space="preserve">cet immense chantier </w:t>
      </w:r>
      <w:r w:rsidR="009470B0">
        <w:rPr>
          <w:lang w:val="fr-FR"/>
        </w:rPr>
        <w:t xml:space="preserve">n’est pas encore achevé. </w:t>
      </w:r>
      <w:r w:rsidR="00555AFF" w:rsidRPr="00153516">
        <w:rPr>
          <w:lang w:val="fr-FR"/>
        </w:rPr>
        <w:t xml:space="preserve">L’application effective de la BSG ne pouvant se faire, semble-t-il, dans un environnement de budgétisation </w:t>
      </w:r>
      <w:r w:rsidR="00153516" w:rsidRPr="00153516">
        <w:rPr>
          <w:lang w:val="fr-FR"/>
        </w:rPr>
        <w:t>« traditionnel » qui ne soit pas axé vers les résultats</w:t>
      </w:r>
      <w:r w:rsidR="00555AFF" w:rsidRPr="00153516">
        <w:rPr>
          <w:lang w:val="fr-FR"/>
        </w:rPr>
        <w:t>, on comprend aisément qu’il est encore trop t</w:t>
      </w:r>
      <w:r w:rsidR="00555AFF" w:rsidRPr="00153516">
        <w:rPr>
          <w:rFonts w:cs="Calibri"/>
          <w:lang w:val="fr-FR"/>
        </w:rPr>
        <w:t>ô</w:t>
      </w:r>
      <w:r w:rsidR="00555AFF" w:rsidRPr="00153516">
        <w:rPr>
          <w:lang w:val="fr-FR"/>
        </w:rPr>
        <w:t xml:space="preserve">t pour que l’approche soit adoptée par les institutions nationales du pays. </w:t>
      </w:r>
      <w:r w:rsidR="00C223E6">
        <w:rPr>
          <w:lang w:val="fr-FR"/>
        </w:rPr>
        <w:t xml:space="preserve">Quoi qu’il en soit, c’est à travers la deuxième partie de l’étude BSG (cas pratique) que l’on pourra déterminer plus précisément les modalités et méthodologies pour une éventuelle application de ce concept en Algérie. </w:t>
      </w:r>
    </w:p>
    <w:p w:rsidR="00153516" w:rsidRDefault="00555AFF" w:rsidP="00123C70">
      <w:pPr>
        <w:pStyle w:val="NoSpacing"/>
        <w:numPr>
          <w:ilvl w:val="0"/>
          <w:numId w:val="1"/>
        </w:numPr>
        <w:ind w:left="0" w:firstLine="0"/>
        <w:rPr>
          <w:lang w:val="fr-FR"/>
        </w:rPr>
      </w:pPr>
      <w:r w:rsidRPr="00153516">
        <w:rPr>
          <w:b/>
          <w:lang w:val="fr-FR"/>
        </w:rPr>
        <w:t xml:space="preserve">Formation de </w:t>
      </w:r>
      <w:r w:rsidR="00DB1576">
        <w:rPr>
          <w:b/>
          <w:lang w:val="fr-FR"/>
        </w:rPr>
        <w:t xml:space="preserve">30 </w:t>
      </w:r>
      <w:r w:rsidRPr="00153516">
        <w:rPr>
          <w:b/>
          <w:lang w:val="fr-FR"/>
        </w:rPr>
        <w:t>cadres à la BSG (A8).</w:t>
      </w:r>
      <w:r w:rsidR="00211F76">
        <w:rPr>
          <w:lang w:val="fr-FR"/>
        </w:rPr>
        <w:t xml:space="preserve"> Au titre de cette activité dotée d’un budget de 100.000 dollar (qui n’a fait l’objet d’aucun transfert) et</w:t>
      </w:r>
      <w:r w:rsidR="00153516" w:rsidRPr="00153516">
        <w:rPr>
          <w:lang w:val="fr-FR"/>
        </w:rPr>
        <w:t xml:space="preserve"> dont la réalisation a ét</w:t>
      </w:r>
      <w:r w:rsidR="00153516">
        <w:rPr>
          <w:lang w:val="fr-FR"/>
        </w:rPr>
        <w:t>é confiée à l</w:t>
      </w:r>
      <w:r w:rsidR="00153516" w:rsidRPr="00153516">
        <w:rPr>
          <w:lang w:val="fr-FR"/>
        </w:rPr>
        <w:t xml:space="preserve">’ONUFEMMES et le MF, </w:t>
      </w:r>
      <w:r w:rsidR="00153516">
        <w:rPr>
          <w:lang w:val="fr-FR"/>
        </w:rPr>
        <w:t>un atelier de</w:t>
      </w:r>
      <w:r w:rsidR="00153516" w:rsidRPr="00153516">
        <w:rPr>
          <w:lang w:val="fr-FR"/>
        </w:rPr>
        <w:t xml:space="preserve"> </w:t>
      </w:r>
      <w:r w:rsidR="00153516">
        <w:rPr>
          <w:lang w:val="fr-FR"/>
        </w:rPr>
        <w:t>restitution de l’étude de faisabilité de la BSG a été organisé avec la participation des Points Focaux concernés (MF, MDCFC, MADR)</w:t>
      </w:r>
      <w:r w:rsidR="00DB1576">
        <w:rPr>
          <w:lang w:val="fr-FR"/>
        </w:rPr>
        <w:t xml:space="preserve"> ; puis </w:t>
      </w:r>
      <w:r w:rsidR="00153516">
        <w:rPr>
          <w:lang w:val="fr-FR"/>
        </w:rPr>
        <w:t>une rencontre de travail a été organisée entre un pool d’experts en finances publiques et l’experte internationale en BSG recrutée par l’ONUFEMMES.</w:t>
      </w:r>
    </w:p>
    <w:p w:rsidR="00496F15" w:rsidRDefault="009470B0" w:rsidP="00123C70">
      <w:pPr>
        <w:pStyle w:val="NoSpacing"/>
        <w:numPr>
          <w:ilvl w:val="0"/>
          <w:numId w:val="1"/>
        </w:numPr>
        <w:ind w:left="0" w:firstLine="0"/>
        <w:rPr>
          <w:lang w:val="fr-FR"/>
        </w:rPr>
      </w:pPr>
      <w:r>
        <w:rPr>
          <w:lang w:val="fr-FR"/>
        </w:rPr>
        <w:lastRenderedPageBreak/>
        <w:t xml:space="preserve">Dans un contexte où les fondements pour l’introduction de la BSG ne semblent pas encore établis, </w:t>
      </w:r>
      <w:r w:rsidR="00FC37CF">
        <w:rPr>
          <w:lang w:val="fr-FR"/>
        </w:rPr>
        <w:t xml:space="preserve">la pertinence de </w:t>
      </w:r>
      <w:r>
        <w:rPr>
          <w:lang w:val="fr-FR"/>
        </w:rPr>
        <w:t xml:space="preserve">l’activité A8 </w:t>
      </w:r>
      <w:r w:rsidR="00FC37CF">
        <w:rPr>
          <w:lang w:val="fr-FR"/>
        </w:rPr>
        <w:t>pourrait être remise en question</w:t>
      </w:r>
      <w:r>
        <w:rPr>
          <w:lang w:val="fr-FR"/>
        </w:rPr>
        <w:t xml:space="preserve">. </w:t>
      </w:r>
      <w:r w:rsidR="00FC37CF">
        <w:rPr>
          <w:lang w:val="fr-FR"/>
        </w:rPr>
        <w:t xml:space="preserve">En tout état de cause, et si l’objectif est de sensibiliser les décideurs à la BSG, il conviendra au minimum de revoir </w:t>
      </w:r>
      <w:r w:rsidR="00496F15">
        <w:rPr>
          <w:lang w:val="fr-FR"/>
        </w:rPr>
        <w:t>la portée de cette activité</w:t>
      </w:r>
      <w:r w:rsidR="00FC37CF">
        <w:rPr>
          <w:lang w:val="fr-FR"/>
        </w:rPr>
        <w:t xml:space="preserve">, puisque le document de projet ne prévoit que la </w:t>
      </w:r>
      <w:r w:rsidR="00496F15">
        <w:rPr>
          <w:lang w:val="fr-FR"/>
        </w:rPr>
        <w:t xml:space="preserve">formation d’une trentaine de </w:t>
      </w:r>
      <w:r w:rsidR="00406C08">
        <w:rPr>
          <w:lang w:val="fr-FR"/>
        </w:rPr>
        <w:t>personnes, nombre qui paraît</w:t>
      </w:r>
      <w:r w:rsidR="00FC37CF">
        <w:rPr>
          <w:lang w:val="fr-FR"/>
        </w:rPr>
        <w:t xml:space="preserve"> </w:t>
      </w:r>
      <w:r w:rsidR="00406C08">
        <w:rPr>
          <w:lang w:val="fr-FR"/>
        </w:rPr>
        <w:t>bien insuffisant</w:t>
      </w:r>
      <w:r w:rsidR="00496F15">
        <w:rPr>
          <w:lang w:val="fr-FR"/>
        </w:rPr>
        <w:t xml:space="preserve"> au regard des ambitions. A titre d’exemple, dans le cadre du programme d’introduction de la gestion axée sur les résultats mis en œuvre au sein du MF, ce sont des milliers de personnes qui ont été formées.  </w:t>
      </w:r>
    </w:p>
    <w:p w:rsidR="009470B0" w:rsidRDefault="00C223E6" w:rsidP="00123C70">
      <w:pPr>
        <w:pStyle w:val="NoSpacing"/>
        <w:numPr>
          <w:ilvl w:val="0"/>
          <w:numId w:val="1"/>
        </w:numPr>
        <w:ind w:left="0" w:firstLine="0"/>
        <w:rPr>
          <w:lang w:val="fr-FR"/>
        </w:rPr>
      </w:pPr>
      <w:r>
        <w:rPr>
          <w:lang w:val="fr-FR"/>
        </w:rPr>
        <w:t xml:space="preserve">La mission est </w:t>
      </w:r>
      <w:r w:rsidR="00A15A94">
        <w:rPr>
          <w:lang w:val="fr-FR"/>
        </w:rPr>
        <w:t xml:space="preserve">également </w:t>
      </w:r>
      <w:r>
        <w:rPr>
          <w:lang w:val="fr-FR"/>
        </w:rPr>
        <w:t>d’avis qu’il aurait peut-être été plus judicieux que le Point Focal du programme ait été</w:t>
      </w:r>
      <w:r w:rsidR="00083FFB">
        <w:rPr>
          <w:lang w:val="fr-FR"/>
        </w:rPr>
        <w:t xml:space="preserve"> nommé au sein de la Sous-Direction de la Modernisation des systèmes budgétaires</w:t>
      </w:r>
      <w:r w:rsidR="008D1864">
        <w:rPr>
          <w:lang w:val="fr-FR"/>
        </w:rPr>
        <w:t xml:space="preserve"> de</w:t>
      </w:r>
      <w:r w:rsidR="00083FFB">
        <w:rPr>
          <w:lang w:val="fr-FR"/>
        </w:rPr>
        <w:t xml:space="preserve"> la Direction de la </w:t>
      </w:r>
      <w:r w:rsidR="008D1864">
        <w:rPr>
          <w:lang w:val="fr-FR"/>
        </w:rPr>
        <w:t>Réforme</w:t>
      </w:r>
      <w:r w:rsidR="00083FFB">
        <w:rPr>
          <w:lang w:val="fr-FR"/>
        </w:rPr>
        <w:t xml:space="preserve"> Budgétaire</w:t>
      </w:r>
      <w:r w:rsidR="00406C08">
        <w:rPr>
          <w:lang w:val="fr-FR"/>
        </w:rPr>
        <w:t xml:space="preserve"> du MF</w:t>
      </w:r>
      <w:r>
        <w:rPr>
          <w:lang w:val="fr-FR"/>
        </w:rPr>
        <w:t>, ou</w:t>
      </w:r>
      <w:r w:rsidR="00406C08">
        <w:rPr>
          <w:lang w:val="fr-FR"/>
        </w:rPr>
        <w:t>, à tout le moins,</w:t>
      </w:r>
      <w:r>
        <w:rPr>
          <w:lang w:val="fr-FR"/>
        </w:rPr>
        <w:t xml:space="preserve"> que ce département soit associé aux travaux et discussions</w:t>
      </w:r>
      <w:r w:rsidR="008D1864">
        <w:rPr>
          <w:lang w:val="fr-FR"/>
        </w:rPr>
        <w:t>. A ce sujet, la mission regrette qu’au moment de la nomination des Points Focaux, insuffisamment d’efforts semblent avoir été déployés afin de bien expliquer les objectifs spécifiques du programme conjoint auprès des décideurs des différents ministères, de sorte que ces derniers puissent nommer les personnes les mieux placées, sur le plan hiérarchique et sous-sectoriel, pour appuyer efficacement la mise en œuvre. La nomination imminente d’un deuxième Point Focal du programme au sein du MF devrait permettre de corriger cette erreur, à condition que</w:t>
      </w:r>
      <w:r w:rsidR="00496F15">
        <w:rPr>
          <w:lang w:val="fr-FR"/>
        </w:rPr>
        <w:t xml:space="preserve"> l’Equipe de Programme gère mieux ce processus.</w:t>
      </w:r>
    </w:p>
    <w:p w:rsidR="008D1864" w:rsidRPr="006B406E" w:rsidRDefault="00DD17D4" w:rsidP="00123C70">
      <w:pPr>
        <w:pStyle w:val="NoSpacing"/>
        <w:numPr>
          <w:ilvl w:val="0"/>
          <w:numId w:val="1"/>
        </w:numPr>
        <w:ind w:left="0" w:firstLine="0"/>
        <w:rPr>
          <w:lang w:val="fr-FR"/>
        </w:rPr>
      </w:pPr>
      <w:r>
        <w:rPr>
          <w:lang w:val="fr-FR"/>
        </w:rPr>
        <w:t>La mission a donc certaines réserves sur la pertinence actuelle de l</w:t>
      </w:r>
      <w:r w:rsidR="006B406E" w:rsidRPr="006B406E">
        <w:rPr>
          <w:lang w:val="fr-FR"/>
        </w:rPr>
        <w:t>’activité A8</w:t>
      </w:r>
      <w:r w:rsidR="009E7A0B">
        <w:rPr>
          <w:lang w:val="fr-FR"/>
        </w:rPr>
        <w:t xml:space="preserve"> telle qu’initialement formulée.</w:t>
      </w:r>
      <w:r w:rsidR="00272009">
        <w:rPr>
          <w:lang w:val="fr-FR"/>
        </w:rPr>
        <w:t xml:space="preserve"> </w:t>
      </w:r>
      <w:r w:rsidR="006B406E" w:rsidRPr="006B406E">
        <w:rPr>
          <w:lang w:val="fr-FR"/>
        </w:rPr>
        <w:t xml:space="preserve">Lors de la revue annuelle de décembre 2011, les partenaires avaient souhaité que l’A8 soit reformulée au profit d’une activité </w:t>
      </w:r>
      <w:r w:rsidR="00266181">
        <w:rPr>
          <w:lang w:val="fr-FR"/>
        </w:rPr>
        <w:t xml:space="preserve">préalable </w:t>
      </w:r>
      <w:r w:rsidR="006B406E" w:rsidRPr="006B406E">
        <w:rPr>
          <w:lang w:val="fr-FR"/>
        </w:rPr>
        <w:t>visant à « </w:t>
      </w:r>
      <w:r w:rsidR="006B406E" w:rsidRPr="006B406E">
        <w:rPr>
          <w:i/>
          <w:lang w:val="fr-FR"/>
        </w:rPr>
        <w:t>la mise en place d’outils et des préalables techniques et institutionnels pour la formation en BSG de cadres chargés de la planification et du budget d’institutions nationales, dont le MADR </w:t>
      </w:r>
      <w:r w:rsidR="006B406E" w:rsidRPr="006B406E">
        <w:rPr>
          <w:lang w:val="fr-FR"/>
        </w:rPr>
        <w:t xml:space="preserve">». Etant donné l’ampleur des travaux à accomplir pour atteindre cet objectif dans un contexte institutionnel encore peu favorable, la mission </w:t>
      </w:r>
      <w:r>
        <w:rPr>
          <w:lang w:val="fr-FR"/>
        </w:rPr>
        <w:t>doute</w:t>
      </w:r>
      <w:r w:rsidR="006B406E" w:rsidRPr="006B406E">
        <w:rPr>
          <w:lang w:val="fr-FR"/>
        </w:rPr>
        <w:t xml:space="preserve"> que cette proposition </w:t>
      </w:r>
      <w:r>
        <w:rPr>
          <w:lang w:val="fr-FR"/>
        </w:rPr>
        <w:t>soit</w:t>
      </w:r>
      <w:r w:rsidR="006B406E" w:rsidRPr="006B406E">
        <w:rPr>
          <w:lang w:val="fr-FR"/>
        </w:rPr>
        <w:t xml:space="preserve"> réaliste</w:t>
      </w:r>
      <w:r w:rsidR="00106F6C">
        <w:rPr>
          <w:lang w:val="fr-FR"/>
        </w:rPr>
        <w:t xml:space="preserve"> car son champ d’action (plusieurs ministères) est trop vaste</w:t>
      </w:r>
      <w:r w:rsidR="006B406E" w:rsidRPr="006B406E">
        <w:rPr>
          <w:lang w:val="fr-FR"/>
        </w:rPr>
        <w:t>. Une recommandation visant à re</w:t>
      </w:r>
      <w:r w:rsidR="00106F6C">
        <w:rPr>
          <w:lang w:val="fr-FR"/>
        </w:rPr>
        <w:t>centrer</w:t>
      </w:r>
      <w:r w:rsidR="006B406E" w:rsidRPr="006B406E">
        <w:rPr>
          <w:lang w:val="fr-FR"/>
        </w:rPr>
        <w:t xml:space="preserve"> l’A8 au </w:t>
      </w:r>
      <w:r w:rsidR="00496F15" w:rsidRPr="006B406E">
        <w:rPr>
          <w:lang w:val="fr-FR"/>
        </w:rPr>
        <w:t xml:space="preserve">profit d’activités visant à sensibiliser les cadres du MF chargé de la modernisation des systèmes budgétaires à la BSG et </w:t>
      </w:r>
      <w:r w:rsidR="004019EC">
        <w:rPr>
          <w:lang w:val="fr-FR"/>
        </w:rPr>
        <w:t xml:space="preserve">de </w:t>
      </w:r>
      <w:r w:rsidR="006B406E" w:rsidRPr="006B406E">
        <w:rPr>
          <w:lang w:val="fr-FR"/>
        </w:rPr>
        <w:t xml:space="preserve">les </w:t>
      </w:r>
      <w:r w:rsidR="00496F15" w:rsidRPr="006B406E">
        <w:rPr>
          <w:lang w:val="fr-FR"/>
        </w:rPr>
        <w:t>associ</w:t>
      </w:r>
      <w:r w:rsidR="006B406E" w:rsidRPr="006B406E">
        <w:rPr>
          <w:lang w:val="fr-FR"/>
        </w:rPr>
        <w:t>er</w:t>
      </w:r>
      <w:r w:rsidR="00496F15" w:rsidRPr="006B406E">
        <w:rPr>
          <w:lang w:val="fr-FR"/>
        </w:rPr>
        <w:t xml:space="preserve"> de </w:t>
      </w:r>
      <w:r w:rsidR="00867AB1" w:rsidRPr="006B406E">
        <w:rPr>
          <w:lang w:val="fr-FR"/>
        </w:rPr>
        <w:t>près</w:t>
      </w:r>
      <w:r w:rsidR="00496F15" w:rsidRPr="006B406E">
        <w:rPr>
          <w:lang w:val="fr-FR"/>
        </w:rPr>
        <w:t xml:space="preserve"> aux travaux pilotes que projettent de lancer le MADR et l’ONUFEMMES</w:t>
      </w:r>
      <w:r w:rsidR="004019EC">
        <w:rPr>
          <w:lang w:val="fr-FR"/>
        </w:rPr>
        <w:t xml:space="preserve"> sera </w:t>
      </w:r>
      <w:r w:rsidR="00106F6C">
        <w:rPr>
          <w:lang w:val="fr-FR"/>
        </w:rPr>
        <w:t xml:space="preserve">donc </w:t>
      </w:r>
      <w:r w:rsidR="004019EC">
        <w:rPr>
          <w:lang w:val="fr-FR"/>
        </w:rPr>
        <w:t>proposée</w:t>
      </w:r>
      <w:r w:rsidR="00106F6C">
        <w:rPr>
          <w:lang w:val="fr-FR"/>
        </w:rPr>
        <w:t xml:space="preserve"> </w:t>
      </w:r>
      <w:r w:rsidR="005E181B">
        <w:rPr>
          <w:lang w:val="fr-FR"/>
        </w:rPr>
        <w:t>à</w:t>
      </w:r>
      <w:r w:rsidR="004019EC">
        <w:rPr>
          <w:lang w:val="fr-FR"/>
        </w:rPr>
        <w:t xml:space="preserve"> cet effet au chapitre des recommandations</w:t>
      </w:r>
      <w:r w:rsidR="00385EE0">
        <w:rPr>
          <w:lang w:val="fr-FR"/>
        </w:rPr>
        <w:t>.</w:t>
      </w:r>
      <w:r w:rsidR="006D5C4B">
        <w:rPr>
          <w:lang w:val="fr-FR"/>
        </w:rPr>
        <w:t xml:space="preserve"> </w:t>
      </w:r>
      <w:r>
        <w:rPr>
          <w:lang w:val="fr-FR"/>
        </w:rPr>
        <w:t>Si le temps le permet, ce qui est peu probable</w:t>
      </w:r>
      <w:r>
        <w:rPr>
          <w:rStyle w:val="FootnoteReference"/>
          <w:lang w:val="fr-FR"/>
        </w:rPr>
        <w:footnoteReference w:id="39"/>
      </w:r>
      <w:r>
        <w:rPr>
          <w:lang w:val="fr-FR"/>
        </w:rPr>
        <w:t xml:space="preserve">, </w:t>
      </w:r>
      <w:r w:rsidR="009E7A0B">
        <w:rPr>
          <w:lang w:val="fr-FR"/>
        </w:rPr>
        <w:t xml:space="preserve">on pourra par la suite </w:t>
      </w:r>
      <w:r>
        <w:rPr>
          <w:lang w:val="fr-FR"/>
        </w:rPr>
        <w:t>étendre les activités de s</w:t>
      </w:r>
      <w:r w:rsidR="006D5C4B">
        <w:rPr>
          <w:lang w:val="fr-FR"/>
        </w:rPr>
        <w:t xml:space="preserve">ensibilisation </w:t>
      </w:r>
      <w:r>
        <w:rPr>
          <w:lang w:val="fr-FR"/>
        </w:rPr>
        <w:t>aux</w:t>
      </w:r>
      <w:r w:rsidR="006D5C4B">
        <w:rPr>
          <w:lang w:val="fr-FR"/>
        </w:rPr>
        <w:t xml:space="preserve"> cadres responsables (chargés de la planification et de la budgétisation) d’autres institutions nationales (notamment les ministères dotés de larges budgets</w:t>
      </w:r>
      <w:r>
        <w:rPr>
          <w:lang w:val="fr-FR"/>
        </w:rPr>
        <w:t>)</w:t>
      </w:r>
      <w:r w:rsidR="006D5C4B">
        <w:rPr>
          <w:lang w:val="fr-FR"/>
        </w:rPr>
        <w:t>.</w:t>
      </w:r>
    </w:p>
    <w:p w:rsidR="004019EC" w:rsidRPr="004019EC" w:rsidRDefault="00867AB1" w:rsidP="00123C70">
      <w:pPr>
        <w:pStyle w:val="NoSpacing"/>
        <w:numPr>
          <w:ilvl w:val="0"/>
          <w:numId w:val="1"/>
        </w:numPr>
        <w:ind w:left="0" w:firstLine="0"/>
        <w:rPr>
          <w:lang w:val="fr-FR"/>
        </w:rPr>
      </w:pPr>
      <w:r w:rsidRPr="00867AB1">
        <w:rPr>
          <w:b/>
          <w:lang w:val="fr-FR"/>
        </w:rPr>
        <w:t>Appui au MTE</w:t>
      </w:r>
      <w:r>
        <w:rPr>
          <w:rStyle w:val="FootnoteReference"/>
          <w:b/>
          <w:lang w:val="fr-FR"/>
        </w:rPr>
        <w:footnoteReference w:id="40"/>
      </w:r>
      <w:r w:rsidRPr="00867AB1">
        <w:rPr>
          <w:b/>
          <w:lang w:val="fr-FR"/>
        </w:rPr>
        <w:t xml:space="preserve"> dans le processus</w:t>
      </w:r>
      <w:r>
        <w:rPr>
          <w:b/>
          <w:lang w:val="fr-FR"/>
        </w:rPr>
        <w:t xml:space="preserve"> de mise en place de la BSG (A9). </w:t>
      </w:r>
      <w:r>
        <w:rPr>
          <w:lang w:val="fr-FR"/>
        </w:rPr>
        <w:t>La mission n’ayant pu rencontrer les Points Focaux du programme au sein du MTESS, qui n’ont pas non plus assisté</w:t>
      </w:r>
      <w:r w:rsidRPr="00867AB1">
        <w:rPr>
          <w:rFonts w:asciiTheme="minorHAnsi" w:hAnsiTheme="minorHAnsi" w:cstheme="minorHAnsi"/>
          <w:lang w:val="fr-FR"/>
        </w:rPr>
        <w:t xml:space="preserve"> à la réunion du Groupe de Référence de l’Evaluation ou </w:t>
      </w:r>
      <w:r>
        <w:rPr>
          <w:rFonts w:asciiTheme="minorHAnsi" w:hAnsiTheme="minorHAnsi" w:cstheme="minorHAnsi"/>
          <w:lang w:val="fr-FR"/>
        </w:rPr>
        <w:t xml:space="preserve">à </w:t>
      </w:r>
      <w:r w:rsidRPr="00867AB1">
        <w:rPr>
          <w:rFonts w:asciiTheme="minorHAnsi" w:hAnsiTheme="minorHAnsi" w:cstheme="minorHAnsi"/>
          <w:lang w:val="fr-FR"/>
        </w:rPr>
        <w:t>la réunion de restitution</w:t>
      </w:r>
      <w:r>
        <w:rPr>
          <w:rFonts w:asciiTheme="minorHAnsi" w:hAnsiTheme="minorHAnsi" w:cstheme="minorHAnsi"/>
          <w:lang w:val="fr-FR"/>
        </w:rPr>
        <w:t xml:space="preserve">, le présent rapport ne peut se </w:t>
      </w:r>
      <w:r w:rsidRPr="004E01D2">
        <w:rPr>
          <w:lang w:val="fr-FR"/>
        </w:rPr>
        <w:t>prononcer</w:t>
      </w:r>
      <w:r>
        <w:rPr>
          <w:rFonts w:asciiTheme="minorHAnsi" w:hAnsiTheme="minorHAnsi" w:cstheme="minorHAnsi"/>
          <w:lang w:val="fr-FR"/>
        </w:rPr>
        <w:t xml:space="preserve"> sur l’intérêt du ministère pour cette activité qui vise à ce que le MTESS se dote d’indicateurs sensibles au genre. </w:t>
      </w:r>
      <w:r w:rsidR="00787F79">
        <w:rPr>
          <w:rFonts w:asciiTheme="minorHAnsi" w:hAnsiTheme="minorHAnsi" w:cstheme="minorHAnsi"/>
          <w:lang w:val="fr-FR"/>
        </w:rPr>
        <w:t xml:space="preserve">Comme </w:t>
      </w:r>
      <w:r w:rsidR="002A7542">
        <w:rPr>
          <w:rFonts w:asciiTheme="minorHAnsi" w:hAnsiTheme="minorHAnsi" w:cstheme="minorHAnsi"/>
          <w:lang w:val="fr-FR"/>
        </w:rPr>
        <w:t>indiqué</w:t>
      </w:r>
      <w:r w:rsidR="00787F79">
        <w:rPr>
          <w:rFonts w:asciiTheme="minorHAnsi" w:hAnsiTheme="minorHAnsi" w:cstheme="minorHAnsi"/>
          <w:lang w:val="fr-FR"/>
        </w:rPr>
        <w:t xml:space="preserve"> dans le rapport de la revue annuelle du mois de décembre 2011, </w:t>
      </w:r>
      <w:r w:rsidR="002A7542">
        <w:rPr>
          <w:rFonts w:asciiTheme="minorHAnsi" w:hAnsiTheme="minorHAnsi" w:cstheme="minorHAnsi"/>
          <w:lang w:val="fr-FR"/>
        </w:rPr>
        <w:t xml:space="preserve">la mission note cependant que </w:t>
      </w:r>
      <w:r w:rsidR="004019EC">
        <w:rPr>
          <w:rFonts w:asciiTheme="minorHAnsi" w:hAnsiTheme="minorHAnsi" w:cstheme="minorHAnsi"/>
          <w:lang w:val="fr-FR"/>
        </w:rPr>
        <w:t xml:space="preserve">le MTESS a montré des réticences à la mise en œuvre de l’A9 </w:t>
      </w:r>
      <w:r w:rsidR="00A15A94">
        <w:rPr>
          <w:rFonts w:asciiTheme="minorHAnsi" w:hAnsiTheme="minorHAnsi" w:cstheme="minorHAnsi"/>
          <w:lang w:val="fr-FR"/>
        </w:rPr>
        <w:t xml:space="preserve">au </w:t>
      </w:r>
      <w:r w:rsidR="004019EC">
        <w:rPr>
          <w:rFonts w:asciiTheme="minorHAnsi" w:hAnsiTheme="minorHAnsi" w:cstheme="minorHAnsi"/>
          <w:lang w:val="fr-FR"/>
        </w:rPr>
        <w:t xml:space="preserve">motif qu’elle n’était pas nécessaire. </w:t>
      </w:r>
    </w:p>
    <w:p w:rsidR="00406C08" w:rsidRDefault="004019EC" w:rsidP="00123C70">
      <w:pPr>
        <w:pStyle w:val="NoSpacing"/>
        <w:numPr>
          <w:ilvl w:val="0"/>
          <w:numId w:val="1"/>
        </w:numPr>
        <w:ind w:left="0" w:firstLine="0"/>
        <w:rPr>
          <w:lang w:val="fr-FR"/>
        </w:rPr>
      </w:pPr>
      <w:r w:rsidRPr="004019EC">
        <w:rPr>
          <w:lang w:val="fr-FR"/>
        </w:rPr>
        <w:t>La mission propose donc que l’A9 soit conservée</w:t>
      </w:r>
      <w:r>
        <w:rPr>
          <w:lang w:val="fr-FR"/>
        </w:rPr>
        <w:t>, mais que l’on remplace le MTESS par le MADR, ce dernier ministère étant, comme on l’a vu, intéressé par un exercice pilote de l’application de la BSG au niveau local. Il conviendra aux partenaires de réfléchir au budget nécessaire à cette activité afin de déterminer si l’allocation de 40.000 dollars prévus initialement pour l’A9 sera suffisante</w:t>
      </w:r>
      <w:r w:rsidR="00FB68F5">
        <w:rPr>
          <w:lang w:val="fr-FR"/>
        </w:rPr>
        <w:t xml:space="preserve">. </w:t>
      </w:r>
    </w:p>
    <w:p w:rsidR="00406C08" w:rsidRDefault="00406C08">
      <w:pPr>
        <w:rPr>
          <w:rFonts w:ascii="Calibri" w:hAnsi="Calibri"/>
          <w:sz w:val="22"/>
          <w:lang w:val="fr-FR"/>
        </w:rPr>
      </w:pPr>
    </w:p>
    <w:p w:rsidR="003145F8" w:rsidRPr="003145F8" w:rsidRDefault="00B233DD" w:rsidP="00123C70">
      <w:pPr>
        <w:pStyle w:val="NoSpacing"/>
        <w:numPr>
          <w:ilvl w:val="0"/>
          <w:numId w:val="1"/>
        </w:numPr>
        <w:ind w:left="0" w:firstLine="0"/>
        <w:rPr>
          <w:lang w:val="fr-FR"/>
        </w:rPr>
      </w:pPr>
      <w:r>
        <w:rPr>
          <w:rFonts w:ascii="Times New Roman" w:hAnsi="Times New Roman"/>
          <w:b/>
          <w:noProof/>
          <w:sz w:val="24"/>
        </w:rPr>
        <w:lastRenderedPageBreak/>
        <mc:AlternateContent>
          <mc:Choice Requires="wps">
            <w:drawing>
              <wp:anchor distT="0" distB="0" distL="114300" distR="114300" simplePos="0" relativeHeight="251674624" behindDoc="0" locked="0" layoutInCell="1" allowOverlap="1">
                <wp:simplePos x="0" y="0"/>
                <wp:positionH relativeFrom="column">
                  <wp:posOffset>-17145</wp:posOffset>
                </wp:positionH>
                <wp:positionV relativeFrom="paragraph">
                  <wp:posOffset>78740</wp:posOffset>
                </wp:positionV>
                <wp:extent cx="5772150" cy="271780"/>
                <wp:effectExtent l="0" t="0" r="19050" b="1460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71780"/>
                        </a:xfrm>
                        <a:prstGeom prst="rect">
                          <a:avLst/>
                        </a:prstGeom>
                        <a:solidFill>
                          <a:sysClr val="window" lastClr="FFFFFF">
                            <a:lumMod val="85000"/>
                            <a:alpha val="88000"/>
                          </a:sysClr>
                        </a:solidFill>
                        <a:ln w="9525">
                          <a:solidFill>
                            <a:srgbClr val="000000"/>
                          </a:solidFill>
                          <a:miter lim="800000"/>
                          <a:headEnd/>
                          <a:tailEnd/>
                        </a:ln>
                      </wps:spPr>
                      <wps:txbx>
                        <w:txbxContent>
                          <w:p w:rsidR="00E46B31" w:rsidRPr="00D3047F" w:rsidRDefault="00E46B31" w:rsidP="00737BDE">
                            <w:pPr>
                              <w:rPr>
                                <w:rFonts w:asciiTheme="minorHAnsi" w:hAnsiTheme="minorHAnsi" w:cstheme="minorHAnsi"/>
                                <w:sz w:val="22"/>
                                <w:szCs w:val="22"/>
                                <w:lang w:val="fr-FR"/>
                              </w:rPr>
                            </w:pPr>
                            <w:r>
                              <w:rPr>
                                <w:rFonts w:asciiTheme="minorHAnsi" w:hAnsiTheme="minorHAnsi" w:cstheme="minorHAnsi"/>
                                <w:b/>
                                <w:sz w:val="22"/>
                                <w:szCs w:val="22"/>
                                <w:lang w:val="fr-FR"/>
                              </w:rPr>
                              <w:t>P4</w:t>
                            </w:r>
                            <w:r w:rsidRPr="00D3047F">
                              <w:rPr>
                                <w:rFonts w:asciiTheme="minorHAnsi" w:hAnsiTheme="minorHAnsi" w:cstheme="minorHAnsi"/>
                                <w:sz w:val="22"/>
                                <w:szCs w:val="22"/>
                                <w:lang w:val="fr-FR"/>
                              </w:rPr>
                              <w:t xml:space="preserve">: </w:t>
                            </w:r>
                            <w:r w:rsidRPr="00FB68F5">
                              <w:rPr>
                                <w:rFonts w:asciiTheme="minorHAnsi" w:hAnsiTheme="minorHAnsi" w:cstheme="minorHAnsi"/>
                                <w:b/>
                                <w:sz w:val="22"/>
                                <w:szCs w:val="22"/>
                                <w:lang w:val="fr-FR"/>
                              </w:rPr>
                              <w:t>Approche genre intégrée dans la planification locale, au niveau de communes pilotes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35pt;margin-top:6.2pt;width:454.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" fillcolor="#d9d9d9">
                <v:fill opacity="57568f"/>
                <v:textbox style="mso-fit-shape-to-text:t">
                  <w:txbxContent>
                    <w:p w:rsidR="00E46B31" w:rsidRPr="00D3047F" w:rsidRDefault="00E46B31" w:rsidP="00737BDE">
                      <w:pPr>
                        <w:rPr>
                          <w:rFonts w:asciiTheme="minorHAnsi" w:hAnsiTheme="minorHAnsi" w:cstheme="minorHAnsi"/>
                          <w:sz w:val="22"/>
                          <w:szCs w:val="22"/>
                          <w:lang w:val="fr-FR"/>
                        </w:rPr>
                      </w:pPr>
                      <w:r>
                        <w:rPr>
                          <w:rFonts w:asciiTheme="minorHAnsi" w:hAnsiTheme="minorHAnsi" w:cstheme="minorHAnsi"/>
                          <w:b/>
                          <w:sz w:val="22"/>
                          <w:szCs w:val="22"/>
                          <w:lang w:val="fr-FR"/>
                        </w:rPr>
                        <w:t>P4</w:t>
                      </w:r>
                      <w:r w:rsidRPr="00D3047F">
                        <w:rPr>
                          <w:rFonts w:asciiTheme="minorHAnsi" w:hAnsiTheme="minorHAnsi" w:cstheme="minorHAnsi"/>
                          <w:sz w:val="22"/>
                          <w:szCs w:val="22"/>
                          <w:lang w:val="fr-FR"/>
                        </w:rPr>
                        <w:t xml:space="preserve">: </w:t>
                      </w:r>
                      <w:r w:rsidRPr="00FB68F5">
                        <w:rPr>
                          <w:rFonts w:asciiTheme="minorHAnsi" w:hAnsiTheme="minorHAnsi" w:cstheme="minorHAnsi"/>
                          <w:b/>
                          <w:sz w:val="22"/>
                          <w:szCs w:val="22"/>
                          <w:lang w:val="fr-FR"/>
                        </w:rPr>
                        <w:t>Approche genre intégrée dans la planification locale, au niveau de communes pilotes</w:t>
                      </w:r>
                    </w:p>
                  </w:txbxContent>
                </v:textbox>
                <w10:wrap type="topAndBottom"/>
              </v:shape>
            </w:pict>
          </mc:Fallback>
        </mc:AlternateContent>
      </w:r>
      <w:r w:rsidR="009A1266" w:rsidRPr="009A1266">
        <w:rPr>
          <w:b/>
          <w:lang w:val="fr-FR"/>
        </w:rPr>
        <w:t>Formation de cadres dans des collectivités locales pilotes</w:t>
      </w:r>
      <w:r w:rsidR="00266DFF">
        <w:rPr>
          <w:b/>
          <w:lang w:val="fr-FR"/>
        </w:rPr>
        <w:t xml:space="preserve"> (A10</w:t>
      </w:r>
      <w:r w:rsidR="009A1266" w:rsidRPr="009A1266">
        <w:rPr>
          <w:b/>
          <w:lang w:val="fr-FR"/>
        </w:rPr>
        <w:t>).</w:t>
      </w:r>
      <w:r w:rsidR="009A1266">
        <w:rPr>
          <w:lang w:val="fr-FR"/>
        </w:rPr>
        <w:t xml:space="preserve">  </w:t>
      </w:r>
      <w:r w:rsidR="00FB68F5">
        <w:rPr>
          <w:lang w:val="fr-FR"/>
        </w:rPr>
        <w:t>L’unique activit</w:t>
      </w:r>
      <w:r w:rsidR="009A1266">
        <w:rPr>
          <w:lang w:val="fr-FR"/>
        </w:rPr>
        <w:t>é prévue, confiée au PNUD et au M</w:t>
      </w:r>
      <w:r w:rsidR="00A07856">
        <w:rPr>
          <w:lang w:val="fr-FR"/>
        </w:rPr>
        <w:t>DC</w:t>
      </w:r>
      <w:r w:rsidR="009A1266">
        <w:rPr>
          <w:lang w:val="fr-FR"/>
        </w:rPr>
        <w:t>FCF</w:t>
      </w:r>
      <w:r w:rsidR="00211F76">
        <w:rPr>
          <w:lang w:val="fr-FR"/>
        </w:rPr>
        <w:t xml:space="preserve"> et dotée d’un budget de 70.000 dollars</w:t>
      </w:r>
      <w:r w:rsidR="009A1266">
        <w:rPr>
          <w:lang w:val="fr-FR"/>
        </w:rPr>
        <w:t xml:space="preserve">, concerne la formation dans les </w:t>
      </w:r>
      <w:r w:rsidR="009A1266" w:rsidRPr="009A1266">
        <w:rPr>
          <w:i/>
          <w:lang w:val="fr-FR"/>
        </w:rPr>
        <w:t>wilayas</w:t>
      </w:r>
      <w:r w:rsidR="009A1266">
        <w:rPr>
          <w:lang w:val="fr-FR"/>
        </w:rPr>
        <w:t xml:space="preserve"> </w:t>
      </w:r>
      <w:r w:rsidR="009A1266" w:rsidRPr="003145F8">
        <w:rPr>
          <w:lang w:val="fr-FR"/>
        </w:rPr>
        <w:t>p</w:t>
      </w:r>
      <w:r w:rsidR="00432375">
        <w:rPr>
          <w:lang w:val="fr-FR"/>
        </w:rPr>
        <w:t>ilotes de Djelfa et Tamanrasset</w:t>
      </w:r>
      <w:r w:rsidR="009A1266" w:rsidRPr="003145F8">
        <w:rPr>
          <w:lang w:val="fr-FR"/>
        </w:rPr>
        <w:t xml:space="preserve"> de trente cadres des collectivité</w:t>
      </w:r>
      <w:r w:rsidR="00266DFF" w:rsidRPr="003145F8">
        <w:rPr>
          <w:lang w:val="fr-FR"/>
        </w:rPr>
        <w:t>s</w:t>
      </w:r>
      <w:r w:rsidR="009A1266" w:rsidRPr="003145F8">
        <w:rPr>
          <w:lang w:val="fr-FR"/>
        </w:rPr>
        <w:t xml:space="preserve"> locale</w:t>
      </w:r>
      <w:r w:rsidR="00266DFF" w:rsidRPr="003145F8">
        <w:rPr>
          <w:lang w:val="fr-FR"/>
        </w:rPr>
        <w:t>s</w:t>
      </w:r>
      <w:r w:rsidR="009A1266" w:rsidRPr="003145F8">
        <w:rPr>
          <w:lang w:val="fr-FR"/>
        </w:rPr>
        <w:t xml:space="preserve"> à la </w:t>
      </w:r>
      <w:r w:rsidR="002513CE" w:rsidRPr="003145F8">
        <w:rPr>
          <w:lang w:val="fr-FR"/>
        </w:rPr>
        <w:t>planification et programmation sensible au genre.</w:t>
      </w:r>
      <w:r w:rsidR="009A1266" w:rsidRPr="003145F8">
        <w:rPr>
          <w:lang w:val="fr-FR"/>
        </w:rPr>
        <w:t xml:space="preserve"> </w:t>
      </w:r>
    </w:p>
    <w:p w:rsidR="009A1266" w:rsidRPr="00F31294" w:rsidRDefault="003145F8" w:rsidP="00123C70">
      <w:pPr>
        <w:pStyle w:val="NoSpacing"/>
        <w:numPr>
          <w:ilvl w:val="0"/>
          <w:numId w:val="1"/>
        </w:numPr>
        <w:ind w:left="0" w:firstLine="0"/>
        <w:rPr>
          <w:lang w:val="fr-FR"/>
        </w:rPr>
      </w:pPr>
      <w:r w:rsidRPr="00F31294">
        <w:rPr>
          <w:lang w:val="fr-FR"/>
        </w:rPr>
        <w:t>Le Rapport d’avancement de juin 201</w:t>
      </w:r>
      <w:r w:rsidR="00F31294" w:rsidRPr="00F31294">
        <w:rPr>
          <w:lang w:val="fr-FR"/>
        </w:rPr>
        <w:t>1</w:t>
      </w:r>
      <w:r w:rsidRPr="00F31294">
        <w:rPr>
          <w:lang w:val="fr-FR"/>
        </w:rPr>
        <w:t xml:space="preserve"> mentionne qu’un accord a été conclu </w:t>
      </w:r>
      <w:r w:rsidR="00F31294" w:rsidRPr="00F31294">
        <w:rPr>
          <w:lang w:val="fr-FR"/>
        </w:rPr>
        <w:t xml:space="preserve">entre le PNUD et </w:t>
      </w:r>
      <w:r w:rsidRPr="00F31294">
        <w:rPr>
          <w:lang w:val="fr-FR"/>
        </w:rPr>
        <w:t xml:space="preserve">l’UNFPA pour réaliser cette action </w:t>
      </w:r>
      <w:r w:rsidR="00F31294" w:rsidRPr="00F31294">
        <w:rPr>
          <w:lang w:val="fr-FR"/>
        </w:rPr>
        <w:t>en synergie</w:t>
      </w:r>
      <w:r w:rsidRPr="00F31294">
        <w:rPr>
          <w:lang w:val="fr-FR"/>
        </w:rPr>
        <w:t xml:space="preserve"> </w:t>
      </w:r>
      <w:r w:rsidR="00F31294" w:rsidRPr="00F31294">
        <w:rPr>
          <w:lang w:val="fr-FR"/>
        </w:rPr>
        <w:t>avec les activités de formation et de sensibilisation des OSC (A11), et il s’agit-là, de l’avis de la mission, d’une pertinente décision. A ce jour, cependant, a</w:t>
      </w:r>
      <w:r w:rsidR="00266DFF" w:rsidRPr="00F31294">
        <w:rPr>
          <w:lang w:val="fr-FR"/>
        </w:rPr>
        <w:t xml:space="preserve">ucune activité n’a </w:t>
      </w:r>
      <w:r w:rsidR="00F31294">
        <w:rPr>
          <w:lang w:val="fr-FR"/>
        </w:rPr>
        <w:t xml:space="preserve">encore démarré </w:t>
      </w:r>
      <w:r w:rsidR="00211F76" w:rsidRPr="00F31294">
        <w:rPr>
          <w:lang w:val="fr-FR"/>
        </w:rPr>
        <w:t xml:space="preserve">et </w:t>
      </w:r>
      <w:r w:rsidRPr="00F31294">
        <w:rPr>
          <w:lang w:val="fr-FR"/>
        </w:rPr>
        <w:t xml:space="preserve"> les fonds n’ont pas </w:t>
      </w:r>
      <w:r w:rsidR="00F31294">
        <w:rPr>
          <w:lang w:val="fr-FR"/>
        </w:rPr>
        <w:t xml:space="preserve">encore </w:t>
      </w:r>
      <w:r w:rsidRPr="00F31294">
        <w:rPr>
          <w:lang w:val="fr-FR"/>
        </w:rPr>
        <w:t>fait l’objet de transfert.</w:t>
      </w:r>
    </w:p>
    <w:p w:rsidR="008A3403" w:rsidRDefault="00266DFF" w:rsidP="00123C70">
      <w:pPr>
        <w:pStyle w:val="NoSpacing"/>
        <w:numPr>
          <w:ilvl w:val="0"/>
          <w:numId w:val="1"/>
        </w:numPr>
        <w:ind w:left="0" w:firstLine="0"/>
        <w:rPr>
          <w:lang w:val="fr-FR"/>
        </w:rPr>
      </w:pPr>
      <w:r w:rsidRPr="00266DFF">
        <w:rPr>
          <w:lang w:val="fr-FR"/>
        </w:rPr>
        <w:t>Etant donné l’importance stratégique de cette activité, le niveau local étant celui où toutes les actions de développement et de service public sont planifiées, la mission recommande qu’un lien fort soit é</w:t>
      </w:r>
      <w:r w:rsidR="008A3403">
        <w:rPr>
          <w:lang w:val="fr-FR"/>
        </w:rPr>
        <w:t>tabli entre cette activité et</w:t>
      </w:r>
      <w:r w:rsidRPr="00266DFF">
        <w:rPr>
          <w:lang w:val="fr-FR"/>
        </w:rPr>
        <w:t xml:space="preserve"> l’A9 revisitée. Possiblement, au lieu de conserver deux « produits spécifiques » pour l’A9 et l’A10, un nouveau produit pourrait être reformulé de façon à ce que les deux activités contribuent clairement à un objectif du type « </w:t>
      </w:r>
      <w:r w:rsidRPr="00266DFF">
        <w:rPr>
          <w:i/>
          <w:lang w:val="fr-FR"/>
        </w:rPr>
        <w:t>l’approche genre est intégrée dans les processus locaux et centraux de planification et de programmation des interventions de l’Etat au niveau d’un secteur et d’une wilaya pilote</w:t>
      </w:r>
      <w:r w:rsidR="008A3403">
        <w:rPr>
          <w:i/>
          <w:lang w:val="fr-FR"/>
        </w:rPr>
        <w:t> ».</w:t>
      </w:r>
      <w:r w:rsidR="008A3403">
        <w:rPr>
          <w:lang w:val="fr-FR"/>
        </w:rPr>
        <w:t xml:space="preserve"> Etant donné que l’exercice que le MADR souhaite entreprendre dans le cadre de l’A9 revisitée ne le sera que dans la </w:t>
      </w:r>
      <w:r w:rsidR="008A3403" w:rsidRPr="008A3403">
        <w:rPr>
          <w:i/>
          <w:lang w:val="fr-FR"/>
        </w:rPr>
        <w:t xml:space="preserve">wilaya </w:t>
      </w:r>
      <w:r w:rsidR="008A3403">
        <w:rPr>
          <w:lang w:val="fr-FR"/>
        </w:rPr>
        <w:t xml:space="preserve">de Djelfa (en raison de l’éloignement géographique de Tamanrasset), ce qui est une décision judicieuse car réaliste, la mission considère qu’il serait également utile de limiter la mise en œuvre de l’A10 à la seule </w:t>
      </w:r>
      <w:r w:rsidR="008A3403" w:rsidRPr="008A3403">
        <w:rPr>
          <w:i/>
          <w:lang w:val="fr-FR"/>
        </w:rPr>
        <w:t>wilaya</w:t>
      </w:r>
      <w:r w:rsidR="00432375">
        <w:rPr>
          <w:lang w:val="fr-FR"/>
        </w:rPr>
        <w:t xml:space="preserve"> de Djelfa.</w:t>
      </w:r>
    </w:p>
    <w:p w:rsidR="008A3403" w:rsidRPr="008D1864" w:rsidRDefault="00B233DD" w:rsidP="00ED5DB0">
      <w:pPr>
        <w:pStyle w:val="NoSpacing"/>
        <w:rPr>
          <w:lang w:val="fr-FR"/>
        </w:rPr>
      </w:pPr>
      <w:r>
        <w:rPr>
          <w:b/>
          <w:noProof/>
        </w:rPr>
        <mc:AlternateContent>
          <mc:Choice Requires="wps">
            <w:drawing>
              <wp:anchor distT="0" distB="0" distL="114300" distR="114300" simplePos="0" relativeHeight="251676672" behindDoc="0" locked="0" layoutInCell="1" allowOverlap="1">
                <wp:simplePos x="0" y="0"/>
                <wp:positionH relativeFrom="column">
                  <wp:posOffset>-19050</wp:posOffset>
                </wp:positionH>
                <wp:positionV relativeFrom="paragraph">
                  <wp:posOffset>13970</wp:posOffset>
                </wp:positionV>
                <wp:extent cx="5772150" cy="434975"/>
                <wp:effectExtent l="0" t="0" r="19050" b="2222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34975"/>
                        </a:xfrm>
                        <a:prstGeom prst="rect">
                          <a:avLst/>
                        </a:prstGeom>
                        <a:solidFill>
                          <a:sysClr val="window" lastClr="FFFFFF">
                            <a:lumMod val="85000"/>
                            <a:alpha val="88000"/>
                          </a:sysClr>
                        </a:solidFill>
                        <a:ln w="9525">
                          <a:solidFill>
                            <a:srgbClr val="000000"/>
                          </a:solidFill>
                          <a:miter lim="800000"/>
                          <a:headEnd/>
                          <a:tailEnd/>
                        </a:ln>
                      </wps:spPr>
                      <wps:txbx>
                        <w:txbxContent>
                          <w:p w:rsidR="00E46B31" w:rsidRPr="00266DFF" w:rsidRDefault="00E46B31" w:rsidP="00737BDE">
                            <w:pPr>
                              <w:rPr>
                                <w:rFonts w:asciiTheme="minorHAnsi" w:hAnsiTheme="minorHAnsi" w:cstheme="minorHAnsi"/>
                                <w:b/>
                                <w:sz w:val="22"/>
                                <w:szCs w:val="22"/>
                                <w:lang w:val="fr-FR"/>
                              </w:rPr>
                            </w:pPr>
                            <w:r w:rsidRPr="00266DFF">
                              <w:rPr>
                                <w:rFonts w:asciiTheme="minorHAnsi" w:hAnsiTheme="minorHAnsi" w:cstheme="minorHAnsi"/>
                                <w:b/>
                                <w:sz w:val="22"/>
                                <w:szCs w:val="22"/>
                                <w:lang w:val="fr-FR"/>
                              </w:rPr>
                              <w:t>P5 : Les organisations de la société civile ont développé leurs connaissances sur le genre pou</w:t>
                            </w:r>
                            <w:r>
                              <w:rPr>
                                <w:rFonts w:asciiTheme="minorHAnsi" w:hAnsiTheme="minorHAnsi" w:cstheme="minorHAnsi"/>
                                <w:b/>
                                <w:sz w:val="22"/>
                                <w:szCs w:val="22"/>
                                <w:lang w:val="fr-FR"/>
                              </w:rPr>
                              <w:t xml:space="preserve">r </w:t>
                            </w:r>
                            <w:r w:rsidRPr="00266DFF">
                              <w:rPr>
                                <w:rFonts w:asciiTheme="minorHAnsi" w:hAnsiTheme="minorHAnsi" w:cstheme="minorHAnsi"/>
                                <w:b/>
                                <w:sz w:val="22"/>
                                <w:szCs w:val="22"/>
                                <w:lang w:val="fr-FR"/>
                              </w:rPr>
                              <w:t xml:space="preserve">promouvoir l’autonomisation des femmes au niveau des institutions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5pt;margin-top:1.1pt;width:454.5pt;height: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" fillcolor="#d9d9d9">
                <v:fill opacity="57568f"/>
                <v:textbox>
                  <w:txbxContent>
                    <w:p w:rsidR="00E46B31" w:rsidRPr="00266DFF" w:rsidRDefault="00E46B31" w:rsidP="00737BDE">
                      <w:pPr>
                        <w:rPr>
                          <w:rFonts w:asciiTheme="minorHAnsi" w:hAnsiTheme="minorHAnsi" w:cstheme="minorHAnsi"/>
                          <w:b/>
                          <w:sz w:val="22"/>
                          <w:szCs w:val="22"/>
                          <w:lang w:val="fr-FR"/>
                        </w:rPr>
                      </w:pPr>
                      <w:r w:rsidRPr="00266DFF">
                        <w:rPr>
                          <w:rFonts w:asciiTheme="minorHAnsi" w:hAnsiTheme="minorHAnsi" w:cstheme="minorHAnsi"/>
                          <w:b/>
                          <w:sz w:val="22"/>
                          <w:szCs w:val="22"/>
                          <w:lang w:val="fr-FR"/>
                        </w:rPr>
                        <w:t>P5 : Les organisations de la société civile ont développé leurs connaissances sur le genre pou</w:t>
                      </w:r>
                      <w:r>
                        <w:rPr>
                          <w:rFonts w:asciiTheme="minorHAnsi" w:hAnsiTheme="minorHAnsi" w:cstheme="minorHAnsi"/>
                          <w:b/>
                          <w:sz w:val="22"/>
                          <w:szCs w:val="22"/>
                          <w:lang w:val="fr-FR"/>
                        </w:rPr>
                        <w:t xml:space="preserve">r </w:t>
                      </w:r>
                      <w:r w:rsidRPr="00266DFF">
                        <w:rPr>
                          <w:rFonts w:asciiTheme="minorHAnsi" w:hAnsiTheme="minorHAnsi" w:cstheme="minorHAnsi"/>
                          <w:b/>
                          <w:sz w:val="22"/>
                          <w:szCs w:val="22"/>
                          <w:lang w:val="fr-FR"/>
                        </w:rPr>
                        <w:t xml:space="preserve">promouvoir l’autonomisation des femmes au niveau des institutions </w:t>
                      </w:r>
                    </w:p>
                  </w:txbxContent>
                </v:textbox>
                <w10:wrap type="topAndBottom"/>
              </v:shape>
            </w:pict>
          </mc:Fallback>
        </mc:AlternateContent>
      </w:r>
    </w:p>
    <w:p w:rsidR="009C140B" w:rsidRPr="006C7B28" w:rsidRDefault="00ED5DB0" w:rsidP="00432375">
      <w:pPr>
        <w:pStyle w:val="NoSpacing"/>
        <w:numPr>
          <w:ilvl w:val="0"/>
          <w:numId w:val="1"/>
        </w:numPr>
        <w:ind w:left="0" w:firstLine="0"/>
        <w:rPr>
          <w:lang w:val="fr-FR"/>
        </w:rPr>
      </w:pPr>
      <w:r w:rsidRPr="006C7B28">
        <w:rPr>
          <w:b/>
          <w:lang w:val="fr-FR"/>
        </w:rPr>
        <w:t>Formation des OSC à l’analyse genre (A11)</w:t>
      </w:r>
      <w:r w:rsidRPr="006C7B28">
        <w:rPr>
          <w:lang w:val="fr-FR"/>
        </w:rPr>
        <w:t>. Afin de permettre aux organisation</w:t>
      </w:r>
      <w:r w:rsidR="00487843" w:rsidRPr="006C7B28">
        <w:rPr>
          <w:lang w:val="fr-FR"/>
        </w:rPr>
        <w:t>s</w:t>
      </w:r>
      <w:r w:rsidRPr="006C7B28">
        <w:rPr>
          <w:lang w:val="fr-FR"/>
        </w:rPr>
        <w:t xml:space="preserve"> de la société civile de mieux jouer leur rôle de plaidoyer en faveur de l’autonomisation des femmes, les concepteurs du programme conjoint avaient prévu une activité unique de formation d’une trentaine de cadres d’ONGs, d’organisations patronales et des syndicats de travailleurs à l’analyse genre et au plaidoyer sur le genre. </w:t>
      </w:r>
      <w:r w:rsidR="006C7B28" w:rsidRPr="006C7B28">
        <w:rPr>
          <w:lang w:val="fr-FR"/>
        </w:rPr>
        <w:t xml:space="preserve"> </w:t>
      </w:r>
      <w:r w:rsidR="00487843" w:rsidRPr="006C7B28">
        <w:rPr>
          <w:lang w:val="fr-FR"/>
        </w:rPr>
        <w:t>La mise en œuvre de</w:t>
      </w:r>
      <w:r w:rsidRPr="006C7B28">
        <w:rPr>
          <w:lang w:val="fr-FR"/>
        </w:rPr>
        <w:t xml:space="preserve"> </w:t>
      </w:r>
      <w:r w:rsidR="00487843" w:rsidRPr="006C7B28">
        <w:rPr>
          <w:lang w:val="fr-FR"/>
        </w:rPr>
        <w:t xml:space="preserve">cette </w:t>
      </w:r>
      <w:r w:rsidRPr="006C7B28">
        <w:rPr>
          <w:lang w:val="fr-FR"/>
        </w:rPr>
        <w:t>act</w:t>
      </w:r>
      <w:r w:rsidR="00487843" w:rsidRPr="006C7B28">
        <w:rPr>
          <w:lang w:val="fr-FR"/>
        </w:rPr>
        <w:t xml:space="preserve">ivité, </w:t>
      </w:r>
      <w:r w:rsidRPr="006C7B28">
        <w:rPr>
          <w:lang w:val="fr-FR"/>
        </w:rPr>
        <w:t>dotée d’un budget de 110.000 dollars</w:t>
      </w:r>
      <w:r w:rsidR="00487843" w:rsidRPr="006C7B28">
        <w:rPr>
          <w:lang w:val="fr-FR"/>
        </w:rPr>
        <w:t>,</w:t>
      </w:r>
      <w:r w:rsidR="00F818B8" w:rsidRPr="006C7B28">
        <w:rPr>
          <w:lang w:val="fr-FR"/>
        </w:rPr>
        <w:t xml:space="preserve"> a</w:t>
      </w:r>
      <w:r w:rsidRPr="006C7B28">
        <w:rPr>
          <w:lang w:val="fr-FR"/>
        </w:rPr>
        <w:t xml:space="preserve"> été </w:t>
      </w:r>
      <w:r w:rsidR="00487843" w:rsidRPr="006C7B28">
        <w:rPr>
          <w:lang w:val="fr-FR"/>
        </w:rPr>
        <w:t>confiée à</w:t>
      </w:r>
      <w:r w:rsidRPr="006C7B28">
        <w:rPr>
          <w:lang w:val="fr-FR"/>
        </w:rPr>
        <w:t xml:space="preserve"> l’UNFPA et </w:t>
      </w:r>
      <w:r w:rsidR="00487843" w:rsidRPr="006C7B28">
        <w:rPr>
          <w:lang w:val="fr-FR"/>
        </w:rPr>
        <w:t xml:space="preserve">au </w:t>
      </w:r>
      <w:r w:rsidR="00F818B8" w:rsidRPr="006C7B28">
        <w:rPr>
          <w:lang w:val="fr-FR"/>
        </w:rPr>
        <w:t>MDCFCF et un budget de 23.000 dollars</w:t>
      </w:r>
      <w:r w:rsidR="003145F8" w:rsidRPr="006C7B28">
        <w:rPr>
          <w:lang w:val="fr-FR"/>
        </w:rPr>
        <w:t xml:space="preserve"> (sur les 80.000 dollars transféré)</w:t>
      </w:r>
      <w:r w:rsidR="00487843" w:rsidRPr="006C7B28">
        <w:rPr>
          <w:lang w:val="fr-FR"/>
        </w:rPr>
        <w:t xml:space="preserve"> avait été déboursé à la fin décembre 2011</w:t>
      </w:r>
      <w:r w:rsidR="00C95C40">
        <w:rPr>
          <w:lang w:val="fr-FR"/>
        </w:rPr>
        <w:t>, dont une partie a été utilisée pour la participation de deux Points Focaux à la formation de Turin.</w:t>
      </w:r>
    </w:p>
    <w:p w:rsidR="00B46659" w:rsidRDefault="006C7B28" w:rsidP="00123C70">
      <w:pPr>
        <w:pStyle w:val="NoSpacing"/>
        <w:numPr>
          <w:ilvl w:val="0"/>
          <w:numId w:val="1"/>
        </w:numPr>
        <w:ind w:left="0" w:firstLine="0"/>
        <w:rPr>
          <w:lang w:val="fr-FR"/>
        </w:rPr>
      </w:pPr>
      <w:r w:rsidRPr="0011194A">
        <w:rPr>
          <w:lang w:val="fr-FR"/>
        </w:rPr>
        <w:t xml:space="preserve">Deux sessions </w:t>
      </w:r>
      <w:r w:rsidR="009C140B" w:rsidRPr="0011194A">
        <w:rPr>
          <w:lang w:val="fr-FR"/>
        </w:rPr>
        <w:t xml:space="preserve">de </w:t>
      </w:r>
      <w:r w:rsidRPr="0011194A">
        <w:rPr>
          <w:lang w:val="fr-FR"/>
        </w:rPr>
        <w:t xml:space="preserve">ces </w:t>
      </w:r>
      <w:r w:rsidR="009C140B" w:rsidRPr="0011194A">
        <w:rPr>
          <w:lang w:val="fr-FR"/>
        </w:rPr>
        <w:t>formation</w:t>
      </w:r>
      <w:r w:rsidRPr="0011194A">
        <w:rPr>
          <w:lang w:val="fr-FR"/>
        </w:rPr>
        <w:t>s</w:t>
      </w:r>
      <w:r w:rsidR="009C140B" w:rsidRPr="0011194A">
        <w:rPr>
          <w:lang w:val="fr-FR"/>
        </w:rPr>
        <w:t xml:space="preserve"> ont ainsi</w:t>
      </w:r>
      <w:r w:rsidRPr="0011194A">
        <w:rPr>
          <w:lang w:val="fr-FR"/>
        </w:rPr>
        <w:t xml:space="preserve"> déjà</w:t>
      </w:r>
      <w:r w:rsidR="009C140B" w:rsidRPr="0011194A">
        <w:rPr>
          <w:lang w:val="fr-FR"/>
        </w:rPr>
        <w:t xml:space="preserve"> été réalisées par </w:t>
      </w:r>
      <w:r w:rsidRPr="0011194A">
        <w:rPr>
          <w:lang w:val="fr-FR"/>
        </w:rPr>
        <w:t>l’</w:t>
      </w:r>
      <w:r w:rsidR="009C140B" w:rsidRPr="0011194A">
        <w:rPr>
          <w:lang w:val="fr-FR"/>
        </w:rPr>
        <w:t xml:space="preserve">UNFPA : la première en </w:t>
      </w:r>
      <w:r w:rsidRPr="0011194A">
        <w:rPr>
          <w:lang w:val="fr-FR"/>
        </w:rPr>
        <w:t>m</w:t>
      </w:r>
      <w:r w:rsidR="009C140B" w:rsidRPr="0011194A">
        <w:rPr>
          <w:lang w:val="fr-FR"/>
        </w:rPr>
        <w:t>ai  à Alger pour une vingtaine d’associations (</w:t>
      </w:r>
      <w:r w:rsidRPr="0011194A">
        <w:rPr>
          <w:lang w:val="fr-FR"/>
        </w:rPr>
        <w:t xml:space="preserve">et </w:t>
      </w:r>
      <w:r w:rsidR="009C140B" w:rsidRPr="0011194A">
        <w:rPr>
          <w:lang w:val="fr-FR"/>
        </w:rPr>
        <w:t>26 personnes) ; et la seco</w:t>
      </w:r>
      <w:r w:rsidR="00432375">
        <w:rPr>
          <w:lang w:val="fr-FR"/>
        </w:rPr>
        <w:t xml:space="preserve">nde en Octobre à Tlemcen, pour </w:t>
      </w:r>
      <w:r w:rsidR="009C140B" w:rsidRPr="0011194A">
        <w:rPr>
          <w:lang w:val="fr-FR"/>
        </w:rPr>
        <w:t>28 associations</w:t>
      </w:r>
      <w:r w:rsidRPr="0011194A">
        <w:rPr>
          <w:lang w:val="fr-FR"/>
        </w:rPr>
        <w:t xml:space="preserve"> (</w:t>
      </w:r>
      <w:r w:rsidRPr="00432375">
        <w:rPr>
          <w:i/>
          <w:lang w:val="fr-FR"/>
        </w:rPr>
        <w:t xml:space="preserve">voir liste des participants à l’annexe </w:t>
      </w:r>
      <w:r w:rsidR="00432375" w:rsidRPr="00432375">
        <w:rPr>
          <w:i/>
          <w:lang w:val="fr-FR"/>
        </w:rPr>
        <w:t>3</w:t>
      </w:r>
      <w:r w:rsidRPr="0011194A">
        <w:rPr>
          <w:lang w:val="fr-FR"/>
        </w:rPr>
        <w:t>)</w:t>
      </w:r>
      <w:r w:rsidR="009C140B" w:rsidRPr="0011194A">
        <w:rPr>
          <w:lang w:val="fr-FR"/>
        </w:rPr>
        <w:t>. Cette formation avait pour objectifs spécifiques : (a) d’expliquer les  concepts qui guident l’approche et l’analyse genre (lien entre genre et développement) ; (b) d’expliquer la notion de plaidoyer et l’objet du plaidoyer ; et (c) de préparer les participants à l’intégration de la stratégie, la planification, les outils et les mécanismes du plaidoyer pour le genre.</w:t>
      </w:r>
      <w:r w:rsidRPr="0011194A">
        <w:rPr>
          <w:lang w:val="fr-FR"/>
        </w:rPr>
        <w:t xml:space="preserve"> </w:t>
      </w:r>
      <w:r w:rsidR="004C4CB4" w:rsidRPr="0011194A">
        <w:rPr>
          <w:lang w:val="fr-FR"/>
        </w:rPr>
        <w:t>Les partenaires d’exécution ont préparé un</w:t>
      </w:r>
      <w:r w:rsidRPr="0011194A">
        <w:rPr>
          <w:lang w:val="fr-FR"/>
        </w:rPr>
        <w:t xml:space="preserve"> rapport de formation très utile</w:t>
      </w:r>
      <w:r w:rsidR="004D53F7" w:rsidRPr="0011194A">
        <w:rPr>
          <w:lang w:val="fr-FR"/>
        </w:rPr>
        <w:t xml:space="preserve">. Pour autant que la mission puisse en juger, cette formation de cinq jours semble avoir été très complète et professionnelle, en abordant les concepts et les définitions (définition du concept genre ; intégration du genre dans le développement) et en initiant à l’utilisation des outils d’analyse genre et des outils du plaidoyer sur le genre. </w:t>
      </w:r>
      <w:r w:rsidR="00E22425" w:rsidRPr="0011194A">
        <w:rPr>
          <w:lang w:val="fr-FR"/>
        </w:rPr>
        <w:t xml:space="preserve">La liste des participants montre que la formation a bénéficié </w:t>
      </w:r>
      <w:r w:rsidR="0011194A" w:rsidRPr="0011194A">
        <w:rPr>
          <w:lang w:val="fr-FR"/>
        </w:rPr>
        <w:t xml:space="preserve">en majorité </w:t>
      </w:r>
      <w:r w:rsidR="00E22425" w:rsidRPr="0011194A">
        <w:rPr>
          <w:lang w:val="fr-FR"/>
        </w:rPr>
        <w:t xml:space="preserve">à </w:t>
      </w:r>
      <w:r w:rsidR="0011194A" w:rsidRPr="0011194A">
        <w:rPr>
          <w:lang w:val="fr-FR"/>
        </w:rPr>
        <w:t xml:space="preserve">des </w:t>
      </w:r>
      <w:r w:rsidR="00E22425" w:rsidRPr="0011194A">
        <w:rPr>
          <w:lang w:val="fr-FR"/>
        </w:rPr>
        <w:t>associations de défense des droits ou de protection de la femme et de l’</w:t>
      </w:r>
      <w:r w:rsidR="0011194A" w:rsidRPr="0011194A">
        <w:rPr>
          <w:lang w:val="fr-FR"/>
        </w:rPr>
        <w:t>enfance et d’associations de femmes victimes de violence,</w:t>
      </w:r>
      <w:r w:rsidR="00E22425" w:rsidRPr="0011194A">
        <w:rPr>
          <w:lang w:val="fr-FR"/>
        </w:rPr>
        <w:t xml:space="preserve"> ainsi qu’à un petit nombre d’</w:t>
      </w:r>
      <w:r w:rsidR="00B46659">
        <w:rPr>
          <w:lang w:val="fr-FR"/>
        </w:rPr>
        <w:t>association de femmes rurales et à une organisation patronale. La mission constate donc que soit les partenaires ont d’eux-mêmes jugé inopportun d’inviter des syndicats et des représentants d’organisations patronales (auquel cas, la mission appuie cette décision), soit que ces derniers n’ont pas été intéressés par l’invitation.</w:t>
      </w:r>
    </w:p>
    <w:p w:rsidR="0011194A" w:rsidRDefault="0011194A" w:rsidP="00123C70">
      <w:pPr>
        <w:pStyle w:val="NoSpacing"/>
        <w:numPr>
          <w:ilvl w:val="0"/>
          <w:numId w:val="1"/>
        </w:numPr>
        <w:ind w:left="0" w:firstLine="0"/>
        <w:rPr>
          <w:lang w:val="fr-FR"/>
        </w:rPr>
      </w:pPr>
      <w:r w:rsidRPr="0011194A">
        <w:rPr>
          <w:lang w:val="fr-FR"/>
        </w:rPr>
        <w:lastRenderedPageBreak/>
        <w:t xml:space="preserve"> </w:t>
      </w:r>
      <w:r>
        <w:rPr>
          <w:lang w:val="fr-FR"/>
        </w:rPr>
        <w:t xml:space="preserve">Les participants eux-mêmes, dans leur grand majorité, se sont dits satisfaits ou très satisfaits par la </w:t>
      </w:r>
      <w:r w:rsidR="004D53F7" w:rsidRPr="0011194A">
        <w:rPr>
          <w:lang w:val="fr-FR"/>
        </w:rPr>
        <w:t xml:space="preserve">qualité </w:t>
      </w:r>
      <w:r>
        <w:rPr>
          <w:lang w:val="fr-FR"/>
        </w:rPr>
        <w:t xml:space="preserve">et l’utilité </w:t>
      </w:r>
      <w:r w:rsidR="004D53F7" w:rsidRPr="0011194A">
        <w:rPr>
          <w:lang w:val="fr-FR"/>
        </w:rPr>
        <w:t>de la formation</w:t>
      </w:r>
      <w:r w:rsidR="005822F8">
        <w:rPr>
          <w:lang w:val="fr-FR"/>
        </w:rPr>
        <w:t xml:space="preserve"> (le taux de grande satisfaction étant supérieur à Alger), </w:t>
      </w:r>
      <w:r>
        <w:rPr>
          <w:lang w:val="fr-FR"/>
        </w:rPr>
        <w:t>ainsi que le montrent les résultats de l’évaluation de la formation :</w:t>
      </w:r>
      <w:r w:rsidR="004D53F7" w:rsidRPr="0011194A">
        <w:rPr>
          <w:lang w:val="fr-FR"/>
        </w:rPr>
        <w:t xml:space="preserve"> </w:t>
      </w:r>
    </w:p>
    <w:p w:rsidR="005822F8" w:rsidRPr="005822F8" w:rsidRDefault="005822F8" w:rsidP="005822F8">
      <w:pPr>
        <w:pStyle w:val="NoSpacing"/>
        <w:jc w:val="center"/>
        <w:rPr>
          <w:b/>
          <w:sz w:val="20"/>
          <w:szCs w:val="20"/>
          <w:lang w:val="fr-FR"/>
        </w:rPr>
      </w:pPr>
      <w:r w:rsidRPr="005822F8">
        <w:rPr>
          <w:b/>
          <w:sz w:val="20"/>
          <w:szCs w:val="20"/>
          <w:lang w:val="fr-FR"/>
        </w:rPr>
        <w:t>Evaluation de la formation A11 par les participants</w:t>
      </w:r>
    </w:p>
    <w:tbl>
      <w:tblPr>
        <w:tblW w:w="8491" w:type="dxa"/>
        <w:jc w:val="center"/>
        <w:tblLook w:val="04A0" w:firstRow="1" w:lastRow="0" w:firstColumn="1" w:lastColumn="0" w:noHBand="0" w:noVBand="1"/>
      </w:tblPr>
      <w:tblGrid>
        <w:gridCol w:w="2304"/>
        <w:gridCol w:w="1245"/>
        <w:gridCol w:w="1033"/>
        <w:gridCol w:w="858"/>
        <w:gridCol w:w="1169"/>
        <w:gridCol w:w="1024"/>
        <w:gridCol w:w="858"/>
      </w:tblGrid>
      <w:tr w:rsidR="005822F8" w:rsidRPr="005822F8" w:rsidTr="00B46659">
        <w:trPr>
          <w:trHeight w:val="300"/>
          <w:jc w:val="center"/>
        </w:trPr>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2F8" w:rsidRPr="005822F8" w:rsidRDefault="005822F8"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 </w:t>
            </w:r>
          </w:p>
        </w:tc>
        <w:tc>
          <w:tcPr>
            <w:tcW w:w="3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5822F8" w:rsidRPr="005822F8" w:rsidRDefault="005822F8" w:rsidP="005822F8">
            <w:pPr>
              <w:jc w:val="center"/>
              <w:rPr>
                <w:rFonts w:ascii="Calibri" w:hAnsi="Calibri" w:cs="Calibri"/>
                <w:b/>
                <w:bCs/>
                <w:color w:val="000000"/>
                <w:sz w:val="18"/>
                <w:szCs w:val="18"/>
                <w:lang w:val="fr-FR"/>
              </w:rPr>
            </w:pPr>
            <w:r w:rsidRPr="005822F8">
              <w:rPr>
                <w:rFonts w:ascii="Calibri" w:hAnsi="Calibri" w:cs="Calibri"/>
                <w:b/>
                <w:bCs/>
                <w:color w:val="000000"/>
                <w:sz w:val="18"/>
                <w:szCs w:val="18"/>
                <w:lang w:val="fr-FR"/>
              </w:rPr>
              <w:t>Alger</w:t>
            </w:r>
          </w:p>
        </w:tc>
        <w:tc>
          <w:tcPr>
            <w:tcW w:w="3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5822F8" w:rsidRPr="005822F8" w:rsidRDefault="005822F8" w:rsidP="005822F8">
            <w:pPr>
              <w:jc w:val="center"/>
              <w:rPr>
                <w:rFonts w:ascii="Calibri" w:hAnsi="Calibri" w:cs="Calibri"/>
                <w:b/>
                <w:bCs/>
                <w:color w:val="000000"/>
                <w:sz w:val="18"/>
                <w:szCs w:val="18"/>
                <w:lang w:val="fr-FR"/>
              </w:rPr>
            </w:pPr>
            <w:r w:rsidRPr="005822F8">
              <w:rPr>
                <w:rFonts w:ascii="Calibri" w:hAnsi="Calibri" w:cs="Calibri"/>
                <w:b/>
                <w:bCs/>
                <w:color w:val="000000"/>
                <w:sz w:val="18"/>
                <w:szCs w:val="18"/>
                <w:lang w:val="fr-FR"/>
              </w:rPr>
              <w:t>Temclen</w:t>
            </w:r>
          </w:p>
        </w:tc>
      </w:tr>
      <w:tr w:rsidR="00B46659" w:rsidRPr="005822F8" w:rsidTr="00B46659">
        <w:trPr>
          <w:trHeight w:val="373"/>
          <w:jc w:val="center"/>
        </w:trPr>
        <w:tc>
          <w:tcPr>
            <w:tcW w:w="2304" w:type="dxa"/>
            <w:vMerge w:val="restart"/>
            <w:tcBorders>
              <w:top w:val="nil"/>
              <w:left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b/>
                <w:color w:val="000000"/>
                <w:sz w:val="18"/>
                <w:szCs w:val="18"/>
                <w:lang w:val="fr-FR"/>
              </w:rPr>
            </w:pPr>
            <w:r w:rsidRPr="005822F8">
              <w:rPr>
                <w:rFonts w:ascii="Calibri" w:hAnsi="Calibri" w:cs="Calibri"/>
                <w:b/>
                <w:color w:val="000000"/>
                <w:sz w:val="18"/>
                <w:szCs w:val="18"/>
                <w:lang w:val="fr-FR"/>
              </w:rPr>
              <w:t xml:space="preserve">Sentiment </w:t>
            </w:r>
            <w:r w:rsidRPr="00B46659">
              <w:rPr>
                <w:rFonts w:ascii="Calibri" w:hAnsi="Calibri" w:cs="Calibri"/>
                <w:b/>
                <w:color w:val="000000"/>
                <w:sz w:val="18"/>
                <w:szCs w:val="18"/>
                <w:lang w:val="fr-FR"/>
              </w:rPr>
              <w:t>général</w:t>
            </w:r>
            <w:r w:rsidRPr="005822F8">
              <w:rPr>
                <w:rFonts w:ascii="Calibri" w:hAnsi="Calibri" w:cs="Calibri"/>
                <w:b/>
                <w:color w:val="000000"/>
                <w:sz w:val="18"/>
                <w:szCs w:val="18"/>
                <w:lang w:val="fr-FR"/>
              </w:rPr>
              <w:t xml:space="preserve"> vis-à-vis de la formation?</w:t>
            </w:r>
          </w:p>
        </w:tc>
        <w:tc>
          <w:tcPr>
            <w:tcW w:w="1245"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Pas satisfaits + déçus</w:t>
            </w:r>
          </w:p>
        </w:tc>
        <w:tc>
          <w:tcPr>
            <w:tcW w:w="1033"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Satisfaits</w:t>
            </w:r>
          </w:p>
        </w:tc>
        <w:tc>
          <w:tcPr>
            <w:tcW w:w="858"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Très satisfaits</w:t>
            </w:r>
          </w:p>
        </w:tc>
        <w:tc>
          <w:tcPr>
            <w:tcW w:w="1169"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Pas satisfaits + déçus</w:t>
            </w:r>
          </w:p>
        </w:tc>
        <w:tc>
          <w:tcPr>
            <w:tcW w:w="1024"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Satisfaits</w:t>
            </w:r>
          </w:p>
        </w:tc>
        <w:tc>
          <w:tcPr>
            <w:tcW w:w="858"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Très satisfaits</w:t>
            </w:r>
          </w:p>
        </w:tc>
      </w:tr>
      <w:tr w:rsidR="00B46659" w:rsidRPr="005822F8" w:rsidTr="00B46659">
        <w:trPr>
          <w:trHeight w:val="292"/>
          <w:jc w:val="center"/>
        </w:trPr>
        <w:tc>
          <w:tcPr>
            <w:tcW w:w="2304" w:type="dxa"/>
            <w:vMerge/>
            <w:tcBorders>
              <w:left w:val="single" w:sz="4" w:space="0" w:color="auto"/>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p>
        </w:tc>
        <w:tc>
          <w:tcPr>
            <w:tcW w:w="1245" w:type="dxa"/>
            <w:tcBorders>
              <w:top w:val="nil"/>
              <w:left w:val="nil"/>
              <w:bottom w:val="single" w:sz="4" w:space="0" w:color="auto"/>
              <w:right w:val="single" w:sz="4" w:space="0" w:color="auto"/>
            </w:tcBorders>
            <w:shd w:val="clear" w:color="auto" w:fill="auto"/>
            <w:noWrap/>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0</w:t>
            </w:r>
          </w:p>
        </w:tc>
        <w:tc>
          <w:tcPr>
            <w:tcW w:w="1033" w:type="dxa"/>
            <w:tcBorders>
              <w:top w:val="nil"/>
              <w:left w:val="nil"/>
              <w:bottom w:val="single" w:sz="4" w:space="0" w:color="auto"/>
              <w:right w:val="single" w:sz="4" w:space="0" w:color="auto"/>
            </w:tcBorders>
            <w:shd w:val="clear" w:color="auto" w:fill="auto"/>
            <w:noWrap/>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84%</w:t>
            </w:r>
          </w:p>
        </w:tc>
        <w:tc>
          <w:tcPr>
            <w:tcW w:w="858" w:type="dxa"/>
            <w:tcBorders>
              <w:top w:val="nil"/>
              <w:left w:val="nil"/>
              <w:bottom w:val="single" w:sz="4" w:space="0" w:color="auto"/>
              <w:right w:val="single" w:sz="4" w:space="0" w:color="auto"/>
            </w:tcBorders>
            <w:shd w:val="clear" w:color="auto" w:fill="auto"/>
            <w:noWrap/>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15%</w:t>
            </w:r>
          </w:p>
        </w:tc>
        <w:tc>
          <w:tcPr>
            <w:tcW w:w="1169"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0%</w:t>
            </w:r>
          </w:p>
        </w:tc>
        <w:tc>
          <w:tcPr>
            <w:tcW w:w="1024"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58%</w:t>
            </w:r>
          </w:p>
        </w:tc>
        <w:tc>
          <w:tcPr>
            <w:tcW w:w="858"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42%</w:t>
            </w:r>
          </w:p>
        </w:tc>
      </w:tr>
      <w:tr w:rsidR="00B46659" w:rsidRPr="005822F8" w:rsidTr="00A07856">
        <w:trPr>
          <w:trHeight w:val="75"/>
          <w:jc w:val="center"/>
        </w:trPr>
        <w:tc>
          <w:tcPr>
            <w:tcW w:w="8491" w:type="dxa"/>
            <w:gridSpan w:val="7"/>
            <w:tcBorders>
              <w:top w:val="nil"/>
              <w:left w:val="single" w:sz="4" w:space="0" w:color="auto"/>
              <w:bottom w:val="single" w:sz="4" w:space="0" w:color="auto"/>
              <w:right w:val="single" w:sz="4" w:space="0" w:color="auto"/>
            </w:tcBorders>
            <w:shd w:val="clear" w:color="auto" w:fill="auto"/>
            <w:noWrap/>
            <w:vAlign w:val="center"/>
            <w:hideMark/>
          </w:tcPr>
          <w:p w:rsidR="00B46659" w:rsidRPr="005822F8" w:rsidRDefault="00B46659" w:rsidP="00B46659">
            <w:pPr>
              <w:rPr>
                <w:rFonts w:ascii="Calibri" w:hAnsi="Calibri" w:cs="Calibri"/>
                <w:color w:val="000000"/>
                <w:sz w:val="18"/>
                <w:szCs w:val="18"/>
                <w:lang w:val="fr-FR"/>
              </w:rPr>
            </w:pPr>
            <w:r w:rsidRPr="005822F8">
              <w:rPr>
                <w:rFonts w:ascii="Calibri" w:hAnsi="Calibri" w:cs="Calibri"/>
                <w:color w:val="000000"/>
                <w:sz w:val="18"/>
                <w:szCs w:val="18"/>
                <w:lang w:val="fr-FR"/>
              </w:rPr>
              <w:t> </w:t>
            </w:r>
          </w:p>
        </w:tc>
      </w:tr>
      <w:tr w:rsidR="00B46659" w:rsidRPr="005822F8" w:rsidTr="00B46659">
        <w:trPr>
          <w:trHeight w:val="211"/>
          <w:jc w:val="center"/>
        </w:trPr>
        <w:tc>
          <w:tcPr>
            <w:tcW w:w="2304" w:type="dxa"/>
            <w:vMerge w:val="restart"/>
            <w:tcBorders>
              <w:top w:val="nil"/>
              <w:left w:val="single" w:sz="4" w:space="0" w:color="auto"/>
              <w:right w:val="single" w:sz="4" w:space="0" w:color="auto"/>
            </w:tcBorders>
            <w:shd w:val="clear" w:color="auto" w:fill="auto"/>
            <w:vAlign w:val="center"/>
            <w:hideMark/>
          </w:tcPr>
          <w:p w:rsidR="00B46659" w:rsidRPr="005822F8" w:rsidRDefault="00B46659" w:rsidP="00B46659">
            <w:pPr>
              <w:jc w:val="center"/>
              <w:rPr>
                <w:rFonts w:ascii="Calibri" w:hAnsi="Calibri" w:cs="Calibri"/>
                <w:b/>
                <w:color w:val="000000"/>
                <w:sz w:val="18"/>
                <w:szCs w:val="18"/>
                <w:lang w:val="fr-FR"/>
              </w:rPr>
            </w:pPr>
            <w:r w:rsidRPr="005822F8">
              <w:rPr>
                <w:rFonts w:ascii="Calibri" w:hAnsi="Calibri" w:cs="Calibri"/>
                <w:b/>
                <w:color w:val="000000"/>
                <w:sz w:val="18"/>
                <w:szCs w:val="18"/>
                <w:lang w:val="fr-FR"/>
              </w:rPr>
              <w:t xml:space="preserve">Cette formation a-t-elle </w:t>
            </w:r>
            <w:r w:rsidRPr="00B46659">
              <w:rPr>
                <w:rFonts w:ascii="Calibri" w:hAnsi="Calibri" w:cs="Calibri"/>
                <w:b/>
                <w:color w:val="000000"/>
                <w:sz w:val="18"/>
                <w:szCs w:val="18"/>
                <w:lang w:val="fr-FR"/>
              </w:rPr>
              <w:t>répondu</w:t>
            </w:r>
            <w:r w:rsidRPr="005822F8">
              <w:rPr>
                <w:rFonts w:ascii="Calibri" w:hAnsi="Calibri" w:cs="Calibri"/>
                <w:b/>
                <w:color w:val="000000"/>
                <w:sz w:val="18"/>
                <w:szCs w:val="18"/>
                <w:lang w:val="fr-FR"/>
              </w:rPr>
              <w:t xml:space="preserve"> </w:t>
            </w:r>
            <w:r w:rsidRPr="00B46659">
              <w:rPr>
                <w:rFonts w:ascii="Calibri" w:hAnsi="Calibri" w:cs="Calibri"/>
                <w:b/>
                <w:color w:val="000000"/>
                <w:sz w:val="18"/>
                <w:szCs w:val="18"/>
                <w:lang w:val="fr-FR"/>
              </w:rPr>
              <w:t>à</w:t>
            </w:r>
            <w:r w:rsidRPr="005822F8">
              <w:rPr>
                <w:rFonts w:ascii="Calibri" w:hAnsi="Calibri" w:cs="Calibri"/>
                <w:b/>
                <w:color w:val="000000"/>
                <w:sz w:val="18"/>
                <w:szCs w:val="18"/>
                <w:lang w:val="fr-FR"/>
              </w:rPr>
              <w:t xml:space="preserve"> vos attentes? </w:t>
            </w:r>
          </w:p>
        </w:tc>
        <w:tc>
          <w:tcPr>
            <w:tcW w:w="1245"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Non</w:t>
            </w:r>
          </w:p>
        </w:tc>
        <w:tc>
          <w:tcPr>
            <w:tcW w:w="1033"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Assez peu</w:t>
            </w:r>
          </w:p>
        </w:tc>
        <w:tc>
          <w:tcPr>
            <w:tcW w:w="858"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Oui</w:t>
            </w:r>
          </w:p>
        </w:tc>
        <w:tc>
          <w:tcPr>
            <w:tcW w:w="1169"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Non</w:t>
            </w:r>
          </w:p>
        </w:tc>
        <w:tc>
          <w:tcPr>
            <w:tcW w:w="1024"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Assez peu</w:t>
            </w:r>
          </w:p>
        </w:tc>
        <w:tc>
          <w:tcPr>
            <w:tcW w:w="858"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Oui</w:t>
            </w:r>
          </w:p>
        </w:tc>
      </w:tr>
      <w:tr w:rsidR="00B46659" w:rsidRPr="005822F8" w:rsidTr="00B46659">
        <w:trPr>
          <w:trHeight w:val="240"/>
          <w:jc w:val="center"/>
        </w:trPr>
        <w:tc>
          <w:tcPr>
            <w:tcW w:w="2304" w:type="dxa"/>
            <w:vMerge/>
            <w:tcBorders>
              <w:left w:val="single" w:sz="4" w:space="0" w:color="auto"/>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p>
        </w:tc>
        <w:tc>
          <w:tcPr>
            <w:tcW w:w="1245" w:type="dxa"/>
            <w:tcBorders>
              <w:top w:val="nil"/>
              <w:left w:val="nil"/>
              <w:bottom w:val="single" w:sz="4" w:space="0" w:color="auto"/>
              <w:right w:val="single" w:sz="4" w:space="0" w:color="auto"/>
            </w:tcBorders>
            <w:shd w:val="clear" w:color="auto" w:fill="auto"/>
            <w:noWrap/>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0%</w:t>
            </w:r>
          </w:p>
        </w:tc>
        <w:tc>
          <w:tcPr>
            <w:tcW w:w="1033" w:type="dxa"/>
            <w:tcBorders>
              <w:top w:val="nil"/>
              <w:left w:val="nil"/>
              <w:bottom w:val="single" w:sz="4" w:space="0" w:color="auto"/>
              <w:right w:val="single" w:sz="4" w:space="0" w:color="auto"/>
            </w:tcBorders>
            <w:shd w:val="clear" w:color="auto" w:fill="auto"/>
            <w:noWrap/>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4%</w:t>
            </w:r>
          </w:p>
        </w:tc>
        <w:tc>
          <w:tcPr>
            <w:tcW w:w="858" w:type="dxa"/>
            <w:tcBorders>
              <w:top w:val="nil"/>
              <w:left w:val="nil"/>
              <w:bottom w:val="single" w:sz="4" w:space="0" w:color="auto"/>
              <w:right w:val="single" w:sz="4" w:space="0" w:color="auto"/>
            </w:tcBorders>
            <w:shd w:val="clear" w:color="auto" w:fill="auto"/>
            <w:noWrap/>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96%</w:t>
            </w:r>
          </w:p>
        </w:tc>
        <w:tc>
          <w:tcPr>
            <w:tcW w:w="1169"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0%</w:t>
            </w:r>
          </w:p>
        </w:tc>
        <w:tc>
          <w:tcPr>
            <w:tcW w:w="1024"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5%</w:t>
            </w:r>
          </w:p>
        </w:tc>
        <w:tc>
          <w:tcPr>
            <w:tcW w:w="858" w:type="dxa"/>
            <w:tcBorders>
              <w:top w:val="nil"/>
              <w:left w:val="nil"/>
              <w:bottom w:val="single" w:sz="4" w:space="0" w:color="auto"/>
              <w:right w:val="single" w:sz="4" w:space="0" w:color="auto"/>
            </w:tcBorders>
            <w:shd w:val="clear" w:color="auto" w:fill="auto"/>
            <w:vAlign w:val="center"/>
            <w:hideMark/>
          </w:tcPr>
          <w:p w:rsidR="00B46659" w:rsidRPr="005822F8" w:rsidRDefault="00B46659" w:rsidP="005822F8">
            <w:pPr>
              <w:jc w:val="center"/>
              <w:rPr>
                <w:rFonts w:ascii="Calibri" w:hAnsi="Calibri" w:cs="Calibri"/>
                <w:color w:val="000000"/>
                <w:sz w:val="18"/>
                <w:szCs w:val="18"/>
                <w:lang w:val="fr-FR"/>
              </w:rPr>
            </w:pPr>
            <w:r w:rsidRPr="005822F8">
              <w:rPr>
                <w:rFonts w:ascii="Calibri" w:hAnsi="Calibri" w:cs="Calibri"/>
                <w:color w:val="000000"/>
                <w:sz w:val="18"/>
                <w:szCs w:val="18"/>
                <w:lang w:val="fr-FR"/>
              </w:rPr>
              <w:t>95%</w:t>
            </w:r>
          </w:p>
        </w:tc>
      </w:tr>
    </w:tbl>
    <w:p w:rsidR="0011194A" w:rsidRPr="0011194A" w:rsidRDefault="0011194A" w:rsidP="0011194A">
      <w:pPr>
        <w:pStyle w:val="NoSpacing"/>
        <w:rPr>
          <w:lang w:val="fr-FR"/>
        </w:rPr>
      </w:pPr>
    </w:p>
    <w:p w:rsidR="00D77088" w:rsidRPr="007E5B09" w:rsidRDefault="00DC3F3A" w:rsidP="00123C70">
      <w:pPr>
        <w:pStyle w:val="NoSpacing"/>
        <w:numPr>
          <w:ilvl w:val="0"/>
          <w:numId w:val="1"/>
        </w:numPr>
        <w:ind w:left="0" w:firstLine="0"/>
        <w:rPr>
          <w:lang w:val="fr-FR"/>
        </w:rPr>
      </w:pPr>
      <w:r w:rsidRPr="00432375">
        <w:rPr>
          <w:lang w:val="fr-FR"/>
        </w:rPr>
        <w:t>S’agissant donc de la cible de former une trentaine de cadres d’OSC, elle est donc largement atteinte.</w:t>
      </w:r>
      <w:r>
        <w:rPr>
          <w:lang w:val="fr-FR"/>
        </w:rPr>
        <w:t xml:space="preserve"> Il </w:t>
      </w:r>
      <w:r w:rsidR="00B46659" w:rsidRPr="007E5B09">
        <w:rPr>
          <w:lang w:val="fr-FR"/>
        </w:rPr>
        <w:t xml:space="preserve">semble </w:t>
      </w:r>
      <w:r>
        <w:rPr>
          <w:lang w:val="fr-FR"/>
        </w:rPr>
        <w:t xml:space="preserve">cependant que les partenaires ne pensent pas en rester là et </w:t>
      </w:r>
      <w:r w:rsidR="00B46659" w:rsidRPr="007E5B09">
        <w:rPr>
          <w:lang w:val="fr-FR"/>
        </w:rPr>
        <w:t>d</w:t>
      </w:r>
      <w:r>
        <w:rPr>
          <w:lang w:val="fr-FR"/>
        </w:rPr>
        <w:t xml:space="preserve">’autres sessions </w:t>
      </w:r>
      <w:r w:rsidR="009C140B" w:rsidRPr="007E5B09">
        <w:rPr>
          <w:lang w:val="fr-FR"/>
        </w:rPr>
        <w:t xml:space="preserve">ont </w:t>
      </w:r>
      <w:r>
        <w:rPr>
          <w:lang w:val="fr-FR"/>
        </w:rPr>
        <w:t xml:space="preserve">été </w:t>
      </w:r>
      <w:r w:rsidR="009C140B" w:rsidRPr="007E5B09">
        <w:rPr>
          <w:lang w:val="fr-FR"/>
        </w:rPr>
        <w:t xml:space="preserve">programmées </w:t>
      </w:r>
      <w:r w:rsidR="00B46659" w:rsidRPr="007E5B09">
        <w:rPr>
          <w:lang w:val="fr-FR"/>
        </w:rPr>
        <w:t>pour 2012. C</w:t>
      </w:r>
      <w:r w:rsidR="00487843" w:rsidRPr="007E5B09">
        <w:rPr>
          <w:lang w:val="fr-FR"/>
        </w:rPr>
        <w:t>omme évoqué précédemment, i</w:t>
      </w:r>
      <w:r w:rsidR="00B46659" w:rsidRPr="007E5B09">
        <w:rPr>
          <w:lang w:val="fr-FR"/>
        </w:rPr>
        <w:t>l semble qu’</w:t>
      </w:r>
      <w:r w:rsidR="003145F8" w:rsidRPr="007E5B09">
        <w:rPr>
          <w:lang w:val="fr-FR"/>
        </w:rPr>
        <w:t xml:space="preserve">un accord a été conclu </w:t>
      </w:r>
      <w:r w:rsidR="00B46659" w:rsidRPr="007E5B09">
        <w:rPr>
          <w:lang w:val="fr-FR"/>
        </w:rPr>
        <w:t>en juin 2011</w:t>
      </w:r>
      <w:r w:rsidR="00432375">
        <w:rPr>
          <w:lang w:val="fr-FR"/>
        </w:rPr>
        <w:t xml:space="preserve"> </w:t>
      </w:r>
      <w:r w:rsidR="003145F8" w:rsidRPr="007E5B09">
        <w:rPr>
          <w:lang w:val="fr-FR"/>
        </w:rPr>
        <w:t xml:space="preserve">pour que l’A11 soit réalisée dans les </w:t>
      </w:r>
      <w:r w:rsidR="003145F8" w:rsidRPr="007E5B09">
        <w:rPr>
          <w:i/>
          <w:lang w:val="fr-FR"/>
        </w:rPr>
        <w:t xml:space="preserve">wilayas </w:t>
      </w:r>
      <w:r w:rsidR="003145F8" w:rsidRPr="007E5B09">
        <w:rPr>
          <w:lang w:val="fr-FR"/>
        </w:rPr>
        <w:t xml:space="preserve">de Djelfa et de Tamanrasset, </w:t>
      </w:r>
      <w:r w:rsidR="007D3581" w:rsidRPr="007E5B09">
        <w:rPr>
          <w:lang w:val="fr-FR"/>
        </w:rPr>
        <w:t>afin d’établi</w:t>
      </w:r>
      <w:r w:rsidR="00487843" w:rsidRPr="007E5B09">
        <w:rPr>
          <w:lang w:val="fr-FR"/>
        </w:rPr>
        <w:t>r</w:t>
      </w:r>
      <w:r w:rsidR="007D3581" w:rsidRPr="007E5B09">
        <w:rPr>
          <w:lang w:val="fr-FR"/>
        </w:rPr>
        <w:t xml:space="preserve"> des synergies avec les activités de formation de</w:t>
      </w:r>
      <w:r w:rsidR="00487843" w:rsidRPr="007E5B09">
        <w:rPr>
          <w:lang w:val="fr-FR"/>
        </w:rPr>
        <w:t>s cadres et responsables locaux. La mission ne peut qu’appuyer cette décision qui semble en effet</w:t>
      </w:r>
      <w:r w:rsidR="007D3581" w:rsidRPr="007E5B09">
        <w:rPr>
          <w:lang w:val="fr-FR"/>
        </w:rPr>
        <w:t xml:space="preserve"> très pertinente.</w:t>
      </w:r>
      <w:r w:rsidR="00487843" w:rsidRPr="007E5B09">
        <w:rPr>
          <w:lang w:val="fr-FR"/>
        </w:rPr>
        <w:t xml:space="preserve"> </w:t>
      </w:r>
      <w:r w:rsidR="007E5B09" w:rsidRPr="007E5B09">
        <w:rPr>
          <w:lang w:val="fr-FR"/>
        </w:rPr>
        <w:t xml:space="preserve">Il serait sans doute aussi opportun que les partenaires redéfinissent la cible exacte des futures formations dans le cadre logique remanié, puisqu’il semble que </w:t>
      </w:r>
      <w:r w:rsidR="007E5B09">
        <w:rPr>
          <w:lang w:val="fr-FR"/>
        </w:rPr>
        <w:t>certaines</w:t>
      </w:r>
      <w:r w:rsidR="007E5B09" w:rsidRPr="007E5B09">
        <w:rPr>
          <w:lang w:val="fr-FR"/>
        </w:rPr>
        <w:t xml:space="preserve"> cibles envisagées par les </w:t>
      </w:r>
      <w:r w:rsidR="00487843" w:rsidRPr="007E5B09">
        <w:rPr>
          <w:lang w:val="fr-FR"/>
        </w:rPr>
        <w:t xml:space="preserve">concepteurs </w:t>
      </w:r>
      <w:r w:rsidR="00432375">
        <w:rPr>
          <w:lang w:val="fr-FR"/>
        </w:rPr>
        <w:t>(</w:t>
      </w:r>
      <w:r w:rsidR="00B46659" w:rsidRPr="007E5B09">
        <w:rPr>
          <w:lang w:val="fr-FR"/>
        </w:rPr>
        <w:t>l</w:t>
      </w:r>
      <w:r w:rsidR="00487843" w:rsidRPr="007E5B09">
        <w:rPr>
          <w:lang w:val="fr-FR"/>
        </w:rPr>
        <w:t>es cadres d’organisations patronales et des syndicats</w:t>
      </w:r>
      <w:r w:rsidR="00432375">
        <w:rPr>
          <w:lang w:val="fr-FR"/>
        </w:rPr>
        <w:t>)</w:t>
      </w:r>
      <w:r w:rsidR="007E5B09" w:rsidRPr="007E5B09">
        <w:rPr>
          <w:lang w:val="fr-FR"/>
        </w:rPr>
        <w:t xml:space="preserve"> ne sont pas opportunes, en tout cas au niveau local. </w:t>
      </w:r>
      <w:r w:rsidR="007E5B09">
        <w:rPr>
          <w:lang w:val="fr-FR"/>
        </w:rPr>
        <w:t>De fa</w:t>
      </w:r>
      <w:r w:rsidR="007E5B09">
        <w:rPr>
          <w:rFonts w:cs="Calibri"/>
          <w:lang w:val="fr-FR"/>
        </w:rPr>
        <w:t>ç</w:t>
      </w:r>
      <w:r w:rsidR="007E5B09">
        <w:rPr>
          <w:lang w:val="fr-FR"/>
        </w:rPr>
        <w:t>on plus générale</w:t>
      </w:r>
      <w:r w:rsidR="001F0621" w:rsidRPr="007E5B09">
        <w:rPr>
          <w:lang w:val="fr-FR"/>
        </w:rPr>
        <w:t xml:space="preserve">, </w:t>
      </w:r>
      <w:r w:rsidR="00134614" w:rsidRPr="007E5B09">
        <w:rPr>
          <w:lang w:val="fr-FR"/>
        </w:rPr>
        <w:t xml:space="preserve">la mission souhaite encourager le MDCFCF, le PNUD et le FNUAP à aller plus loin que la </w:t>
      </w:r>
      <w:r w:rsidR="00487843" w:rsidRPr="007E5B09">
        <w:rPr>
          <w:lang w:val="fr-FR"/>
        </w:rPr>
        <w:t xml:space="preserve">simple mise en œuvre </w:t>
      </w:r>
      <w:r w:rsidR="001F0621" w:rsidRPr="007E5B09">
        <w:rPr>
          <w:lang w:val="fr-FR"/>
        </w:rPr>
        <w:t xml:space="preserve">concomitante </w:t>
      </w:r>
      <w:r w:rsidR="00134614" w:rsidRPr="007E5B09">
        <w:rPr>
          <w:lang w:val="fr-FR"/>
        </w:rPr>
        <w:t xml:space="preserve">de l’A10 et de l’A11 </w:t>
      </w:r>
      <w:r w:rsidR="00487843" w:rsidRPr="007E5B09">
        <w:rPr>
          <w:lang w:val="fr-FR"/>
        </w:rPr>
        <w:t>dans une même localité,</w:t>
      </w:r>
      <w:r w:rsidR="00134614" w:rsidRPr="007E5B09">
        <w:rPr>
          <w:lang w:val="fr-FR"/>
        </w:rPr>
        <w:t xml:space="preserve"> pour</w:t>
      </w:r>
      <w:r w:rsidR="00487843" w:rsidRPr="007E5B09">
        <w:rPr>
          <w:lang w:val="fr-FR"/>
        </w:rPr>
        <w:t xml:space="preserve"> définir ensemble le programme des deux formations à réaliser </w:t>
      </w:r>
      <w:r w:rsidR="00134614" w:rsidRPr="007E5B09">
        <w:rPr>
          <w:lang w:val="fr-FR"/>
        </w:rPr>
        <w:t xml:space="preserve">et l’approche à suivre </w:t>
      </w:r>
      <w:r w:rsidR="001F0621" w:rsidRPr="007E5B09">
        <w:rPr>
          <w:lang w:val="fr-FR"/>
        </w:rPr>
        <w:t>de façon à ce que ces activités soient utiles à l’exercice d’application pilote de la BSG que le MADR projette de piloter à Djelfa dans le cadre de l’A9 revisitée</w:t>
      </w:r>
      <w:r w:rsidR="00487843" w:rsidRPr="007E5B09">
        <w:rPr>
          <w:lang w:val="fr-FR"/>
        </w:rPr>
        <w:t xml:space="preserve">. </w:t>
      </w:r>
    </w:p>
    <w:p w:rsidR="00A33800" w:rsidRPr="00ED5DB0" w:rsidRDefault="00A33800" w:rsidP="00A33800">
      <w:pPr>
        <w:pStyle w:val="NoSpacing"/>
        <w:rPr>
          <w:lang w:val="fr-FR"/>
        </w:rPr>
      </w:pPr>
    </w:p>
    <w:p w:rsidR="00A33800" w:rsidRPr="00A33800" w:rsidRDefault="00A33800" w:rsidP="0038607C">
      <w:pPr>
        <w:pStyle w:val="UNDPTitle1"/>
        <w:numPr>
          <w:ilvl w:val="2"/>
          <w:numId w:val="10"/>
        </w:numPr>
        <w:tabs>
          <w:tab w:val="left" w:pos="900"/>
        </w:tabs>
        <w:ind w:left="900" w:hanging="270"/>
        <w:outlineLvl w:val="2"/>
        <w:rPr>
          <w:i/>
          <w:color w:val="auto"/>
        </w:rPr>
      </w:pPr>
      <w:bookmarkStart w:id="23" w:name="_Toc322342013"/>
      <w:r w:rsidRPr="00A33800">
        <w:rPr>
          <w:i/>
          <w:color w:val="auto"/>
        </w:rPr>
        <w:t xml:space="preserve">Effet 2 – </w:t>
      </w:r>
      <w:r w:rsidRPr="00A33800">
        <w:rPr>
          <w:i/>
          <w:lang w:val="fr-FR"/>
        </w:rPr>
        <w:t>Amélioration de l’employabilité des femmes, en particulier les femmes rurales et vulnérables, et le renforcement de leur accès à un travail décent</w:t>
      </w:r>
      <w:bookmarkEnd w:id="23"/>
    </w:p>
    <w:p w:rsidR="00AA739B" w:rsidRDefault="00A33800" w:rsidP="00123C70">
      <w:pPr>
        <w:pStyle w:val="NoSpacing"/>
        <w:numPr>
          <w:ilvl w:val="0"/>
          <w:numId w:val="1"/>
        </w:numPr>
        <w:ind w:left="0" w:firstLine="0"/>
        <w:rPr>
          <w:lang w:val="fr-FR"/>
        </w:rPr>
      </w:pPr>
      <w:r w:rsidRPr="0073050D">
        <w:rPr>
          <w:lang w:val="fr-FR"/>
        </w:rPr>
        <w:t>Afin de répondre</w:t>
      </w:r>
      <w:r w:rsidR="00134614">
        <w:rPr>
          <w:lang w:val="fr-FR"/>
        </w:rPr>
        <w:t xml:space="preserve"> au problème de la faible employabilité des femmes et de leurs difficultés d’insertion professionnelle, causées </w:t>
      </w:r>
      <w:r w:rsidR="002013C7">
        <w:rPr>
          <w:lang w:val="fr-FR"/>
        </w:rPr>
        <w:t xml:space="preserve">notamment </w:t>
      </w:r>
      <w:r w:rsidR="00134614">
        <w:rPr>
          <w:lang w:val="fr-FR"/>
        </w:rPr>
        <w:t xml:space="preserve">par la réduction des effectifs du secteur public, la mauvaise adaptation de l’offre de formation professionnelle ou universitaire aux besoins du marché et l’inadaptation de l’orientation scolaire et professionnelle des jeunes filles au nouveau contexte d’une économie de marché ainsi que l’insuffisance des structures pour la garde des enfants, les concepteurs ont prévu la mise en œuvre de </w:t>
      </w:r>
      <w:r w:rsidR="002013C7">
        <w:rPr>
          <w:lang w:val="fr-FR"/>
        </w:rPr>
        <w:t>treize séries d’activités pour la réalisation de quatre types d’effets, pour un budget total de 1.29 millions de dollars.</w:t>
      </w:r>
      <w:r w:rsidR="00C733BD">
        <w:rPr>
          <w:lang w:val="fr-FR"/>
        </w:rPr>
        <w:t xml:space="preserve"> A première vue, et considérant la très courte durée de mise en œuvre, il s’agissait-là d’un objectif très ambitieux, voire irréaliste.</w:t>
      </w:r>
    </w:p>
    <w:p w:rsidR="00DC3F3A" w:rsidRDefault="00DC3F3A" w:rsidP="002013C7">
      <w:pPr>
        <w:pStyle w:val="NoSpacing"/>
        <w:rPr>
          <w:lang w:val="fr-FR"/>
        </w:rPr>
      </w:pPr>
    </w:p>
    <w:tbl>
      <w:tblPr>
        <w:tblpPr w:leftFromText="180" w:rightFromText="180" w:vertAnchor="text" w:horzAnchor="margin" w:tblpXSpec="center" w:tblpY="113"/>
        <w:tblW w:w="84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134614" w:rsidRPr="0052245B" w:rsidTr="002013C7">
        <w:tc>
          <w:tcPr>
            <w:tcW w:w="8460" w:type="dxa"/>
            <w:shd w:val="clear" w:color="auto" w:fill="D9D9D9" w:themeFill="background1" w:themeFillShade="D9"/>
          </w:tcPr>
          <w:p w:rsidR="00134614" w:rsidRPr="00E33C66" w:rsidRDefault="00134614" w:rsidP="002013C7">
            <w:pPr>
              <w:pStyle w:val="NoSpacing"/>
              <w:ind w:left="252"/>
              <w:rPr>
                <w:rFonts w:cs="Calibri"/>
                <w:b/>
                <w:color w:val="FF0000"/>
                <w:szCs w:val="22"/>
                <w:lang w:val="fr-FR"/>
              </w:rPr>
            </w:pPr>
            <w:r w:rsidRPr="0031650C">
              <w:rPr>
                <w:color w:val="FF0000"/>
                <w:lang w:val="fr-FR"/>
              </w:rPr>
              <w:br w:type="page"/>
            </w:r>
            <w:r w:rsidRPr="00E821D4">
              <w:rPr>
                <w:b/>
                <w:szCs w:val="22"/>
                <w:shd w:val="clear" w:color="auto" w:fill="D9D9D9" w:themeFill="background1" w:themeFillShade="D9"/>
                <w:lang w:val="fr-CA"/>
              </w:rPr>
              <w:t>P</w:t>
            </w:r>
            <w:r>
              <w:rPr>
                <w:b/>
                <w:szCs w:val="22"/>
                <w:shd w:val="clear" w:color="auto" w:fill="D9D9D9" w:themeFill="background1" w:themeFillShade="D9"/>
                <w:lang w:val="fr-CA"/>
              </w:rPr>
              <w:t>6</w:t>
            </w:r>
            <w:r w:rsidRPr="00E821D4">
              <w:rPr>
                <w:b/>
                <w:szCs w:val="22"/>
                <w:shd w:val="clear" w:color="auto" w:fill="D9D9D9" w:themeFill="background1" w:themeFillShade="D9"/>
                <w:lang w:val="fr-CA"/>
              </w:rPr>
              <w:t xml:space="preserve">. </w:t>
            </w:r>
            <w:r>
              <w:rPr>
                <w:rFonts w:asciiTheme="minorHAnsi" w:hAnsiTheme="minorHAnsi" w:cstheme="minorHAnsi"/>
                <w:b/>
                <w:szCs w:val="22"/>
                <w:shd w:val="clear" w:color="auto" w:fill="D9D9D9" w:themeFill="background1" w:themeFillShade="D9"/>
                <w:lang w:val="fr-FR" w:eastAsia="fr-FR"/>
              </w:rPr>
              <w:t xml:space="preserve">Connaissances améliorée des </w:t>
            </w:r>
            <w:r w:rsidRPr="00A33800">
              <w:rPr>
                <w:rFonts w:asciiTheme="minorHAnsi" w:hAnsiTheme="minorHAnsi" w:cstheme="minorHAnsi"/>
                <w:b/>
                <w:szCs w:val="22"/>
                <w:shd w:val="clear" w:color="auto" w:fill="D9D9D9" w:themeFill="background1" w:themeFillShade="D9"/>
                <w:lang w:val="fr-FR" w:eastAsia="fr-FR"/>
              </w:rPr>
              <w:t>facteurs déterminants qui limitent ou entravent l’insertion professionnelle des femmes et leur accès au travail décent</w:t>
            </w:r>
          </w:p>
        </w:tc>
      </w:tr>
    </w:tbl>
    <w:p w:rsidR="00403EDE" w:rsidRDefault="00403EDE" w:rsidP="00123C70">
      <w:pPr>
        <w:pStyle w:val="NoSpacing"/>
        <w:numPr>
          <w:ilvl w:val="0"/>
          <w:numId w:val="1"/>
        </w:numPr>
        <w:ind w:left="0" w:firstLine="0"/>
        <w:rPr>
          <w:lang w:val="fr-FR"/>
        </w:rPr>
      </w:pPr>
      <w:r w:rsidRPr="00403EDE">
        <w:rPr>
          <w:b/>
          <w:lang w:val="fr-FR"/>
        </w:rPr>
        <w:t xml:space="preserve">Etude sur les obstacles à l’emploi féminin </w:t>
      </w:r>
      <w:r>
        <w:rPr>
          <w:b/>
          <w:lang w:val="fr-FR"/>
        </w:rPr>
        <w:t>(A</w:t>
      </w:r>
      <w:r w:rsidRPr="00403EDE">
        <w:rPr>
          <w:b/>
          <w:lang w:val="fr-FR"/>
        </w:rPr>
        <w:t>12).</w:t>
      </w:r>
      <w:r>
        <w:rPr>
          <w:lang w:val="fr-FR"/>
        </w:rPr>
        <w:t xml:space="preserve"> Afin d’améliorer la connaissance sur les obstacles des femmes face à l’emploi en milieu rural comme urbain, il était prévu qu’une étude soit réalisée à travers l’exploitation et l’analyse des données des enquêtes emploi </w:t>
      </w:r>
      <w:r w:rsidR="009C140B">
        <w:rPr>
          <w:lang w:val="fr-FR"/>
        </w:rPr>
        <w:t xml:space="preserve">de l’ONS </w:t>
      </w:r>
      <w:r>
        <w:rPr>
          <w:lang w:val="fr-FR"/>
        </w:rPr>
        <w:t>au cours des dernières années et des données de l’ANSEJ et de l’AN</w:t>
      </w:r>
      <w:r w:rsidR="00A07856">
        <w:rPr>
          <w:lang w:val="fr-FR"/>
        </w:rPr>
        <w:t>G</w:t>
      </w:r>
      <w:r>
        <w:rPr>
          <w:lang w:val="fr-FR"/>
        </w:rPr>
        <w:t>EM. La réalisation de cette étude, dotée d’un budget de 110.000 dollars</w:t>
      </w:r>
      <w:r w:rsidR="001F50A8">
        <w:rPr>
          <w:lang w:val="fr-FR"/>
        </w:rPr>
        <w:t xml:space="preserve"> qui a été entièrement transféré</w:t>
      </w:r>
      <w:r>
        <w:rPr>
          <w:lang w:val="fr-FR"/>
        </w:rPr>
        <w:t>, a été confiée au BIT et au MCDFDF.</w:t>
      </w:r>
    </w:p>
    <w:p w:rsidR="00642AC1" w:rsidRPr="00642AC1" w:rsidRDefault="00C733BD" w:rsidP="00642AC1">
      <w:pPr>
        <w:pStyle w:val="NoSpacing"/>
        <w:numPr>
          <w:ilvl w:val="0"/>
          <w:numId w:val="1"/>
        </w:numPr>
        <w:ind w:left="0" w:firstLine="0"/>
        <w:rPr>
          <w:lang w:val="fr-FR"/>
        </w:rPr>
      </w:pPr>
      <w:r w:rsidRPr="00642AC1">
        <w:rPr>
          <w:lang w:val="fr-FR"/>
        </w:rPr>
        <w:lastRenderedPageBreak/>
        <w:t xml:space="preserve">Du fait de l’insuffisante description des activités dans le document de projet, leur « cadrage » a semble-t-il nécessité de nombreuses séances de travail </w:t>
      </w:r>
      <w:r w:rsidR="00642AC1" w:rsidRPr="00642AC1">
        <w:rPr>
          <w:lang w:val="fr-FR"/>
        </w:rPr>
        <w:t>entre</w:t>
      </w:r>
      <w:r w:rsidRPr="00642AC1">
        <w:rPr>
          <w:lang w:val="fr-FR"/>
        </w:rPr>
        <w:t xml:space="preserve"> les partenaires. Des difficultés relatives au recrutement de consultants compétents ont en outre engendré des difficultés supplémentaires. </w:t>
      </w:r>
      <w:r w:rsidR="00642AC1" w:rsidRPr="00642AC1">
        <w:rPr>
          <w:lang w:val="fr-FR"/>
        </w:rPr>
        <w:t>L</w:t>
      </w:r>
      <w:r w:rsidR="00546A94" w:rsidRPr="00642AC1">
        <w:rPr>
          <w:lang w:val="fr-FR"/>
        </w:rPr>
        <w:t xml:space="preserve">a réalisation de l’étude a été lancée début novembre 2011, avec une mission de cadrage de l’étude effectuée par </w:t>
      </w:r>
      <w:r w:rsidR="00E21325" w:rsidRPr="00642AC1">
        <w:rPr>
          <w:lang w:val="fr-FR"/>
        </w:rPr>
        <w:t>un</w:t>
      </w:r>
      <w:r w:rsidR="00547F84" w:rsidRPr="00642AC1">
        <w:rPr>
          <w:lang w:val="fr-FR"/>
        </w:rPr>
        <w:t xml:space="preserve"> consultant international du BIT du 12 au 16 novembre 2011 et </w:t>
      </w:r>
      <w:r w:rsidR="00642AC1" w:rsidRPr="00642AC1">
        <w:rPr>
          <w:lang w:val="fr-FR"/>
        </w:rPr>
        <w:t>la préparation d’une</w:t>
      </w:r>
      <w:r w:rsidR="00547F84" w:rsidRPr="00642AC1">
        <w:rPr>
          <w:lang w:val="fr-FR"/>
        </w:rPr>
        <w:t xml:space="preserve"> note méthodologique </w:t>
      </w:r>
      <w:r w:rsidR="00642AC1" w:rsidRPr="00642AC1">
        <w:rPr>
          <w:lang w:val="fr-FR"/>
        </w:rPr>
        <w:t>détaillée</w:t>
      </w:r>
      <w:r w:rsidR="00972B6B">
        <w:rPr>
          <w:lang w:val="fr-FR"/>
        </w:rPr>
        <w:t>.</w:t>
      </w:r>
      <w:r w:rsidR="00642AC1">
        <w:rPr>
          <w:lang w:val="fr-FR"/>
        </w:rPr>
        <w:t xml:space="preserve"> En janvier 2012, </w:t>
      </w:r>
      <w:r w:rsidR="00642AC1" w:rsidRPr="00642AC1">
        <w:rPr>
          <w:lang w:val="fr-FR"/>
        </w:rPr>
        <w:t xml:space="preserve">une seconde mission du consultant a eu lieu pour poursuivre le travail de collecte d’information et d’entretiens auprès des populations cibles. </w:t>
      </w:r>
      <w:r w:rsidR="00972B6B" w:rsidRPr="00642AC1">
        <w:rPr>
          <w:lang w:val="fr-FR"/>
        </w:rPr>
        <w:t xml:space="preserve">A la date de l’évaluation à mi-parcours, </w:t>
      </w:r>
      <w:r w:rsidR="00972B6B">
        <w:rPr>
          <w:lang w:val="fr-FR"/>
        </w:rPr>
        <w:t>aucun</w:t>
      </w:r>
      <w:r w:rsidR="00972B6B" w:rsidRPr="00642AC1">
        <w:rPr>
          <w:lang w:val="fr-FR"/>
        </w:rPr>
        <w:t xml:space="preserve"> montant </w:t>
      </w:r>
      <w:r w:rsidR="00972B6B">
        <w:rPr>
          <w:lang w:val="fr-FR"/>
        </w:rPr>
        <w:t xml:space="preserve">n’avait encore été </w:t>
      </w:r>
      <w:r w:rsidR="00972B6B" w:rsidRPr="00642AC1">
        <w:rPr>
          <w:lang w:val="fr-FR"/>
        </w:rPr>
        <w:t xml:space="preserve">engagé pour cette </w:t>
      </w:r>
      <w:r w:rsidR="00972B6B">
        <w:rPr>
          <w:lang w:val="fr-FR"/>
        </w:rPr>
        <w:t>activité</w:t>
      </w:r>
      <w:r w:rsidR="00972B6B">
        <w:rPr>
          <w:rStyle w:val="FootnoteReference"/>
          <w:lang w:val="fr-FR"/>
        </w:rPr>
        <w:footnoteReference w:id="41"/>
      </w:r>
      <w:r w:rsidR="00972B6B">
        <w:rPr>
          <w:lang w:val="fr-FR"/>
        </w:rPr>
        <w:t>.</w:t>
      </w:r>
    </w:p>
    <w:p w:rsidR="00547F84" w:rsidRPr="002856B6" w:rsidRDefault="00FD5AC8" w:rsidP="00123C70">
      <w:pPr>
        <w:pStyle w:val="NoSpacing"/>
        <w:numPr>
          <w:ilvl w:val="0"/>
          <w:numId w:val="1"/>
        </w:numPr>
        <w:ind w:left="0" w:firstLine="0"/>
        <w:rPr>
          <w:lang w:val="fr-FR"/>
        </w:rPr>
      </w:pPr>
      <w:r w:rsidRPr="002856B6">
        <w:rPr>
          <w:lang w:val="fr-FR"/>
        </w:rPr>
        <w:t>D’après les informations recueillies par la mission auprès du BIT, la finalisation de l’étude est programmée</w:t>
      </w:r>
      <w:r w:rsidR="002856B6" w:rsidRPr="002856B6">
        <w:rPr>
          <w:lang w:val="fr-FR"/>
        </w:rPr>
        <w:t xml:space="preserve"> pour mai 2012</w:t>
      </w:r>
      <w:r w:rsidRPr="002856B6">
        <w:rPr>
          <w:lang w:val="fr-FR"/>
        </w:rPr>
        <w:t xml:space="preserve"> et le grand retard accumulé s’expliquerait par les délais dans l’appel à concurrence pour </w:t>
      </w:r>
      <w:r w:rsidR="002856B6" w:rsidRPr="002856B6">
        <w:rPr>
          <w:lang w:val="fr-FR"/>
        </w:rPr>
        <w:t xml:space="preserve">la </w:t>
      </w:r>
      <w:r w:rsidRPr="002856B6">
        <w:rPr>
          <w:lang w:val="fr-FR"/>
        </w:rPr>
        <w:t>sélection du consultant</w:t>
      </w:r>
      <w:r w:rsidR="002856B6">
        <w:rPr>
          <w:rStyle w:val="FootnoteReference"/>
          <w:lang w:val="fr-FR"/>
        </w:rPr>
        <w:footnoteReference w:id="42"/>
      </w:r>
      <w:r w:rsidRPr="002856B6">
        <w:rPr>
          <w:lang w:val="fr-FR"/>
        </w:rPr>
        <w:t>. Des recommandations ayant été faites lors de l’atelier de décembre 2011 s’agissant de l’élargissement de l’étude à l’identification des opportunités pour l’emploi des femmes, la mission recommande que cette proposition soit retenue si elle n’entraîne pas de trop grand</w:t>
      </w:r>
      <w:r w:rsidR="00642AC1">
        <w:rPr>
          <w:lang w:val="fr-FR"/>
        </w:rPr>
        <w:t>s</w:t>
      </w:r>
      <w:r w:rsidRPr="002856B6">
        <w:rPr>
          <w:lang w:val="fr-FR"/>
        </w:rPr>
        <w:t xml:space="preserve"> déla</w:t>
      </w:r>
      <w:r w:rsidR="00642AC1">
        <w:rPr>
          <w:lang w:val="fr-FR"/>
        </w:rPr>
        <w:t>is</w:t>
      </w:r>
      <w:r w:rsidRPr="002856B6">
        <w:rPr>
          <w:lang w:val="fr-FR"/>
        </w:rPr>
        <w:t xml:space="preserve"> supplémentaire</w:t>
      </w:r>
      <w:r w:rsidR="00642AC1">
        <w:rPr>
          <w:lang w:val="fr-FR"/>
        </w:rPr>
        <w:t>s</w:t>
      </w:r>
      <w:r w:rsidRPr="002856B6">
        <w:rPr>
          <w:lang w:val="fr-FR"/>
        </w:rPr>
        <w:t>. Il conviendra également que les partenaires définissent un plan de communication afin de diffuser largement les résultats de l’étude lorsqu’ils seront disponibles</w:t>
      </w:r>
      <w:r w:rsidR="00432375">
        <w:rPr>
          <w:lang w:val="fr-FR"/>
        </w:rPr>
        <w:t>.</w:t>
      </w:r>
    </w:p>
    <w:p w:rsidR="00432375" w:rsidRDefault="002856B6" w:rsidP="00123C70">
      <w:pPr>
        <w:pStyle w:val="NoSpacing"/>
        <w:numPr>
          <w:ilvl w:val="0"/>
          <w:numId w:val="1"/>
        </w:numPr>
        <w:ind w:left="0" w:firstLine="0"/>
        <w:rPr>
          <w:lang w:val="fr-FR"/>
        </w:rPr>
      </w:pPr>
      <w:r w:rsidRPr="00432375">
        <w:rPr>
          <w:b/>
          <w:lang w:val="fr-FR"/>
        </w:rPr>
        <w:t>Enquête nationale sur les conditions de travail et l’emploi féminin (A13</w:t>
      </w:r>
      <w:r w:rsidRPr="00432375">
        <w:rPr>
          <w:lang w:val="fr-FR"/>
        </w:rPr>
        <w:t xml:space="preserve">). </w:t>
      </w:r>
      <w:r w:rsidR="00AC7A26" w:rsidRPr="00432375">
        <w:rPr>
          <w:lang w:val="fr-FR"/>
        </w:rPr>
        <w:t>Au titre de cette activité, dotée d’un budget de 120.000 dollars et dont l’exécution a été confiée au BIT et au MTESS, on prévoyait qu’une étude soit réalisée sur « </w:t>
      </w:r>
      <w:r w:rsidR="00AC7A26" w:rsidRPr="00432375">
        <w:rPr>
          <w:i/>
          <w:lang w:val="fr-FR"/>
        </w:rPr>
        <w:t>les conditions de travail et la demande du marché de l’emploi féminin »</w:t>
      </w:r>
      <w:r w:rsidR="00AC7A26" w:rsidRPr="00432375">
        <w:rPr>
          <w:lang w:val="fr-FR"/>
        </w:rPr>
        <w:t>. On pourra remarquer qu’il s’agit-là de deux thèmes différents qui auraient pu faire l’objet de deux études différentes. On notera en outre que le document de projet ne précise nu</w:t>
      </w:r>
      <w:r w:rsidR="001F50A8" w:rsidRPr="00432375">
        <w:rPr>
          <w:lang w:val="fr-FR"/>
        </w:rPr>
        <w:t>l</w:t>
      </w:r>
      <w:r w:rsidR="00AC7A26" w:rsidRPr="00432375">
        <w:rPr>
          <w:lang w:val="fr-FR"/>
        </w:rPr>
        <w:t>lement la portée exacte de l’étude sur les conditions de travail</w:t>
      </w:r>
      <w:r w:rsidR="001F50A8" w:rsidRPr="00432375">
        <w:rPr>
          <w:lang w:val="fr-FR"/>
        </w:rPr>
        <w:t xml:space="preserve"> (</w:t>
      </w:r>
      <w:r w:rsidR="001F50A8" w:rsidRPr="00432375">
        <w:rPr>
          <w:i/>
          <w:lang w:val="fr-FR"/>
        </w:rPr>
        <w:t>dans le secteur public ? privé ? en milieu rural ? des femmes en particulier ?)</w:t>
      </w:r>
      <w:r w:rsidR="00432375">
        <w:rPr>
          <w:lang w:val="fr-FR"/>
        </w:rPr>
        <w:t xml:space="preserve"> </w:t>
      </w:r>
      <w:r w:rsidR="00AC7A26" w:rsidRPr="00432375">
        <w:rPr>
          <w:lang w:val="fr-FR"/>
        </w:rPr>
        <w:t xml:space="preserve">alors que le document mentionne un déficit d’informations sur le monde du travail </w:t>
      </w:r>
      <w:r w:rsidR="00432375">
        <w:rPr>
          <w:lang w:val="fr-FR"/>
        </w:rPr>
        <w:t>en milieu rural.</w:t>
      </w:r>
    </w:p>
    <w:p w:rsidR="00964FA4" w:rsidRPr="00432375" w:rsidRDefault="00964FA4" w:rsidP="00123C70">
      <w:pPr>
        <w:pStyle w:val="NoSpacing"/>
        <w:numPr>
          <w:ilvl w:val="0"/>
          <w:numId w:val="1"/>
        </w:numPr>
        <w:ind w:left="0" w:firstLine="0"/>
        <w:rPr>
          <w:lang w:val="fr-FR"/>
        </w:rPr>
      </w:pPr>
      <w:r w:rsidRPr="00432375">
        <w:rPr>
          <w:lang w:val="fr-FR"/>
        </w:rPr>
        <w:t xml:space="preserve">Alors qu’un montant de 80.000 dollars a été transféré, cette activité est restée au point mort, le BIT n’ayant pas été capable, à ce jour, de mobiliser l’appui technique </w:t>
      </w:r>
      <w:r w:rsidR="005B4F70" w:rsidRPr="00432375">
        <w:rPr>
          <w:lang w:val="fr-FR"/>
        </w:rPr>
        <w:t xml:space="preserve">nécessaire </w:t>
      </w:r>
      <w:r w:rsidRPr="00432375">
        <w:rPr>
          <w:lang w:val="fr-FR"/>
        </w:rPr>
        <w:t>de son siège. Il semble en outre qu’aucun effort de réflexion n’</w:t>
      </w:r>
      <w:r w:rsidR="00714A57" w:rsidRPr="00432375">
        <w:rPr>
          <w:lang w:val="fr-FR"/>
        </w:rPr>
        <w:t>ait</w:t>
      </w:r>
      <w:r w:rsidRPr="00432375">
        <w:rPr>
          <w:lang w:val="fr-FR"/>
        </w:rPr>
        <w:t xml:space="preserve"> été entamé puisqu’</w:t>
      </w:r>
      <w:r w:rsidR="00714A57" w:rsidRPr="00432375">
        <w:rPr>
          <w:lang w:val="fr-FR"/>
        </w:rPr>
        <w:t xml:space="preserve">aucun </w:t>
      </w:r>
      <w:r w:rsidRPr="00432375">
        <w:rPr>
          <w:lang w:val="fr-FR"/>
        </w:rPr>
        <w:t>TdR ne semblent avoir été préparés. Lors de l’atelier de revue annuelle de décembre</w:t>
      </w:r>
      <w:r w:rsidR="005B4F70" w:rsidRPr="00432375">
        <w:rPr>
          <w:lang w:val="fr-FR"/>
        </w:rPr>
        <w:t xml:space="preserve"> 2011</w:t>
      </w:r>
      <w:r w:rsidRPr="00432375">
        <w:rPr>
          <w:lang w:val="fr-FR"/>
        </w:rPr>
        <w:t xml:space="preserve">, le Point Focal du programme au sein du MTESS a indiqué que ce ministère n’était en fait pas habilité à réaliser d’études sur les conditions de travail et qu’il n’avait pas les prérogatives nécessaires pour autoriser les enquêteurs à </w:t>
      </w:r>
      <w:r w:rsidR="005B4F70" w:rsidRPr="00432375">
        <w:rPr>
          <w:lang w:val="fr-FR"/>
        </w:rPr>
        <w:t>pénétre</w:t>
      </w:r>
      <w:r w:rsidRPr="00432375">
        <w:rPr>
          <w:lang w:val="fr-FR"/>
        </w:rPr>
        <w:t>r sur les lieux de travail. Même s’il serait peut-être bon de vérifier l’</w:t>
      </w:r>
      <w:r w:rsidR="005B4F70" w:rsidRPr="00432375">
        <w:rPr>
          <w:lang w:val="fr-FR"/>
        </w:rPr>
        <w:t>exactitude de ces propos</w:t>
      </w:r>
      <w:r w:rsidRPr="00432375">
        <w:rPr>
          <w:lang w:val="fr-FR"/>
        </w:rPr>
        <w:t xml:space="preserve"> et si cet avis reflète bien la position du MTESS, la mission est cependant d’avis </w:t>
      </w:r>
      <w:r w:rsidR="00714A57" w:rsidRPr="00432375">
        <w:rPr>
          <w:lang w:val="fr-FR"/>
        </w:rPr>
        <w:t xml:space="preserve">que l’on pourrait envisager de supprimer cette activité, et ce pour les raisons suivantes. Tout d’abord, un grand retard a déjà été </w:t>
      </w:r>
      <w:r w:rsidRPr="00432375">
        <w:rPr>
          <w:lang w:val="fr-FR"/>
        </w:rPr>
        <w:t>accumulé et</w:t>
      </w:r>
      <w:r w:rsidR="00714A57" w:rsidRPr="00432375">
        <w:rPr>
          <w:lang w:val="fr-FR"/>
        </w:rPr>
        <w:t xml:space="preserve"> une grande </w:t>
      </w:r>
      <w:r w:rsidRPr="00432375">
        <w:rPr>
          <w:lang w:val="fr-FR"/>
        </w:rPr>
        <w:t xml:space="preserve">incertitude </w:t>
      </w:r>
      <w:r w:rsidR="00714A57" w:rsidRPr="00432375">
        <w:rPr>
          <w:lang w:val="fr-FR"/>
        </w:rPr>
        <w:t>continue à peser s</w:t>
      </w:r>
      <w:r w:rsidRPr="00432375">
        <w:rPr>
          <w:lang w:val="fr-FR"/>
        </w:rPr>
        <w:t>ur la capacité du BIT à mobiliser à temps l’expertise nécessaire, notamment au niveau des experts techniques de son siège</w:t>
      </w:r>
      <w:r w:rsidR="00714A57" w:rsidRPr="00432375">
        <w:rPr>
          <w:lang w:val="fr-FR"/>
        </w:rPr>
        <w:t>. Ensuite, la pertinence de cette activité</w:t>
      </w:r>
      <w:r w:rsidR="00AD10BC" w:rsidRPr="00432375">
        <w:rPr>
          <w:lang w:val="fr-FR"/>
        </w:rPr>
        <w:t>,</w:t>
      </w:r>
      <w:r w:rsidR="00714A57" w:rsidRPr="00432375">
        <w:rPr>
          <w:lang w:val="fr-FR"/>
        </w:rPr>
        <w:t xml:space="preserve"> dont le </w:t>
      </w:r>
      <w:r w:rsidR="00AD10BC" w:rsidRPr="00432375">
        <w:rPr>
          <w:lang w:val="fr-FR"/>
        </w:rPr>
        <w:t>champ</w:t>
      </w:r>
      <w:r w:rsidR="00714A57" w:rsidRPr="00432375">
        <w:rPr>
          <w:lang w:val="fr-FR"/>
        </w:rPr>
        <w:t xml:space="preserve"> d’action n’est pas clair, n’est pas immédiate</w:t>
      </w:r>
      <w:r w:rsidR="00AD10BC" w:rsidRPr="00432375">
        <w:rPr>
          <w:lang w:val="fr-FR"/>
        </w:rPr>
        <w:t xml:space="preserve"> au regard des objectifs ultimes du programme, d’autant qu’</w:t>
      </w:r>
      <w:r w:rsidR="005B4F70" w:rsidRPr="00432375">
        <w:rPr>
          <w:lang w:val="fr-FR"/>
        </w:rPr>
        <w:t>il est prévu</w:t>
      </w:r>
      <w:r w:rsidR="00AD10BC" w:rsidRPr="00432375">
        <w:rPr>
          <w:lang w:val="fr-FR"/>
        </w:rPr>
        <w:t xml:space="preserve"> que l’étude de l’activité A12 apporte un éclairage sur les obstacles à l’emploi féminin</w:t>
      </w:r>
      <w:r w:rsidR="00714A57" w:rsidRPr="00432375">
        <w:rPr>
          <w:lang w:val="fr-FR"/>
        </w:rPr>
        <w:t>. Enfin, le M</w:t>
      </w:r>
      <w:r w:rsidR="00AD10BC" w:rsidRPr="00432375">
        <w:rPr>
          <w:lang w:val="fr-FR"/>
        </w:rPr>
        <w:t xml:space="preserve">TESS ne semblant plus intéressé, il semble qu’il sera difficile, pour l’EP, d’identifier rapidement un nouveau partenaire. En résumé, les conditions pour la bonne réalisation de cette </w:t>
      </w:r>
      <w:r w:rsidR="00432375">
        <w:rPr>
          <w:lang w:val="fr-FR"/>
        </w:rPr>
        <w:t xml:space="preserve">étude ne semblent pas réunies. </w:t>
      </w:r>
    </w:p>
    <w:p w:rsidR="00714A57" w:rsidRDefault="00AD10BC" w:rsidP="00123C70">
      <w:pPr>
        <w:pStyle w:val="NoSpacing"/>
        <w:numPr>
          <w:ilvl w:val="0"/>
          <w:numId w:val="1"/>
        </w:numPr>
        <w:ind w:left="0" w:firstLine="0"/>
        <w:rPr>
          <w:lang w:val="fr-FR"/>
        </w:rPr>
      </w:pPr>
      <w:r w:rsidRPr="00396B86">
        <w:rPr>
          <w:b/>
          <w:lang w:val="fr-FR"/>
        </w:rPr>
        <w:t>Appui technique à trois observatoires de l’emploi des femmes (A14).</w:t>
      </w:r>
      <w:r w:rsidR="00312BA3" w:rsidRPr="00396B86">
        <w:rPr>
          <w:b/>
          <w:lang w:val="fr-FR"/>
        </w:rPr>
        <w:t xml:space="preserve"> </w:t>
      </w:r>
      <w:r w:rsidR="00312BA3">
        <w:rPr>
          <w:lang w:val="fr-FR"/>
        </w:rPr>
        <w:t>Sans préciser le type d’appui nécessaire, le document de projet prévoit que trois observatoires soient appuyés, pour un budget de 40.000 dollars</w:t>
      </w:r>
      <w:r w:rsidR="00491B40">
        <w:rPr>
          <w:lang w:val="fr-FR"/>
        </w:rPr>
        <w:t xml:space="preserve"> (qui n’a pas encore été transféré)</w:t>
      </w:r>
      <w:r w:rsidR="00312BA3">
        <w:rPr>
          <w:lang w:val="fr-FR"/>
        </w:rPr>
        <w:t xml:space="preserve"> : </w:t>
      </w:r>
      <w:r w:rsidR="00312BA3" w:rsidRPr="00491B40">
        <w:rPr>
          <w:i/>
          <w:lang w:val="fr-FR"/>
        </w:rPr>
        <w:t xml:space="preserve">l’Observatoire de la formation </w:t>
      </w:r>
      <w:r w:rsidR="00312BA3" w:rsidRPr="004E01D2">
        <w:rPr>
          <w:lang w:val="fr-FR"/>
        </w:rPr>
        <w:lastRenderedPageBreak/>
        <w:t>professionnelle</w:t>
      </w:r>
      <w:r w:rsidR="00312BA3">
        <w:rPr>
          <w:lang w:val="fr-FR"/>
        </w:rPr>
        <w:t xml:space="preserve">, </w:t>
      </w:r>
      <w:r w:rsidR="00312BA3" w:rsidRPr="00491B40">
        <w:rPr>
          <w:i/>
          <w:lang w:val="fr-FR"/>
        </w:rPr>
        <w:t>l’Observatoire de l’Enseignement professionne</w:t>
      </w:r>
      <w:r w:rsidR="00312BA3">
        <w:rPr>
          <w:lang w:val="fr-FR"/>
        </w:rPr>
        <w:t xml:space="preserve">l et </w:t>
      </w:r>
      <w:r w:rsidR="00312BA3" w:rsidRPr="00491B40">
        <w:rPr>
          <w:i/>
          <w:lang w:val="fr-FR"/>
        </w:rPr>
        <w:t>l’Observatoire de l’Emploi et de la pauvreté</w:t>
      </w:r>
      <w:r w:rsidR="00312BA3">
        <w:rPr>
          <w:lang w:val="fr-FR"/>
        </w:rPr>
        <w:t xml:space="preserve">. L’objectif était de permettre l’intégration de la dimension genre dans leurs systèmes d’information statistique et d’appuyer une meilleure adéquation entre la formation professionnelle des jeunes femmes et le marché du travail. </w:t>
      </w:r>
      <w:r w:rsidR="00396B86">
        <w:rPr>
          <w:lang w:val="fr-FR"/>
        </w:rPr>
        <w:t xml:space="preserve">Il s’agit de la seule activité du programme dont le MESRS est le partenaire gouvernemental, alors que le </w:t>
      </w:r>
      <w:r w:rsidR="00B32337">
        <w:rPr>
          <w:lang w:val="fr-FR"/>
        </w:rPr>
        <w:t>PNUD</w:t>
      </w:r>
      <w:r w:rsidR="00396B86">
        <w:rPr>
          <w:lang w:val="fr-FR"/>
        </w:rPr>
        <w:t xml:space="preserve"> a été choisi pour partenaire des NU.</w:t>
      </w:r>
    </w:p>
    <w:p w:rsidR="00B32337" w:rsidRDefault="00B32337" w:rsidP="00123C70">
      <w:pPr>
        <w:pStyle w:val="NoSpacing"/>
        <w:numPr>
          <w:ilvl w:val="0"/>
          <w:numId w:val="1"/>
        </w:numPr>
        <w:ind w:left="0" w:firstLine="0"/>
        <w:rPr>
          <w:lang w:val="fr-FR"/>
        </w:rPr>
      </w:pPr>
      <w:r w:rsidRPr="00B32337">
        <w:rPr>
          <w:lang w:val="fr-FR"/>
        </w:rPr>
        <w:t>Aucune acti</w:t>
      </w:r>
      <w:r>
        <w:rPr>
          <w:lang w:val="fr-FR"/>
        </w:rPr>
        <w:t xml:space="preserve">on </w:t>
      </w:r>
      <w:r w:rsidRPr="00B32337">
        <w:rPr>
          <w:lang w:val="fr-FR"/>
        </w:rPr>
        <w:t>n’a été entreprise à ce jour</w:t>
      </w:r>
      <w:r>
        <w:rPr>
          <w:lang w:val="fr-FR"/>
        </w:rPr>
        <w:t xml:space="preserve"> et la réflexion autour de cette activité n’a pas été véritablement entamée puisque les partenaires n’ont pas encore entrepris de vérifier que les trois Observatoires mentionnés dans le document de projet existent bien. Il semble en fait que </w:t>
      </w:r>
      <w:r w:rsidR="001B68F7">
        <w:rPr>
          <w:lang w:val="fr-FR"/>
        </w:rPr>
        <w:t xml:space="preserve">les seuls </w:t>
      </w:r>
      <w:r>
        <w:rPr>
          <w:lang w:val="fr-FR"/>
        </w:rPr>
        <w:t xml:space="preserve">Observatoires de l’emploi </w:t>
      </w:r>
      <w:r w:rsidR="001B68F7">
        <w:rPr>
          <w:lang w:val="fr-FR"/>
        </w:rPr>
        <w:t>féminin dans le pays sont ceux créés au sein des grandes entreprises publiques du Ministère de l’Energie et des Mines, notamment au sein de la Sonatrach</w:t>
      </w:r>
      <w:r w:rsidR="001B68F7">
        <w:rPr>
          <w:rStyle w:val="FootnoteReference"/>
          <w:lang w:val="fr-FR"/>
        </w:rPr>
        <w:footnoteReference w:id="43"/>
      </w:r>
      <w:r w:rsidR="004F50A0">
        <w:rPr>
          <w:lang w:val="fr-FR"/>
        </w:rPr>
        <w:t xml:space="preserve"> et </w:t>
      </w:r>
      <w:r w:rsidR="001B68F7">
        <w:rPr>
          <w:lang w:val="fr-FR"/>
        </w:rPr>
        <w:t>de la</w:t>
      </w:r>
      <w:r w:rsidR="004F50A0">
        <w:rPr>
          <w:lang w:val="fr-FR"/>
        </w:rPr>
        <w:t xml:space="preserve"> </w:t>
      </w:r>
      <w:r w:rsidR="001B68F7">
        <w:rPr>
          <w:lang w:val="fr-FR"/>
        </w:rPr>
        <w:t>Sonelgaz</w:t>
      </w:r>
      <w:r w:rsidR="00546C7F">
        <w:rPr>
          <w:rStyle w:val="FootnoteReference"/>
          <w:lang w:val="fr-FR"/>
        </w:rPr>
        <w:footnoteReference w:id="44"/>
      </w:r>
      <w:r w:rsidR="001B68F7">
        <w:rPr>
          <w:lang w:val="fr-FR"/>
        </w:rPr>
        <w:t>.</w:t>
      </w:r>
    </w:p>
    <w:p w:rsidR="00DC38EB" w:rsidRDefault="001B68F7" w:rsidP="00432375">
      <w:pPr>
        <w:pStyle w:val="NoSpacing"/>
        <w:numPr>
          <w:ilvl w:val="0"/>
          <w:numId w:val="1"/>
        </w:numPr>
        <w:ind w:left="0" w:firstLine="0"/>
        <w:rPr>
          <w:lang w:val="fr-FR"/>
        </w:rPr>
      </w:pPr>
      <w:r>
        <w:rPr>
          <w:lang w:val="fr-FR"/>
        </w:rPr>
        <w:t>Ainsi l</w:t>
      </w:r>
      <w:r w:rsidR="00DC38EB" w:rsidRPr="00DC38EB">
        <w:rPr>
          <w:lang w:val="fr-FR"/>
        </w:rPr>
        <w:t>e 5 janvier 2005, le Ministre de l’Energie et des Mines, « </w:t>
      </w:r>
      <w:r w:rsidR="00DC38EB" w:rsidRPr="001B68F7">
        <w:rPr>
          <w:i/>
          <w:lang w:val="fr-FR"/>
        </w:rPr>
        <w:t>convaincu que le  complet développement d’un pays, et par la même là-même le bien être du monde, demande la participation maximale des femmes autant que des hommes dans tous les domaines de la vie [et] que le mixité professionnelle est une source de complémentarité, d'équilibre social et d'efficacité économique</w:t>
      </w:r>
      <w:r w:rsidR="00DC38EB" w:rsidRPr="00DC38EB">
        <w:rPr>
          <w:lang w:val="fr-FR"/>
        </w:rPr>
        <w:t> »,</w:t>
      </w:r>
      <w:r>
        <w:rPr>
          <w:rStyle w:val="FootnoteReference"/>
          <w:lang w:val="fr-FR"/>
        </w:rPr>
        <w:footnoteReference w:id="45"/>
      </w:r>
      <w:r w:rsidR="00DC38EB" w:rsidRPr="00DC38EB">
        <w:rPr>
          <w:lang w:val="fr-FR"/>
        </w:rPr>
        <w:t xml:space="preserve"> décida par une Directive ministérielle de mettre l’accent sur la promotion de l’emploi féminin et de l’égalité des chances. Parmi toute une batterie de mesures et de principes, cette Directive prévoyait notamment la création d’Observatoires de l'emploi féminin au niveau du Ministè</w:t>
      </w:r>
      <w:r w:rsidR="007D74AC">
        <w:rPr>
          <w:lang w:val="fr-FR"/>
        </w:rPr>
        <w:t>re, des groupes Sonatrach et So</w:t>
      </w:r>
      <w:r w:rsidR="00DC38EB" w:rsidRPr="00DC38EB">
        <w:rPr>
          <w:lang w:val="fr-FR"/>
        </w:rPr>
        <w:t>nelgaz et de leurs filiales et des autres organismes du secteur en tant qu'organes de veille, de pôles d'analyse, de réflexion et de proposition pour la promotion de l'emploi féminin.</w:t>
      </w:r>
    </w:p>
    <w:p w:rsidR="001B68F7" w:rsidRPr="001B68F7" w:rsidRDefault="00DC38EB" w:rsidP="00123C70">
      <w:pPr>
        <w:pStyle w:val="NoSpacing"/>
        <w:numPr>
          <w:ilvl w:val="0"/>
          <w:numId w:val="1"/>
        </w:numPr>
        <w:ind w:left="0" w:firstLine="0"/>
        <w:rPr>
          <w:lang w:val="fr-FR"/>
        </w:rPr>
      </w:pPr>
      <w:r>
        <w:rPr>
          <w:lang w:val="fr-FR"/>
        </w:rPr>
        <w:t>Il s’agit-là d’une initiative très i</w:t>
      </w:r>
      <w:r w:rsidR="00E7000B">
        <w:rPr>
          <w:lang w:val="fr-FR"/>
        </w:rPr>
        <w:t>ntéressante, d’autant qu’elle a été</w:t>
      </w:r>
      <w:r>
        <w:rPr>
          <w:lang w:val="fr-FR"/>
        </w:rPr>
        <w:t xml:space="preserve"> décidée à une époque où le M</w:t>
      </w:r>
      <w:r w:rsidR="007D74AC">
        <w:rPr>
          <w:lang w:val="fr-FR"/>
        </w:rPr>
        <w:t>DCFCF</w:t>
      </w:r>
      <w:r>
        <w:rPr>
          <w:lang w:val="fr-FR"/>
        </w:rPr>
        <w:t xml:space="preserve"> n’existait pas encore. Aux vues des résultats atteints au sein de la Sonatrach, qui mentionne une augmentation de 53% de son effectif féminin sur la période 2006-2010</w:t>
      </w:r>
      <w:r w:rsidR="00546C7F">
        <w:rPr>
          <w:rStyle w:val="FootnoteReference"/>
          <w:lang w:val="fr-FR"/>
        </w:rPr>
        <w:footnoteReference w:id="46"/>
      </w:r>
      <w:r w:rsidR="00E7000B">
        <w:rPr>
          <w:lang w:val="fr-FR"/>
        </w:rPr>
        <w:t>,</w:t>
      </w:r>
      <w:r>
        <w:rPr>
          <w:lang w:val="fr-FR"/>
        </w:rPr>
        <w:t xml:space="preserve"> </w:t>
      </w:r>
      <w:r w:rsidR="00E7000B">
        <w:rPr>
          <w:lang w:val="fr-FR"/>
        </w:rPr>
        <w:t xml:space="preserve">c’est-à-dire </w:t>
      </w:r>
      <w:r>
        <w:rPr>
          <w:lang w:val="fr-FR"/>
        </w:rPr>
        <w:t xml:space="preserve">depuis la mise en œuvre de la Directive ministérielle, il semble que </w:t>
      </w:r>
      <w:r w:rsidR="00E7000B">
        <w:rPr>
          <w:lang w:val="fr-FR"/>
        </w:rPr>
        <w:t xml:space="preserve">l’application de la directive ministérielle au sein de cette entreprise publique ait </w:t>
      </w:r>
      <w:r w:rsidR="001B68F7">
        <w:rPr>
          <w:lang w:val="fr-FR"/>
        </w:rPr>
        <w:t xml:space="preserve">été très effective et que l’Observatoire de l’emploi féminin a pu jouer son </w:t>
      </w:r>
      <w:r w:rsidR="00F829A4">
        <w:rPr>
          <w:lang w:val="fr-FR"/>
        </w:rPr>
        <w:t>rôle</w:t>
      </w:r>
      <w:r w:rsidR="001B68F7">
        <w:rPr>
          <w:lang w:val="fr-FR"/>
        </w:rPr>
        <w:t xml:space="preserve">. </w:t>
      </w:r>
      <w:r w:rsidR="00E7000B">
        <w:rPr>
          <w:lang w:val="fr-FR"/>
        </w:rPr>
        <w:t>Concernant</w:t>
      </w:r>
      <w:r w:rsidR="001B68F7">
        <w:rPr>
          <w:lang w:val="fr-FR"/>
        </w:rPr>
        <w:t xml:space="preserve"> l’Observatoire de l’emploi féminin de la </w:t>
      </w:r>
      <w:r w:rsidR="007D74AC">
        <w:rPr>
          <w:lang w:val="fr-FR"/>
        </w:rPr>
        <w:t>Sonelgaz</w:t>
      </w:r>
      <w:r w:rsidR="001B68F7">
        <w:rPr>
          <w:lang w:val="fr-FR"/>
        </w:rPr>
        <w:t xml:space="preserve">, </w:t>
      </w:r>
      <w:r w:rsidR="00E7000B">
        <w:rPr>
          <w:lang w:val="fr-FR"/>
        </w:rPr>
        <w:t>il se pourrait que l’expérience soit moins positive</w:t>
      </w:r>
      <w:r w:rsidR="00E7000B">
        <w:rPr>
          <w:rStyle w:val="FootnoteReference"/>
          <w:lang w:val="fr-FR"/>
        </w:rPr>
        <w:footnoteReference w:id="47"/>
      </w:r>
      <w:r w:rsidR="00E7000B">
        <w:rPr>
          <w:lang w:val="fr-FR"/>
        </w:rPr>
        <w:t xml:space="preserve">. </w:t>
      </w:r>
    </w:p>
    <w:p w:rsidR="00DC38EB" w:rsidRPr="00DC38EB" w:rsidRDefault="00DC38EB" w:rsidP="00123C70">
      <w:pPr>
        <w:pStyle w:val="NoSpacing"/>
        <w:numPr>
          <w:ilvl w:val="0"/>
          <w:numId w:val="1"/>
        </w:numPr>
        <w:ind w:left="0" w:firstLine="0"/>
        <w:rPr>
          <w:lang w:val="fr-FR"/>
        </w:rPr>
      </w:pPr>
      <w:r>
        <w:rPr>
          <w:lang w:val="fr-FR"/>
        </w:rPr>
        <w:t xml:space="preserve">La mission </w:t>
      </w:r>
      <w:r w:rsidR="00F829A4">
        <w:rPr>
          <w:lang w:val="fr-FR"/>
        </w:rPr>
        <w:t xml:space="preserve">souhaiterait donc appuyer l’idée préliminaire du MDCFCF de concentrer les efforts </w:t>
      </w:r>
      <w:r w:rsidR="00E7000B">
        <w:rPr>
          <w:lang w:val="fr-FR"/>
        </w:rPr>
        <w:t xml:space="preserve">du programme </w:t>
      </w:r>
      <w:r w:rsidR="00F829A4">
        <w:rPr>
          <w:lang w:val="fr-FR"/>
        </w:rPr>
        <w:t>sur les Observatoires de l’emploi féminin</w:t>
      </w:r>
      <w:r w:rsidR="00E7000B">
        <w:rPr>
          <w:lang w:val="fr-FR"/>
        </w:rPr>
        <w:t xml:space="preserve"> de ces deux sociétés, au motif qu’il s’agit d’initiatives qu’il convient de mieux comprendre et dont l’expérience mérite </w:t>
      </w:r>
      <w:r w:rsidR="002E0AA0">
        <w:rPr>
          <w:lang w:val="fr-FR"/>
        </w:rPr>
        <w:t>à</w:t>
      </w:r>
      <w:r w:rsidR="00E7000B">
        <w:rPr>
          <w:lang w:val="fr-FR"/>
        </w:rPr>
        <w:t xml:space="preserve"> bien des égards d’être documentée</w:t>
      </w:r>
      <w:r w:rsidR="002E0AA0">
        <w:rPr>
          <w:lang w:val="fr-FR"/>
        </w:rPr>
        <w:t>,</w:t>
      </w:r>
      <w:r w:rsidR="00E7000B">
        <w:rPr>
          <w:lang w:val="fr-FR"/>
        </w:rPr>
        <w:t xml:space="preserve"> et probablement largement diffusée. Cependant, étant donné le peu de temps qu’il reste au programme, les </w:t>
      </w:r>
      <w:r w:rsidR="00F829A4">
        <w:rPr>
          <w:lang w:val="fr-FR"/>
        </w:rPr>
        <w:t xml:space="preserve">ambitions </w:t>
      </w:r>
      <w:r w:rsidR="00E7000B">
        <w:rPr>
          <w:lang w:val="fr-FR"/>
        </w:rPr>
        <w:t xml:space="preserve">initiales </w:t>
      </w:r>
      <w:r w:rsidR="00F829A4">
        <w:rPr>
          <w:lang w:val="fr-FR"/>
        </w:rPr>
        <w:t>de l’</w:t>
      </w:r>
      <w:r w:rsidR="00E7000B">
        <w:rPr>
          <w:lang w:val="fr-FR"/>
        </w:rPr>
        <w:t>A14 doivent être grandement réduites. Au mieux, le programme aura</w:t>
      </w:r>
      <w:r w:rsidR="00546C7F">
        <w:rPr>
          <w:lang w:val="fr-FR"/>
        </w:rPr>
        <w:t>-t-il tout juste</w:t>
      </w:r>
      <w:r w:rsidR="00E7000B">
        <w:rPr>
          <w:lang w:val="fr-FR"/>
        </w:rPr>
        <w:t xml:space="preserve"> le temps de réaliser une étude complète de l’expérience de ces deux Observatoires,</w:t>
      </w:r>
      <w:r w:rsidR="00F829A4">
        <w:rPr>
          <w:lang w:val="fr-FR"/>
        </w:rPr>
        <w:t xml:space="preserve"> </w:t>
      </w:r>
      <w:r w:rsidR="00546C7F">
        <w:rPr>
          <w:lang w:val="fr-FR"/>
        </w:rPr>
        <w:t>et d’org</w:t>
      </w:r>
      <w:r w:rsidR="00432375">
        <w:rPr>
          <w:lang w:val="fr-FR"/>
        </w:rPr>
        <w:t>aniser la diffusion des résulta</w:t>
      </w:r>
      <w:r w:rsidR="00546C7F">
        <w:rPr>
          <w:lang w:val="fr-FR"/>
        </w:rPr>
        <w:t xml:space="preserve">ts, </w:t>
      </w:r>
      <w:r w:rsidR="00F829A4">
        <w:rPr>
          <w:lang w:val="fr-FR"/>
        </w:rPr>
        <w:t>à charge</w:t>
      </w:r>
      <w:r w:rsidR="00E7000B">
        <w:rPr>
          <w:lang w:val="fr-FR"/>
        </w:rPr>
        <w:t>,</w:t>
      </w:r>
      <w:r w:rsidR="00F829A4">
        <w:rPr>
          <w:lang w:val="fr-FR"/>
        </w:rPr>
        <w:t xml:space="preserve"> pour les responsables ministériels concern</w:t>
      </w:r>
      <w:r w:rsidR="00E7000B">
        <w:rPr>
          <w:lang w:val="fr-FR"/>
        </w:rPr>
        <w:t xml:space="preserve">és de décider </w:t>
      </w:r>
      <w:r w:rsidR="00F829A4">
        <w:rPr>
          <w:lang w:val="fr-FR"/>
        </w:rPr>
        <w:t>de la suite à donner aux recommandations de cette étude</w:t>
      </w:r>
      <w:r w:rsidR="00E7000B">
        <w:rPr>
          <w:lang w:val="fr-FR"/>
        </w:rPr>
        <w:t xml:space="preserve"> après la fin du programme.</w:t>
      </w:r>
    </w:p>
    <w:p w:rsidR="00E7000B" w:rsidRPr="00E7000B" w:rsidRDefault="00E7000B" w:rsidP="00123C70">
      <w:pPr>
        <w:pStyle w:val="NoSpacing"/>
        <w:numPr>
          <w:ilvl w:val="0"/>
          <w:numId w:val="1"/>
        </w:numPr>
        <w:ind w:left="0" w:firstLine="0"/>
        <w:rPr>
          <w:lang w:val="fr-FR"/>
        </w:rPr>
      </w:pPr>
      <w:r>
        <w:rPr>
          <w:color w:val="000000"/>
          <w:lang w:val="fr-FR"/>
        </w:rPr>
        <w:lastRenderedPageBreak/>
        <w:t xml:space="preserve">Si cette voie était suivie, </w:t>
      </w:r>
      <w:r w:rsidR="00112235">
        <w:rPr>
          <w:color w:val="000000"/>
          <w:lang w:val="fr-FR"/>
        </w:rPr>
        <w:t>il conviendra de contacter très rapidement le M</w:t>
      </w:r>
      <w:r w:rsidR="00432375">
        <w:rPr>
          <w:color w:val="000000"/>
          <w:lang w:val="fr-FR"/>
        </w:rPr>
        <w:t>inistère de l’</w:t>
      </w:r>
      <w:r w:rsidR="00112235">
        <w:rPr>
          <w:color w:val="000000"/>
          <w:lang w:val="fr-FR"/>
        </w:rPr>
        <w:t>E</w:t>
      </w:r>
      <w:r w:rsidR="00432375">
        <w:rPr>
          <w:color w:val="000000"/>
          <w:lang w:val="fr-FR"/>
        </w:rPr>
        <w:t xml:space="preserve">nergie et des </w:t>
      </w:r>
      <w:r w:rsidR="00112235">
        <w:rPr>
          <w:color w:val="000000"/>
          <w:lang w:val="fr-FR"/>
        </w:rPr>
        <w:t>M</w:t>
      </w:r>
      <w:r w:rsidR="00432375">
        <w:rPr>
          <w:color w:val="000000"/>
          <w:lang w:val="fr-FR"/>
        </w:rPr>
        <w:t>ines</w:t>
      </w:r>
      <w:r w:rsidR="00112235">
        <w:rPr>
          <w:color w:val="000000"/>
          <w:lang w:val="fr-FR"/>
        </w:rPr>
        <w:t xml:space="preserve"> pour s’assurer </w:t>
      </w:r>
      <w:r w:rsidR="00432375">
        <w:rPr>
          <w:color w:val="000000"/>
          <w:lang w:val="fr-FR"/>
        </w:rPr>
        <w:t>qu’il</w:t>
      </w:r>
      <w:r w:rsidR="00112235">
        <w:rPr>
          <w:color w:val="000000"/>
          <w:lang w:val="fr-FR"/>
        </w:rPr>
        <w:t xml:space="preserve"> </w:t>
      </w:r>
      <w:r w:rsidR="00432375">
        <w:rPr>
          <w:color w:val="000000"/>
          <w:lang w:val="fr-FR"/>
        </w:rPr>
        <w:t xml:space="preserve">accepte d’être </w:t>
      </w:r>
      <w:r w:rsidR="00112235">
        <w:rPr>
          <w:color w:val="000000"/>
          <w:lang w:val="fr-FR"/>
        </w:rPr>
        <w:t xml:space="preserve">partie prenante de l’étude. Si les activités du programme ne se limitent plus qu’à </w:t>
      </w:r>
      <w:r w:rsidR="00112235" w:rsidRPr="004E01D2">
        <w:rPr>
          <w:lang w:val="fr-FR"/>
        </w:rPr>
        <w:t>l’étude</w:t>
      </w:r>
      <w:r w:rsidR="00112235">
        <w:rPr>
          <w:color w:val="000000"/>
          <w:lang w:val="fr-FR"/>
        </w:rPr>
        <w:t xml:space="preserve"> de l’expérience des observatoires de l’emploi féminin de la Sonatrach et de la Sonelgaz, cela r</w:t>
      </w:r>
      <w:r>
        <w:rPr>
          <w:color w:val="000000"/>
          <w:lang w:val="fr-FR"/>
        </w:rPr>
        <w:t>emettr</w:t>
      </w:r>
      <w:r w:rsidR="00112235">
        <w:rPr>
          <w:color w:val="000000"/>
          <w:lang w:val="fr-FR"/>
        </w:rPr>
        <w:t>a également</w:t>
      </w:r>
      <w:r>
        <w:rPr>
          <w:color w:val="000000"/>
          <w:lang w:val="fr-FR"/>
        </w:rPr>
        <w:t xml:space="preserve"> en question l’implicat</w:t>
      </w:r>
      <w:r w:rsidR="00112235">
        <w:rPr>
          <w:color w:val="000000"/>
          <w:lang w:val="fr-FR"/>
        </w:rPr>
        <w:t xml:space="preserve">ion du </w:t>
      </w:r>
      <w:r w:rsidR="00A07856" w:rsidRPr="00A07856">
        <w:rPr>
          <w:color w:val="000000"/>
          <w:lang w:val="fr-FR"/>
        </w:rPr>
        <w:t>MESRS</w:t>
      </w:r>
      <w:r w:rsidR="00112235">
        <w:rPr>
          <w:color w:val="000000"/>
          <w:lang w:val="fr-FR"/>
        </w:rPr>
        <w:t xml:space="preserve">. La mission </w:t>
      </w:r>
      <w:r w:rsidR="00112235" w:rsidRPr="00123C70">
        <w:rPr>
          <w:lang w:val="fr-FR"/>
        </w:rPr>
        <w:t>n’est</w:t>
      </w:r>
      <w:r w:rsidR="00112235">
        <w:rPr>
          <w:color w:val="000000"/>
          <w:lang w:val="fr-FR"/>
        </w:rPr>
        <w:t xml:space="preserve"> pas en mesure d’évaluer les conséquences de ce changement.</w:t>
      </w:r>
      <w:r w:rsidR="00546C7F">
        <w:rPr>
          <w:color w:val="000000"/>
          <w:lang w:val="fr-FR"/>
        </w:rPr>
        <w:t xml:space="preserve"> N’ayant pas suffisamment d’informations sur le fonctionnement du </w:t>
      </w:r>
      <w:r w:rsidR="00A07856" w:rsidRPr="00A07856">
        <w:rPr>
          <w:color w:val="000000"/>
          <w:lang w:val="fr-FR"/>
        </w:rPr>
        <w:t>MESRS</w:t>
      </w:r>
      <w:r w:rsidR="00546C7F">
        <w:rPr>
          <w:color w:val="000000"/>
          <w:lang w:val="fr-FR"/>
        </w:rPr>
        <w:t xml:space="preserve"> ni des besoins, la mission n’est pas en mesure non plus de formuler des recommandations visant à redéfinir le r</w:t>
      </w:r>
      <w:r w:rsidR="00546C7F">
        <w:rPr>
          <w:rFonts w:cs="Calibri"/>
          <w:color w:val="000000"/>
          <w:lang w:val="fr-FR"/>
        </w:rPr>
        <w:t>ô</w:t>
      </w:r>
      <w:r w:rsidR="00546C7F">
        <w:rPr>
          <w:color w:val="000000"/>
          <w:lang w:val="fr-FR"/>
        </w:rPr>
        <w:t>le que ce ministère pourrait continuer à jouer dans la mise en œuvre du programme.</w:t>
      </w:r>
    </w:p>
    <w:p w:rsidR="003D47AD" w:rsidRDefault="00B233DD" w:rsidP="003D47AD">
      <w:pPr>
        <w:pStyle w:val="NoSpacing"/>
        <w:rPr>
          <w:b/>
          <w:lang w:val="fr-FR"/>
        </w:rPr>
      </w:pPr>
      <w:r>
        <w:rPr>
          <w:b/>
          <w:noProof/>
        </w:rPr>
        <mc:AlternateContent>
          <mc:Choice Requires="wps">
            <w:drawing>
              <wp:anchor distT="0" distB="0" distL="114300" distR="114300" simplePos="0" relativeHeight="251679744" behindDoc="0" locked="0" layoutInCell="1" allowOverlap="1">
                <wp:simplePos x="0" y="0"/>
                <wp:positionH relativeFrom="column">
                  <wp:posOffset>-23495</wp:posOffset>
                </wp:positionH>
                <wp:positionV relativeFrom="paragraph">
                  <wp:posOffset>240030</wp:posOffset>
                </wp:positionV>
                <wp:extent cx="5772150" cy="271780"/>
                <wp:effectExtent l="0" t="0" r="19050" b="1460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71780"/>
                        </a:xfrm>
                        <a:prstGeom prst="rect">
                          <a:avLst/>
                        </a:prstGeom>
                        <a:solidFill>
                          <a:sysClr val="window" lastClr="FFFFFF">
                            <a:lumMod val="85000"/>
                            <a:alpha val="88000"/>
                          </a:sysClr>
                        </a:solidFill>
                        <a:ln w="9525">
                          <a:solidFill>
                            <a:srgbClr val="000000"/>
                          </a:solidFill>
                          <a:miter lim="800000"/>
                          <a:headEnd/>
                          <a:tailEnd/>
                        </a:ln>
                      </wps:spPr>
                      <wps:txbx>
                        <w:txbxContent>
                          <w:p w:rsidR="00E46B31" w:rsidRPr="00D3047F" w:rsidRDefault="00E46B31" w:rsidP="00D568CE">
                            <w:pPr>
                              <w:rPr>
                                <w:rFonts w:asciiTheme="minorHAnsi" w:hAnsiTheme="minorHAnsi" w:cstheme="minorHAnsi"/>
                                <w:sz w:val="22"/>
                                <w:szCs w:val="22"/>
                                <w:lang w:val="fr-FR"/>
                              </w:rPr>
                            </w:pPr>
                            <w:r>
                              <w:rPr>
                                <w:rFonts w:asciiTheme="minorHAnsi" w:hAnsiTheme="minorHAnsi" w:cstheme="minorHAnsi"/>
                                <w:b/>
                                <w:sz w:val="22"/>
                                <w:szCs w:val="22"/>
                                <w:lang w:val="fr-FR"/>
                              </w:rPr>
                              <w:t>P7</w:t>
                            </w:r>
                            <w:r w:rsidRPr="00D3047F">
                              <w:rPr>
                                <w:rFonts w:asciiTheme="minorHAnsi" w:hAnsiTheme="minorHAnsi" w:cstheme="minorHAnsi"/>
                                <w:sz w:val="22"/>
                                <w:szCs w:val="22"/>
                                <w:lang w:val="fr-FR"/>
                              </w:rPr>
                              <w:t>:</w:t>
                            </w:r>
                            <w:r w:rsidRPr="00D568CE">
                              <w:rPr>
                                <w:rFonts w:ascii="Calibri" w:hAnsi="Calibri" w:cs="Verdana"/>
                                <w:b/>
                                <w:bCs/>
                                <w:iCs/>
                                <w:snapToGrid w:val="0"/>
                                <w:sz w:val="20"/>
                                <w:szCs w:val="20"/>
                                <w:lang w:val="fr-FR"/>
                              </w:rPr>
                              <w:t xml:space="preserve"> </w:t>
                            </w:r>
                            <w:r w:rsidRPr="00D568CE">
                              <w:rPr>
                                <w:rFonts w:asciiTheme="minorHAnsi" w:hAnsiTheme="minorHAnsi" w:cstheme="minorHAnsi"/>
                                <w:b/>
                                <w:bCs/>
                                <w:iCs/>
                                <w:sz w:val="22"/>
                                <w:szCs w:val="22"/>
                                <w:lang w:val="fr-FR"/>
                              </w:rPr>
                              <w:t xml:space="preserve">L’offre de formation des femmes est mieux adaptée aux besoins du marché du travail </w:t>
                            </w:r>
                            <w:r>
                              <w:rPr>
                                <w:rFonts w:asciiTheme="minorHAnsi" w:hAnsiTheme="minorHAnsi" w:cstheme="minorHAnsi"/>
                                <w:sz w:val="22"/>
                                <w:szCs w:val="22"/>
                                <w:lang w:val="fr-FR"/>
                              </w:rPr>
                              <w:t xml:space="preserve"> </w:t>
                            </w:r>
                            <w:r w:rsidRPr="00D3047F">
                              <w:rPr>
                                <w:rFonts w:asciiTheme="minorHAnsi" w:hAnsiTheme="minorHAnsi" w:cstheme="minorHAnsi"/>
                                <w:sz w:val="22"/>
                                <w:szCs w:val="22"/>
                                <w:lang w:val="fr-FR"/>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5pt;margin-top:18.9pt;width:454.5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" fillcolor="#d9d9d9">
                <v:fill opacity="57568f"/>
                <v:textbox style="mso-fit-shape-to-text:t">
                  <w:txbxContent>
                    <w:p w:rsidR="00E46B31" w:rsidRPr="00D3047F" w:rsidRDefault="00E46B31" w:rsidP="00D568CE">
                      <w:pPr>
                        <w:rPr>
                          <w:rFonts w:asciiTheme="minorHAnsi" w:hAnsiTheme="minorHAnsi" w:cstheme="minorHAnsi"/>
                          <w:sz w:val="22"/>
                          <w:szCs w:val="22"/>
                          <w:lang w:val="fr-FR"/>
                        </w:rPr>
                      </w:pPr>
                      <w:r>
                        <w:rPr>
                          <w:rFonts w:asciiTheme="minorHAnsi" w:hAnsiTheme="minorHAnsi" w:cstheme="minorHAnsi"/>
                          <w:b/>
                          <w:sz w:val="22"/>
                          <w:szCs w:val="22"/>
                          <w:lang w:val="fr-FR"/>
                        </w:rPr>
                        <w:t>P7</w:t>
                      </w:r>
                      <w:r w:rsidRPr="00D3047F">
                        <w:rPr>
                          <w:rFonts w:asciiTheme="minorHAnsi" w:hAnsiTheme="minorHAnsi" w:cstheme="minorHAnsi"/>
                          <w:sz w:val="22"/>
                          <w:szCs w:val="22"/>
                          <w:lang w:val="fr-FR"/>
                        </w:rPr>
                        <w:t>:</w:t>
                      </w:r>
                      <w:r w:rsidRPr="00D568CE">
                        <w:rPr>
                          <w:rFonts w:ascii="Calibri" w:hAnsi="Calibri" w:cs="Verdana"/>
                          <w:b/>
                          <w:bCs/>
                          <w:iCs/>
                          <w:snapToGrid w:val="0"/>
                          <w:sz w:val="20"/>
                          <w:szCs w:val="20"/>
                          <w:lang w:val="fr-FR"/>
                        </w:rPr>
                        <w:t xml:space="preserve"> </w:t>
                      </w:r>
                      <w:r w:rsidRPr="00D568CE">
                        <w:rPr>
                          <w:rFonts w:asciiTheme="minorHAnsi" w:hAnsiTheme="minorHAnsi" w:cstheme="minorHAnsi"/>
                          <w:b/>
                          <w:bCs/>
                          <w:iCs/>
                          <w:sz w:val="22"/>
                          <w:szCs w:val="22"/>
                          <w:lang w:val="fr-FR"/>
                        </w:rPr>
                        <w:t xml:space="preserve">L’offre de formation des femmes est mieux adaptée aux besoins du marché du travail </w:t>
                      </w:r>
                      <w:r>
                        <w:rPr>
                          <w:rFonts w:asciiTheme="minorHAnsi" w:hAnsiTheme="minorHAnsi" w:cstheme="minorHAnsi"/>
                          <w:sz w:val="22"/>
                          <w:szCs w:val="22"/>
                          <w:lang w:val="fr-FR"/>
                        </w:rPr>
                        <w:t xml:space="preserve"> </w:t>
                      </w:r>
                      <w:r w:rsidRPr="00D3047F">
                        <w:rPr>
                          <w:rFonts w:asciiTheme="minorHAnsi" w:hAnsiTheme="minorHAnsi" w:cstheme="minorHAnsi"/>
                          <w:sz w:val="22"/>
                          <w:szCs w:val="22"/>
                          <w:lang w:val="fr-FR"/>
                        </w:rPr>
                        <w:t xml:space="preserve"> </w:t>
                      </w:r>
                    </w:p>
                  </w:txbxContent>
                </v:textbox>
                <w10:wrap type="topAndBottom"/>
              </v:shape>
            </w:pict>
          </mc:Fallback>
        </mc:AlternateContent>
      </w:r>
    </w:p>
    <w:p w:rsidR="00917DC2" w:rsidRDefault="00917DC2" w:rsidP="00123C70">
      <w:pPr>
        <w:pStyle w:val="NoSpacing"/>
        <w:numPr>
          <w:ilvl w:val="0"/>
          <w:numId w:val="1"/>
        </w:numPr>
        <w:ind w:left="0" w:firstLine="0"/>
        <w:rPr>
          <w:lang w:val="fr-FR"/>
        </w:rPr>
      </w:pPr>
      <w:r w:rsidRPr="00306E1E">
        <w:rPr>
          <w:b/>
          <w:lang w:val="fr-FR"/>
        </w:rPr>
        <w:t>Adaptation de l’offre de formation professionnelle</w:t>
      </w:r>
      <w:r w:rsidR="00396B86">
        <w:rPr>
          <w:b/>
          <w:lang w:val="fr-FR"/>
        </w:rPr>
        <w:t xml:space="preserve"> (A15)</w:t>
      </w:r>
      <w:r>
        <w:rPr>
          <w:lang w:val="fr-FR"/>
        </w:rPr>
        <w:t xml:space="preserve">. </w:t>
      </w:r>
      <w:r w:rsidR="00396B86">
        <w:rPr>
          <w:lang w:val="fr-FR"/>
        </w:rPr>
        <w:t xml:space="preserve">Afin de réaliser </w:t>
      </w:r>
      <w:r w:rsidR="00D568CE">
        <w:rPr>
          <w:lang w:val="fr-FR"/>
        </w:rPr>
        <w:t>l’ambitieux objectif d</w:t>
      </w:r>
      <w:r w:rsidR="00396B86">
        <w:rPr>
          <w:lang w:val="fr-FR"/>
        </w:rPr>
        <w:t xml:space="preserve">e réduire de 25% le taux et la durée de chômage des femmes (cible </w:t>
      </w:r>
      <w:r w:rsidR="001E3770">
        <w:rPr>
          <w:lang w:val="fr-FR"/>
        </w:rPr>
        <w:t>bien trop ambitieuse</w:t>
      </w:r>
      <w:r w:rsidR="00396B86">
        <w:rPr>
          <w:lang w:val="fr-FR"/>
        </w:rPr>
        <w:t xml:space="preserve"> définie dans le cadre de suivi du document de projet), les concepteurs du programme n’ont prévu qu’une activité et un budget de 40.000 dollars. Cette activité  unique est aussi la seule activité du programme qui a le </w:t>
      </w:r>
      <w:r w:rsidR="00467C9E">
        <w:rPr>
          <w:lang w:val="fr-FR"/>
        </w:rPr>
        <w:t>MFEP</w:t>
      </w:r>
      <w:r w:rsidR="00396B86">
        <w:rPr>
          <w:lang w:val="fr-FR"/>
        </w:rPr>
        <w:t xml:space="preserve"> pour partenaire gouvernemental, alors que le BIT a été choisi pour partenaire des NUs.</w:t>
      </w:r>
    </w:p>
    <w:p w:rsidR="00F75F17" w:rsidRPr="00432375" w:rsidRDefault="00312BA3" w:rsidP="00123C70">
      <w:pPr>
        <w:pStyle w:val="NoSpacing"/>
        <w:numPr>
          <w:ilvl w:val="0"/>
          <w:numId w:val="1"/>
        </w:numPr>
        <w:ind w:left="0" w:firstLine="0"/>
        <w:rPr>
          <w:lang w:val="fr-FR"/>
        </w:rPr>
      </w:pPr>
      <w:r w:rsidRPr="00432375">
        <w:rPr>
          <w:lang w:val="fr-FR"/>
        </w:rPr>
        <w:t>A ce jour, aucun budget n’a été transféré et cette activité est restée au point mort</w:t>
      </w:r>
      <w:r w:rsidR="00F75F17" w:rsidRPr="00432375">
        <w:rPr>
          <w:lang w:val="fr-FR"/>
        </w:rPr>
        <w:t xml:space="preserve"> car </w:t>
      </w:r>
      <w:r w:rsidR="000F536C">
        <w:rPr>
          <w:lang w:val="fr-FR"/>
        </w:rPr>
        <w:t xml:space="preserve">les partenaires n’ont pas </w:t>
      </w:r>
      <w:r w:rsidR="00F75F17" w:rsidRPr="00432375">
        <w:rPr>
          <w:lang w:val="fr-FR"/>
        </w:rPr>
        <w:t xml:space="preserve">réussi à préparer de TdR. En effet, après de longs mois d’attente et afin d’accélérer le processus, le </w:t>
      </w:r>
      <w:r w:rsidR="00467C9E">
        <w:rPr>
          <w:lang w:val="fr-FR"/>
        </w:rPr>
        <w:t>MFEP</w:t>
      </w:r>
      <w:r w:rsidR="00F75F17" w:rsidRPr="00432375">
        <w:rPr>
          <w:lang w:val="fr-FR"/>
        </w:rPr>
        <w:t xml:space="preserve"> et l’EP avaient préparé une première version de TdR, mais celle-ci fut finalement rejetée par le siège du BIT sans que le motif en soit partagé et sans que le BIT d’Alger, ou son siège, n’entreprennent d’améliorer ou de finaliser ces TdR. </w:t>
      </w:r>
      <w:r w:rsidR="005B213B" w:rsidRPr="00432375">
        <w:rPr>
          <w:lang w:val="fr-FR"/>
        </w:rPr>
        <w:t xml:space="preserve">Du côté du BIT, </w:t>
      </w:r>
      <w:r w:rsidR="002478B1" w:rsidRPr="00432375">
        <w:rPr>
          <w:lang w:val="fr-FR"/>
        </w:rPr>
        <w:t xml:space="preserve">il semble que </w:t>
      </w:r>
      <w:r w:rsidR="005B213B" w:rsidRPr="00432375">
        <w:rPr>
          <w:lang w:val="fr-FR"/>
        </w:rPr>
        <w:t xml:space="preserve">les difficultés ont porté sur la difficulté à mobiliser l’expertise technique du siège de Vienne, celui-ci étant apparemment de l’avis que le document de projet </w:t>
      </w:r>
      <w:r w:rsidR="00432375" w:rsidRPr="00432375">
        <w:rPr>
          <w:lang w:val="fr-FR"/>
        </w:rPr>
        <w:t xml:space="preserve">était trop </w:t>
      </w:r>
      <w:r w:rsidR="005B213B" w:rsidRPr="00432375">
        <w:rPr>
          <w:lang w:val="fr-FR"/>
        </w:rPr>
        <w:t>vague (ce que la mission ne saurait contredire).</w:t>
      </w:r>
      <w:r w:rsidR="00432375" w:rsidRPr="00432375">
        <w:rPr>
          <w:lang w:val="fr-FR"/>
        </w:rPr>
        <w:t xml:space="preserve"> </w:t>
      </w:r>
      <w:r w:rsidR="000F536C">
        <w:rPr>
          <w:lang w:val="fr-FR"/>
        </w:rPr>
        <w:t xml:space="preserve"> Au demeurant, il semble que le BIT a toujours soulevé le fait que l’objectif formulé dans le document de projet était trop ambitieux au regard de l’activité prévue. </w:t>
      </w:r>
      <w:r w:rsidR="00F75F17" w:rsidRPr="00432375">
        <w:rPr>
          <w:lang w:val="fr-FR"/>
        </w:rPr>
        <w:t xml:space="preserve">A l’examen des TdR préparés par le </w:t>
      </w:r>
      <w:r w:rsidR="00467C9E">
        <w:rPr>
          <w:lang w:val="fr-FR"/>
        </w:rPr>
        <w:t>MFEP</w:t>
      </w:r>
      <w:r w:rsidR="00F75F17" w:rsidRPr="00432375">
        <w:rPr>
          <w:lang w:val="fr-FR"/>
        </w:rPr>
        <w:t xml:space="preserve"> et l’EP, la mission peut comprendre que ce document ait pêché par ambition et ne représente </w:t>
      </w:r>
      <w:r w:rsidR="005B213B" w:rsidRPr="00432375">
        <w:rPr>
          <w:lang w:val="fr-FR"/>
        </w:rPr>
        <w:t xml:space="preserve">donc </w:t>
      </w:r>
      <w:r w:rsidR="00F75F17" w:rsidRPr="00432375">
        <w:rPr>
          <w:lang w:val="fr-FR"/>
        </w:rPr>
        <w:t>pas une base très solide pour le travail à mener. Cependant, la mission tient à faire remarquer que ces TdR ne diffèrent pas, s’agissant de leur qualité ou de la profondeur de l’analyse, de la plupart des autres TdR préparés dans le cadre de</w:t>
      </w:r>
      <w:r w:rsidR="005B213B" w:rsidRPr="00432375">
        <w:rPr>
          <w:lang w:val="fr-FR"/>
        </w:rPr>
        <w:t>s autres activités du programme.</w:t>
      </w:r>
      <w:r w:rsidR="00F75F17" w:rsidRPr="00432375">
        <w:rPr>
          <w:lang w:val="fr-FR"/>
        </w:rPr>
        <w:t xml:space="preserve"> A quelques exceptions près, tous les TdR élaborés par les partenaires ne font en effet que reprendre les énoncés du document de projet et n’apportent aucune, ou très peu, de valeur ajoutée. En d’autres termes, d’autres activités ont démarré sur la base de TdR bien plus fragiles que ceux préparés dans le cadre de l’A15. A tout le moins, le </w:t>
      </w:r>
      <w:r w:rsidR="005B213B" w:rsidRPr="00432375">
        <w:rPr>
          <w:lang w:val="fr-FR"/>
        </w:rPr>
        <w:t xml:space="preserve">BIT </w:t>
      </w:r>
      <w:r w:rsidR="00F75F17" w:rsidRPr="00432375">
        <w:rPr>
          <w:lang w:val="fr-FR"/>
        </w:rPr>
        <w:t>aurait dû s’assurer que des TdR améliorés soient préparés au plus vite.</w:t>
      </w:r>
      <w:r w:rsidR="000F536C">
        <w:rPr>
          <w:lang w:val="fr-FR"/>
        </w:rPr>
        <w:t xml:space="preserve"> </w:t>
      </w:r>
    </w:p>
    <w:p w:rsidR="00312BA3" w:rsidRDefault="000F536C" w:rsidP="00123C70">
      <w:pPr>
        <w:pStyle w:val="NoSpacing"/>
        <w:numPr>
          <w:ilvl w:val="0"/>
          <w:numId w:val="1"/>
        </w:numPr>
        <w:ind w:left="0" w:firstLine="0"/>
        <w:rPr>
          <w:lang w:val="fr-FR"/>
        </w:rPr>
      </w:pPr>
      <w:r>
        <w:rPr>
          <w:lang w:val="fr-FR"/>
        </w:rPr>
        <w:t>Lors de l’atelier de décembre 2011, le MFEP a semble-t-il réitéré le besoin qu’une mission technique soit organisée pour l’examen des possibilités d’actions pour cette activité et le BIT se serait engagé à mobiliser cette expertise et à organiser cette mission dans les meilleurs délais.</w:t>
      </w:r>
      <w:r w:rsidR="00F75F17">
        <w:rPr>
          <w:lang w:val="fr-FR"/>
        </w:rPr>
        <w:t xml:space="preserve"> </w:t>
      </w:r>
      <w:r w:rsidR="00917DC2">
        <w:rPr>
          <w:lang w:val="fr-FR"/>
        </w:rPr>
        <w:t>La mission a</w:t>
      </w:r>
      <w:r>
        <w:rPr>
          <w:lang w:val="fr-FR"/>
        </w:rPr>
        <w:t xml:space="preserve"> toutefois</w:t>
      </w:r>
      <w:r w:rsidR="00917DC2">
        <w:rPr>
          <w:lang w:val="fr-FR"/>
        </w:rPr>
        <w:t xml:space="preserve"> per</w:t>
      </w:r>
      <w:r w:rsidR="00917DC2">
        <w:rPr>
          <w:rFonts w:cs="Calibri"/>
          <w:lang w:val="fr-FR"/>
        </w:rPr>
        <w:t>ç</w:t>
      </w:r>
      <w:r w:rsidR="00917DC2">
        <w:rPr>
          <w:lang w:val="fr-FR"/>
        </w:rPr>
        <w:t xml:space="preserve">u que cette situation a été la cause d’une </w:t>
      </w:r>
      <w:r w:rsidR="005B213B">
        <w:rPr>
          <w:lang w:val="fr-FR"/>
        </w:rPr>
        <w:t>certaine</w:t>
      </w:r>
      <w:r w:rsidR="00917DC2">
        <w:rPr>
          <w:lang w:val="fr-FR"/>
        </w:rPr>
        <w:t xml:space="preserve"> frustration </w:t>
      </w:r>
      <w:r>
        <w:rPr>
          <w:lang w:val="fr-FR"/>
        </w:rPr>
        <w:t>parmi les partenaires.</w:t>
      </w:r>
      <w:r w:rsidR="005B213B">
        <w:rPr>
          <w:lang w:val="fr-FR"/>
        </w:rPr>
        <w:t xml:space="preserve"> </w:t>
      </w:r>
      <w:r w:rsidR="00917DC2">
        <w:rPr>
          <w:lang w:val="fr-FR"/>
        </w:rPr>
        <w:t>S’agissant de l’étud</w:t>
      </w:r>
      <w:r w:rsidR="00306E1E">
        <w:rPr>
          <w:lang w:val="fr-FR"/>
        </w:rPr>
        <w:t>e</w:t>
      </w:r>
      <w:r w:rsidR="00D568CE">
        <w:rPr>
          <w:lang w:val="fr-FR"/>
        </w:rPr>
        <w:t xml:space="preserve"> elle-même, et surtout de la cible du cadre logique (« </w:t>
      </w:r>
      <w:r w:rsidR="00D568CE" w:rsidRPr="00432375">
        <w:rPr>
          <w:i/>
          <w:lang w:val="fr-FR"/>
        </w:rPr>
        <w:t>quatre programme de la formation professionnelle sont adaptés aux besoins du marché du travail</w:t>
      </w:r>
      <w:r w:rsidR="00D568CE">
        <w:rPr>
          <w:lang w:val="fr-FR"/>
        </w:rPr>
        <w:t> </w:t>
      </w:r>
      <w:r w:rsidR="00432375">
        <w:rPr>
          <w:lang w:val="fr-FR"/>
        </w:rPr>
        <w:t>»)</w:t>
      </w:r>
      <w:r w:rsidR="00D568CE">
        <w:rPr>
          <w:lang w:val="fr-FR"/>
        </w:rPr>
        <w:t>, la mission est d’avis que les objectifs poursuivis sont peu clairs et surtout très ambitieux</w:t>
      </w:r>
      <w:r w:rsidR="00B6184F">
        <w:rPr>
          <w:lang w:val="fr-FR"/>
        </w:rPr>
        <w:t>. En tout état de cause, ils ne s</w:t>
      </w:r>
      <w:r w:rsidR="00432375">
        <w:rPr>
          <w:lang w:val="fr-FR"/>
        </w:rPr>
        <w:t>emblent</w:t>
      </w:r>
      <w:r w:rsidR="00B6184F">
        <w:rPr>
          <w:lang w:val="fr-FR"/>
        </w:rPr>
        <w:t xml:space="preserve"> plus réalisables aujourd’hui.</w:t>
      </w:r>
    </w:p>
    <w:p w:rsidR="00B6184F" w:rsidRDefault="00B6184F" w:rsidP="00123C70">
      <w:pPr>
        <w:pStyle w:val="NoSpacing"/>
        <w:numPr>
          <w:ilvl w:val="0"/>
          <w:numId w:val="1"/>
        </w:numPr>
        <w:ind w:left="0" w:firstLine="0"/>
        <w:rPr>
          <w:lang w:val="fr-FR"/>
        </w:rPr>
      </w:pPr>
      <w:r>
        <w:rPr>
          <w:lang w:val="fr-FR"/>
        </w:rPr>
        <w:t xml:space="preserve">Devant l’importance du retard accumulé, si ce n’était l’importance stratégique du besoin que l’offre de formation en Algérie soit mieux adaptée aux besoins du marché de travail, en général, et </w:t>
      </w:r>
      <w:r w:rsidR="00551C2E">
        <w:rPr>
          <w:lang w:val="fr-FR"/>
        </w:rPr>
        <w:t>aux</w:t>
      </w:r>
      <w:r>
        <w:rPr>
          <w:lang w:val="fr-FR"/>
        </w:rPr>
        <w:t xml:space="preserve"> besoins des femmes voulant s’engager dans une activité génératrice de revenus en particulier, la mission recommanderait l’annulation p</w:t>
      </w:r>
      <w:r w:rsidR="00551C2E">
        <w:rPr>
          <w:lang w:val="fr-FR"/>
        </w:rPr>
        <w:t>ure et simple de cette activité</w:t>
      </w:r>
      <w:r>
        <w:rPr>
          <w:lang w:val="fr-FR"/>
        </w:rPr>
        <w:t xml:space="preserve">. Durant ses travaux sur le terrain, à Tamanrasset, la mission a cependant eu l’occasion de constater qu’une évaluation de l’adéquation de l’offre de formation professionnelle aux besoins des femmes souhaitant s’engager </w:t>
      </w:r>
      <w:r>
        <w:rPr>
          <w:lang w:val="fr-FR"/>
        </w:rPr>
        <w:lastRenderedPageBreak/>
        <w:t>dans une activité génératrice de revenus serait grandement utile</w:t>
      </w:r>
      <w:r w:rsidR="00551C2E">
        <w:rPr>
          <w:lang w:val="fr-FR"/>
        </w:rPr>
        <w:t xml:space="preserve"> et que des améliorations simples peuvent être apportées</w:t>
      </w:r>
      <w:r w:rsidR="00432375">
        <w:rPr>
          <w:lang w:val="fr-FR"/>
        </w:rPr>
        <w:t>.</w:t>
      </w:r>
      <w:r>
        <w:rPr>
          <w:lang w:val="fr-FR"/>
        </w:rPr>
        <w:t xml:space="preserve"> </w:t>
      </w:r>
    </w:p>
    <w:p w:rsidR="00B6184F" w:rsidRDefault="00B6184F" w:rsidP="00123C70">
      <w:pPr>
        <w:pStyle w:val="NoSpacing"/>
        <w:numPr>
          <w:ilvl w:val="0"/>
          <w:numId w:val="1"/>
        </w:numPr>
        <w:ind w:left="0" w:firstLine="0"/>
        <w:rPr>
          <w:lang w:val="fr-FR"/>
        </w:rPr>
      </w:pPr>
      <w:r>
        <w:rPr>
          <w:lang w:val="fr-FR"/>
        </w:rPr>
        <w:t>La mission recommande donc une reformulation en profondeur de l’A15</w:t>
      </w:r>
      <w:r w:rsidR="00273EF4">
        <w:rPr>
          <w:lang w:val="fr-FR"/>
        </w:rPr>
        <w:t xml:space="preserve"> et sa réorientation</w:t>
      </w:r>
      <w:r>
        <w:rPr>
          <w:lang w:val="fr-FR"/>
        </w:rPr>
        <w:t xml:space="preserve"> vers la conduite d’une étude approfondie</w:t>
      </w:r>
      <w:r w:rsidR="00551C2E">
        <w:rPr>
          <w:rStyle w:val="FootnoteReference"/>
          <w:lang w:val="fr-FR"/>
        </w:rPr>
        <w:footnoteReference w:id="48"/>
      </w:r>
      <w:r>
        <w:rPr>
          <w:lang w:val="fr-FR"/>
        </w:rPr>
        <w:t xml:space="preserve">, avec études de cas, de l’adaptation de l’offre </w:t>
      </w:r>
      <w:r w:rsidR="00273EF4">
        <w:rPr>
          <w:lang w:val="fr-FR"/>
        </w:rPr>
        <w:t xml:space="preserve">actuelle </w:t>
      </w:r>
      <w:r>
        <w:rPr>
          <w:lang w:val="fr-FR"/>
        </w:rPr>
        <w:t xml:space="preserve">de formation professionnelle aux besoins des femmes </w:t>
      </w:r>
      <w:r w:rsidR="00273EF4">
        <w:rPr>
          <w:lang w:val="fr-FR"/>
        </w:rPr>
        <w:t xml:space="preserve">rurales et urbaines </w:t>
      </w:r>
      <w:r>
        <w:rPr>
          <w:lang w:val="fr-FR"/>
        </w:rPr>
        <w:t xml:space="preserve">souhaitant </w:t>
      </w:r>
      <w:r w:rsidR="00273EF4">
        <w:rPr>
          <w:lang w:val="fr-FR"/>
        </w:rPr>
        <w:t xml:space="preserve">s’engager dans une activité génératrice de revenus profitable et </w:t>
      </w:r>
      <w:r>
        <w:rPr>
          <w:lang w:val="fr-FR"/>
        </w:rPr>
        <w:t>aux jeunes filles</w:t>
      </w:r>
      <w:r w:rsidR="00273EF4">
        <w:rPr>
          <w:lang w:val="fr-FR"/>
        </w:rPr>
        <w:t xml:space="preserve"> rurales et urbaines</w:t>
      </w:r>
      <w:r>
        <w:rPr>
          <w:lang w:val="fr-FR"/>
        </w:rPr>
        <w:t xml:space="preserve"> sans diplôme et sans </w:t>
      </w:r>
      <w:r w:rsidR="00273EF4">
        <w:rPr>
          <w:lang w:val="fr-FR"/>
        </w:rPr>
        <w:t>qualification désireuses de trouver un emploi salarié dans un secteur porteur</w:t>
      </w:r>
      <w:r>
        <w:rPr>
          <w:lang w:val="fr-FR"/>
        </w:rPr>
        <w:t xml:space="preserve">. Plus particulièrement il s’agira d’identifier, parmi l’offre de plus de 300 formations fournies par le </w:t>
      </w:r>
      <w:r w:rsidR="00467C9E">
        <w:rPr>
          <w:lang w:val="fr-FR"/>
        </w:rPr>
        <w:t>MFEP</w:t>
      </w:r>
      <w:r>
        <w:rPr>
          <w:lang w:val="fr-FR"/>
        </w:rPr>
        <w:t xml:space="preserve">, les formations visant </w:t>
      </w:r>
      <w:r w:rsidR="00E41557">
        <w:rPr>
          <w:lang w:val="fr-FR"/>
        </w:rPr>
        <w:t>à l’autonomisation financière de la femme et à la formation professionnelle des jeunes filles ; puis d’évaluer, à travers des enquêtes auprès de femmes et jeunes filles ayant bénéficié de formations récentes ou il y a plusieurs années, si ces formations ont eu l’impact escompté au niveau de l’employabilité ou du niveau de revenus des bénéficiaires.</w:t>
      </w:r>
    </w:p>
    <w:p w:rsidR="00E41557" w:rsidRPr="00312BA3" w:rsidRDefault="00E41557" w:rsidP="00123C70">
      <w:pPr>
        <w:pStyle w:val="NoSpacing"/>
        <w:numPr>
          <w:ilvl w:val="0"/>
          <w:numId w:val="1"/>
        </w:numPr>
        <w:ind w:left="0" w:firstLine="0"/>
        <w:rPr>
          <w:lang w:val="fr-FR"/>
        </w:rPr>
      </w:pPr>
      <w:r>
        <w:rPr>
          <w:lang w:val="fr-FR"/>
        </w:rPr>
        <w:t xml:space="preserve">Ce faisant, la mission est consciente des réticences du </w:t>
      </w:r>
      <w:r w:rsidR="00467C9E">
        <w:rPr>
          <w:lang w:val="fr-FR"/>
        </w:rPr>
        <w:t>MFEP</w:t>
      </w:r>
      <w:r>
        <w:rPr>
          <w:lang w:val="fr-FR"/>
        </w:rPr>
        <w:t xml:space="preserve"> à réaliser une telle étude, la culture</w:t>
      </w:r>
      <w:r w:rsidR="00551C2E">
        <w:rPr>
          <w:lang w:val="fr-FR"/>
        </w:rPr>
        <w:t xml:space="preserve"> de l’évaluation ne semblant pas encore très développée dans le secteur public du pays. Le </w:t>
      </w:r>
      <w:r w:rsidR="00467C9E">
        <w:rPr>
          <w:lang w:val="fr-FR"/>
        </w:rPr>
        <w:t>MFEP</w:t>
      </w:r>
      <w:r w:rsidR="00551C2E">
        <w:rPr>
          <w:lang w:val="fr-FR"/>
        </w:rPr>
        <w:t xml:space="preserve"> pourrait également arguer, peut-être avec raison, qu’il ne doit être tenu responsable que de la qualité de l’enseignement prodigué dans ses centres de formation professionnelle et que c’est à d’autres institutions de prendre le relais pour accompagner les bénéficiaires dans leur recherche d’emplois ou dans la création de leur activité génératrice de revenus. </w:t>
      </w:r>
      <w:r w:rsidR="00A027E3">
        <w:rPr>
          <w:lang w:val="fr-FR"/>
        </w:rPr>
        <w:t xml:space="preserve">En d’autres termes, le </w:t>
      </w:r>
      <w:r w:rsidR="00467C9E">
        <w:rPr>
          <w:lang w:val="fr-FR"/>
        </w:rPr>
        <w:t>MFEP</w:t>
      </w:r>
      <w:r w:rsidR="00A027E3">
        <w:rPr>
          <w:lang w:val="fr-FR"/>
        </w:rPr>
        <w:t xml:space="preserve"> pourrait arguer que sa seule responsabilité et d’inculquer des aptitudes nouvelles à ses élèves. </w:t>
      </w:r>
      <w:r w:rsidR="00551C2E">
        <w:rPr>
          <w:lang w:val="fr-FR"/>
        </w:rPr>
        <w:t xml:space="preserve">La question fondamentale que devront donc se poser les partenaires gouvernementaux est la suivante : la formation professionnelle n’a-t-elle pas pour ultime objectif </w:t>
      </w:r>
      <w:r w:rsidR="00A027E3">
        <w:rPr>
          <w:lang w:val="fr-FR"/>
        </w:rPr>
        <w:t>d’inculquer des aptitudes qui soient à la fois utiles aux employeurs à la recherche d’un certain profil et utiles à l’inactif souhaitant s’engager dans une activité productive ou salariale rémunératrice?</w:t>
      </w:r>
      <w:r w:rsidR="00551C2E">
        <w:rPr>
          <w:lang w:val="fr-FR"/>
        </w:rPr>
        <w:t xml:space="preserve"> </w:t>
      </w:r>
    </w:p>
    <w:p w:rsidR="00AA739B" w:rsidRPr="00A027E3" w:rsidRDefault="00B233DD" w:rsidP="00E92093">
      <w:pPr>
        <w:pStyle w:val="NoSpacing"/>
        <w:ind w:left="990" w:hanging="360"/>
        <w:rPr>
          <w:lang w:val="fr-FR"/>
        </w:rPr>
      </w:pPr>
      <w:r>
        <w:rPr>
          <w:b/>
          <w:noProof/>
        </w:rPr>
        <mc:AlternateContent>
          <mc:Choice Requires="wps">
            <w:drawing>
              <wp:anchor distT="0" distB="0" distL="114300" distR="114300" simplePos="0" relativeHeight="251677696" behindDoc="0" locked="0" layoutInCell="1" allowOverlap="1">
                <wp:simplePos x="0" y="0"/>
                <wp:positionH relativeFrom="column">
                  <wp:posOffset>3175</wp:posOffset>
                </wp:positionH>
                <wp:positionV relativeFrom="paragraph">
                  <wp:posOffset>227965</wp:posOffset>
                </wp:positionV>
                <wp:extent cx="5772150" cy="426720"/>
                <wp:effectExtent l="0" t="0" r="19050" b="12065"/>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26720"/>
                        </a:xfrm>
                        <a:prstGeom prst="rect">
                          <a:avLst/>
                        </a:prstGeom>
                        <a:solidFill>
                          <a:sysClr val="window" lastClr="FFFFFF">
                            <a:lumMod val="85000"/>
                            <a:alpha val="88000"/>
                          </a:sysClr>
                        </a:solidFill>
                        <a:ln w="9525">
                          <a:solidFill>
                            <a:srgbClr val="000000"/>
                          </a:solidFill>
                          <a:miter lim="800000"/>
                          <a:headEnd/>
                          <a:tailEnd/>
                        </a:ln>
                      </wps:spPr>
                      <wps:txbx>
                        <w:txbxContent>
                          <w:p w:rsidR="00E46B31" w:rsidRPr="00E92093" w:rsidRDefault="00E46B31" w:rsidP="00737BDE">
                            <w:pPr>
                              <w:rPr>
                                <w:rFonts w:asciiTheme="minorHAnsi" w:hAnsiTheme="minorHAnsi" w:cstheme="minorHAnsi"/>
                                <w:sz w:val="22"/>
                                <w:szCs w:val="22"/>
                                <w:lang w:val="fr-FR"/>
                              </w:rPr>
                            </w:pPr>
                            <w:r>
                              <w:rPr>
                                <w:rFonts w:asciiTheme="minorHAnsi" w:hAnsiTheme="minorHAnsi" w:cstheme="minorHAnsi"/>
                                <w:b/>
                                <w:sz w:val="22"/>
                                <w:szCs w:val="22"/>
                                <w:lang w:val="fr-FR"/>
                              </w:rPr>
                              <w:t>P8</w:t>
                            </w:r>
                            <w:r w:rsidRPr="00D3047F">
                              <w:rPr>
                                <w:rFonts w:asciiTheme="minorHAnsi" w:hAnsiTheme="minorHAnsi" w:cstheme="minorHAnsi"/>
                                <w:sz w:val="22"/>
                                <w:szCs w:val="22"/>
                                <w:lang w:val="fr-FR"/>
                              </w:rPr>
                              <w:t xml:space="preserve">: </w:t>
                            </w:r>
                            <w:r w:rsidRPr="00E92093">
                              <w:rPr>
                                <w:rFonts w:ascii="Calibri" w:hAnsi="Calibri" w:cs="Calibri"/>
                                <w:b/>
                                <w:bCs/>
                                <w:iCs/>
                                <w:snapToGrid w:val="0"/>
                                <w:sz w:val="20"/>
                                <w:szCs w:val="20"/>
                                <w:lang w:val="fr-FR"/>
                              </w:rPr>
                              <w:t xml:space="preserve">L’accès des femmes aux mécanismes et dispositifs existants de création d’emplois et d’accès à l’entreprenariat et au crédit est amélioré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5pt;margin-top:17.95pt;width:454.5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" fillcolor="#d9d9d9">
                <v:fill opacity="57568f"/>
                <v:textbox style="mso-fit-shape-to-text:t">
                  <w:txbxContent>
                    <w:p w:rsidR="00E46B31" w:rsidRPr="00E92093" w:rsidRDefault="00E46B31" w:rsidP="00737BDE">
                      <w:pPr>
                        <w:rPr>
                          <w:rFonts w:asciiTheme="minorHAnsi" w:hAnsiTheme="minorHAnsi" w:cstheme="minorHAnsi"/>
                          <w:sz w:val="22"/>
                          <w:szCs w:val="22"/>
                          <w:lang w:val="fr-FR"/>
                        </w:rPr>
                      </w:pPr>
                      <w:r>
                        <w:rPr>
                          <w:rFonts w:asciiTheme="minorHAnsi" w:hAnsiTheme="minorHAnsi" w:cstheme="minorHAnsi"/>
                          <w:b/>
                          <w:sz w:val="22"/>
                          <w:szCs w:val="22"/>
                          <w:lang w:val="fr-FR"/>
                        </w:rPr>
                        <w:t>P8</w:t>
                      </w:r>
                      <w:r w:rsidRPr="00D3047F">
                        <w:rPr>
                          <w:rFonts w:asciiTheme="minorHAnsi" w:hAnsiTheme="minorHAnsi" w:cstheme="minorHAnsi"/>
                          <w:sz w:val="22"/>
                          <w:szCs w:val="22"/>
                          <w:lang w:val="fr-FR"/>
                        </w:rPr>
                        <w:t xml:space="preserve">: </w:t>
                      </w:r>
                      <w:r w:rsidRPr="00E92093">
                        <w:rPr>
                          <w:rFonts w:ascii="Calibri" w:hAnsi="Calibri" w:cs="Calibri"/>
                          <w:b/>
                          <w:bCs/>
                          <w:iCs/>
                          <w:snapToGrid w:val="0"/>
                          <w:sz w:val="20"/>
                          <w:szCs w:val="20"/>
                          <w:lang w:val="fr-FR"/>
                        </w:rPr>
                        <w:t xml:space="preserve">L’accès des femmes aux mécanismes et dispositifs existants de création d’emplois et d’accès à l’entreprenariat et au crédit est amélioré  </w:t>
                      </w:r>
                    </w:p>
                  </w:txbxContent>
                </v:textbox>
                <w10:wrap type="topAndBottom"/>
              </v:shape>
            </w:pict>
          </mc:Fallback>
        </mc:AlternateContent>
      </w:r>
    </w:p>
    <w:p w:rsidR="00432375" w:rsidRDefault="00A03AE5" w:rsidP="00432375">
      <w:pPr>
        <w:pStyle w:val="NoSpacing"/>
        <w:numPr>
          <w:ilvl w:val="0"/>
          <w:numId w:val="1"/>
        </w:numPr>
        <w:ind w:left="0" w:firstLine="0"/>
        <w:rPr>
          <w:lang w:val="fr-FR"/>
        </w:rPr>
      </w:pPr>
      <w:r>
        <w:rPr>
          <w:lang w:val="fr-FR"/>
        </w:rPr>
        <w:t>En partant du principe que</w:t>
      </w:r>
      <w:r w:rsidR="00A82345">
        <w:rPr>
          <w:lang w:val="fr-FR"/>
        </w:rPr>
        <w:t xml:space="preserve"> les femmes et le grand public en général sont mal informés sur la nature des dispositifs étatiques d’appui existants</w:t>
      </w:r>
      <w:r w:rsidR="00E27A2E">
        <w:rPr>
          <w:lang w:val="fr-FR"/>
        </w:rPr>
        <w:t>,</w:t>
      </w:r>
      <w:r w:rsidR="00A82345">
        <w:rPr>
          <w:lang w:val="fr-FR"/>
        </w:rPr>
        <w:t xml:space="preserve"> et avec comme supposé de base que ces dispositifs fonctionnent correctement et remplissent leurs objectifs, les </w:t>
      </w:r>
      <w:r>
        <w:rPr>
          <w:lang w:val="fr-FR"/>
        </w:rPr>
        <w:t xml:space="preserve">concepteurs du </w:t>
      </w:r>
      <w:r w:rsidR="00A82345">
        <w:rPr>
          <w:lang w:val="fr-FR"/>
        </w:rPr>
        <w:t xml:space="preserve">programme ont souhaité </w:t>
      </w:r>
      <w:r w:rsidR="00EB33DF">
        <w:rPr>
          <w:lang w:val="fr-FR"/>
        </w:rPr>
        <w:t>la mise en œuvre de cinq activités à réalis</w:t>
      </w:r>
      <w:r w:rsidR="00A07856">
        <w:rPr>
          <w:lang w:val="fr-FR"/>
        </w:rPr>
        <w:t>er par trois partenaires des NU</w:t>
      </w:r>
      <w:r w:rsidR="00EB33DF">
        <w:rPr>
          <w:lang w:val="fr-FR"/>
        </w:rPr>
        <w:t xml:space="preserve"> et deux partenaires du gouvernement</w:t>
      </w:r>
      <w:r w:rsidR="00E27A2E">
        <w:rPr>
          <w:lang w:val="fr-FR"/>
        </w:rPr>
        <w:t>. De l’avis de la mission, la</w:t>
      </w:r>
      <w:r w:rsidR="00EB33DF">
        <w:rPr>
          <w:lang w:val="fr-FR"/>
        </w:rPr>
        <w:t xml:space="preserve"> cohérence, entre elles, </w:t>
      </w:r>
      <w:r w:rsidR="00E27A2E">
        <w:rPr>
          <w:lang w:val="fr-FR"/>
        </w:rPr>
        <w:t xml:space="preserve">de ces activités </w:t>
      </w:r>
      <w:r w:rsidR="00EB33DF">
        <w:rPr>
          <w:lang w:val="fr-FR"/>
        </w:rPr>
        <w:t xml:space="preserve">n’est pas évidente et </w:t>
      </w:r>
      <w:r w:rsidR="00E27A2E">
        <w:rPr>
          <w:lang w:val="fr-FR"/>
        </w:rPr>
        <w:t>leur</w:t>
      </w:r>
      <w:r w:rsidR="00EB33DF">
        <w:rPr>
          <w:lang w:val="fr-FR"/>
        </w:rPr>
        <w:t xml:space="preserve"> contribution à l’objectif énoncé </w:t>
      </w:r>
      <w:r w:rsidR="00E27A2E">
        <w:rPr>
          <w:lang w:val="fr-FR"/>
        </w:rPr>
        <w:t xml:space="preserve">n’est </w:t>
      </w:r>
      <w:r w:rsidR="00EB33DF">
        <w:rPr>
          <w:lang w:val="fr-FR"/>
        </w:rPr>
        <w:t>pas toujours très claire.</w:t>
      </w:r>
      <w:r w:rsidR="00461DA7">
        <w:rPr>
          <w:lang w:val="fr-FR"/>
        </w:rPr>
        <w:t xml:space="preserve"> </w:t>
      </w:r>
    </w:p>
    <w:p w:rsidR="00A03AE5" w:rsidRPr="00432375" w:rsidRDefault="00461DA7" w:rsidP="00432375">
      <w:pPr>
        <w:pStyle w:val="NoSpacing"/>
        <w:numPr>
          <w:ilvl w:val="0"/>
          <w:numId w:val="1"/>
        </w:numPr>
        <w:ind w:left="0" w:firstLine="0"/>
        <w:rPr>
          <w:lang w:val="fr-FR"/>
        </w:rPr>
      </w:pPr>
      <w:r w:rsidRPr="00432375">
        <w:rPr>
          <w:lang w:val="fr-FR"/>
        </w:rPr>
        <w:t>En outre, alors que le document de projet mentionnent que certa</w:t>
      </w:r>
      <w:r w:rsidR="00E27A2E" w:rsidRPr="00432375">
        <w:rPr>
          <w:lang w:val="fr-FR"/>
        </w:rPr>
        <w:t>ines de ces activités auront un caractère pilote (parmi lesquelles, semble-t-il, l’A18, l’A19 et l’A20), aucune précision n’est apportée sur les efforts particuliers devant d’ordinaire être déployés pour la bonne mise en œuvre d’actions pilotes, notamment en terme de suivi et d’évaluation et d’acquisition et de partage des connaissances.</w:t>
      </w:r>
      <w:r w:rsidR="0073500F" w:rsidRPr="00432375">
        <w:rPr>
          <w:lang w:val="fr-FR"/>
        </w:rPr>
        <w:t xml:space="preserve"> Le document de projet se  contente de mentionner qu’à l’issue d’une évaluation, elles seront progressivement étendues à travers le pays.</w:t>
      </w:r>
    </w:p>
    <w:p w:rsidR="002E07C8" w:rsidRDefault="00E92093" w:rsidP="00123C70">
      <w:pPr>
        <w:pStyle w:val="NoSpacing"/>
        <w:numPr>
          <w:ilvl w:val="0"/>
          <w:numId w:val="1"/>
        </w:numPr>
        <w:ind w:left="0" w:firstLine="0"/>
        <w:rPr>
          <w:lang w:val="fr-FR"/>
        </w:rPr>
      </w:pPr>
      <w:r w:rsidRPr="002E07C8">
        <w:rPr>
          <w:b/>
          <w:lang w:val="fr-FR"/>
        </w:rPr>
        <w:t xml:space="preserve">Mise en place d’un observatoire du marché du travail (A16). </w:t>
      </w:r>
      <w:r w:rsidR="00E27A2E" w:rsidRPr="002E07C8">
        <w:rPr>
          <w:lang w:val="fr-FR"/>
        </w:rPr>
        <w:t xml:space="preserve">Dotée d’un budget de 110.000 dollars et confiée </w:t>
      </w:r>
      <w:r w:rsidR="002E07C8" w:rsidRPr="002E07C8">
        <w:rPr>
          <w:lang w:val="fr-FR"/>
        </w:rPr>
        <w:t>à l’exécution du</w:t>
      </w:r>
      <w:r w:rsidR="00E27A2E" w:rsidRPr="002E07C8">
        <w:rPr>
          <w:lang w:val="fr-FR"/>
        </w:rPr>
        <w:t xml:space="preserve"> BIT et au M</w:t>
      </w:r>
      <w:r w:rsidR="00867FD1" w:rsidRPr="002E07C8">
        <w:rPr>
          <w:lang w:val="fr-FR"/>
        </w:rPr>
        <w:t xml:space="preserve">TESS, cette activité envisageait la conception et la mise en place d’un outil de S/E du marché du travail visant à évaluer les </w:t>
      </w:r>
      <w:r w:rsidR="002E07C8" w:rsidRPr="00A060B6">
        <w:rPr>
          <w:i/>
          <w:lang w:val="fr-FR"/>
        </w:rPr>
        <w:t>P</w:t>
      </w:r>
      <w:r w:rsidR="00867FD1" w:rsidRPr="00A060B6">
        <w:rPr>
          <w:i/>
          <w:lang w:val="fr-FR"/>
        </w:rPr>
        <w:t>olitique</w:t>
      </w:r>
      <w:r w:rsidR="002E07C8" w:rsidRPr="00A060B6">
        <w:rPr>
          <w:i/>
          <w:lang w:val="fr-FR"/>
        </w:rPr>
        <w:t>s A</w:t>
      </w:r>
      <w:r w:rsidR="00867FD1" w:rsidRPr="00A060B6">
        <w:rPr>
          <w:i/>
          <w:lang w:val="fr-FR"/>
        </w:rPr>
        <w:t xml:space="preserve">ctives du </w:t>
      </w:r>
      <w:r w:rsidR="002E07C8" w:rsidRPr="00A060B6">
        <w:rPr>
          <w:i/>
          <w:lang w:val="fr-FR"/>
        </w:rPr>
        <w:t>M</w:t>
      </w:r>
      <w:r w:rsidR="00867FD1" w:rsidRPr="00A060B6">
        <w:rPr>
          <w:i/>
          <w:lang w:val="fr-FR"/>
        </w:rPr>
        <w:t xml:space="preserve">arché du </w:t>
      </w:r>
      <w:r w:rsidR="002E07C8" w:rsidRPr="00A060B6">
        <w:rPr>
          <w:i/>
          <w:lang w:val="fr-FR"/>
        </w:rPr>
        <w:t>T</w:t>
      </w:r>
      <w:r w:rsidR="00867FD1" w:rsidRPr="00A060B6">
        <w:rPr>
          <w:i/>
          <w:lang w:val="fr-FR"/>
        </w:rPr>
        <w:t>ravail</w:t>
      </w:r>
      <w:r w:rsidR="00867FD1" w:rsidRPr="002E07C8">
        <w:rPr>
          <w:lang w:val="fr-FR"/>
        </w:rPr>
        <w:t xml:space="preserve"> (PAMT) et en particulier les contraintes d’</w:t>
      </w:r>
      <w:r w:rsidR="002E07C8" w:rsidRPr="002E07C8">
        <w:rPr>
          <w:lang w:val="fr-FR"/>
        </w:rPr>
        <w:t>accès</w:t>
      </w:r>
      <w:r w:rsidR="00867FD1" w:rsidRPr="002E07C8">
        <w:rPr>
          <w:lang w:val="fr-FR"/>
        </w:rPr>
        <w:t xml:space="preserve"> et les obstacles à l’insertion des femmes dans les PAMT.</w:t>
      </w:r>
      <w:r w:rsidR="00867FD1" w:rsidRPr="002E07C8">
        <w:rPr>
          <w:b/>
          <w:lang w:val="fr-FR"/>
        </w:rPr>
        <w:t xml:space="preserve"> </w:t>
      </w:r>
      <w:r w:rsidR="00867FD1" w:rsidRPr="002E07C8">
        <w:rPr>
          <w:lang w:val="fr-FR"/>
        </w:rPr>
        <w:t xml:space="preserve">N’ayant pas pu </w:t>
      </w:r>
      <w:r w:rsidR="002E07C8" w:rsidRPr="002E07C8">
        <w:rPr>
          <w:lang w:val="fr-FR"/>
        </w:rPr>
        <w:t>rencontrer</w:t>
      </w:r>
      <w:r w:rsidR="00867FD1" w:rsidRPr="002E07C8">
        <w:rPr>
          <w:lang w:val="fr-FR"/>
        </w:rPr>
        <w:t xml:space="preserve"> le MTESS, la mission n’a p</w:t>
      </w:r>
      <w:r w:rsidR="002E07C8" w:rsidRPr="002E07C8">
        <w:rPr>
          <w:lang w:val="fr-FR"/>
        </w:rPr>
        <w:t>u</w:t>
      </w:r>
      <w:r w:rsidR="00867FD1" w:rsidRPr="002E07C8">
        <w:rPr>
          <w:lang w:val="fr-FR"/>
        </w:rPr>
        <w:t xml:space="preserve"> recueillir de plus amples </w:t>
      </w:r>
      <w:r w:rsidR="00867FD1" w:rsidRPr="002E07C8">
        <w:rPr>
          <w:lang w:val="fr-FR"/>
        </w:rPr>
        <w:lastRenderedPageBreak/>
        <w:t>informations sur ce dispositif, ni sur l’</w:t>
      </w:r>
      <w:r w:rsidR="002E07C8" w:rsidRPr="002E07C8">
        <w:rPr>
          <w:lang w:val="fr-FR"/>
        </w:rPr>
        <w:t>intérêt</w:t>
      </w:r>
      <w:r w:rsidR="00867FD1" w:rsidRPr="002E07C8">
        <w:rPr>
          <w:lang w:val="fr-FR"/>
        </w:rPr>
        <w:t xml:space="preserve"> </w:t>
      </w:r>
      <w:r w:rsidR="00432375" w:rsidRPr="002E07C8">
        <w:rPr>
          <w:lang w:val="fr-FR"/>
        </w:rPr>
        <w:t>porté</w:t>
      </w:r>
      <w:r w:rsidR="00867FD1" w:rsidRPr="002E07C8">
        <w:rPr>
          <w:lang w:val="fr-FR"/>
        </w:rPr>
        <w:t xml:space="preserve"> par le </w:t>
      </w:r>
      <w:r w:rsidR="002E07C8" w:rsidRPr="002E07C8">
        <w:rPr>
          <w:lang w:val="fr-FR"/>
        </w:rPr>
        <w:t>ministère</w:t>
      </w:r>
      <w:r w:rsidR="00867FD1" w:rsidRPr="002E07C8">
        <w:rPr>
          <w:lang w:val="fr-FR"/>
        </w:rPr>
        <w:t xml:space="preserve"> </w:t>
      </w:r>
      <w:r w:rsidR="002E07C8" w:rsidRPr="002E07C8">
        <w:rPr>
          <w:lang w:val="fr-FR"/>
        </w:rPr>
        <w:t>à</w:t>
      </w:r>
      <w:r w:rsidR="00867FD1" w:rsidRPr="002E07C8">
        <w:rPr>
          <w:lang w:val="fr-FR"/>
        </w:rPr>
        <w:t xml:space="preserve"> cette </w:t>
      </w:r>
      <w:r w:rsidR="002E07C8" w:rsidRPr="002E07C8">
        <w:rPr>
          <w:lang w:val="fr-FR"/>
        </w:rPr>
        <w:t>activité</w:t>
      </w:r>
      <w:r w:rsidR="00867FD1" w:rsidRPr="002E07C8">
        <w:rPr>
          <w:lang w:val="fr-FR"/>
        </w:rPr>
        <w:t>.</w:t>
      </w:r>
      <w:r w:rsidR="002E07C8" w:rsidRPr="002E07C8">
        <w:rPr>
          <w:lang w:val="fr-FR"/>
        </w:rPr>
        <w:t xml:space="preserve"> </w:t>
      </w:r>
      <w:r w:rsidR="00867FD1" w:rsidRPr="002E07C8">
        <w:rPr>
          <w:lang w:val="fr-FR"/>
        </w:rPr>
        <w:t>E</w:t>
      </w:r>
      <w:r w:rsidR="002E07C8" w:rsidRPr="002E07C8">
        <w:rPr>
          <w:lang w:val="fr-FR"/>
        </w:rPr>
        <w:t>n</w:t>
      </w:r>
      <w:r w:rsidR="00867FD1" w:rsidRPr="002E07C8">
        <w:rPr>
          <w:lang w:val="fr-FR"/>
        </w:rPr>
        <w:t xml:space="preserve"> tout </w:t>
      </w:r>
      <w:r w:rsidR="002E07C8" w:rsidRPr="002E07C8">
        <w:rPr>
          <w:lang w:val="fr-FR"/>
        </w:rPr>
        <w:t>état</w:t>
      </w:r>
      <w:r w:rsidR="00867FD1" w:rsidRPr="002E07C8">
        <w:rPr>
          <w:lang w:val="fr-FR"/>
        </w:rPr>
        <w:t xml:space="preserve"> de cause, </w:t>
      </w:r>
      <w:r w:rsidR="002E07C8">
        <w:rPr>
          <w:lang w:val="fr-FR"/>
        </w:rPr>
        <w:t>cette activité semble pertinente au regard des objectifs du programme</w:t>
      </w:r>
      <w:r w:rsidR="005E513A">
        <w:rPr>
          <w:lang w:val="fr-FR"/>
        </w:rPr>
        <w:t xml:space="preserve"> même si</w:t>
      </w:r>
      <w:r w:rsidR="00432375">
        <w:rPr>
          <w:lang w:val="fr-FR"/>
        </w:rPr>
        <w:t xml:space="preserve"> elle apparaî</w:t>
      </w:r>
      <w:r w:rsidR="005E513A">
        <w:rPr>
          <w:lang w:val="fr-FR"/>
        </w:rPr>
        <w:t>t extrêmement ambitieuse et complexe.</w:t>
      </w:r>
    </w:p>
    <w:p w:rsidR="00867FD1" w:rsidRDefault="005E513A" w:rsidP="00123C70">
      <w:pPr>
        <w:pStyle w:val="NoSpacing"/>
        <w:numPr>
          <w:ilvl w:val="0"/>
          <w:numId w:val="1"/>
        </w:numPr>
        <w:ind w:left="0" w:firstLine="0"/>
        <w:rPr>
          <w:lang w:val="fr-FR"/>
        </w:rPr>
      </w:pPr>
      <w:r>
        <w:rPr>
          <w:lang w:val="fr-FR"/>
        </w:rPr>
        <w:t xml:space="preserve">Au mois de juin 2011, une première réunion a été organisée entre les partenaires, puis des TdR </w:t>
      </w:r>
      <w:r w:rsidR="003B0530">
        <w:rPr>
          <w:lang w:val="fr-FR"/>
        </w:rPr>
        <w:t xml:space="preserve">ont </w:t>
      </w:r>
      <w:r>
        <w:rPr>
          <w:lang w:val="fr-FR"/>
        </w:rPr>
        <w:t>été envoyés au siège du BIT, mais c</w:t>
      </w:r>
      <w:r w:rsidR="00867FD1" w:rsidRPr="002E07C8">
        <w:rPr>
          <w:lang w:val="fr-FR"/>
        </w:rPr>
        <w:t xml:space="preserve">ette activité est </w:t>
      </w:r>
      <w:r>
        <w:rPr>
          <w:lang w:val="fr-FR"/>
        </w:rPr>
        <w:t xml:space="preserve">depuis </w:t>
      </w:r>
      <w:r w:rsidR="002E07C8" w:rsidRPr="002E07C8">
        <w:rPr>
          <w:lang w:val="fr-FR"/>
        </w:rPr>
        <w:t>restée</w:t>
      </w:r>
      <w:r w:rsidR="002E07C8">
        <w:rPr>
          <w:lang w:val="fr-FR"/>
        </w:rPr>
        <w:t xml:space="preserve"> au point mort alors qu’un montant de 30.000 dollars a été transféré.</w:t>
      </w:r>
      <w:r>
        <w:rPr>
          <w:lang w:val="fr-FR"/>
        </w:rPr>
        <w:t xml:space="preserve"> D’après le</w:t>
      </w:r>
      <w:r w:rsidR="003B0530">
        <w:rPr>
          <w:lang w:val="fr-FR"/>
        </w:rPr>
        <w:t>s informations fournies à la mission</w:t>
      </w:r>
      <w:r>
        <w:rPr>
          <w:lang w:val="fr-FR"/>
        </w:rPr>
        <w:t xml:space="preserve">, le département technique concerné </w:t>
      </w:r>
      <w:r w:rsidR="003B0530">
        <w:rPr>
          <w:lang w:val="fr-FR"/>
        </w:rPr>
        <w:t>du</w:t>
      </w:r>
      <w:r>
        <w:rPr>
          <w:lang w:val="fr-FR"/>
        </w:rPr>
        <w:t xml:space="preserve"> siège</w:t>
      </w:r>
      <w:r w:rsidR="003B0530">
        <w:rPr>
          <w:lang w:val="fr-FR"/>
        </w:rPr>
        <w:t xml:space="preserve"> du BIT</w:t>
      </w:r>
      <w:r>
        <w:rPr>
          <w:lang w:val="fr-FR"/>
        </w:rPr>
        <w:t xml:space="preserve"> a programmé de réaliser une mission technique en janvier/février 2012</w:t>
      </w:r>
      <w:r>
        <w:rPr>
          <w:rStyle w:val="FootnoteReference"/>
          <w:lang w:val="fr-FR"/>
        </w:rPr>
        <w:footnoteReference w:id="49"/>
      </w:r>
      <w:r>
        <w:rPr>
          <w:lang w:val="fr-FR"/>
        </w:rPr>
        <w:t xml:space="preserve"> qui servira de préalable à une autre mission pour le lancement proprement dit des travaux.</w:t>
      </w:r>
    </w:p>
    <w:p w:rsidR="006D6C8A" w:rsidRDefault="005E513A" w:rsidP="00123C70">
      <w:pPr>
        <w:pStyle w:val="NoSpacing"/>
        <w:numPr>
          <w:ilvl w:val="0"/>
          <w:numId w:val="1"/>
        </w:numPr>
        <w:ind w:left="0" w:firstLine="0"/>
        <w:rPr>
          <w:lang w:val="fr-FR"/>
        </w:rPr>
      </w:pPr>
      <w:r>
        <w:rPr>
          <w:lang w:val="fr-FR"/>
        </w:rPr>
        <w:t>Etant donné l’incertitude</w:t>
      </w:r>
      <w:r w:rsidR="003B0530">
        <w:rPr>
          <w:rStyle w:val="FootnoteReference"/>
          <w:lang w:val="fr-FR"/>
        </w:rPr>
        <w:footnoteReference w:id="50"/>
      </w:r>
      <w:r>
        <w:rPr>
          <w:lang w:val="fr-FR"/>
        </w:rPr>
        <w:t xml:space="preserve"> qui pèse encore sur la capacité du BIT à mobiliser auprès de son siège l’</w:t>
      </w:r>
      <w:r w:rsidR="00177585">
        <w:rPr>
          <w:lang w:val="fr-FR"/>
        </w:rPr>
        <w:t>appui technique nécessaire et étant donné la complexité de cette activité, l</w:t>
      </w:r>
      <w:r>
        <w:rPr>
          <w:lang w:val="fr-FR"/>
        </w:rPr>
        <w:t xml:space="preserve">a mission </w:t>
      </w:r>
      <w:r w:rsidR="00177585">
        <w:rPr>
          <w:lang w:val="fr-FR"/>
        </w:rPr>
        <w:t>est d’avis qu’il n’</w:t>
      </w:r>
      <w:r w:rsidR="00A62124">
        <w:rPr>
          <w:lang w:val="fr-FR"/>
        </w:rPr>
        <w:t xml:space="preserve">est pas réaliste de penser qu’elle </w:t>
      </w:r>
      <w:r w:rsidR="00177585">
        <w:rPr>
          <w:lang w:val="fr-FR"/>
        </w:rPr>
        <w:t>puisse être réalisée d’ici à la fin du programme conjoint</w:t>
      </w:r>
      <w:r w:rsidR="00A060B6">
        <w:rPr>
          <w:lang w:val="fr-FR"/>
        </w:rPr>
        <w:t>. Au maximum, si l’expertise requise est mobilisée avant la fin du premier trimestre, le BIT pourra-t-il réaliser une évaluation sur l’impact des PAMT sur l’insertion professionnelle des femmes et des jeunes</w:t>
      </w:r>
      <w:r w:rsidR="00432375">
        <w:rPr>
          <w:lang w:val="fr-FR"/>
        </w:rPr>
        <w:t>.</w:t>
      </w:r>
    </w:p>
    <w:p w:rsidR="006D6C8A" w:rsidRDefault="00A96A9A" w:rsidP="00123C70">
      <w:pPr>
        <w:pStyle w:val="NoSpacing"/>
        <w:numPr>
          <w:ilvl w:val="0"/>
          <w:numId w:val="1"/>
        </w:numPr>
        <w:ind w:left="0" w:firstLine="0"/>
        <w:rPr>
          <w:lang w:val="fr-FR"/>
        </w:rPr>
      </w:pPr>
      <w:r w:rsidRPr="006D6C8A">
        <w:rPr>
          <w:b/>
          <w:lang w:val="fr-FR"/>
        </w:rPr>
        <w:t>Renforcement des connaissances sur les dispositifs de création d’emploi</w:t>
      </w:r>
      <w:r w:rsidR="006D6C8A">
        <w:rPr>
          <w:b/>
          <w:lang w:val="fr-FR"/>
        </w:rPr>
        <w:t xml:space="preserve"> (A17)</w:t>
      </w:r>
      <w:r w:rsidRPr="006D6C8A">
        <w:rPr>
          <w:b/>
          <w:lang w:val="fr-FR"/>
        </w:rPr>
        <w:t>.</w:t>
      </w:r>
      <w:r w:rsidRPr="006D6C8A">
        <w:rPr>
          <w:lang w:val="fr-FR"/>
        </w:rPr>
        <w:t xml:space="preserve"> Partant du principe que les ONGs et les partenaires sociaux sont mal informés sur les dispositifs de création d’emplois existants, les concepteurs ont souhaité que des activités d’information et de sensibilisation soient organisées à leur bénéfice. Le document de projet ne décrit pas précisément ces dispositifs, mais il cite en exemple ceux de l’Agence </w:t>
      </w:r>
      <w:r w:rsidR="00A07856">
        <w:rPr>
          <w:lang w:val="fr-FR"/>
        </w:rPr>
        <w:t xml:space="preserve">Nationale </w:t>
      </w:r>
      <w:r w:rsidRPr="006D6C8A">
        <w:rPr>
          <w:lang w:val="fr-FR"/>
        </w:rPr>
        <w:t xml:space="preserve">de </w:t>
      </w:r>
      <w:r w:rsidR="00A07856">
        <w:rPr>
          <w:lang w:val="fr-FR"/>
        </w:rPr>
        <w:t xml:space="preserve">Soutien </w:t>
      </w:r>
      <w:r w:rsidRPr="006D6C8A">
        <w:rPr>
          <w:lang w:val="fr-FR"/>
        </w:rPr>
        <w:t>de l’</w:t>
      </w:r>
      <w:r w:rsidR="00A07856">
        <w:rPr>
          <w:lang w:val="fr-FR"/>
        </w:rPr>
        <w:t>E</w:t>
      </w:r>
      <w:r w:rsidRPr="006D6C8A">
        <w:rPr>
          <w:lang w:val="fr-FR"/>
        </w:rPr>
        <w:t xml:space="preserve">mploi des </w:t>
      </w:r>
      <w:r w:rsidR="00A07856">
        <w:rPr>
          <w:lang w:val="fr-FR"/>
        </w:rPr>
        <w:t>J</w:t>
      </w:r>
      <w:r w:rsidRPr="006D6C8A">
        <w:rPr>
          <w:lang w:val="fr-FR"/>
        </w:rPr>
        <w:t xml:space="preserve">eunes (ANSEJ) et l’Agence Nationale de Gestion du Microcrédit (ANGEM). </w:t>
      </w:r>
    </w:p>
    <w:p w:rsidR="00AA739B" w:rsidRDefault="006D6C8A" w:rsidP="00123C70">
      <w:pPr>
        <w:pStyle w:val="NoSpacing"/>
        <w:numPr>
          <w:ilvl w:val="0"/>
          <w:numId w:val="1"/>
        </w:numPr>
        <w:ind w:left="0" w:firstLine="0"/>
        <w:rPr>
          <w:lang w:val="fr-FR"/>
        </w:rPr>
      </w:pPr>
      <w:r w:rsidRPr="006D6C8A">
        <w:rPr>
          <w:lang w:val="fr-FR"/>
        </w:rPr>
        <w:t>L’objectif apparemment poursuivi est que les organisations ainsi formée</w:t>
      </w:r>
      <w:r>
        <w:rPr>
          <w:lang w:val="fr-FR"/>
        </w:rPr>
        <w:t>s, de p</w:t>
      </w:r>
      <w:r w:rsidRPr="006D6C8A">
        <w:rPr>
          <w:lang w:val="fr-FR"/>
        </w:rPr>
        <w:t xml:space="preserve">ar leur travail de proximité avec les femmes, seront capables de mieux accompagner les femmes dans la création de micro-entreprises particulièrement en milieu rural. Le document de projet ne prévoit cependant pas que le programme accompagne </w:t>
      </w:r>
      <w:r>
        <w:rPr>
          <w:lang w:val="fr-FR"/>
        </w:rPr>
        <w:t>ces mêmes</w:t>
      </w:r>
      <w:r w:rsidRPr="006D6C8A">
        <w:rPr>
          <w:lang w:val="fr-FR"/>
        </w:rPr>
        <w:t xml:space="preserve"> organisations dans ce processus, alors que d’autres activités du programme mises en œuvre par </w:t>
      </w:r>
      <w:r>
        <w:rPr>
          <w:lang w:val="fr-FR"/>
        </w:rPr>
        <w:t xml:space="preserve">le BIT ou </w:t>
      </w:r>
      <w:r w:rsidRPr="006D6C8A">
        <w:rPr>
          <w:lang w:val="fr-FR"/>
        </w:rPr>
        <w:t>d’autres partenaires, ont le même objectif (par exemple l’</w:t>
      </w:r>
      <w:r w:rsidR="00F3677C">
        <w:rPr>
          <w:lang w:val="fr-FR"/>
        </w:rPr>
        <w:t>A11, l’</w:t>
      </w:r>
      <w:r w:rsidRPr="006D6C8A">
        <w:rPr>
          <w:lang w:val="fr-FR"/>
        </w:rPr>
        <w:t xml:space="preserve">A18, l’A19, A22, l’A23). </w:t>
      </w:r>
      <w:r>
        <w:rPr>
          <w:lang w:val="fr-FR"/>
        </w:rPr>
        <w:t xml:space="preserve">En d’autres termes, on aurait intérêt à ce que les organisations qui seront appuyées dans le cadre des autres activités du programme visant à l’accompagnement des femmes dans la création d’une activité génératrices de revenus puissent bénéficier de la formation prévue à l’A17. </w:t>
      </w:r>
    </w:p>
    <w:p w:rsidR="00432375" w:rsidRDefault="00F3677C" w:rsidP="00432375">
      <w:pPr>
        <w:pStyle w:val="NoSpacing"/>
        <w:numPr>
          <w:ilvl w:val="0"/>
          <w:numId w:val="1"/>
        </w:numPr>
        <w:ind w:left="0" w:firstLine="0"/>
        <w:rPr>
          <w:lang w:val="fr-FR"/>
        </w:rPr>
      </w:pPr>
      <w:r w:rsidRPr="00432375">
        <w:rPr>
          <w:lang w:val="fr-FR"/>
        </w:rPr>
        <w:t xml:space="preserve">Aucune activité n’a à ce jour démarré alors qu’un budget de 5.000 dollars, sur les 40.000 alloués, </w:t>
      </w:r>
      <w:r w:rsidR="00432375" w:rsidRPr="00432375">
        <w:rPr>
          <w:lang w:val="fr-FR"/>
        </w:rPr>
        <w:t>a</w:t>
      </w:r>
      <w:r w:rsidRPr="00432375">
        <w:rPr>
          <w:lang w:val="fr-FR"/>
        </w:rPr>
        <w:t xml:space="preserve"> déjà été transféré. Etant donné qu’il ne s’agit pas d’une activité complexe</w:t>
      </w:r>
      <w:r>
        <w:rPr>
          <w:rStyle w:val="FootnoteReference"/>
          <w:lang w:val="fr-FR"/>
        </w:rPr>
        <w:footnoteReference w:id="51"/>
      </w:r>
      <w:r w:rsidRPr="00432375">
        <w:rPr>
          <w:lang w:val="fr-FR"/>
        </w:rPr>
        <w:t xml:space="preserve"> et qu’aucun partenaire gouvernemental n’a été nommé, ce qui laisse au BIT le champ libre, la mission ne peut s’expliquer les raisons pour lesquelles cette activité n’a pas encore démarré. </w:t>
      </w:r>
    </w:p>
    <w:p w:rsidR="00F3677C" w:rsidRPr="00432375" w:rsidRDefault="00F3677C" w:rsidP="00123C70">
      <w:pPr>
        <w:pStyle w:val="NoSpacing"/>
        <w:numPr>
          <w:ilvl w:val="0"/>
          <w:numId w:val="1"/>
        </w:numPr>
        <w:ind w:left="0" w:firstLine="0"/>
        <w:rPr>
          <w:lang w:val="fr-FR"/>
        </w:rPr>
      </w:pPr>
      <w:r w:rsidRPr="00432375">
        <w:rPr>
          <w:lang w:val="fr-FR"/>
        </w:rPr>
        <w:t>En tout état de cause, et comme déjà mentionné, la mission souhaite attirer l’attention de tous les partenaires sur le fait qu’il serait utile de vérifier si le présupposé de base – que les dispositifs existants sont performants et méritent d’être mieux connus – est exact. Au cours de ses travaux sur le terrain, la mission a ainsi pu constater que le dispositif actuel de l’ANGEM</w:t>
      </w:r>
      <w:r w:rsidR="00DF7378" w:rsidRPr="00432375">
        <w:rPr>
          <w:lang w:val="fr-FR"/>
        </w:rPr>
        <w:t xml:space="preserve"> </w:t>
      </w:r>
      <w:r w:rsidR="00A72B7A" w:rsidRPr="00432375">
        <w:rPr>
          <w:lang w:val="fr-FR"/>
        </w:rPr>
        <w:t xml:space="preserve">ne </w:t>
      </w:r>
      <w:r w:rsidR="00DF7378" w:rsidRPr="00432375">
        <w:rPr>
          <w:lang w:val="fr-FR"/>
        </w:rPr>
        <w:t xml:space="preserve">semble </w:t>
      </w:r>
      <w:r w:rsidR="00A72B7A" w:rsidRPr="00432375">
        <w:rPr>
          <w:lang w:val="fr-FR"/>
        </w:rPr>
        <w:t>pas fonctionner de fa</w:t>
      </w:r>
      <w:r w:rsidR="00A72B7A" w:rsidRPr="00432375">
        <w:rPr>
          <w:rFonts w:cs="Calibri"/>
          <w:lang w:val="fr-FR"/>
        </w:rPr>
        <w:t>ç</w:t>
      </w:r>
      <w:r w:rsidR="00A72B7A" w:rsidRPr="00432375">
        <w:rPr>
          <w:lang w:val="fr-FR"/>
        </w:rPr>
        <w:t>on optimale</w:t>
      </w:r>
      <w:r w:rsidR="00DF7378" w:rsidRPr="00432375">
        <w:rPr>
          <w:lang w:val="fr-FR"/>
        </w:rPr>
        <w:t xml:space="preserve">. La mission souhaiterait donc recommander qu’en prémisse à l’A17 telle que formulée dans le document de projet, ou en remplacement pur et simple de cette activité, le programme réalise un état des lieux approfondi sur l’efficacité des dispositifs existants. L’objectif  sera évidemment de formuler des recommandations utiles à l’amélioration de ces dispositifs, à charge </w:t>
      </w:r>
      <w:r w:rsidR="00DF7378" w:rsidRPr="00432375">
        <w:rPr>
          <w:lang w:val="fr-FR"/>
        </w:rPr>
        <w:lastRenderedPageBreak/>
        <w:t>pour le gouvernement algérien d’apporter plus tard les améliorations nécessaires. Etant donné que la culture de l’évaluation et du résultat ne semble pas encore très répandue en Algérie, comme mentionné précédemment, il se peut que cette recommandation soit mal acceptée par les responsables gouvernementaux concernés et qu’e</w:t>
      </w:r>
      <w:r w:rsidR="003B0530">
        <w:rPr>
          <w:lang w:val="fr-FR"/>
        </w:rPr>
        <w:t xml:space="preserve">lle ne soit donc pas applicable, d’autant qu’elle peut sembler lourde et complexe. </w:t>
      </w:r>
      <w:r w:rsidR="00DF7378" w:rsidRPr="00432375">
        <w:rPr>
          <w:lang w:val="fr-FR"/>
        </w:rPr>
        <w:t xml:space="preserve">Si tel était le cas, la mission recommande l’annulation de l’A17 telle que formulée dans le document de projet. </w:t>
      </w:r>
    </w:p>
    <w:p w:rsidR="00A72B7A" w:rsidRDefault="00DF7378" w:rsidP="00123C70">
      <w:pPr>
        <w:pStyle w:val="NoSpacing"/>
        <w:numPr>
          <w:ilvl w:val="0"/>
          <w:numId w:val="1"/>
        </w:numPr>
        <w:ind w:left="0" w:firstLine="0"/>
        <w:rPr>
          <w:lang w:val="fr-FR"/>
        </w:rPr>
      </w:pPr>
      <w:r w:rsidRPr="00DF7378">
        <w:rPr>
          <w:b/>
          <w:lang w:val="fr-FR"/>
        </w:rPr>
        <w:t>Formation de formateurs/rices (A18</w:t>
      </w:r>
      <w:r>
        <w:rPr>
          <w:lang w:val="fr-FR"/>
        </w:rPr>
        <w:t xml:space="preserve">). </w:t>
      </w:r>
      <w:r w:rsidR="00A72B7A">
        <w:rPr>
          <w:lang w:val="fr-FR"/>
        </w:rPr>
        <w:t xml:space="preserve">Sans donner de plus amples détails, le </w:t>
      </w:r>
      <w:r w:rsidR="003B3645">
        <w:rPr>
          <w:lang w:val="fr-FR"/>
        </w:rPr>
        <w:t>cadre logique du document</w:t>
      </w:r>
      <w:r w:rsidR="00A72B7A">
        <w:rPr>
          <w:lang w:val="fr-FR"/>
        </w:rPr>
        <w:t xml:space="preserve"> projet prévoyait aussi qu’une trentaine de formateurs/rices seraient formés aux techniques et outils de gestion de micro-entreprises, afin d’accompagner leur travail dans les institutions d’appui à la création et la gestion de micro-entreprise ou au développement de l’entreprenariat des femmes. </w:t>
      </w:r>
    </w:p>
    <w:p w:rsidR="00A72B7A" w:rsidRDefault="00432375" w:rsidP="00123C70">
      <w:pPr>
        <w:pStyle w:val="NoSpacing"/>
        <w:numPr>
          <w:ilvl w:val="0"/>
          <w:numId w:val="1"/>
        </w:numPr>
        <w:ind w:left="0" w:firstLine="0"/>
        <w:rPr>
          <w:lang w:val="fr-FR"/>
        </w:rPr>
      </w:pPr>
      <w:r>
        <w:rPr>
          <w:lang w:val="fr-FR"/>
        </w:rPr>
        <w:t>Confiée au</w:t>
      </w:r>
      <w:r w:rsidR="00A72B7A">
        <w:rPr>
          <w:lang w:val="fr-FR"/>
        </w:rPr>
        <w:t xml:space="preserve"> BIT et </w:t>
      </w:r>
      <w:r w:rsidR="00576EB1">
        <w:rPr>
          <w:lang w:val="fr-FR"/>
        </w:rPr>
        <w:t>au</w:t>
      </w:r>
      <w:r w:rsidR="00A72B7A">
        <w:rPr>
          <w:lang w:val="fr-FR"/>
        </w:rPr>
        <w:t xml:space="preserve"> MTESS et dotée d’un budget important de 170.000 dollars, cette activité n’a pas encore démarré. Le BIT ra</w:t>
      </w:r>
      <w:r w:rsidR="009C7FBD">
        <w:rPr>
          <w:lang w:val="fr-FR"/>
        </w:rPr>
        <w:t>pporte avoir formulé</w:t>
      </w:r>
      <w:r w:rsidR="00A72B7A">
        <w:rPr>
          <w:lang w:val="fr-FR"/>
        </w:rPr>
        <w:t xml:space="preserve"> des TdR avec l’appui du siè</w:t>
      </w:r>
      <w:r w:rsidR="00576EB1">
        <w:rPr>
          <w:lang w:val="fr-FR"/>
        </w:rPr>
        <w:t xml:space="preserve">ge et des maîtres formateurs </w:t>
      </w:r>
      <w:r w:rsidR="00A72B7A">
        <w:rPr>
          <w:lang w:val="fr-FR"/>
        </w:rPr>
        <w:t>auraient été identifiés. Il est prévu que</w:t>
      </w:r>
      <w:r w:rsidR="00A800EF">
        <w:rPr>
          <w:lang w:val="fr-FR"/>
        </w:rPr>
        <w:t xml:space="preserve"> leur mission commence au cours du premier trimestre 2012 et que la formation elle-même dure trois semaines. </w:t>
      </w:r>
      <w:r w:rsidR="00C133FA">
        <w:rPr>
          <w:lang w:val="fr-FR"/>
        </w:rPr>
        <w:t>Il est étonnant de not</w:t>
      </w:r>
      <w:r w:rsidR="00576EB1">
        <w:rPr>
          <w:lang w:val="fr-FR"/>
        </w:rPr>
        <w:t>er</w:t>
      </w:r>
      <w:r w:rsidR="00C133FA">
        <w:rPr>
          <w:lang w:val="fr-FR"/>
        </w:rPr>
        <w:t xml:space="preserve"> que ces préparatifs ne so</w:t>
      </w:r>
      <w:r w:rsidR="00576EB1">
        <w:rPr>
          <w:lang w:val="fr-FR"/>
        </w:rPr>
        <w:t>ie</w:t>
      </w:r>
      <w:r w:rsidR="00C133FA">
        <w:rPr>
          <w:lang w:val="fr-FR"/>
        </w:rPr>
        <w:t>nt pas mentionnés dans le rapport de la revue annuelle de décembre 2011.</w:t>
      </w:r>
    </w:p>
    <w:p w:rsidR="00A800EF" w:rsidRDefault="00A800EF" w:rsidP="00123C70">
      <w:pPr>
        <w:pStyle w:val="NoSpacing"/>
        <w:numPr>
          <w:ilvl w:val="0"/>
          <w:numId w:val="1"/>
        </w:numPr>
        <w:ind w:left="0" w:firstLine="0"/>
        <w:rPr>
          <w:lang w:val="fr-FR"/>
        </w:rPr>
      </w:pPr>
      <w:r>
        <w:rPr>
          <w:lang w:val="fr-FR"/>
        </w:rPr>
        <w:t xml:space="preserve">Etant donné l’état peu avancé de cette activité, la mission n’est pas en mesure de donner un avis. La seule recommandation concerne le besoin de s’assurer que la mission des formateurs aura bien lieu lors du premier trimestre 2012, faute de quoi la mission recommande l’annulation de cette activité. Si l’activité a bien lieu, il conviendra </w:t>
      </w:r>
      <w:r w:rsidR="00576EB1">
        <w:rPr>
          <w:lang w:val="fr-FR"/>
        </w:rPr>
        <w:t>d</w:t>
      </w:r>
      <w:r>
        <w:rPr>
          <w:lang w:val="fr-FR"/>
        </w:rPr>
        <w:t>’arrêter une liste de participants pertinents, le document de projet étant vague sur ce point. Par ailleurs, la mission recommande que cette formation bénéficie en priorité aux parte</w:t>
      </w:r>
      <w:r w:rsidR="00576EB1">
        <w:rPr>
          <w:lang w:val="fr-FR"/>
        </w:rPr>
        <w:t>naires locaux impliqués dans la</w:t>
      </w:r>
      <w:r>
        <w:rPr>
          <w:lang w:val="fr-FR"/>
        </w:rPr>
        <w:t xml:space="preserve"> mise en œuvre des activités du programme visant à l’appui à la création de PME, </w:t>
      </w:r>
      <w:r w:rsidRPr="00576EB1">
        <w:rPr>
          <w:lang w:val="fr-FR"/>
        </w:rPr>
        <w:t>notamment l’A19, l’A20, l’A22 et l’A23.</w:t>
      </w:r>
      <w:r>
        <w:rPr>
          <w:lang w:val="fr-FR"/>
        </w:rPr>
        <w:t xml:space="preserve"> </w:t>
      </w:r>
    </w:p>
    <w:p w:rsidR="00A800EF" w:rsidRDefault="00A800EF" w:rsidP="00123C70">
      <w:pPr>
        <w:pStyle w:val="NoSpacing"/>
        <w:numPr>
          <w:ilvl w:val="0"/>
          <w:numId w:val="1"/>
        </w:numPr>
        <w:ind w:left="0" w:firstLine="0"/>
        <w:rPr>
          <w:lang w:val="fr-FR"/>
        </w:rPr>
      </w:pPr>
      <w:r w:rsidRPr="00A800EF">
        <w:rPr>
          <w:b/>
          <w:lang w:val="fr-FR"/>
        </w:rPr>
        <w:t>Incubateur pilote de Tipaza (A19</w:t>
      </w:r>
      <w:r>
        <w:rPr>
          <w:lang w:val="fr-FR"/>
        </w:rPr>
        <w:t xml:space="preserve">). </w:t>
      </w:r>
      <w:r w:rsidR="003B3645">
        <w:rPr>
          <w:lang w:val="fr-FR"/>
        </w:rPr>
        <w:t xml:space="preserve">Afin, semble-t-il, </w:t>
      </w:r>
      <w:r w:rsidR="00C133FA">
        <w:rPr>
          <w:lang w:val="fr-FR"/>
        </w:rPr>
        <w:t xml:space="preserve">de conseiller et </w:t>
      </w:r>
      <w:r w:rsidR="003B3645">
        <w:rPr>
          <w:lang w:val="fr-FR"/>
        </w:rPr>
        <w:t xml:space="preserve">d’accompagner les femmes entrepreneurs à créer ou renforcer leurs micro-entreprises, le cadre logique du programme inclut une activité d’assistance technique à </w:t>
      </w:r>
      <w:r w:rsidR="00C133FA">
        <w:rPr>
          <w:lang w:val="fr-FR"/>
        </w:rPr>
        <w:t>la création d’un incubateur pilote</w:t>
      </w:r>
      <w:r w:rsidR="00745C42">
        <w:rPr>
          <w:lang w:val="fr-FR"/>
        </w:rPr>
        <w:t xml:space="preserve"> en zone urbaine</w:t>
      </w:r>
      <w:r w:rsidR="00C133FA">
        <w:rPr>
          <w:lang w:val="fr-FR"/>
        </w:rPr>
        <w:t>. Le document de projet ne formule aucun autre détail et alloue 100.000 dollars à cette activité dont la mise en œuvre a été confiée à l’ONUFEMMES et au M</w:t>
      </w:r>
      <w:r w:rsidR="000E2807">
        <w:rPr>
          <w:lang w:val="fr-FR"/>
        </w:rPr>
        <w:t xml:space="preserve">inistère de </w:t>
      </w:r>
      <w:r w:rsidR="00443F01">
        <w:rPr>
          <w:lang w:val="fr-FR"/>
        </w:rPr>
        <w:t>la Petite et Moyenne Entreprise et de l’Artisanat (M</w:t>
      </w:r>
      <w:r w:rsidR="00C133FA">
        <w:rPr>
          <w:lang w:val="fr-FR"/>
        </w:rPr>
        <w:t>PMEA</w:t>
      </w:r>
      <w:r w:rsidR="00443F01">
        <w:rPr>
          <w:lang w:val="fr-FR"/>
        </w:rPr>
        <w:t>).</w:t>
      </w:r>
    </w:p>
    <w:p w:rsidR="00443F01" w:rsidRDefault="00B00A6F" w:rsidP="00123C70">
      <w:pPr>
        <w:pStyle w:val="NoSpacing"/>
        <w:numPr>
          <w:ilvl w:val="0"/>
          <w:numId w:val="1"/>
        </w:numPr>
        <w:ind w:left="0" w:firstLine="0"/>
        <w:rPr>
          <w:lang w:val="fr-FR"/>
        </w:rPr>
      </w:pPr>
      <w:r>
        <w:rPr>
          <w:lang w:val="fr-FR"/>
        </w:rPr>
        <w:t>Etant donné que l’incubateur mentionné dans le document de projet n’a jamais vu le jour, l’A19</w:t>
      </w:r>
      <w:r w:rsidR="00576EB1">
        <w:rPr>
          <w:lang w:val="fr-FR"/>
        </w:rPr>
        <w:t xml:space="preserve"> n’a pas pu être mise en œuvre et aucune alternative n’a </w:t>
      </w:r>
      <w:r>
        <w:rPr>
          <w:lang w:val="fr-FR"/>
        </w:rPr>
        <w:t xml:space="preserve">encore </w:t>
      </w:r>
      <w:r w:rsidR="00576EB1">
        <w:rPr>
          <w:lang w:val="fr-FR"/>
        </w:rPr>
        <w:t xml:space="preserve">été </w:t>
      </w:r>
      <w:r>
        <w:rPr>
          <w:lang w:val="fr-FR"/>
        </w:rPr>
        <w:t>défini</w:t>
      </w:r>
      <w:r w:rsidR="00576EB1">
        <w:rPr>
          <w:lang w:val="fr-FR"/>
        </w:rPr>
        <w:t>e</w:t>
      </w:r>
      <w:r>
        <w:rPr>
          <w:lang w:val="fr-FR"/>
        </w:rPr>
        <w:t xml:space="preserve">. On notera également que d’importants </w:t>
      </w:r>
      <w:r w:rsidR="00C133FA" w:rsidRPr="00443F01">
        <w:rPr>
          <w:lang w:val="fr-FR"/>
        </w:rPr>
        <w:t>changements institutionnels</w:t>
      </w:r>
      <w:r w:rsidR="000E2807" w:rsidRPr="00443F01">
        <w:rPr>
          <w:lang w:val="fr-FR"/>
        </w:rPr>
        <w:t xml:space="preserve"> </w:t>
      </w:r>
      <w:r>
        <w:rPr>
          <w:lang w:val="fr-FR"/>
        </w:rPr>
        <w:t xml:space="preserve">sont </w:t>
      </w:r>
      <w:r w:rsidR="000E2807" w:rsidRPr="00443F01">
        <w:rPr>
          <w:lang w:val="fr-FR"/>
        </w:rPr>
        <w:t xml:space="preserve">intervenus </w:t>
      </w:r>
      <w:r>
        <w:rPr>
          <w:lang w:val="fr-FR"/>
        </w:rPr>
        <w:t xml:space="preserve">depuis la conception du programme puisque le partenaire initial prévu, le </w:t>
      </w:r>
      <w:r w:rsidRPr="00443F01">
        <w:rPr>
          <w:lang w:val="fr-FR"/>
        </w:rPr>
        <w:t>MPMEA</w:t>
      </w:r>
      <w:r>
        <w:rPr>
          <w:lang w:val="fr-FR"/>
        </w:rPr>
        <w:t>, a ainsi</w:t>
      </w:r>
      <w:r w:rsidR="00443F01" w:rsidRPr="00443F01">
        <w:rPr>
          <w:lang w:val="fr-FR"/>
        </w:rPr>
        <w:t xml:space="preserve"> été scindé en deux minis</w:t>
      </w:r>
      <w:r>
        <w:rPr>
          <w:lang w:val="fr-FR"/>
        </w:rPr>
        <w:t>tères distincts :</w:t>
      </w:r>
      <w:r w:rsidR="00443F01" w:rsidRPr="00443F01">
        <w:rPr>
          <w:lang w:val="fr-FR"/>
        </w:rPr>
        <w:t xml:space="preserve"> le</w:t>
      </w:r>
      <w:r w:rsidR="00443F01">
        <w:rPr>
          <w:lang w:val="fr-FR"/>
        </w:rPr>
        <w:t xml:space="preserve"> </w:t>
      </w:r>
      <w:r w:rsidR="00443F01" w:rsidRPr="00443F01">
        <w:rPr>
          <w:lang w:val="fr-FR"/>
        </w:rPr>
        <w:t xml:space="preserve">Ministre de l’Industrie, de la Petite et </w:t>
      </w:r>
      <w:r w:rsidR="00443F01">
        <w:rPr>
          <w:lang w:val="fr-FR"/>
        </w:rPr>
        <w:t>M</w:t>
      </w:r>
      <w:r w:rsidR="00443F01" w:rsidRPr="00443F01">
        <w:rPr>
          <w:lang w:val="fr-FR"/>
        </w:rPr>
        <w:t xml:space="preserve">oyenne </w:t>
      </w:r>
      <w:r w:rsidR="00443F01">
        <w:rPr>
          <w:lang w:val="fr-FR"/>
        </w:rPr>
        <w:t>E</w:t>
      </w:r>
      <w:r w:rsidR="00443F01" w:rsidRPr="00443F01">
        <w:rPr>
          <w:lang w:val="fr-FR"/>
        </w:rPr>
        <w:t>ntreprise, et de la Promotion de l’investissement</w:t>
      </w:r>
      <w:r w:rsidR="00443F01">
        <w:rPr>
          <w:lang w:val="fr-FR"/>
        </w:rPr>
        <w:t xml:space="preserve"> (MIPMEPI) et le</w:t>
      </w:r>
      <w:r w:rsidR="00443F01" w:rsidRPr="00443F01">
        <w:rPr>
          <w:lang w:val="fr-FR"/>
        </w:rPr>
        <w:t xml:space="preserve"> Ministre</w:t>
      </w:r>
      <w:r w:rsidR="00443F01">
        <w:rPr>
          <w:lang w:val="fr-FR"/>
        </w:rPr>
        <w:t xml:space="preserve"> du T</w:t>
      </w:r>
      <w:r>
        <w:rPr>
          <w:lang w:val="fr-FR"/>
        </w:rPr>
        <w:t xml:space="preserve">ourisme et de l’Artisanat (MTA). A ce sujet, il est important de noter que </w:t>
      </w:r>
      <w:r w:rsidR="00443F01">
        <w:rPr>
          <w:lang w:val="fr-FR"/>
        </w:rPr>
        <w:t xml:space="preserve">la plupart des activités du programme </w:t>
      </w:r>
      <w:r>
        <w:rPr>
          <w:lang w:val="fr-FR"/>
        </w:rPr>
        <w:t xml:space="preserve">initialement </w:t>
      </w:r>
      <w:r w:rsidR="00443F01">
        <w:rPr>
          <w:lang w:val="fr-FR"/>
        </w:rPr>
        <w:t xml:space="preserve">définies pour la mise en œuvre avec le MPMEA tombent </w:t>
      </w:r>
      <w:r>
        <w:rPr>
          <w:lang w:val="fr-FR"/>
        </w:rPr>
        <w:t xml:space="preserve">maintenant </w:t>
      </w:r>
      <w:r w:rsidR="00443F01">
        <w:rPr>
          <w:lang w:val="fr-FR"/>
        </w:rPr>
        <w:t>dans les prérogatives du M</w:t>
      </w:r>
      <w:r w:rsidR="00A07856">
        <w:rPr>
          <w:lang w:val="fr-FR"/>
        </w:rPr>
        <w:t>IPIPME</w:t>
      </w:r>
      <w:r w:rsidR="00443F01">
        <w:rPr>
          <w:lang w:val="fr-FR"/>
        </w:rPr>
        <w:t>.</w:t>
      </w:r>
      <w:r w:rsidRPr="00B00A6F">
        <w:rPr>
          <w:lang w:val="fr-FR"/>
        </w:rPr>
        <w:t xml:space="preserve"> </w:t>
      </w:r>
    </w:p>
    <w:p w:rsidR="00B00A6F" w:rsidRDefault="00443F01" w:rsidP="00123C70">
      <w:pPr>
        <w:pStyle w:val="NoSpacing"/>
        <w:numPr>
          <w:ilvl w:val="0"/>
          <w:numId w:val="1"/>
        </w:numPr>
        <w:ind w:left="0" w:firstLine="0"/>
        <w:rPr>
          <w:lang w:val="fr-FR"/>
        </w:rPr>
      </w:pPr>
      <w:r w:rsidRPr="007E5799">
        <w:rPr>
          <w:lang w:val="fr-FR"/>
        </w:rPr>
        <w:t xml:space="preserve">Lors de l’atelier </w:t>
      </w:r>
      <w:r w:rsidR="007E5799" w:rsidRPr="007E5799">
        <w:rPr>
          <w:lang w:val="fr-FR"/>
        </w:rPr>
        <w:t xml:space="preserve">de décembre 2011, le MIPIPME s’est engagé à poursuivre l’A19 en synergie avec l’A24, également mise en œuvre à Tipaza, mais </w:t>
      </w:r>
      <w:r w:rsidR="00FD7BD1">
        <w:rPr>
          <w:lang w:val="fr-FR"/>
        </w:rPr>
        <w:t>la mission regrette qu’</w:t>
      </w:r>
      <w:r w:rsidR="007E5799" w:rsidRPr="007E5799">
        <w:rPr>
          <w:lang w:val="fr-FR"/>
        </w:rPr>
        <w:t>aucune réflexion n’</w:t>
      </w:r>
      <w:r w:rsidR="00B00A6F">
        <w:rPr>
          <w:lang w:val="fr-FR"/>
        </w:rPr>
        <w:t>a</w:t>
      </w:r>
      <w:r w:rsidR="00FD7BD1">
        <w:rPr>
          <w:lang w:val="fr-FR"/>
        </w:rPr>
        <w:t>it</w:t>
      </w:r>
      <w:r w:rsidR="00B00A6F">
        <w:rPr>
          <w:lang w:val="fr-FR"/>
        </w:rPr>
        <w:t xml:space="preserve"> véritablement été lancée</w:t>
      </w:r>
      <w:r w:rsidR="007E5799" w:rsidRPr="007E5799">
        <w:rPr>
          <w:lang w:val="fr-FR"/>
        </w:rPr>
        <w:t xml:space="preserve"> sur l’</w:t>
      </w:r>
      <w:r w:rsidR="00B00A6F">
        <w:rPr>
          <w:lang w:val="fr-FR"/>
        </w:rPr>
        <w:t>alternative à définir. La création ex nihilo d’un incubateur étant exclue, la réflexion aurait dû être poussée plus avant</w:t>
      </w:r>
      <w:r w:rsidR="00FD7BD1">
        <w:rPr>
          <w:lang w:val="fr-FR"/>
        </w:rPr>
        <w:t xml:space="preserve"> pour répondre, entre autres, aux questions suivantes</w:t>
      </w:r>
      <w:r w:rsidR="00B00A6F">
        <w:rPr>
          <w:lang w:val="fr-FR"/>
        </w:rPr>
        <w:t xml:space="preserve"> : </w:t>
      </w:r>
      <w:r w:rsidR="00B00A6F" w:rsidRPr="00FD7BD1">
        <w:rPr>
          <w:i/>
          <w:lang w:val="fr-FR"/>
        </w:rPr>
        <w:t xml:space="preserve">par quoi remplacer l’A19 ? </w:t>
      </w:r>
      <w:r w:rsidR="00FD7BD1" w:rsidRPr="00FD7BD1">
        <w:rPr>
          <w:i/>
          <w:lang w:val="fr-FR"/>
        </w:rPr>
        <w:t xml:space="preserve">le choix de la ville de Tipaza fait-il sens ? </w:t>
      </w:r>
      <w:r w:rsidR="00FD7BD1">
        <w:rPr>
          <w:i/>
          <w:lang w:val="fr-FR"/>
        </w:rPr>
        <w:t>quels pourraient être les nouveaux objectifs ? les nouvelles opportunités ? le</w:t>
      </w:r>
      <w:r w:rsidR="00FD7BD1" w:rsidRPr="00FD7BD1">
        <w:rPr>
          <w:i/>
          <w:lang w:val="fr-FR"/>
        </w:rPr>
        <w:t> </w:t>
      </w:r>
      <w:r w:rsidR="00FD7BD1">
        <w:rPr>
          <w:i/>
          <w:lang w:val="fr-FR"/>
        </w:rPr>
        <w:t xml:space="preserve"> partenaire idéal ?</w:t>
      </w:r>
    </w:p>
    <w:p w:rsidR="007E5799" w:rsidRPr="00FD7BD1" w:rsidRDefault="00FD7BD1" w:rsidP="00D8742E">
      <w:pPr>
        <w:pStyle w:val="NoSpacing"/>
        <w:numPr>
          <w:ilvl w:val="0"/>
          <w:numId w:val="1"/>
        </w:numPr>
        <w:ind w:left="0" w:firstLine="0"/>
        <w:rPr>
          <w:lang w:val="fr-FR"/>
        </w:rPr>
      </w:pPr>
      <w:r>
        <w:rPr>
          <w:lang w:val="fr-FR"/>
        </w:rPr>
        <w:t>De son c</w:t>
      </w:r>
      <w:r>
        <w:rPr>
          <w:rFonts w:cs="Calibri"/>
          <w:lang w:val="fr-FR"/>
        </w:rPr>
        <w:t>ô</w:t>
      </w:r>
      <w:r>
        <w:rPr>
          <w:lang w:val="fr-FR"/>
        </w:rPr>
        <w:t>té l</w:t>
      </w:r>
      <w:r w:rsidR="007E5799" w:rsidRPr="00FD7BD1">
        <w:rPr>
          <w:lang w:val="fr-FR"/>
        </w:rPr>
        <w:t>’ONUFEMMES</w:t>
      </w:r>
      <w:r>
        <w:rPr>
          <w:lang w:val="fr-FR"/>
        </w:rPr>
        <w:t xml:space="preserve">, devant le retard accumulé et la faiblesse de ses moyens humains, </w:t>
      </w:r>
      <w:r w:rsidR="007E5799" w:rsidRPr="00FD7BD1">
        <w:rPr>
          <w:lang w:val="fr-FR"/>
        </w:rPr>
        <w:t xml:space="preserve"> </w:t>
      </w:r>
      <w:r>
        <w:rPr>
          <w:lang w:val="fr-FR"/>
        </w:rPr>
        <w:t>doute qu’elle ait la capacité de lancer, puis de gérer correctement</w:t>
      </w:r>
      <w:r w:rsidR="007E5799" w:rsidRPr="00FD7BD1">
        <w:rPr>
          <w:lang w:val="fr-FR"/>
        </w:rPr>
        <w:t xml:space="preserve"> c</w:t>
      </w:r>
      <w:r>
        <w:rPr>
          <w:lang w:val="fr-FR"/>
        </w:rPr>
        <w:t>ette activité.</w:t>
      </w:r>
      <w:r w:rsidR="007E5799" w:rsidRPr="00FD7BD1">
        <w:rPr>
          <w:lang w:val="fr-FR"/>
        </w:rPr>
        <w:t xml:space="preserve"> Des discussions </w:t>
      </w:r>
      <w:r>
        <w:rPr>
          <w:lang w:val="fr-FR"/>
        </w:rPr>
        <w:t xml:space="preserve">très </w:t>
      </w:r>
      <w:r w:rsidR="007E5799" w:rsidRPr="00FD7BD1">
        <w:rPr>
          <w:lang w:val="fr-FR"/>
        </w:rPr>
        <w:t xml:space="preserve">préliminaires entre la mission d’évaluation et l’ONUFEMMES et le MPA, font ressortir que deux options intéressantes existent pour la reformulation en profondeur </w:t>
      </w:r>
      <w:r>
        <w:rPr>
          <w:lang w:val="fr-FR"/>
        </w:rPr>
        <w:t>de l’A19 qui n’est plus pertinente telle que con</w:t>
      </w:r>
      <w:r>
        <w:rPr>
          <w:rFonts w:cs="Calibri"/>
          <w:lang w:val="fr-FR"/>
        </w:rPr>
        <w:t>ç</w:t>
      </w:r>
      <w:r>
        <w:rPr>
          <w:lang w:val="fr-FR"/>
        </w:rPr>
        <w:t>ue initialement</w:t>
      </w:r>
      <w:r w:rsidR="007E5799" w:rsidRPr="00FD7BD1">
        <w:rPr>
          <w:lang w:val="fr-FR"/>
        </w:rPr>
        <w:t> :</w:t>
      </w:r>
    </w:p>
    <w:p w:rsidR="007E5799" w:rsidRDefault="007E5799" w:rsidP="0038607C">
      <w:pPr>
        <w:pStyle w:val="NoSpacing"/>
        <w:numPr>
          <w:ilvl w:val="0"/>
          <w:numId w:val="17"/>
        </w:numPr>
        <w:rPr>
          <w:lang w:val="fr-FR"/>
        </w:rPr>
      </w:pPr>
      <w:r>
        <w:rPr>
          <w:lang w:val="fr-FR"/>
        </w:rPr>
        <w:lastRenderedPageBreak/>
        <w:t>Prolonger</w:t>
      </w:r>
      <w:r w:rsidR="00750332">
        <w:rPr>
          <w:lang w:val="fr-FR"/>
        </w:rPr>
        <w:t>,</w:t>
      </w:r>
      <w:r>
        <w:rPr>
          <w:lang w:val="fr-FR"/>
        </w:rPr>
        <w:t xml:space="preserve"> au travers d’une nouvelle activité</w:t>
      </w:r>
      <w:r w:rsidR="00750332">
        <w:rPr>
          <w:lang w:val="fr-FR"/>
        </w:rPr>
        <w:t>,</w:t>
      </w:r>
      <w:r>
        <w:rPr>
          <w:lang w:val="fr-FR"/>
        </w:rPr>
        <w:t xml:space="preserve"> le travail réalisé </w:t>
      </w:r>
      <w:r w:rsidR="00750332">
        <w:rPr>
          <w:lang w:val="fr-FR"/>
        </w:rPr>
        <w:t>par le Centre d’Initiatives et Recherches Européennes pour la Méditerranée (CIREM), une fondation espagnole qui a travaillé en Algérie au développement d’outils pour l’emploi des femmes. L’activité d’harmonisation des outils serait mise en œuvre par le CIREM sous la supervision du MIPME.</w:t>
      </w:r>
    </w:p>
    <w:p w:rsidR="00E07F81" w:rsidRDefault="00750332" w:rsidP="0038607C">
      <w:pPr>
        <w:pStyle w:val="NoSpacing"/>
        <w:numPr>
          <w:ilvl w:val="0"/>
          <w:numId w:val="17"/>
        </w:numPr>
        <w:rPr>
          <w:lang w:val="fr-FR"/>
        </w:rPr>
      </w:pPr>
      <w:r>
        <w:rPr>
          <w:lang w:val="fr-FR"/>
        </w:rPr>
        <w:t xml:space="preserve">Confier la responsabilité de l’A19 au MPA et réorienter complétement l’activité vers </w:t>
      </w:r>
      <w:r w:rsidR="00FD7BD1">
        <w:rPr>
          <w:lang w:val="fr-FR"/>
        </w:rPr>
        <w:t>un appui à une chambre locale d’</w:t>
      </w:r>
      <w:r w:rsidR="00E07F81">
        <w:rPr>
          <w:lang w:val="fr-FR"/>
        </w:rPr>
        <w:t>artisanat</w:t>
      </w:r>
      <w:r w:rsidR="00FD7BD1">
        <w:rPr>
          <w:lang w:val="fr-FR"/>
        </w:rPr>
        <w:t xml:space="preserve"> et des métiers, dans une localité permettant des synergies avec d’autres activités du programme, l’objectif étant d’accompagner les femmes dans des activités artisanales rémunératrices.</w:t>
      </w:r>
      <w:r w:rsidR="00E07F81">
        <w:rPr>
          <w:lang w:val="fr-FR"/>
        </w:rPr>
        <w:t xml:space="preserve"> Le MPA cordonne aussi des Centre</w:t>
      </w:r>
      <w:r w:rsidR="00576EB1">
        <w:rPr>
          <w:lang w:val="fr-FR"/>
        </w:rPr>
        <w:t>s</w:t>
      </w:r>
      <w:r w:rsidR="00E07F81">
        <w:rPr>
          <w:lang w:val="fr-FR"/>
        </w:rPr>
        <w:t xml:space="preserve"> de formation dans les métiers de l’artisanat </w:t>
      </w:r>
      <w:r w:rsidR="00576EB1">
        <w:rPr>
          <w:lang w:val="fr-FR"/>
        </w:rPr>
        <w:t>pour</w:t>
      </w:r>
      <w:r w:rsidR="00E07F81">
        <w:rPr>
          <w:lang w:val="fr-FR"/>
        </w:rPr>
        <w:t xml:space="preserve"> lesquels une actio</w:t>
      </w:r>
      <w:r w:rsidR="00576EB1">
        <w:rPr>
          <w:lang w:val="fr-FR"/>
        </w:rPr>
        <w:t>n de renforcement de capacités pourrait être programmée.</w:t>
      </w:r>
    </w:p>
    <w:p w:rsidR="00750332" w:rsidRDefault="00E07F81" w:rsidP="00D8742E">
      <w:pPr>
        <w:pStyle w:val="NoSpacing"/>
        <w:numPr>
          <w:ilvl w:val="0"/>
          <w:numId w:val="1"/>
        </w:numPr>
        <w:ind w:left="0" w:firstLine="0"/>
        <w:rPr>
          <w:lang w:val="fr-FR"/>
        </w:rPr>
      </w:pPr>
      <w:r>
        <w:rPr>
          <w:lang w:val="fr-FR"/>
        </w:rPr>
        <w:t>Etant donné que la majorité des travailleurs de l’artisanat sont des femmes</w:t>
      </w:r>
      <w:r w:rsidR="00375A52">
        <w:rPr>
          <w:lang w:val="fr-FR"/>
        </w:rPr>
        <w:t>,</w:t>
      </w:r>
      <w:r>
        <w:rPr>
          <w:lang w:val="fr-FR"/>
        </w:rPr>
        <w:t xml:space="preserve"> devant le grand enthousiasme des Points Focaux du programme au sein </w:t>
      </w:r>
      <w:r w:rsidR="00375A52">
        <w:rPr>
          <w:lang w:val="fr-FR"/>
        </w:rPr>
        <w:t xml:space="preserve">du MPA et étant donné qu’il s’agit de </w:t>
      </w:r>
      <w:r w:rsidR="00576EB1">
        <w:rPr>
          <w:lang w:val="fr-FR"/>
        </w:rPr>
        <w:t>la</w:t>
      </w:r>
      <w:r w:rsidR="00375A52">
        <w:rPr>
          <w:lang w:val="fr-FR"/>
        </w:rPr>
        <w:t xml:space="preserve"> seule opportunité d’impliquer ce ministère dans la mise en œuvre du programme</w:t>
      </w:r>
      <w:r>
        <w:rPr>
          <w:lang w:val="fr-FR"/>
        </w:rPr>
        <w:t>, la mission souhai</w:t>
      </w:r>
      <w:r w:rsidR="00375A52">
        <w:rPr>
          <w:lang w:val="fr-FR"/>
        </w:rPr>
        <w:t>te appuyer la deuxième option. Une fois l’option choisie, il sera primordial que les partenaires procèdent immédiatement à la préparation d’une note conceptuelle et d’une feuille de route pour la nouvelle activité ; puis qu’ils lancent sans tarder les travaux (au plus tard au début du second trimestre), à défaut de quoi il ne restera pas assez de temps pour la mise en œuvre. Au regard des capacités de l’ONUFEMMES, comme des autres agences, il semble qu’une précondition pour le succès de la nouvelle activité sera d’obtenir du ministère partenaire l’engagement que les Points Focaux pourront consacrer suffisamment de temps au lancement et à la gestion de la nouvelle activité.</w:t>
      </w:r>
    </w:p>
    <w:p w:rsidR="00375A52" w:rsidRPr="00333233" w:rsidRDefault="00375A52" w:rsidP="00D8742E">
      <w:pPr>
        <w:pStyle w:val="NoSpacing"/>
        <w:numPr>
          <w:ilvl w:val="0"/>
          <w:numId w:val="1"/>
        </w:numPr>
        <w:ind w:left="0" w:firstLine="0"/>
        <w:rPr>
          <w:lang w:val="fr-FR"/>
        </w:rPr>
      </w:pPr>
      <w:r w:rsidRPr="00375A52">
        <w:rPr>
          <w:b/>
          <w:lang w:val="fr-FR"/>
        </w:rPr>
        <w:t>Activité pilote de parrainage (A20</w:t>
      </w:r>
      <w:r>
        <w:rPr>
          <w:lang w:val="fr-FR"/>
        </w:rPr>
        <w:t>).</w:t>
      </w:r>
      <w:r w:rsidR="00333233">
        <w:rPr>
          <w:lang w:val="fr-FR"/>
        </w:rPr>
        <w:t xml:space="preserve"> Dans le souci d’intégrer le secteur privé, le document de projet prévoyait aussi que six grandes entreprises, dont deux é</w:t>
      </w:r>
      <w:r w:rsidR="00333233" w:rsidRPr="00333233">
        <w:rPr>
          <w:lang w:val="fr-FR"/>
        </w:rPr>
        <w:t>trangères</w:t>
      </w:r>
      <w:r w:rsidR="00333233">
        <w:rPr>
          <w:lang w:val="fr-FR"/>
        </w:rPr>
        <w:t>, parrainent chacune une femme souhaitant créer son entreprise. Dotée d’un budget de 40.000 dollars et prévue pour démarrer lors de la dernière année de mise en œuvre du programme, il s’agit de la seule activité de l’ONUDI.</w:t>
      </w:r>
    </w:p>
    <w:p w:rsidR="00333233" w:rsidRDefault="00333233" w:rsidP="00D8742E">
      <w:pPr>
        <w:pStyle w:val="NoSpacing"/>
        <w:numPr>
          <w:ilvl w:val="0"/>
          <w:numId w:val="1"/>
        </w:numPr>
        <w:ind w:left="0" w:firstLine="0"/>
        <w:rPr>
          <w:lang w:val="fr-FR"/>
        </w:rPr>
      </w:pPr>
      <w:r>
        <w:rPr>
          <w:lang w:val="fr-FR"/>
        </w:rPr>
        <w:t>Lors de la mission d’évaluation à mi-parcours, des discussions avec l’ONUDI ont révélé que l’agence aura de grandes difficultés à mettre en œuvre</w:t>
      </w:r>
      <w:r w:rsidR="00937A88">
        <w:rPr>
          <w:lang w:val="fr-FR"/>
        </w:rPr>
        <w:t xml:space="preserve"> cette activité en raison de la </w:t>
      </w:r>
      <w:r>
        <w:rPr>
          <w:lang w:val="fr-FR"/>
        </w:rPr>
        <w:t>faible</w:t>
      </w:r>
      <w:r w:rsidR="00937A88">
        <w:rPr>
          <w:lang w:val="fr-FR"/>
        </w:rPr>
        <w:t>sse du</w:t>
      </w:r>
      <w:r>
        <w:rPr>
          <w:lang w:val="fr-FR"/>
        </w:rPr>
        <w:t xml:space="preserve"> montant alloué. En outre, alors que le nouveau responsable du l’ONUDI en Algérie avait souhaité que les experts techniques de son siège approuvent</w:t>
      </w:r>
      <w:r w:rsidR="00937A88">
        <w:rPr>
          <w:lang w:val="fr-FR"/>
        </w:rPr>
        <w:t xml:space="preserve"> formellement</w:t>
      </w:r>
      <w:r>
        <w:rPr>
          <w:lang w:val="fr-FR"/>
        </w:rPr>
        <w:t xml:space="preserve"> le document de projet, ces derniers n</w:t>
      </w:r>
      <w:r w:rsidR="00576EB1">
        <w:rPr>
          <w:lang w:val="fr-FR"/>
        </w:rPr>
        <w:t>’ont pas été en position de le faire</w:t>
      </w:r>
      <w:r>
        <w:rPr>
          <w:lang w:val="fr-FR"/>
        </w:rPr>
        <w:t>, trouvant le document trop faible sur le plan technique.</w:t>
      </w:r>
    </w:p>
    <w:p w:rsidR="00333233" w:rsidRPr="00333233" w:rsidRDefault="00333233" w:rsidP="00D8742E">
      <w:pPr>
        <w:pStyle w:val="NoSpacing"/>
        <w:numPr>
          <w:ilvl w:val="0"/>
          <w:numId w:val="1"/>
        </w:numPr>
        <w:ind w:left="0" w:firstLine="0"/>
        <w:rPr>
          <w:lang w:val="fr-FR"/>
        </w:rPr>
      </w:pPr>
      <w:r>
        <w:rPr>
          <w:lang w:val="fr-FR"/>
        </w:rPr>
        <w:t xml:space="preserve">Au regard de ce </w:t>
      </w:r>
      <w:r w:rsidR="00937A88">
        <w:rPr>
          <w:lang w:val="fr-FR"/>
        </w:rPr>
        <w:t xml:space="preserve">dénouement </w:t>
      </w:r>
      <w:r w:rsidR="00576EB1">
        <w:rPr>
          <w:lang w:val="fr-FR"/>
        </w:rPr>
        <w:t xml:space="preserve">très </w:t>
      </w:r>
      <w:r w:rsidR="00937A88">
        <w:rPr>
          <w:lang w:val="fr-FR"/>
        </w:rPr>
        <w:t>récent et de la faible importance stratégique apparente de cette activité, laquelle exigerait néanmoins beaucoup d’efforts pour un impact improbable, la mission recommande l’annulation pure et simple de cette activité.</w:t>
      </w:r>
    </w:p>
    <w:p w:rsidR="00AA739B" w:rsidRDefault="00B233DD">
      <w:pPr>
        <w:rPr>
          <w:rFonts w:ascii="Calibri" w:hAnsi="Calibri"/>
          <w:b/>
          <w:sz w:val="22"/>
          <w:lang w:val="fr-FR"/>
        </w:rPr>
      </w:pPr>
      <w:r>
        <w:rPr>
          <w:b/>
          <w:noProof/>
        </w:rPr>
        <mc:AlternateContent>
          <mc:Choice Requires="wps">
            <w:drawing>
              <wp:anchor distT="0" distB="0" distL="114300" distR="114300" simplePos="0" relativeHeight="251669504" behindDoc="0" locked="0" layoutInCell="1" allowOverlap="1">
                <wp:simplePos x="0" y="0"/>
                <wp:positionH relativeFrom="column">
                  <wp:posOffset>47625</wp:posOffset>
                </wp:positionH>
                <wp:positionV relativeFrom="paragraph">
                  <wp:posOffset>43815</wp:posOffset>
                </wp:positionV>
                <wp:extent cx="5772150" cy="441960"/>
                <wp:effectExtent l="0" t="0" r="19050" b="1587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41960"/>
                        </a:xfrm>
                        <a:prstGeom prst="rect">
                          <a:avLst/>
                        </a:prstGeom>
                        <a:solidFill>
                          <a:sysClr val="window" lastClr="FFFFFF">
                            <a:lumMod val="85000"/>
                            <a:alpha val="88000"/>
                          </a:sysClr>
                        </a:solidFill>
                        <a:ln w="9525">
                          <a:solidFill>
                            <a:srgbClr val="000000"/>
                          </a:solidFill>
                          <a:miter lim="800000"/>
                          <a:headEnd/>
                          <a:tailEnd/>
                        </a:ln>
                      </wps:spPr>
                      <wps:txbx>
                        <w:txbxContent>
                          <w:p w:rsidR="00E46B31" w:rsidRPr="00E92093" w:rsidRDefault="00E46B31" w:rsidP="00737BDE">
                            <w:pPr>
                              <w:rPr>
                                <w:rFonts w:asciiTheme="minorHAnsi" w:hAnsiTheme="minorHAnsi" w:cstheme="minorHAnsi"/>
                                <w:sz w:val="22"/>
                                <w:szCs w:val="22"/>
                                <w:lang w:val="fr-CA"/>
                              </w:rPr>
                            </w:pPr>
                            <w:r>
                              <w:rPr>
                                <w:rFonts w:asciiTheme="minorHAnsi" w:hAnsiTheme="minorHAnsi" w:cstheme="minorHAnsi"/>
                                <w:b/>
                                <w:sz w:val="22"/>
                                <w:szCs w:val="22"/>
                                <w:lang w:val="fr-FR"/>
                              </w:rPr>
                              <w:t>P</w:t>
                            </w:r>
                            <w:r w:rsidRPr="00E92093">
                              <w:rPr>
                                <w:rFonts w:asciiTheme="minorHAnsi" w:hAnsiTheme="minorHAnsi" w:cstheme="minorHAnsi"/>
                                <w:b/>
                                <w:bCs/>
                                <w:iCs/>
                                <w:sz w:val="22"/>
                                <w:szCs w:val="22"/>
                                <w:lang w:val="fr-FR"/>
                              </w:rPr>
                              <w:t>9. Les femmes en milieu rural et vulnérables sont outillées et accompagnées pour développer des activités génératrices de revenus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75pt;margin-top:3.45pt;width:454.5pt;height:3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" fillcolor="#d9d9d9">
                <v:fill opacity="57568f"/>
                <v:textbox style="mso-fit-shape-to-text:t">
                  <w:txbxContent>
                    <w:p w:rsidR="00E46B31" w:rsidRPr="00E92093" w:rsidRDefault="00E46B31" w:rsidP="00737BDE">
                      <w:pPr>
                        <w:rPr>
                          <w:rFonts w:asciiTheme="minorHAnsi" w:hAnsiTheme="minorHAnsi" w:cstheme="minorHAnsi"/>
                          <w:sz w:val="22"/>
                          <w:szCs w:val="22"/>
                          <w:lang w:val="fr-CA"/>
                        </w:rPr>
                      </w:pPr>
                      <w:r>
                        <w:rPr>
                          <w:rFonts w:asciiTheme="minorHAnsi" w:hAnsiTheme="minorHAnsi" w:cstheme="minorHAnsi"/>
                          <w:b/>
                          <w:sz w:val="22"/>
                          <w:szCs w:val="22"/>
                          <w:lang w:val="fr-FR"/>
                        </w:rPr>
                        <w:t>P</w:t>
                      </w:r>
                      <w:r w:rsidRPr="00E92093">
                        <w:rPr>
                          <w:rFonts w:asciiTheme="minorHAnsi" w:hAnsiTheme="minorHAnsi" w:cstheme="minorHAnsi"/>
                          <w:b/>
                          <w:bCs/>
                          <w:iCs/>
                          <w:sz w:val="22"/>
                          <w:szCs w:val="22"/>
                          <w:lang w:val="fr-FR"/>
                        </w:rPr>
                        <w:t>9. Les femmes en milieu rural et vulnérables sont outillées et accompagnées pour développer des activités génératrices de revenus</w:t>
                      </w:r>
                    </w:p>
                  </w:txbxContent>
                </v:textbox>
                <w10:wrap type="topAndBottom"/>
              </v:shape>
            </w:pict>
          </mc:Fallback>
        </mc:AlternateContent>
      </w:r>
    </w:p>
    <w:p w:rsidR="009F15D1" w:rsidRDefault="009F15D1" w:rsidP="00D8742E">
      <w:pPr>
        <w:pStyle w:val="NoSpacing"/>
        <w:numPr>
          <w:ilvl w:val="0"/>
          <w:numId w:val="1"/>
        </w:numPr>
        <w:ind w:left="0" w:firstLine="0"/>
        <w:rPr>
          <w:lang w:val="fr-FR"/>
        </w:rPr>
      </w:pPr>
      <w:r>
        <w:rPr>
          <w:b/>
          <w:lang w:val="fr-FR"/>
        </w:rPr>
        <w:t>Etude AGR en milieu rural</w:t>
      </w:r>
      <w:r w:rsidR="0073500F">
        <w:rPr>
          <w:b/>
          <w:lang w:val="fr-FR"/>
        </w:rPr>
        <w:t xml:space="preserve"> (A21). </w:t>
      </w:r>
      <w:r w:rsidR="0073500F" w:rsidRPr="0073500F">
        <w:rPr>
          <w:lang w:val="fr-FR"/>
        </w:rPr>
        <w:t>Le document de projet ne donne aucun</w:t>
      </w:r>
      <w:r w:rsidR="0073500F">
        <w:rPr>
          <w:lang w:val="fr-FR"/>
        </w:rPr>
        <w:t>e précision sur cette activité qui n’est mentionnée que dans le cadre logique. Tout juste comprend-on que le PNUD et le MADR devront réaliser une étude technico-économique sur l’état des a</w:t>
      </w:r>
      <w:r w:rsidR="00576EB1">
        <w:rPr>
          <w:lang w:val="fr-FR"/>
        </w:rPr>
        <w:t>ctivités génératrices de revenu</w:t>
      </w:r>
      <w:r w:rsidR="0073500F">
        <w:rPr>
          <w:lang w:val="fr-FR"/>
        </w:rPr>
        <w:t xml:space="preserve"> des femmes en milieu rural. Pour ce faire, un budget de seulement 15.000 dollars a été alloué, sans faire l’objet de transfert.</w:t>
      </w:r>
    </w:p>
    <w:p w:rsidR="0073500F" w:rsidRDefault="0073500F" w:rsidP="00D8742E">
      <w:pPr>
        <w:pStyle w:val="NoSpacing"/>
        <w:numPr>
          <w:ilvl w:val="0"/>
          <w:numId w:val="1"/>
        </w:numPr>
        <w:ind w:left="0" w:firstLine="0"/>
        <w:rPr>
          <w:lang w:val="fr-FR"/>
        </w:rPr>
      </w:pPr>
      <w:r>
        <w:rPr>
          <w:lang w:val="fr-FR"/>
        </w:rPr>
        <w:t>Cette activité n’a pas encore été lancée. Les partenaires s’interrogent sur le m</w:t>
      </w:r>
      <w:r w:rsidR="00576EB1">
        <w:rPr>
          <w:lang w:val="fr-FR"/>
        </w:rPr>
        <w:t xml:space="preserve">ontant du budget, qui ne </w:t>
      </w:r>
      <w:r w:rsidR="00B85BED">
        <w:rPr>
          <w:lang w:val="fr-FR"/>
        </w:rPr>
        <w:t>paraît</w:t>
      </w:r>
      <w:r>
        <w:rPr>
          <w:lang w:val="fr-FR"/>
        </w:rPr>
        <w:t xml:space="preserve"> pas suffisant et, lors de l’atelier de décembre 2011, une</w:t>
      </w:r>
      <w:r w:rsidR="00D24CB5">
        <w:rPr>
          <w:lang w:val="fr-FR"/>
        </w:rPr>
        <w:t xml:space="preserve"> légère </w:t>
      </w:r>
      <w:r>
        <w:rPr>
          <w:lang w:val="fr-FR"/>
        </w:rPr>
        <w:t>reformulation a été proposée</w:t>
      </w:r>
      <w:r w:rsidR="005348EA">
        <w:rPr>
          <w:lang w:val="fr-FR"/>
        </w:rPr>
        <w:t xml:space="preserve"> pour que cette activité soit mise en œuvre dans les wilayas de Djelfa et Tamanrasse</w:t>
      </w:r>
      <w:r w:rsidR="00D24CB5">
        <w:rPr>
          <w:lang w:val="fr-FR"/>
        </w:rPr>
        <w:t xml:space="preserve">t, de sorte à renforcer les autres activités du programme dans ces deux localités. La mission ne peut que recommander que cette option soit suivie. La mission recommande en outre que le MADR prenne la </w:t>
      </w:r>
      <w:r w:rsidR="00D24CB5">
        <w:rPr>
          <w:lang w:val="fr-FR"/>
        </w:rPr>
        <w:lastRenderedPageBreak/>
        <w:t>responsabilité de la mise en œuvre de cette activité, en tout cas lors de la phase de conception et de lancement, car il ne semble pas que le PNUD pourra rapidement jouer ce r</w:t>
      </w:r>
      <w:r w:rsidR="00D24CB5">
        <w:rPr>
          <w:rFonts w:cs="Calibri"/>
          <w:lang w:val="fr-FR"/>
        </w:rPr>
        <w:t>ô</w:t>
      </w:r>
      <w:r w:rsidR="00D24CB5">
        <w:rPr>
          <w:lang w:val="fr-FR"/>
        </w:rPr>
        <w:t>le.</w:t>
      </w:r>
    </w:p>
    <w:p w:rsidR="000E4CDE" w:rsidRDefault="00D24CB5" w:rsidP="00D8742E">
      <w:pPr>
        <w:pStyle w:val="NoSpacing"/>
        <w:numPr>
          <w:ilvl w:val="0"/>
          <w:numId w:val="1"/>
        </w:numPr>
        <w:ind w:left="0" w:firstLine="0"/>
        <w:rPr>
          <w:lang w:val="fr-FR"/>
        </w:rPr>
      </w:pPr>
      <w:r w:rsidRPr="000C2FC0">
        <w:rPr>
          <w:b/>
          <w:lang w:val="fr-FR"/>
        </w:rPr>
        <w:t>Centre d’in</w:t>
      </w:r>
      <w:r w:rsidR="000E4CDE">
        <w:rPr>
          <w:b/>
          <w:lang w:val="fr-FR"/>
        </w:rPr>
        <w:t>formation pilote de Djelfa (A22 et A22bis)</w:t>
      </w:r>
      <w:r w:rsidRPr="000C2FC0">
        <w:rPr>
          <w:b/>
          <w:lang w:val="fr-FR"/>
        </w:rPr>
        <w:t>.</w:t>
      </w:r>
      <w:r w:rsidRPr="000C2FC0">
        <w:rPr>
          <w:lang w:val="fr-FR"/>
        </w:rPr>
        <w:t xml:space="preserve"> </w:t>
      </w:r>
      <w:r w:rsidR="00745C42" w:rsidRPr="000C2FC0">
        <w:rPr>
          <w:lang w:val="fr-FR"/>
        </w:rPr>
        <w:t>Les concepteurs du programme ont choisi la commune de Djelfa, située dans les Hauts Plateaux, pour la création d’un centre d’information pilote d’accompagnement des femmes en microprojets en milieu rural</w:t>
      </w:r>
      <w:r w:rsidR="00967591">
        <w:rPr>
          <w:lang w:val="fr-FR"/>
        </w:rPr>
        <w:t xml:space="preserve"> et visant plus particulièrement les femmes illettrées et vulnérables</w:t>
      </w:r>
      <w:r w:rsidR="000E4CDE">
        <w:rPr>
          <w:lang w:val="fr-FR"/>
        </w:rPr>
        <w:t xml:space="preserve">. </w:t>
      </w:r>
      <w:r w:rsidR="00745C42" w:rsidRPr="000C2FC0">
        <w:rPr>
          <w:lang w:val="fr-FR"/>
        </w:rPr>
        <w:t xml:space="preserve">Rappelons que Djelfa a été également retenue pour l’intégration de l’approche genre dans a planification et la programmation au niveau local (A10), ainsi que pour la mise en place d’une garderie (A23). </w:t>
      </w:r>
      <w:r w:rsidR="00576EB1">
        <w:rPr>
          <w:lang w:val="fr-FR"/>
        </w:rPr>
        <w:t xml:space="preserve">L’activité a été scindée en deux : l’A22 </w:t>
      </w:r>
      <w:r w:rsidR="00745C42" w:rsidRPr="000C2FC0">
        <w:rPr>
          <w:lang w:val="fr-FR"/>
        </w:rPr>
        <w:t xml:space="preserve">confiée au PNUD et au MPMEA pour un budget de 40.000 </w:t>
      </w:r>
      <w:r w:rsidR="00576EB1">
        <w:rPr>
          <w:lang w:val="fr-FR"/>
        </w:rPr>
        <w:t xml:space="preserve">et l’A22bis confiée </w:t>
      </w:r>
      <w:r w:rsidR="000E4CDE">
        <w:rPr>
          <w:lang w:val="fr-FR"/>
        </w:rPr>
        <w:t xml:space="preserve">à l’UNICEF pour un budget de 100.000 dollars. </w:t>
      </w:r>
    </w:p>
    <w:p w:rsidR="00967591" w:rsidRPr="000E4CDE" w:rsidRDefault="000E4CDE" w:rsidP="00D8742E">
      <w:pPr>
        <w:pStyle w:val="NoSpacing"/>
        <w:numPr>
          <w:ilvl w:val="0"/>
          <w:numId w:val="1"/>
        </w:numPr>
        <w:ind w:left="0" w:firstLine="0"/>
        <w:rPr>
          <w:lang w:val="fr-FR"/>
        </w:rPr>
      </w:pPr>
      <w:r w:rsidRPr="000E4CDE">
        <w:rPr>
          <w:lang w:val="fr-FR"/>
        </w:rPr>
        <w:t xml:space="preserve">Il est à noter que le démarrage de ces activités n’était pas prévu pour la deuxième année et il s’agit donc d’un des rares cas où les partenaires ont devancé le calendrier prévu. </w:t>
      </w:r>
      <w:r>
        <w:rPr>
          <w:lang w:val="fr-FR"/>
        </w:rPr>
        <w:t>Ainsi, cette activité est en état de préparation très avancé</w:t>
      </w:r>
      <w:r w:rsidR="00786E1B">
        <w:rPr>
          <w:lang w:val="fr-FR"/>
        </w:rPr>
        <w:t xml:space="preserve"> et </w:t>
      </w:r>
      <w:r w:rsidR="000C2FC0" w:rsidRPr="000E4CDE">
        <w:rPr>
          <w:lang w:val="fr-FR"/>
        </w:rPr>
        <w:t>deux ateliers préparatoires ont été organisés</w:t>
      </w:r>
      <w:r w:rsidR="00A677E9" w:rsidRPr="000E4CDE">
        <w:rPr>
          <w:lang w:val="fr-FR"/>
        </w:rPr>
        <w:t>. Les rapports de qualité préparé</w:t>
      </w:r>
      <w:r w:rsidR="009738DA" w:rsidRPr="000E4CDE">
        <w:rPr>
          <w:lang w:val="fr-FR"/>
        </w:rPr>
        <w:t>s</w:t>
      </w:r>
      <w:r w:rsidR="00A677E9" w:rsidRPr="000E4CDE">
        <w:rPr>
          <w:lang w:val="fr-FR"/>
        </w:rPr>
        <w:t xml:space="preserve"> à leur issue ont été utiles pour les travaux de la mission. Ces documents mentionnent </w:t>
      </w:r>
      <w:r w:rsidR="009738DA" w:rsidRPr="000E4CDE">
        <w:rPr>
          <w:lang w:val="fr-FR"/>
        </w:rPr>
        <w:t>que le p</w:t>
      </w:r>
      <w:r w:rsidR="000C2FC0" w:rsidRPr="000E4CDE">
        <w:rPr>
          <w:lang w:val="fr-FR"/>
        </w:rPr>
        <w:t>remier</w:t>
      </w:r>
      <w:r w:rsidR="00494E93" w:rsidRPr="000E4CDE">
        <w:rPr>
          <w:lang w:val="fr-FR"/>
        </w:rPr>
        <w:t xml:space="preserve"> atelier organisé </w:t>
      </w:r>
      <w:r w:rsidR="00A677E9" w:rsidRPr="000E4CDE">
        <w:rPr>
          <w:lang w:val="fr-FR"/>
        </w:rPr>
        <w:t xml:space="preserve">à Alger </w:t>
      </w:r>
      <w:r w:rsidR="00494E93" w:rsidRPr="000E4CDE">
        <w:rPr>
          <w:lang w:val="fr-FR"/>
        </w:rPr>
        <w:t xml:space="preserve">en février 2011 avait rassemblé des représentants des secteurs </w:t>
      </w:r>
      <w:r w:rsidR="00A677E9" w:rsidRPr="000E4CDE">
        <w:rPr>
          <w:lang w:val="fr-FR"/>
        </w:rPr>
        <w:t xml:space="preserve">concernés </w:t>
      </w:r>
      <w:r w:rsidR="00494E93" w:rsidRPr="000E4CDE">
        <w:rPr>
          <w:lang w:val="fr-FR"/>
        </w:rPr>
        <w:t>et des principales ass</w:t>
      </w:r>
      <w:r w:rsidR="00A677E9" w:rsidRPr="000E4CDE">
        <w:rPr>
          <w:lang w:val="fr-FR"/>
        </w:rPr>
        <w:t>ociations liées à l’activité au</w:t>
      </w:r>
      <w:r w:rsidR="00494E93" w:rsidRPr="000E4CDE">
        <w:rPr>
          <w:lang w:val="fr-FR"/>
        </w:rPr>
        <w:t xml:space="preserve"> niveau</w:t>
      </w:r>
      <w:r w:rsidR="00A677E9" w:rsidRPr="000E4CDE">
        <w:rPr>
          <w:lang w:val="fr-FR"/>
        </w:rPr>
        <w:t xml:space="preserve"> </w:t>
      </w:r>
      <w:r w:rsidR="00494E93" w:rsidRPr="000E4CDE">
        <w:rPr>
          <w:lang w:val="fr-FR"/>
        </w:rPr>
        <w:t>national  et  loca</w:t>
      </w:r>
      <w:r w:rsidR="00576EB1">
        <w:rPr>
          <w:lang w:val="fr-FR"/>
        </w:rPr>
        <w:t>l</w:t>
      </w:r>
      <w:r w:rsidR="00576EB1">
        <w:rPr>
          <w:rStyle w:val="FootnoteReference"/>
          <w:lang w:val="fr-FR"/>
        </w:rPr>
        <w:footnoteReference w:id="52"/>
      </w:r>
      <w:r w:rsidR="00494E93" w:rsidRPr="000E4CDE">
        <w:rPr>
          <w:lang w:val="fr-FR"/>
        </w:rPr>
        <w:t xml:space="preserve">. Cet atelier préliminaire avant recommandé qu’une deuxième consultation soit organisée à Djelfa afin de définir plus avant les caractéristiques du centre et qu’une étude </w:t>
      </w:r>
      <w:r w:rsidR="00A677E9" w:rsidRPr="000E4CDE">
        <w:rPr>
          <w:lang w:val="fr-FR"/>
        </w:rPr>
        <w:t xml:space="preserve">soit préalablement réalisée </w:t>
      </w:r>
      <w:r w:rsidR="00494E93" w:rsidRPr="000E4CDE">
        <w:rPr>
          <w:lang w:val="fr-FR"/>
        </w:rPr>
        <w:t xml:space="preserve">sur les différents aspects d’ordre social, économique et culturel qui pourraient déterminer la typologie du centre et de sa localisation. </w:t>
      </w:r>
      <w:r w:rsidR="00967591" w:rsidRPr="000E4CDE">
        <w:rPr>
          <w:lang w:val="fr-FR"/>
        </w:rPr>
        <w:t xml:space="preserve"> </w:t>
      </w:r>
    </w:p>
    <w:p w:rsidR="00494E93" w:rsidRDefault="00584AC8" w:rsidP="00D8742E">
      <w:pPr>
        <w:pStyle w:val="NoSpacing"/>
        <w:numPr>
          <w:ilvl w:val="0"/>
          <w:numId w:val="1"/>
        </w:numPr>
        <w:ind w:left="0" w:firstLine="0"/>
        <w:rPr>
          <w:lang w:val="fr-FR"/>
        </w:rPr>
      </w:pPr>
      <w:r>
        <w:rPr>
          <w:lang w:val="fr-FR"/>
        </w:rPr>
        <w:t>Deux études sur les activités des femmes à Djelfa ont</w:t>
      </w:r>
      <w:r w:rsidR="00494E93" w:rsidRPr="00A677E9">
        <w:rPr>
          <w:lang w:val="fr-FR"/>
        </w:rPr>
        <w:t xml:space="preserve"> </w:t>
      </w:r>
      <w:r w:rsidR="00A677E9" w:rsidRPr="00A677E9">
        <w:rPr>
          <w:lang w:val="fr-FR"/>
        </w:rPr>
        <w:t xml:space="preserve">bien </w:t>
      </w:r>
      <w:r w:rsidR="00494E93" w:rsidRPr="00A677E9">
        <w:rPr>
          <w:lang w:val="fr-FR"/>
        </w:rPr>
        <w:t>été réalisée</w:t>
      </w:r>
      <w:r>
        <w:rPr>
          <w:lang w:val="fr-FR"/>
        </w:rPr>
        <w:t>s</w:t>
      </w:r>
      <w:r w:rsidR="00494E93" w:rsidRPr="00A677E9">
        <w:rPr>
          <w:lang w:val="fr-FR"/>
        </w:rPr>
        <w:t xml:space="preserve"> par deux consultants </w:t>
      </w:r>
      <w:r>
        <w:rPr>
          <w:lang w:val="fr-FR"/>
        </w:rPr>
        <w:t xml:space="preserve">locaux, en préparation du </w:t>
      </w:r>
      <w:r w:rsidR="00494E93" w:rsidRPr="00A677E9">
        <w:rPr>
          <w:lang w:val="fr-FR"/>
        </w:rPr>
        <w:t>deuxième</w:t>
      </w:r>
      <w:r w:rsidR="00A677E9" w:rsidRPr="00A677E9">
        <w:rPr>
          <w:lang w:val="fr-FR"/>
        </w:rPr>
        <w:t xml:space="preserve"> atelier </w:t>
      </w:r>
      <w:r w:rsidR="00494E93" w:rsidRPr="00A677E9">
        <w:rPr>
          <w:lang w:val="fr-FR"/>
        </w:rPr>
        <w:t>organisé à Djelfa</w:t>
      </w:r>
      <w:r w:rsidR="00A677E9" w:rsidRPr="00A677E9">
        <w:rPr>
          <w:lang w:val="fr-FR"/>
        </w:rPr>
        <w:t>,</w:t>
      </w:r>
      <w:r w:rsidR="00494E93" w:rsidRPr="00A677E9">
        <w:rPr>
          <w:lang w:val="fr-FR"/>
        </w:rPr>
        <w:t xml:space="preserve"> en juin 2011</w:t>
      </w:r>
      <w:r>
        <w:rPr>
          <w:lang w:val="fr-FR"/>
        </w:rPr>
        <w:t xml:space="preserve">. Près d’une centaine de personnes participèrent à cet atelier de réflexion et de programmation, dont le Wali, les représentants de toutes des directions de </w:t>
      </w:r>
      <w:r w:rsidRPr="00584AC8">
        <w:rPr>
          <w:i/>
          <w:lang w:val="fr-FR"/>
        </w:rPr>
        <w:t>wilaya</w:t>
      </w:r>
      <w:r>
        <w:rPr>
          <w:lang w:val="fr-FR"/>
        </w:rPr>
        <w:t xml:space="preserve"> et de </w:t>
      </w:r>
      <w:r w:rsidRPr="00584AC8">
        <w:rPr>
          <w:i/>
          <w:lang w:val="fr-FR"/>
        </w:rPr>
        <w:t>daïra</w:t>
      </w:r>
      <w:r>
        <w:rPr>
          <w:lang w:val="fr-FR"/>
        </w:rPr>
        <w:t>, un grand nombre d’association</w:t>
      </w:r>
      <w:r w:rsidR="00B62C7A">
        <w:rPr>
          <w:lang w:val="fr-FR"/>
        </w:rPr>
        <w:t>s locales, trois agences des NU</w:t>
      </w:r>
      <w:r w:rsidR="00C762EC">
        <w:rPr>
          <w:lang w:val="fr-FR"/>
        </w:rPr>
        <w:t xml:space="preserve"> ainsi que de l’AECID</w:t>
      </w:r>
      <w:r w:rsidR="00C762EC">
        <w:rPr>
          <w:rStyle w:val="FootnoteReference"/>
          <w:lang w:val="fr-FR"/>
        </w:rPr>
        <w:footnoteReference w:id="53"/>
      </w:r>
      <w:r w:rsidR="00494E93" w:rsidRPr="00A677E9">
        <w:rPr>
          <w:lang w:val="fr-FR"/>
        </w:rPr>
        <w:t xml:space="preserve">. </w:t>
      </w:r>
      <w:r w:rsidR="00A677E9">
        <w:rPr>
          <w:lang w:val="fr-FR"/>
        </w:rPr>
        <w:t xml:space="preserve">A </w:t>
      </w:r>
      <w:r>
        <w:rPr>
          <w:lang w:val="fr-FR"/>
        </w:rPr>
        <w:t>l’issue</w:t>
      </w:r>
      <w:r w:rsidR="00A677E9">
        <w:rPr>
          <w:lang w:val="fr-FR"/>
        </w:rPr>
        <w:t xml:space="preserve"> de l’atelier, les partenaires se sont accordés sur le principe</w:t>
      </w:r>
      <w:r w:rsidR="00C762EC">
        <w:rPr>
          <w:lang w:val="fr-FR"/>
        </w:rPr>
        <w:t xml:space="preserve"> de</w:t>
      </w:r>
      <w:r>
        <w:rPr>
          <w:lang w:val="fr-FR"/>
        </w:rPr>
        <w:t xml:space="preserve"> la création d’un C</w:t>
      </w:r>
      <w:r w:rsidR="00A677E9">
        <w:rPr>
          <w:lang w:val="fr-FR"/>
        </w:rPr>
        <w:t>entre</w:t>
      </w:r>
      <w:r>
        <w:rPr>
          <w:lang w:val="fr-FR"/>
        </w:rPr>
        <w:t xml:space="preserve"> d’information</w:t>
      </w:r>
      <w:r w:rsidR="00C762EC">
        <w:rPr>
          <w:lang w:val="fr-FR"/>
        </w:rPr>
        <w:t>, dans la ville de Djelfa,</w:t>
      </w:r>
      <w:r w:rsidR="00A677E9">
        <w:rPr>
          <w:lang w:val="fr-FR"/>
        </w:rPr>
        <w:t xml:space="preserve"> p</w:t>
      </w:r>
      <w:r w:rsidR="00C762EC">
        <w:rPr>
          <w:lang w:val="fr-FR"/>
        </w:rPr>
        <w:t>lacé</w:t>
      </w:r>
      <w:r w:rsidR="00A677E9">
        <w:rPr>
          <w:lang w:val="fr-FR"/>
        </w:rPr>
        <w:t xml:space="preserve"> s</w:t>
      </w:r>
      <w:r w:rsidR="009738DA">
        <w:rPr>
          <w:lang w:val="fr-FR"/>
        </w:rPr>
        <w:t xml:space="preserve">ous </w:t>
      </w:r>
      <w:r w:rsidR="00A677E9">
        <w:rPr>
          <w:lang w:val="fr-FR"/>
        </w:rPr>
        <w:t xml:space="preserve">la tutelle des autorités locales (wilaya) sous la forme d’un </w:t>
      </w:r>
      <w:r w:rsidR="009738DA">
        <w:rPr>
          <w:lang w:val="fr-FR"/>
        </w:rPr>
        <w:t>Conseil</w:t>
      </w:r>
      <w:r w:rsidR="00A677E9">
        <w:rPr>
          <w:lang w:val="fr-FR"/>
        </w:rPr>
        <w:t xml:space="preserve"> Consultatif composé par les </w:t>
      </w:r>
      <w:r w:rsidR="009738DA">
        <w:rPr>
          <w:lang w:val="fr-FR"/>
        </w:rPr>
        <w:t>représentants</w:t>
      </w:r>
      <w:r w:rsidR="00A677E9">
        <w:rPr>
          <w:lang w:val="fr-FR"/>
        </w:rPr>
        <w:t xml:space="preserve"> des </w:t>
      </w:r>
      <w:r w:rsidR="009738DA">
        <w:rPr>
          <w:lang w:val="fr-FR"/>
        </w:rPr>
        <w:t>structures</w:t>
      </w:r>
      <w:r w:rsidR="00A677E9">
        <w:rPr>
          <w:lang w:val="fr-FR"/>
        </w:rPr>
        <w:t xml:space="preserve"> </w:t>
      </w:r>
      <w:r w:rsidR="009738DA">
        <w:rPr>
          <w:lang w:val="fr-FR"/>
        </w:rPr>
        <w:t>déconcentrées</w:t>
      </w:r>
      <w:r w:rsidR="00A677E9">
        <w:rPr>
          <w:lang w:val="fr-FR"/>
        </w:rPr>
        <w:t xml:space="preserve"> des </w:t>
      </w:r>
      <w:r w:rsidR="009738DA">
        <w:rPr>
          <w:lang w:val="fr-FR"/>
        </w:rPr>
        <w:t>ministères</w:t>
      </w:r>
      <w:r w:rsidR="00A677E9">
        <w:rPr>
          <w:lang w:val="fr-FR"/>
        </w:rPr>
        <w:t xml:space="preserve"> et des </w:t>
      </w:r>
      <w:r w:rsidR="009738DA">
        <w:rPr>
          <w:lang w:val="fr-FR"/>
        </w:rPr>
        <w:t>autorités</w:t>
      </w:r>
      <w:r w:rsidR="00A677E9">
        <w:rPr>
          <w:lang w:val="fr-FR"/>
        </w:rPr>
        <w:t xml:space="preserve"> locales. Les fonc</w:t>
      </w:r>
      <w:r w:rsidR="009738DA">
        <w:rPr>
          <w:lang w:val="fr-FR"/>
        </w:rPr>
        <w:t xml:space="preserve">tions du Centre seraient principalement : (i) la promotion du </w:t>
      </w:r>
      <w:r w:rsidR="00EB2C8F">
        <w:rPr>
          <w:lang w:val="fr-FR"/>
        </w:rPr>
        <w:t>dialogue</w:t>
      </w:r>
      <w:r w:rsidR="009738DA">
        <w:rPr>
          <w:lang w:val="fr-FR"/>
        </w:rPr>
        <w:t xml:space="preserve"> et la concertation entre les </w:t>
      </w:r>
      <w:r w:rsidR="00EB2C8F">
        <w:rPr>
          <w:lang w:val="fr-FR"/>
        </w:rPr>
        <w:t>différentes</w:t>
      </w:r>
      <w:r w:rsidR="009738DA">
        <w:rPr>
          <w:lang w:val="fr-FR"/>
        </w:rPr>
        <w:t xml:space="preserve"> structure locales des </w:t>
      </w:r>
      <w:r w:rsidR="00EB2C8F">
        <w:rPr>
          <w:lang w:val="fr-FR"/>
        </w:rPr>
        <w:t>ministères</w:t>
      </w:r>
      <w:r w:rsidR="009738DA">
        <w:rPr>
          <w:lang w:val="fr-FR"/>
        </w:rPr>
        <w:t xml:space="preserve"> </w:t>
      </w:r>
      <w:r w:rsidR="00EB2C8F">
        <w:rPr>
          <w:lang w:val="fr-FR"/>
        </w:rPr>
        <w:t>partenaires</w:t>
      </w:r>
      <w:r w:rsidR="009738DA">
        <w:rPr>
          <w:lang w:val="fr-FR"/>
        </w:rPr>
        <w:t xml:space="preserve">, des </w:t>
      </w:r>
      <w:r w:rsidR="00EB2C8F">
        <w:rPr>
          <w:lang w:val="fr-FR"/>
        </w:rPr>
        <w:t>autorités</w:t>
      </w:r>
      <w:r w:rsidR="009738DA">
        <w:rPr>
          <w:lang w:val="fr-FR"/>
        </w:rPr>
        <w:t xml:space="preserve"> locales et des associations </w:t>
      </w:r>
      <w:r w:rsidR="00EB2C8F">
        <w:rPr>
          <w:lang w:val="fr-FR"/>
        </w:rPr>
        <w:t>impliquées</w:t>
      </w:r>
      <w:r w:rsidR="009738DA">
        <w:rPr>
          <w:lang w:val="fr-FR"/>
        </w:rPr>
        <w:t xml:space="preserve"> dans l’appui aux femmes ; (ii) </w:t>
      </w:r>
      <w:r w:rsidR="00C762EC">
        <w:rPr>
          <w:lang w:val="fr-FR"/>
        </w:rPr>
        <w:t>la diffusion et l’échange d’informations sur les programmes et dispositifs d’alphabétisation, de formation, etc. ; et (iii) l’appui à la mise en réseau des associations locales.</w:t>
      </w:r>
    </w:p>
    <w:p w:rsidR="002606D7" w:rsidRPr="002606D7" w:rsidRDefault="00C762EC" w:rsidP="00D8742E">
      <w:pPr>
        <w:pStyle w:val="NoSpacing"/>
        <w:numPr>
          <w:ilvl w:val="0"/>
          <w:numId w:val="1"/>
        </w:numPr>
        <w:ind w:left="0" w:firstLine="0"/>
        <w:rPr>
          <w:lang w:val="fr-FR"/>
        </w:rPr>
      </w:pPr>
      <w:r w:rsidRPr="002606D7">
        <w:rPr>
          <w:lang w:val="fr-FR"/>
        </w:rPr>
        <w:t xml:space="preserve">La mission ne peut que saluer les efforts de nombreux partenaires et des résultats très encourageants. Le sérieux avec lequel les ateliers ont été préparés, notamment le deuxième, mérite également d’être remarqué. </w:t>
      </w:r>
      <w:r w:rsidR="002606D7">
        <w:rPr>
          <w:lang w:val="fr-FR"/>
        </w:rPr>
        <w:t xml:space="preserve">De même, et  </w:t>
      </w:r>
      <w:r w:rsidR="002606D7" w:rsidRPr="002606D7">
        <w:rPr>
          <w:lang w:val="fr-FR"/>
        </w:rPr>
        <w:t>alors que le document de projet ne le prévoyait pas, les partenaires ont de leur propre initiative identifié to</w:t>
      </w:r>
      <w:r w:rsidR="00576EB1">
        <w:rPr>
          <w:lang w:val="fr-FR"/>
        </w:rPr>
        <w:t>utes les activités du programme</w:t>
      </w:r>
      <w:r w:rsidR="002606D7" w:rsidRPr="002606D7">
        <w:rPr>
          <w:lang w:val="fr-FR"/>
        </w:rPr>
        <w:t xml:space="preserve"> avec lesquelles une synergie doit être établie dans le cadre de la conception et création du Centre de Djelfa (en particulier les activités A6, A2, A17, A18, A22, A23, A24, et A25). </w:t>
      </w:r>
      <w:r w:rsidR="002606D7">
        <w:rPr>
          <w:lang w:val="fr-FR"/>
        </w:rPr>
        <w:t>La</w:t>
      </w:r>
      <w:r w:rsidR="002606D7" w:rsidRPr="002606D7">
        <w:rPr>
          <w:lang w:val="fr-FR"/>
        </w:rPr>
        <w:t xml:space="preserve"> mission tient à saluer la forte implication de l’UNICEF et l’UNFPA dans les travaux préparatifs, alors que cette activité ne prévoyait </w:t>
      </w:r>
      <w:r w:rsidR="00576EB1">
        <w:rPr>
          <w:lang w:val="fr-FR"/>
        </w:rPr>
        <w:t xml:space="preserve">au démarrage </w:t>
      </w:r>
      <w:r w:rsidR="002606D7" w:rsidRPr="002606D7">
        <w:rPr>
          <w:lang w:val="fr-FR"/>
        </w:rPr>
        <w:t>que l’implication du PNUD, ce qui constitue un bon exemple de coopération inter-agences.</w:t>
      </w:r>
    </w:p>
    <w:p w:rsidR="002606D7" w:rsidRDefault="00576EB1" w:rsidP="00D8742E">
      <w:pPr>
        <w:pStyle w:val="NoSpacing"/>
        <w:numPr>
          <w:ilvl w:val="0"/>
          <w:numId w:val="1"/>
        </w:numPr>
        <w:ind w:left="0" w:firstLine="0"/>
        <w:rPr>
          <w:lang w:val="fr-FR"/>
        </w:rPr>
      </w:pPr>
      <w:r>
        <w:rPr>
          <w:lang w:val="fr-FR"/>
        </w:rPr>
        <w:t>Sur la base de ce qui paraî</w:t>
      </w:r>
      <w:r w:rsidR="00C762EC" w:rsidRPr="00584AC8">
        <w:rPr>
          <w:lang w:val="fr-FR"/>
        </w:rPr>
        <w:t>t être de très bonnes fondations pour une activi</w:t>
      </w:r>
      <w:r w:rsidR="00584AC8" w:rsidRPr="00584AC8">
        <w:rPr>
          <w:lang w:val="fr-FR"/>
        </w:rPr>
        <w:t>té pilote intéressante et utile</w:t>
      </w:r>
      <w:r w:rsidR="002606D7">
        <w:rPr>
          <w:lang w:val="fr-FR"/>
        </w:rPr>
        <w:t>, l</w:t>
      </w:r>
      <w:r w:rsidR="00C762EC" w:rsidRPr="00584AC8">
        <w:rPr>
          <w:lang w:val="fr-FR"/>
        </w:rPr>
        <w:t>a mission reco</w:t>
      </w:r>
      <w:r w:rsidR="002606D7">
        <w:rPr>
          <w:lang w:val="fr-FR"/>
        </w:rPr>
        <w:t>mmande que la mise en place du C</w:t>
      </w:r>
      <w:r w:rsidR="00C762EC" w:rsidRPr="00584AC8">
        <w:rPr>
          <w:lang w:val="fr-FR"/>
        </w:rPr>
        <w:t xml:space="preserve">entre s’accélère afin que les </w:t>
      </w:r>
      <w:r w:rsidR="00C762EC" w:rsidRPr="00584AC8">
        <w:rPr>
          <w:lang w:val="fr-FR"/>
        </w:rPr>
        <w:lastRenderedPageBreak/>
        <w:t>partenaires soient à même de l’appuyer sur la plus longue durée possible.</w:t>
      </w:r>
      <w:r w:rsidR="00584AC8" w:rsidRPr="00584AC8">
        <w:rPr>
          <w:lang w:val="fr-FR"/>
        </w:rPr>
        <w:t xml:space="preserve"> </w:t>
      </w:r>
      <w:r w:rsidR="002606D7">
        <w:rPr>
          <w:lang w:val="fr-FR"/>
        </w:rPr>
        <w:t xml:space="preserve">Le budget actuel de 40.000 dollars devra </w:t>
      </w:r>
      <w:r w:rsidR="009035C8">
        <w:rPr>
          <w:lang w:val="fr-FR"/>
        </w:rPr>
        <w:t xml:space="preserve">en outre </w:t>
      </w:r>
      <w:r w:rsidR="002606D7">
        <w:rPr>
          <w:lang w:val="fr-FR"/>
        </w:rPr>
        <w:t>être augmenté afin que les fonds nécessaires soient disponibles pour la poursuite de cette activité dans de bonnes conditions</w:t>
      </w:r>
      <w:r w:rsidR="002606D7">
        <w:rPr>
          <w:rStyle w:val="FootnoteReference"/>
          <w:lang w:val="fr-FR"/>
        </w:rPr>
        <w:footnoteReference w:id="54"/>
      </w:r>
      <w:r w:rsidR="002606D7">
        <w:rPr>
          <w:lang w:val="fr-FR"/>
        </w:rPr>
        <w:t xml:space="preserve">. </w:t>
      </w:r>
      <w:r w:rsidR="00584AC8" w:rsidRPr="00584AC8">
        <w:rPr>
          <w:lang w:val="fr-FR"/>
        </w:rPr>
        <w:t>Etant donné le peu de temps qui reste pour la mise en œuvre de cette activité, il est probable que le programme ne pourra au mieux qu’amorcer un processus qu’il appartiendra à d’autres de faire fonctionner et de dynamiser. Le succès de cette activité dépendra donc de la capacité du programme à démontrer rapidement que le Centre peut jouer un r</w:t>
      </w:r>
      <w:r w:rsidR="00584AC8" w:rsidRPr="00584AC8">
        <w:rPr>
          <w:rFonts w:cs="Calibri"/>
          <w:lang w:val="fr-FR"/>
        </w:rPr>
        <w:t>ô</w:t>
      </w:r>
      <w:r w:rsidR="00584AC8" w:rsidRPr="00584AC8">
        <w:rPr>
          <w:lang w:val="fr-FR"/>
        </w:rPr>
        <w:t>le utile et améliorer le travail de chacun</w:t>
      </w:r>
      <w:r>
        <w:rPr>
          <w:lang w:val="fr-FR"/>
        </w:rPr>
        <w:t>, puis d’une négociation réussie avec le gouvernement et les autorités locales s’agissant de la pérennisation financière de son fonctionnement.</w:t>
      </w:r>
    </w:p>
    <w:p w:rsidR="009035C8" w:rsidRPr="00C622CD" w:rsidRDefault="009035C8" w:rsidP="00D8742E">
      <w:pPr>
        <w:pStyle w:val="NoSpacing"/>
        <w:numPr>
          <w:ilvl w:val="0"/>
          <w:numId w:val="1"/>
        </w:numPr>
        <w:ind w:left="0" w:firstLine="0"/>
        <w:rPr>
          <w:lang w:val="fr-FR"/>
        </w:rPr>
      </w:pPr>
      <w:r w:rsidRPr="009035C8">
        <w:rPr>
          <w:b/>
          <w:lang w:val="fr-FR"/>
        </w:rPr>
        <w:t xml:space="preserve">Centre d’information et d’accompagnement des femmes </w:t>
      </w:r>
      <w:r>
        <w:rPr>
          <w:b/>
          <w:lang w:val="fr-FR"/>
        </w:rPr>
        <w:t xml:space="preserve">très vulnérables </w:t>
      </w:r>
      <w:r w:rsidRPr="009035C8">
        <w:rPr>
          <w:b/>
          <w:lang w:val="fr-FR"/>
        </w:rPr>
        <w:t>(A23</w:t>
      </w:r>
      <w:r>
        <w:rPr>
          <w:lang w:val="fr-FR"/>
        </w:rPr>
        <w:t>). En considération de la préoccupation des institutions nationales s’agissant de l’importan</w:t>
      </w:r>
      <w:r w:rsidR="00AE4D5D">
        <w:rPr>
          <w:lang w:val="fr-FR"/>
        </w:rPr>
        <w:t>ce du taux de prévalence du VIH/</w:t>
      </w:r>
      <w:r>
        <w:rPr>
          <w:lang w:val="fr-FR"/>
        </w:rPr>
        <w:t xml:space="preserve">SIDA dans la </w:t>
      </w:r>
      <w:r w:rsidRPr="00C960D3">
        <w:rPr>
          <w:i/>
          <w:lang w:val="fr-FR"/>
        </w:rPr>
        <w:t>wilaya</w:t>
      </w:r>
      <w:r>
        <w:rPr>
          <w:lang w:val="fr-FR"/>
        </w:rPr>
        <w:t xml:space="preserve"> de Tamanrasset, d’une part, et d’autre part </w:t>
      </w:r>
      <w:r w:rsidR="00C622CD">
        <w:rPr>
          <w:lang w:val="fr-FR"/>
        </w:rPr>
        <w:t xml:space="preserve">de </w:t>
      </w:r>
      <w:r>
        <w:rPr>
          <w:lang w:val="fr-FR"/>
        </w:rPr>
        <w:t>la grande vulnérabilité économique des femmes vivant avec le VIH</w:t>
      </w:r>
      <w:r w:rsidR="00AE4D5D">
        <w:rPr>
          <w:lang w:val="fr-FR"/>
        </w:rPr>
        <w:t>/</w:t>
      </w:r>
      <w:r w:rsidR="00C960D3">
        <w:rPr>
          <w:lang w:val="fr-FR"/>
        </w:rPr>
        <w:t xml:space="preserve">SIDA et qui sont </w:t>
      </w:r>
      <w:r>
        <w:rPr>
          <w:lang w:val="fr-FR"/>
        </w:rPr>
        <w:t>par ailleurs victime</w:t>
      </w:r>
      <w:r w:rsidR="00C622CD">
        <w:rPr>
          <w:lang w:val="fr-FR"/>
        </w:rPr>
        <w:t>s</w:t>
      </w:r>
      <w:r>
        <w:rPr>
          <w:lang w:val="fr-FR"/>
        </w:rPr>
        <w:t xml:space="preserve"> de stigmatisation et de discrimination, les concepteurs du programme ont prévu une action visant à créer à Tamanrasset un centre d’information et d’accompagnement </w:t>
      </w:r>
      <w:r w:rsidR="00C960D3">
        <w:rPr>
          <w:lang w:val="fr-FR"/>
        </w:rPr>
        <w:t>de ces femmes</w:t>
      </w:r>
      <w:r>
        <w:rPr>
          <w:lang w:val="fr-FR"/>
        </w:rPr>
        <w:t>.</w:t>
      </w:r>
      <w:r w:rsidR="00C622CD">
        <w:rPr>
          <w:lang w:val="fr-FR"/>
        </w:rPr>
        <w:t xml:space="preserve"> </w:t>
      </w:r>
      <w:r w:rsidR="00C960D3">
        <w:rPr>
          <w:lang w:val="fr-FR"/>
        </w:rPr>
        <w:t xml:space="preserve">Le document de projet ne donne cependant aucune description précise, par exemple le type d’accompagnement. </w:t>
      </w:r>
      <w:r w:rsidR="00C622CD">
        <w:rPr>
          <w:lang w:val="fr-FR"/>
        </w:rPr>
        <w:t>Dotée d’un budget de 150.000 dollars et prévue initialement pour être mise en œuvre par le MDCFCF et l’ONUSIDA, il s’agit de la seule activité confiée à ce partenaire des NU.</w:t>
      </w:r>
    </w:p>
    <w:p w:rsidR="00896D9A" w:rsidRPr="00AE4D5D" w:rsidRDefault="00C622CD" w:rsidP="00D8742E">
      <w:pPr>
        <w:pStyle w:val="NoSpacing"/>
        <w:numPr>
          <w:ilvl w:val="0"/>
          <w:numId w:val="1"/>
        </w:numPr>
        <w:ind w:left="0" w:firstLine="0"/>
        <w:rPr>
          <w:lang w:val="fr-FR"/>
        </w:rPr>
      </w:pPr>
      <w:r w:rsidRPr="00AE4D5D">
        <w:rPr>
          <w:lang w:val="fr-FR"/>
        </w:rPr>
        <w:t xml:space="preserve">Aux vues du taux de déboursement financier (55.300 dollars ou 100% du montant de la première tranche ont déjà été déboursés) et des réalisations concrètes constatées par la mission sur le terrain, il s’agit de l’activité dont l’exécution est la plus </w:t>
      </w:r>
      <w:r w:rsidR="00251A94" w:rsidRPr="00AE4D5D">
        <w:rPr>
          <w:lang w:val="fr-FR"/>
        </w:rPr>
        <w:t xml:space="preserve">avancée et la mieux </w:t>
      </w:r>
      <w:r w:rsidRPr="00AE4D5D">
        <w:rPr>
          <w:lang w:val="fr-FR"/>
        </w:rPr>
        <w:t xml:space="preserve">aboutie. </w:t>
      </w:r>
      <w:r w:rsidR="00251A94" w:rsidRPr="00AE4D5D">
        <w:rPr>
          <w:lang w:val="fr-FR"/>
        </w:rPr>
        <w:t xml:space="preserve">Mise en œuvre sur le terrain par l’Association El Hayet, une ONG établie à Alger et dont la mission est </w:t>
      </w:r>
      <w:r w:rsidR="00AF5079" w:rsidRPr="00AE4D5D">
        <w:rPr>
          <w:lang w:val="fr-FR"/>
        </w:rPr>
        <w:t>la prise en charge des personnes atteintes du VIH</w:t>
      </w:r>
      <w:r w:rsidR="00AE4D5D">
        <w:rPr>
          <w:lang w:val="fr-FR"/>
        </w:rPr>
        <w:t>/SIDA</w:t>
      </w:r>
      <w:r w:rsidR="00AF5079" w:rsidRPr="00AE4D5D">
        <w:rPr>
          <w:lang w:val="fr-FR"/>
        </w:rPr>
        <w:t xml:space="preserve">, </w:t>
      </w:r>
      <w:r w:rsidR="00251A94" w:rsidRPr="00AE4D5D">
        <w:rPr>
          <w:lang w:val="fr-FR"/>
        </w:rPr>
        <w:t>sa conception est le fruit d’une concertation entre l’ONUSIDA, le Ministère</w:t>
      </w:r>
      <w:r w:rsidR="00AF5079" w:rsidRPr="00AE4D5D">
        <w:rPr>
          <w:lang w:val="fr-FR"/>
        </w:rPr>
        <w:t xml:space="preserve"> de la Solidarité Nationale et de la famille (MSNF), le </w:t>
      </w:r>
      <w:r w:rsidR="00467C9E">
        <w:rPr>
          <w:lang w:val="fr-FR"/>
        </w:rPr>
        <w:t>MFEP</w:t>
      </w:r>
      <w:r w:rsidR="00463C60">
        <w:rPr>
          <w:lang w:val="fr-FR"/>
        </w:rPr>
        <w:t>, Le MSPRH</w:t>
      </w:r>
      <w:r w:rsidR="00AF5079" w:rsidRPr="00AE4D5D">
        <w:rPr>
          <w:lang w:val="fr-FR"/>
        </w:rPr>
        <w:t xml:space="preserve"> et le MDCFCF. </w:t>
      </w:r>
    </w:p>
    <w:p w:rsidR="0038675F" w:rsidRDefault="00896D9A" w:rsidP="00D8742E">
      <w:pPr>
        <w:pStyle w:val="NoSpacing"/>
        <w:numPr>
          <w:ilvl w:val="0"/>
          <w:numId w:val="1"/>
        </w:numPr>
        <w:ind w:left="0" w:firstLine="0"/>
        <w:rPr>
          <w:lang w:val="fr-FR"/>
        </w:rPr>
      </w:pPr>
      <w:r w:rsidRPr="0038675F">
        <w:rPr>
          <w:lang w:val="fr-FR"/>
        </w:rPr>
        <w:t>En effet, l</w:t>
      </w:r>
      <w:r w:rsidR="00AF5079" w:rsidRPr="0038675F">
        <w:rPr>
          <w:lang w:val="fr-FR"/>
        </w:rPr>
        <w:t>e budget alloué</w:t>
      </w:r>
      <w:r w:rsidRPr="0038675F">
        <w:rPr>
          <w:lang w:val="fr-FR"/>
        </w:rPr>
        <w:t xml:space="preserve"> de 150.000 dollars</w:t>
      </w:r>
      <w:r w:rsidR="00AF5079" w:rsidRPr="0038675F">
        <w:rPr>
          <w:lang w:val="fr-FR"/>
        </w:rPr>
        <w:t xml:space="preserve"> ne permettant pas de financer</w:t>
      </w:r>
      <w:r w:rsidRPr="0038675F">
        <w:rPr>
          <w:lang w:val="fr-FR"/>
        </w:rPr>
        <w:t xml:space="preserve"> la création </w:t>
      </w:r>
      <w:r w:rsidR="00C960D3">
        <w:rPr>
          <w:lang w:val="fr-FR"/>
        </w:rPr>
        <w:t xml:space="preserve">à proprement parler d’une structure permanente, </w:t>
      </w:r>
      <w:r w:rsidR="00AF5079" w:rsidRPr="0038675F">
        <w:rPr>
          <w:lang w:val="fr-FR"/>
        </w:rPr>
        <w:t xml:space="preserve"> une des premières</w:t>
      </w:r>
      <w:r w:rsidR="00D97BF9" w:rsidRPr="0038675F">
        <w:rPr>
          <w:lang w:val="fr-FR"/>
        </w:rPr>
        <w:t xml:space="preserve"> tâches</w:t>
      </w:r>
      <w:r w:rsidR="00AF5079" w:rsidRPr="0038675F">
        <w:rPr>
          <w:lang w:val="fr-FR"/>
        </w:rPr>
        <w:t xml:space="preserve"> des partenaires a été de concevoir un dispositif simple et moins ambitieux permettant </w:t>
      </w:r>
      <w:r w:rsidR="00D97BF9" w:rsidRPr="0038675F">
        <w:rPr>
          <w:lang w:val="fr-FR"/>
        </w:rPr>
        <w:t>de remplir l’objectif d’information et d’accompagnement des femmes atteintes du VIH dans une activité génératrice de revenu. Sur la base de l’expérience acquise par El Hayet et l’ONUSIDA dans le cadre d’un projet antérieur</w:t>
      </w:r>
      <w:r w:rsidR="0038675F">
        <w:rPr>
          <w:rStyle w:val="FootnoteReference"/>
          <w:lang w:val="fr-FR"/>
        </w:rPr>
        <w:footnoteReference w:id="55"/>
      </w:r>
      <w:r w:rsidR="00D97BF9" w:rsidRPr="0038675F">
        <w:rPr>
          <w:lang w:val="fr-FR"/>
        </w:rPr>
        <w:t xml:space="preserve">, les partenaires ont </w:t>
      </w:r>
      <w:r w:rsidRPr="0038675F">
        <w:rPr>
          <w:lang w:val="fr-FR"/>
        </w:rPr>
        <w:t>opté pour une approche </w:t>
      </w:r>
      <w:r w:rsidR="00C960D3">
        <w:rPr>
          <w:lang w:val="fr-FR"/>
        </w:rPr>
        <w:t>originale</w:t>
      </w:r>
      <w:r w:rsidRPr="0038675F">
        <w:rPr>
          <w:lang w:val="fr-FR"/>
        </w:rPr>
        <w:t xml:space="preserve">: </w:t>
      </w:r>
      <w:r w:rsidR="0038675F" w:rsidRPr="0038675F">
        <w:rPr>
          <w:lang w:val="fr-FR"/>
        </w:rPr>
        <w:t xml:space="preserve">utiliser l’hôpital, lieu convivial </w:t>
      </w:r>
      <w:r w:rsidR="0038675F">
        <w:rPr>
          <w:lang w:val="fr-FR"/>
        </w:rPr>
        <w:t xml:space="preserve">et permanent </w:t>
      </w:r>
      <w:r w:rsidR="0038675F" w:rsidRPr="0038675F">
        <w:rPr>
          <w:lang w:val="fr-FR"/>
        </w:rPr>
        <w:t>par lequel convergent naturellement les malades ou femmes porteuses du VIH, comme un espace d’information et d’accompagnement de ces femmes dans un projet de formation professionnelle ou de lancement d’activité</w:t>
      </w:r>
      <w:r w:rsidR="00C960D3">
        <w:rPr>
          <w:lang w:val="fr-FR"/>
        </w:rPr>
        <w:t>s</w:t>
      </w:r>
      <w:r w:rsidR="0038675F" w:rsidRPr="0038675F">
        <w:rPr>
          <w:lang w:val="fr-FR"/>
        </w:rPr>
        <w:t xml:space="preserve"> génératrice</w:t>
      </w:r>
      <w:r w:rsidR="00C960D3">
        <w:rPr>
          <w:lang w:val="fr-FR"/>
        </w:rPr>
        <w:t>s</w:t>
      </w:r>
      <w:r w:rsidR="0038675F" w:rsidRPr="0038675F">
        <w:rPr>
          <w:lang w:val="fr-FR"/>
        </w:rPr>
        <w:t xml:space="preserve"> de revenus. </w:t>
      </w:r>
    </w:p>
    <w:p w:rsidR="00D121A8" w:rsidRDefault="0038675F" w:rsidP="00D8742E">
      <w:pPr>
        <w:pStyle w:val="NoSpacing"/>
        <w:numPr>
          <w:ilvl w:val="0"/>
          <w:numId w:val="1"/>
        </w:numPr>
        <w:ind w:left="0" w:firstLine="0"/>
        <w:rPr>
          <w:rFonts w:cs="Calibri"/>
          <w:bCs/>
          <w:iCs/>
          <w:snapToGrid w:val="0"/>
          <w:lang w:val="fr-CA"/>
        </w:rPr>
      </w:pPr>
      <w:r w:rsidRPr="00D121A8">
        <w:rPr>
          <w:lang w:val="fr-FR"/>
        </w:rPr>
        <w:t>C’est ainsi que 34 femmes et jeunes filles infectées, ou affectées</w:t>
      </w:r>
      <w:r>
        <w:rPr>
          <w:rStyle w:val="FootnoteReference"/>
          <w:lang w:val="fr-FR"/>
        </w:rPr>
        <w:footnoteReference w:id="56"/>
      </w:r>
      <w:r w:rsidRPr="00D121A8">
        <w:rPr>
          <w:lang w:val="fr-FR"/>
        </w:rPr>
        <w:t xml:space="preserve">, ont bénéficié d’un premier cycle de formation professionnelle </w:t>
      </w:r>
      <w:r w:rsidR="00D121A8" w:rsidRPr="00D121A8">
        <w:rPr>
          <w:lang w:val="fr-FR"/>
        </w:rPr>
        <w:t xml:space="preserve">en juin 2011 </w:t>
      </w:r>
      <w:r w:rsidRPr="00D121A8">
        <w:rPr>
          <w:lang w:val="fr-FR"/>
        </w:rPr>
        <w:t>au sein du Centre de Formation Professionnelle de Tamanrasset</w:t>
      </w:r>
      <w:r w:rsidR="00D121A8" w:rsidRPr="00D121A8">
        <w:rPr>
          <w:lang w:val="fr-FR"/>
        </w:rPr>
        <w:t xml:space="preserve">. </w:t>
      </w:r>
      <w:r w:rsidR="00C960D3">
        <w:rPr>
          <w:lang w:val="fr-FR"/>
        </w:rPr>
        <w:t xml:space="preserve">Afin de leur permettre de suivre la formation de plusieurs mois, les bénéficiaires ont touché une petite indemnité financière, formule qui n’est pas d’ordinaire en application dans les CFP. </w:t>
      </w:r>
      <w:r w:rsidR="0060333A">
        <w:rPr>
          <w:lang w:val="fr-FR"/>
        </w:rPr>
        <w:t xml:space="preserve"> </w:t>
      </w:r>
      <w:r w:rsidR="00D121A8" w:rsidRPr="00D121A8">
        <w:rPr>
          <w:lang w:val="fr-FR"/>
        </w:rPr>
        <w:t xml:space="preserve">A l’issue de cette formation, </w:t>
      </w:r>
      <w:r w:rsidRPr="00D121A8">
        <w:rPr>
          <w:lang w:val="fr-FR"/>
        </w:rPr>
        <w:t xml:space="preserve"> </w:t>
      </w:r>
      <w:r w:rsidR="00463C60">
        <w:rPr>
          <w:lang w:val="fr-FR"/>
        </w:rPr>
        <w:t>20</w:t>
      </w:r>
      <w:r w:rsidRPr="00D121A8">
        <w:rPr>
          <w:lang w:val="fr-FR"/>
        </w:rPr>
        <w:t xml:space="preserve"> </w:t>
      </w:r>
      <w:r w:rsidR="00D121A8" w:rsidRPr="00D121A8">
        <w:rPr>
          <w:lang w:val="fr-FR"/>
        </w:rPr>
        <w:t xml:space="preserve">de ces femmes </w:t>
      </w:r>
      <w:r w:rsidRPr="00D121A8">
        <w:rPr>
          <w:lang w:val="fr-FR"/>
        </w:rPr>
        <w:t xml:space="preserve">ont pu </w:t>
      </w:r>
      <w:r w:rsidR="00D121A8" w:rsidRPr="00D121A8">
        <w:rPr>
          <w:lang w:val="fr-FR"/>
        </w:rPr>
        <w:t>également</w:t>
      </w:r>
      <w:r w:rsidRPr="00D121A8">
        <w:rPr>
          <w:lang w:val="fr-FR"/>
        </w:rPr>
        <w:t xml:space="preserve"> bénéfici</w:t>
      </w:r>
      <w:r w:rsidR="00D121A8" w:rsidRPr="00D121A8">
        <w:rPr>
          <w:lang w:val="fr-FR"/>
        </w:rPr>
        <w:t>er</w:t>
      </w:r>
      <w:r w:rsidRPr="00D121A8">
        <w:rPr>
          <w:lang w:val="fr-FR"/>
        </w:rPr>
        <w:t xml:space="preserve"> d’un microcrédit sans intérêt auprès de l’ANGEM, grâce à la facilitation d</w:t>
      </w:r>
      <w:r w:rsidR="00D121A8" w:rsidRPr="00D121A8">
        <w:rPr>
          <w:lang w:val="fr-FR"/>
        </w:rPr>
        <w:t>e</w:t>
      </w:r>
      <w:r w:rsidRPr="00D121A8">
        <w:rPr>
          <w:lang w:val="fr-FR"/>
        </w:rPr>
        <w:t xml:space="preserve"> </w:t>
      </w:r>
      <w:r w:rsidR="00D121A8" w:rsidRPr="00D121A8">
        <w:rPr>
          <w:lang w:val="fr-FR"/>
        </w:rPr>
        <w:t>l’</w:t>
      </w:r>
      <w:r w:rsidRPr="00D121A8">
        <w:rPr>
          <w:lang w:val="fr-FR"/>
        </w:rPr>
        <w:t xml:space="preserve">agent facilitateur </w:t>
      </w:r>
      <w:r w:rsidR="00D121A8" w:rsidRPr="00D121A8">
        <w:rPr>
          <w:lang w:val="fr-FR"/>
        </w:rPr>
        <w:t xml:space="preserve">recruté par EL Hayet pour la mise en œuvre de l’A23 qui </w:t>
      </w:r>
      <w:r w:rsidRPr="00D121A8">
        <w:rPr>
          <w:lang w:val="fr-FR"/>
        </w:rPr>
        <w:t>travaill</w:t>
      </w:r>
      <w:r w:rsidR="00D121A8" w:rsidRPr="00D121A8">
        <w:rPr>
          <w:lang w:val="fr-FR"/>
        </w:rPr>
        <w:t>e</w:t>
      </w:r>
      <w:r w:rsidRPr="00D121A8">
        <w:rPr>
          <w:lang w:val="fr-FR"/>
        </w:rPr>
        <w:t xml:space="preserve"> à plein temps au sein de l’hôpital. </w:t>
      </w:r>
      <w:r w:rsidR="00D121A8" w:rsidRPr="00AE4D5D">
        <w:rPr>
          <w:rFonts w:cs="Calibri"/>
          <w:bCs/>
          <w:iCs/>
          <w:snapToGrid w:val="0"/>
          <w:lang w:val="fr-FR"/>
        </w:rPr>
        <w:t xml:space="preserve">Un deuxième cycle de </w:t>
      </w:r>
      <w:r w:rsidR="00D121A8" w:rsidRPr="00AE4D5D">
        <w:rPr>
          <w:rFonts w:cs="Calibri"/>
          <w:bCs/>
          <w:iCs/>
          <w:snapToGrid w:val="0"/>
          <w:lang w:val="fr-FR"/>
        </w:rPr>
        <w:lastRenderedPageBreak/>
        <w:t>formation</w:t>
      </w:r>
      <w:r w:rsidR="00D121A8">
        <w:rPr>
          <w:rFonts w:cs="Calibri"/>
          <w:b/>
          <w:bCs/>
          <w:iCs/>
          <w:snapToGrid w:val="0"/>
          <w:lang w:val="fr-FR"/>
        </w:rPr>
        <w:t xml:space="preserve"> </w:t>
      </w:r>
      <w:r w:rsidR="00D121A8" w:rsidRPr="00D121A8">
        <w:rPr>
          <w:rFonts w:cs="Calibri"/>
          <w:bCs/>
          <w:iCs/>
          <w:snapToGrid w:val="0"/>
          <w:lang w:val="fr-CA"/>
        </w:rPr>
        <w:t xml:space="preserve">a été lancé en octobre 2011 et se poursuivra jusqu’à mars 2012 pour 53 </w:t>
      </w:r>
      <w:r w:rsidR="00D121A8">
        <w:rPr>
          <w:rFonts w:cs="Calibri"/>
          <w:bCs/>
          <w:iCs/>
          <w:snapToGrid w:val="0"/>
          <w:lang w:val="fr-CA"/>
        </w:rPr>
        <w:t xml:space="preserve">autres </w:t>
      </w:r>
      <w:r w:rsidR="00D121A8" w:rsidRPr="00D121A8">
        <w:rPr>
          <w:rFonts w:cs="Calibri"/>
          <w:bCs/>
          <w:iCs/>
          <w:snapToGrid w:val="0"/>
          <w:lang w:val="fr-CA"/>
        </w:rPr>
        <w:t>femmes et jeunes filles</w:t>
      </w:r>
      <w:r w:rsidR="00D121A8">
        <w:rPr>
          <w:rFonts w:cs="Calibri"/>
          <w:bCs/>
          <w:iCs/>
          <w:snapToGrid w:val="0"/>
          <w:lang w:val="fr-CA"/>
        </w:rPr>
        <w:t>, portant à 87 le nombre total de bénéficiaires directs de l’A2</w:t>
      </w:r>
      <w:r w:rsidR="00463C60">
        <w:rPr>
          <w:rFonts w:cs="Calibri"/>
          <w:bCs/>
          <w:iCs/>
          <w:snapToGrid w:val="0"/>
          <w:lang w:val="fr-CA"/>
        </w:rPr>
        <w:t xml:space="preserve">3 </w:t>
      </w:r>
      <w:r w:rsidR="00D121A8">
        <w:rPr>
          <w:rFonts w:cs="Calibri"/>
          <w:bCs/>
          <w:iCs/>
          <w:snapToGrid w:val="0"/>
          <w:lang w:val="fr-CA"/>
        </w:rPr>
        <w:t>à ce jour.</w:t>
      </w:r>
    </w:p>
    <w:p w:rsidR="00216787" w:rsidRDefault="00C960D3" w:rsidP="00D8742E">
      <w:pPr>
        <w:pStyle w:val="NoSpacing"/>
        <w:numPr>
          <w:ilvl w:val="0"/>
          <w:numId w:val="1"/>
        </w:numPr>
        <w:ind w:left="0" w:firstLine="0"/>
        <w:rPr>
          <w:lang w:val="fr-FR"/>
        </w:rPr>
      </w:pPr>
      <w:r>
        <w:rPr>
          <w:lang w:val="fr-CA"/>
        </w:rPr>
        <w:t>Peu après la fin de la première vague de formations, c</w:t>
      </w:r>
      <w:r w:rsidR="009909A6">
        <w:rPr>
          <w:lang w:val="fr-CA"/>
        </w:rPr>
        <w:t>ette activité a fait l’objet d’une visite de supervision de la p</w:t>
      </w:r>
      <w:r>
        <w:rPr>
          <w:lang w:val="fr-CA"/>
        </w:rPr>
        <w:t>art des partenaires et de l’EP,</w:t>
      </w:r>
      <w:r w:rsidR="009909A6">
        <w:rPr>
          <w:lang w:val="fr-CA"/>
        </w:rPr>
        <w:t xml:space="preserve"> </w:t>
      </w:r>
      <w:r>
        <w:rPr>
          <w:lang w:val="fr-CA"/>
        </w:rPr>
        <w:t>qui</w:t>
      </w:r>
      <w:r w:rsidR="009909A6">
        <w:rPr>
          <w:lang w:val="fr-CA"/>
        </w:rPr>
        <w:t xml:space="preserve"> ont rencontré les partenaires locaux ainsi que des bénéficiaires. </w:t>
      </w:r>
      <w:r w:rsidR="00D121A8">
        <w:rPr>
          <w:lang w:val="fr-CA"/>
        </w:rPr>
        <w:t>Au cours de ses travaux en Algérie, l</w:t>
      </w:r>
      <w:r w:rsidR="00D121A8">
        <w:rPr>
          <w:lang w:val="fr-FR"/>
        </w:rPr>
        <w:t xml:space="preserve">a mission </w:t>
      </w:r>
      <w:r w:rsidR="009909A6">
        <w:rPr>
          <w:lang w:val="fr-FR"/>
        </w:rPr>
        <w:t xml:space="preserve">a pu elle aussi se rendre </w:t>
      </w:r>
      <w:r w:rsidR="00D121A8">
        <w:rPr>
          <w:lang w:val="fr-FR"/>
        </w:rPr>
        <w:t xml:space="preserve">à Tamanrasset et </w:t>
      </w:r>
      <w:r w:rsidR="009909A6">
        <w:rPr>
          <w:lang w:val="fr-FR"/>
        </w:rPr>
        <w:t>elle a</w:t>
      </w:r>
      <w:r w:rsidR="00D121A8">
        <w:rPr>
          <w:lang w:val="fr-FR"/>
        </w:rPr>
        <w:t xml:space="preserve"> </w:t>
      </w:r>
      <w:r w:rsidR="009909A6">
        <w:rPr>
          <w:lang w:val="fr-FR"/>
        </w:rPr>
        <w:t xml:space="preserve">pu </w:t>
      </w:r>
      <w:r w:rsidR="00D121A8">
        <w:rPr>
          <w:lang w:val="fr-FR"/>
        </w:rPr>
        <w:t>rencontr</w:t>
      </w:r>
      <w:r w:rsidR="009909A6">
        <w:rPr>
          <w:lang w:val="fr-FR"/>
        </w:rPr>
        <w:t>er tous les</w:t>
      </w:r>
      <w:r w:rsidR="00D121A8">
        <w:rPr>
          <w:lang w:val="fr-FR"/>
        </w:rPr>
        <w:t xml:space="preserve"> acteurs de mise en œuvre de l’A2</w:t>
      </w:r>
      <w:r w:rsidR="00463C60">
        <w:rPr>
          <w:lang w:val="fr-FR"/>
        </w:rPr>
        <w:t>3</w:t>
      </w:r>
      <w:r w:rsidR="00D121A8">
        <w:rPr>
          <w:lang w:val="fr-FR"/>
        </w:rPr>
        <w:t xml:space="preserve"> ainsi qu’une vingtaine de femmes bénéficiaires</w:t>
      </w:r>
      <w:r w:rsidR="00D121A8">
        <w:rPr>
          <w:rStyle w:val="FootnoteReference"/>
          <w:lang w:val="fr-FR"/>
        </w:rPr>
        <w:footnoteReference w:id="57"/>
      </w:r>
      <w:r w:rsidR="00D121A8">
        <w:rPr>
          <w:lang w:val="fr-FR"/>
        </w:rPr>
        <w:t xml:space="preserve">. </w:t>
      </w:r>
      <w:r w:rsidR="009909A6">
        <w:rPr>
          <w:lang w:val="fr-FR"/>
        </w:rPr>
        <w:t xml:space="preserve">La mission peut donc témoigner du vif intérêt que cette activité a suscité auprès des acteurs locaux, notamment </w:t>
      </w:r>
      <w:r w:rsidR="0060333A">
        <w:rPr>
          <w:lang w:val="fr-FR"/>
        </w:rPr>
        <w:t xml:space="preserve">du </w:t>
      </w:r>
      <w:r w:rsidR="009909A6">
        <w:rPr>
          <w:lang w:val="fr-FR"/>
        </w:rPr>
        <w:t>responsable du Centre de Formation Professionnelle</w:t>
      </w:r>
      <w:r w:rsidR="0060333A">
        <w:rPr>
          <w:lang w:val="fr-FR"/>
        </w:rPr>
        <w:t>,</w:t>
      </w:r>
      <w:r>
        <w:rPr>
          <w:lang w:val="fr-FR"/>
        </w:rPr>
        <w:t xml:space="preserve"> </w:t>
      </w:r>
      <w:r w:rsidR="0060333A">
        <w:rPr>
          <w:lang w:val="fr-FR"/>
        </w:rPr>
        <w:t xml:space="preserve">de </w:t>
      </w:r>
      <w:r>
        <w:rPr>
          <w:lang w:val="fr-FR"/>
        </w:rPr>
        <w:t>la Direction et du</w:t>
      </w:r>
      <w:r w:rsidR="009909A6">
        <w:rPr>
          <w:lang w:val="fr-FR"/>
        </w:rPr>
        <w:t xml:space="preserve"> personnel concerné de l’hôpital et </w:t>
      </w:r>
      <w:r>
        <w:rPr>
          <w:lang w:val="fr-FR"/>
        </w:rPr>
        <w:t xml:space="preserve">du </w:t>
      </w:r>
      <w:r w:rsidR="009909A6">
        <w:rPr>
          <w:lang w:val="fr-FR"/>
        </w:rPr>
        <w:t xml:space="preserve">responsable du bureau local de l’ANGEM. </w:t>
      </w:r>
    </w:p>
    <w:p w:rsidR="00251A94" w:rsidRDefault="009909A6" w:rsidP="00D8742E">
      <w:pPr>
        <w:pStyle w:val="NoSpacing"/>
        <w:numPr>
          <w:ilvl w:val="0"/>
          <w:numId w:val="1"/>
        </w:numPr>
        <w:ind w:left="0" w:firstLine="0"/>
        <w:rPr>
          <w:lang w:val="fr-FR"/>
        </w:rPr>
      </w:pPr>
      <w:r>
        <w:rPr>
          <w:lang w:val="fr-FR"/>
        </w:rPr>
        <w:t xml:space="preserve">Tous ces acteurs, après que leurs réserves initiales liées à l’appréhension à travailler </w:t>
      </w:r>
      <w:r w:rsidR="00BE10AD">
        <w:rPr>
          <w:lang w:val="fr-FR"/>
        </w:rPr>
        <w:t>avec</w:t>
      </w:r>
      <w:r>
        <w:rPr>
          <w:lang w:val="fr-FR"/>
        </w:rPr>
        <w:t xml:space="preserve"> des femmes séropositives aient été levées, ont tous la satisfaction d’avoir travaillé ensemble à une œuvre utile, celle d’appuyer des femmes qui sont dans un grand désarroi et qui </w:t>
      </w:r>
      <w:r w:rsidR="00242884">
        <w:rPr>
          <w:lang w:val="fr-FR"/>
        </w:rPr>
        <w:t>échappent encore aux dispositifs d’aide sociale et économique</w:t>
      </w:r>
      <w:r w:rsidR="00BE10AD">
        <w:rPr>
          <w:lang w:val="fr-FR"/>
        </w:rPr>
        <w:t>,</w:t>
      </w:r>
      <w:r w:rsidR="00242884">
        <w:rPr>
          <w:lang w:val="fr-FR"/>
        </w:rPr>
        <w:t xml:space="preserve"> et parfois même au dispositif d’aide médicale</w:t>
      </w:r>
      <w:r w:rsidR="00242884">
        <w:rPr>
          <w:rStyle w:val="FootnoteReference"/>
          <w:lang w:val="fr-FR"/>
        </w:rPr>
        <w:footnoteReference w:id="58"/>
      </w:r>
      <w:r w:rsidR="00C960D3">
        <w:rPr>
          <w:lang w:val="fr-FR"/>
        </w:rPr>
        <w:t xml:space="preserve">, </w:t>
      </w:r>
      <w:r w:rsidR="00BE10AD">
        <w:rPr>
          <w:lang w:val="fr-FR"/>
        </w:rPr>
        <w:t>de l’Etat.</w:t>
      </w:r>
      <w:r w:rsidR="00216787">
        <w:rPr>
          <w:lang w:val="fr-FR"/>
        </w:rPr>
        <w:t xml:space="preserve"> Quant aux bénéficiaires elles-mêmes, la participation au programme de formation leur a permis « </w:t>
      </w:r>
      <w:r w:rsidR="00F11A74" w:rsidRPr="00F11A74">
        <w:rPr>
          <w:i/>
          <w:lang w:val="fr-FR"/>
        </w:rPr>
        <w:t>de ne plus penser uniquement à leur maladie</w:t>
      </w:r>
      <w:r w:rsidR="00F11A74">
        <w:rPr>
          <w:lang w:val="fr-FR"/>
        </w:rPr>
        <w:t> », selon leurs propres mots</w:t>
      </w:r>
      <w:r w:rsidR="00BE10AD">
        <w:rPr>
          <w:lang w:val="fr-FR"/>
        </w:rPr>
        <w:t xml:space="preserve"> et de se sentir moins isolées socialement</w:t>
      </w:r>
      <w:r w:rsidR="00F11A74">
        <w:rPr>
          <w:lang w:val="fr-FR"/>
        </w:rPr>
        <w:t>. Quant à celles qui ont en outre bénéficié d’un crédit auprès de l’ANGEM (cette dernière ayant accepté un processus accéléré pour le traitement des demandes des bén</w:t>
      </w:r>
      <w:r w:rsidR="00BE10AD">
        <w:rPr>
          <w:lang w:val="fr-FR"/>
        </w:rPr>
        <w:t xml:space="preserve">éficiaires du programme) et que la mission a pu interroger, </w:t>
      </w:r>
      <w:r w:rsidR="00F11A74">
        <w:rPr>
          <w:lang w:val="fr-FR"/>
        </w:rPr>
        <w:t xml:space="preserve">cette démarche leur a en outre permis de </w:t>
      </w:r>
      <w:r w:rsidR="0060333A">
        <w:rPr>
          <w:lang w:val="fr-FR"/>
        </w:rPr>
        <w:t xml:space="preserve">penser à l’avenir en </w:t>
      </w:r>
      <w:r w:rsidR="00F11A74">
        <w:rPr>
          <w:lang w:val="fr-FR"/>
        </w:rPr>
        <w:t>formul</w:t>
      </w:r>
      <w:r w:rsidR="0060333A">
        <w:rPr>
          <w:lang w:val="fr-FR"/>
        </w:rPr>
        <w:t xml:space="preserve">ant </w:t>
      </w:r>
      <w:r w:rsidR="00F11A74">
        <w:rPr>
          <w:lang w:val="fr-FR"/>
        </w:rPr>
        <w:t xml:space="preserve">un projet professionnel </w:t>
      </w:r>
      <w:r w:rsidR="0060333A">
        <w:rPr>
          <w:lang w:val="fr-FR"/>
        </w:rPr>
        <w:t>afin de</w:t>
      </w:r>
      <w:r w:rsidR="00F11A74">
        <w:rPr>
          <w:lang w:val="fr-FR"/>
        </w:rPr>
        <w:t xml:space="preserve"> s’engager dans une activité productive, avec la perspective qu’elles puissent </w:t>
      </w:r>
      <w:r w:rsidR="00BE10AD">
        <w:rPr>
          <w:lang w:val="fr-FR"/>
        </w:rPr>
        <w:t xml:space="preserve">à terme </w:t>
      </w:r>
      <w:r w:rsidR="00F11A74">
        <w:rPr>
          <w:lang w:val="fr-FR"/>
        </w:rPr>
        <w:t>mieux subvenir aux besoins de leur famille.</w:t>
      </w:r>
      <w:r w:rsidR="003B27EB">
        <w:rPr>
          <w:lang w:val="fr-FR"/>
        </w:rPr>
        <w:t xml:space="preserve"> Quant au dédommagement financier que la plupart ont perçu pendant la formation, il a été fort apprécié même s’il semble qu’il n’a pas représenté un facteur déterminant dans leur motivation</w:t>
      </w:r>
      <w:r w:rsidR="003B27EB">
        <w:rPr>
          <w:rStyle w:val="FootnoteReference"/>
          <w:lang w:val="fr-FR"/>
        </w:rPr>
        <w:footnoteReference w:id="59"/>
      </w:r>
      <w:r w:rsidR="003B27EB">
        <w:rPr>
          <w:lang w:val="fr-FR"/>
        </w:rPr>
        <w:t>.</w:t>
      </w:r>
    </w:p>
    <w:p w:rsidR="00D90142" w:rsidRDefault="00BE10AD" w:rsidP="00D8742E">
      <w:pPr>
        <w:pStyle w:val="NoSpacing"/>
        <w:numPr>
          <w:ilvl w:val="0"/>
          <w:numId w:val="1"/>
        </w:numPr>
        <w:ind w:left="0" w:firstLine="0"/>
        <w:rPr>
          <w:lang w:val="fr-FR"/>
        </w:rPr>
      </w:pPr>
      <w:r>
        <w:rPr>
          <w:lang w:val="fr-FR"/>
        </w:rPr>
        <w:t>A bien des égards, donc, les partenaires ont atteint</w:t>
      </w:r>
      <w:r w:rsidR="00D90142">
        <w:rPr>
          <w:lang w:val="fr-FR"/>
        </w:rPr>
        <w:t>,</w:t>
      </w:r>
      <w:r>
        <w:rPr>
          <w:lang w:val="fr-FR"/>
        </w:rPr>
        <w:t xml:space="preserve"> voi</w:t>
      </w:r>
      <w:r w:rsidR="00AE4D5D">
        <w:rPr>
          <w:lang w:val="fr-FR"/>
        </w:rPr>
        <w:t xml:space="preserve">re surpassé l’objectif initial (qui n’était d’ailleurs </w:t>
      </w:r>
      <w:r>
        <w:rPr>
          <w:lang w:val="fr-FR"/>
        </w:rPr>
        <w:t>pas quantifié</w:t>
      </w:r>
      <w:r w:rsidR="00AE4D5D">
        <w:rPr>
          <w:lang w:val="fr-FR"/>
        </w:rPr>
        <w:t>)</w:t>
      </w:r>
      <w:r>
        <w:rPr>
          <w:lang w:val="fr-FR"/>
        </w:rPr>
        <w:t xml:space="preserve">. </w:t>
      </w:r>
      <w:r w:rsidR="00D90142">
        <w:rPr>
          <w:lang w:val="fr-FR"/>
        </w:rPr>
        <w:t xml:space="preserve">La collaboration de toutes les institutions semble en outre avoir été remarquable. </w:t>
      </w:r>
      <w:r>
        <w:rPr>
          <w:lang w:val="fr-FR"/>
        </w:rPr>
        <w:t>L</w:t>
      </w:r>
      <w:r w:rsidR="00F11A74">
        <w:rPr>
          <w:lang w:val="fr-FR"/>
        </w:rPr>
        <w:t xml:space="preserve">es discussions de la mission avec trois femmes ayant bénéficié d’un micro-crédit </w:t>
      </w:r>
      <w:r w:rsidR="0060333A">
        <w:rPr>
          <w:lang w:val="fr-FR"/>
        </w:rPr>
        <w:t xml:space="preserve">ainsi qu’autour du fonctionnement des institutions partenaires locales, </w:t>
      </w:r>
      <w:r w:rsidR="00F11A74">
        <w:rPr>
          <w:lang w:val="fr-FR"/>
        </w:rPr>
        <w:t xml:space="preserve">ont cependant aussi </w:t>
      </w:r>
      <w:r>
        <w:rPr>
          <w:lang w:val="fr-FR"/>
        </w:rPr>
        <w:t xml:space="preserve">mis en lumière </w:t>
      </w:r>
      <w:r w:rsidR="0060333A">
        <w:rPr>
          <w:lang w:val="fr-FR"/>
        </w:rPr>
        <w:t>les trois</w:t>
      </w:r>
      <w:r>
        <w:rPr>
          <w:lang w:val="fr-FR"/>
        </w:rPr>
        <w:t xml:space="preserve"> problèmes</w:t>
      </w:r>
      <w:r w:rsidR="00D90142">
        <w:rPr>
          <w:lang w:val="fr-FR"/>
        </w:rPr>
        <w:t> </w:t>
      </w:r>
      <w:r w:rsidR="0060333A">
        <w:rPr>
          <w:lang w:val="fr-FR"/>
        </w:rPr>
        <w:t>suivants</w:t>
      </w:r>
      <w:r w:rsidR="00D90142">
        <w:rPr>
          <w:lang w:val="fr-FR"/>
        </w:rPr>
        <w:t>:</w:t>
      </w:r>
    </w:p>
    <w:p w:rsidR="00E47E2B" w:rsidRDefault="00D90142" w:rsidP="0038607C">
      <w:pPr>
        <w:pStyle w:val="NoSpacing"/>
        <w:numPr>
          <w:ilvl w:val="0"/>
          <w:numId w:val="17"/>
        </w:numPr>
        <w:rPr>
          <w:lang w:val="fr-FR"/>
        </w:rPr>
      </w:pPr>
      <w:r>
        <w:rPr>
          <w:lang w:val="fr-FR"/>
        </w:rPr>
        <w:t xml:space="preserve">La majorité des bénéficiaires </w:t>
      </w:r>
      <w:r w:rsidR="00AE4D5D">
        <w:rPr>
          <w:lang w:val="fr-FR"/>
        </w:rPr>
        <w:t>a</w:t>
      </w:r>
      <w:r>
        <w:rPr>
          <w:lang w:val="fr-FR"/>
        </w:rPr>
        <w:t xml:space="preserve"> choisi une formation en « </w:t>
      </w:r>
      <w:r w:rsidR="00E47E2B">
        <w:rPr>
          <w:i/>
          <w:lang w:val="fr-FR"/>
        </w:rPr>
        <w:t>C</w:t>
      </w:r>
      <w:r w:rsidRPr="00E47E2B">
        <w:rPr>
          <w:i/>
          <w:lang w:val="fr-FR"/>
        </w:rPr>
        <w:t>outure </w:t>
      </w:r>
      <w:r>
        <w:rPr>
          <w:lang w:val="fr-FR"/>
        </w:rPr>
        <w:t>»</w:t>
      </w:r>
      <w:r w:rsidR="00E47E2B">
        <w:rPr>
          <w:rStyle w:val="FootnoteReference"/>
          <w:lang w:val="fr-FR"/>
        </w:rPr>
        <w:footnoteReference w:id="60"/>
      </w:r>
      <w:r>
        <w:rPr>
          <w:lang w:val="fr-FR"/>
        </w:rPr>
        <w:t xml:space="preserve"> qui fait partie </w:t>
      </w:r>
      <w:r w:rsidR="00E47E2B">
        <w:rPr>
          <w:lang w:val="fr-FR"/>
        </w:rPr>
        <w:t>du</w:t>
      </w:r>
      <w:r>
        <w:rPr>
          <w:lang w:val="fr-FR"/>
        </w:rPr>
        <w:t xml:space="preserve"> programme « </w:t>
      </w:r>
      <w:r w:rsidR="00E47E2B" w:rsidRPr="00E47E2B">
        <w:rPr>
          <w:i/>
          <w:lang w:val="fr-FR"/>
        </w:rPr>
        <w:t>F</w:t>
      </w:r>
      <w:r w:rsidRPr="00E47E2B">
        <w:rPr>
          <w:i/>
          <w:lang w:val="fr-FR"/>
        </w:rPr>
        <w:t>emme au foyer</w:t>
      </w:r>
      <w:r>
        <w:rPr>
          <w:lang w:val="fr-FR"/>
        </w:rPr>
        <w:t xml:space="preserve"> » du </w:t>
      </w:r>
      <w:r w:rsidR="00467C9E">
        <w:rPr>
          <w:lang w:val="fr-FR"/>
        </w:rPr>
        <w:t>MFEP</w:t>
      </w:r>
      <w:r>
        <w:rPr>
          <w:lang w:val="fr-FR"/>
        </w:rPr>
        <w:t xml:space="preserve"> et les bénéficiaires d’un micro-crédit ont </w:t>
      </w:r>
      <w:r w:rsidR="0060333A">
        <w:rPr>
          <w:lang w:val="fr-FR"/>
        </w:rPr>
        <w:t xml:space="preserve">apparemment toutes </w:t>
      </w:r>
      <w:r>
        <w:rPr>
          <w:lang w:val="fr-FR"/>
        </w:rPr>
        <w:t>investi dans l’achat d’une machine à coudre</w:t>
      </w:r>
      <w:r w:rsidR="0060333A">
        <w:rPr>
          <w:rStyle w:val="FootnoteReference"/>
          <w:lang w:val="fr-FR"/>
        </w:rPr>
        <w:footnoteReference w:id="61"/>
      </w:r>
      <w:r>
        <w:rPr>
          <w:lang w:val="fr-FR"/>
        </w:rPr>
        <w:t xml:space="preserve">, alors qu’il semble n’exister aucun débouché commercial à Tamanrasset pour les </w:t>
      </w:r>
      <w:r w:rsidR="001A15B8">
        <w:rPr>
          <w:lang w:val="fr-FR"/>
        </w:rPr>
        <w:t>article</w:t>
      </w:r>
      <w:r>
        <w:rPr>
          <w:lang w:val="fr-FR"/>
        </w:rPr>
        <w:t xml:space="preserve">s qu’elles ont appris à </w:t>
      </w:r>
      <w:r>
        <w:rPr>
          <w:lang w:val="fr-FR"/>
        </w:rPr>
        <w:lastRenderedPageBreak/>
        <w:t>réaliser</w:t>
      </w:r>
      <w:r>
        <w:rPr>
          <w:rStyle w:val="FootnoteReference"/>
          <w:lang w:val="fr-FR"/>
        </w:rPr>
        <w:footnoteReference w:id="62"/>
      </w:r>
      <w:r>
        <w:rPr>
          <w:lang w:val="fr-FR"/>
        </w:rPr>
        <w:t xml:space="preserve">. </w:t>
      </w:r>
      <w:r w:rsidR="00E47E2B">
        <w:rPr>
          <w:lang w:val="fr-FR"/>
        </w:rPr>
        <w:t>Il semble que le programme « </w:t>
      </w:r>
      <w:r w:rsidR="00E47E2B" w:rsidRPr="003B27EB">
        <w:rPr>
          <w:i/>
          <w:lang w:val="fr-FR"/>
        </w:rPr>
        <w:t>Femme au foyer</w:t>
      </w:r>
      <w:r w:rsidR="00E47E2B">
        <w:rPr>
          <w:lang w:val="fr-FR"/>
        </w:rPr>
        <w:t> »</w:t>
      </w:r>
      <w:r w:rsidR="003B27EB">
        <w:rPr>
          <w:lang w:val="fr-FR"/>
        </w:rPr>
        <w:t xml:space="preserve"> avait paru plus pertinent puisque les horaires sont aménagés pour permettre à des mères de famille de le suivre</w:t>
      </w:r>
      <w:r w:rsidR="00466EEE">
        <w:rPr>
          <w:lang w:val="fr-FR"/>
        </w:rPr>
        <w:t> ; cependant il est possible que ce type de formation ne soit pas adapté aux femmes souhaitant s’établir à leur compte</w:t>
      </w:r>
      <w:r w:rsidR="003B27EB">
        <w:rPr>
          <w:lang w:val="fr-FR"/>
        </w:rPr>
        <w:t xml:space="preserve">. </w:t>
      </w:r>
      <w:r w:rsidR="001E1BEA">
        <w:rPr>
          <w:lang w:val="fr-FR"/>
        </w:rPr>
        <w:t>A</w:t>
      </w:r>
      <w:r>
        <w:rPr>
          <w:lang w:val="fr-FR"/>
        </w:rPr>
        <w:t xml:space="preserve"> cause de la concurrence des articles chinois ou produits localement à bas prix, la mission a </w:t>
      </w:r>
      <w:r w:rsidR="001E1BEA">
        <w:rPr>
          <w:lang w:val="fr-FR"/>
        </w:rPr>
        <w:t xml:space="preserve">en effet </w:t>
      </w:r>
      <w:r>
        <w:rPr>
          <w:lang w:val="fr-FR"/>
        </w:rPr>
        <w:t xml:space="preserve">calculé que le coût d’achat des matières premières est le double du prix de vente possible. Il semble donc qu’il y ait eu un problème d’orientation, au départ, pour les bénéficiaires qui projetaient de s’engager dans une activité </w:t>
      </w:r>
      <w:r w:rsidR="001A15B8">
        <w:rPr>
          <w:lang w:val="fr-FR"/>
        </w:rPr>
        <w:t xml:space="preserve">génératrice </w:t>
      </w:r>
      <w:r>
        <w:rPr>
          <w:lang w:val="fr-FR"/>
        </w:rPr>
        <w:t>de revenus : on aurait dû orienter</w:t>
      </w:r>
      <w:r w:rsidR="001A15B8">
        <w:rPr>
          <w:lang w:val="fr-FR"/>
        </w:rPr>
        <w:t xml:space="preserve"> ces femmes</w:t>
      </w:r>
      <w:r>
        <w:rPr>
          <w:lang w:val="fr-FR"/>
        </w:rPr>
        <w:t xml:space="preserve"> vers des formations </w:t>
      </w:r>
      <w:r w:rsidR="003B27EB">
        <w:rPr>
          <w:lang w:val="fr-FR"/>
        </w:rPr>
        <w:t>leur permettant d’exercer une activité pour laquelle il existe des débouchés commerciaux ou professionnels avérés</w:t>
      </w:r>
      <w:r w:rsidR="001E1BEA">
        <w:rPr>
          <w:lang w:val="fr-FR"/>
        </w:rPr>
        <w:t xml:space="preserve"> à Tamanrasset</w:t>
      </w:r>
      <w:r w:rsidR="003B27EB">
        <w:rPr>
          <w:lang w:val="fr-FR"/>
        </w:rPr>
        <w:t xml:space="preserve">. </w:t>
      </w:r>
    </w:p>
    <w:p w:rsidR="000A5456" w:rsidRDefault="00D90142" w:rsidP="0038607C">
      <w:pPr>
        <w:pStyle w:val="NoSpacing"/>
        <w:numPr>
          <w:ilvl w:val="0"/>
          <w:numId w:val="17"/>
        </w:numPr>
        <w:rPr>
          <w:lang w:val="fr-FR"/>
        </w:rPr>
      </w:pPr>
      <w:r>
        <w:rPr>
          <w:lang w:val="fr-FR"/>
        </w:rPr>
        <w:t xml:space="preserve">Les discussions avec le personnel du CFP ont révélé </w:t>
      </w:r>
      <w:r w:rsidR="00E47E2B">
        <w:rPr>
          <w:lang w:val="fr-FR"/>
        </w:rPr>
        <w:t xml:space="preserve">en outre </w:t>
      </w:r>
      <w:r>
        <w:rPr>
          <w:lang w:val="fr-FR"/>
        </w:rPr>
        <w:t xml:space="preserve">que le choix de l’offre locale de programmes de formation </w:t>
      </w:r>
      <w:r w:rsidR="00E47E2B">
        <w:rPr>
          <w:lang w:val="fr-FR"/>
        </w:rPr>
        <w:t>ne se fait pas vraiment sur la base de la demande locale du marché de l’emploi, mais plutôt en fonction de la demande émanant du public pour telle ou telle formation</w:t>
      </w:r>
      <w:r>
        <w:rPr>
          <w:rStyle w:val="FootnoteReference"/>
          <w:lang w:val="fr-FR"/>
        </w:rPr>
        <w:footnoteReference w:id="63"/>
      </w:r>
      <w:r>
        <w:rPr>
          <w:lang w:val="fr-FR"/>
        </w:rPr>
        <w:t>.</w:t>
      </w:r>
      <w:r w:rsidR="00E47E2B">
        <w:rPr>
          <w:lang w:val="fr-FR"/>
        </w:rPr>
        <w:t xml:space="preserve"> En outre, la mission actuelle du CFP </w:t>
      </w:r>
      <w:r w:rsidR="003B27EB">
        <w:rPr>
          <w:lang w:val="fr-FR"/>
        </w:rPr>
        <w:t>paraît</w:t>
      </w:r>
      <w:r w:rsidR="00E47E2B">
        <w:rPr>
          <w:lang w:val="fr-FR"/>
        </w:rPr>
        <w:t xml:space="preserve"> essentiellement axée sur l’acquisition d’aptitudes techniques et </w:t>
      </w:r>
      <w:r w:rsidR="003B27EB">
        <w:rPr>
          <w:lang w:val="fr-FR"/>
        </w:rPr>
        <w:t>elle ne porte pas</w:t>
      </w:r>
      <w:r w:rsidR="001A15B8">
        <w:rPr>
          <w:lang w:val="fr-FR"/>
        </w:rPr>
        <w:t xml:space="preserve"> </w:t>
      </w:r>
      <w:r w:rsidR="00E47E2B">
        <w:rPr>
          <w:lang w:val="fr-FR"/>
        </w:rPr>
        <w:t>sur les aspects en amont (</w:t>
      </w:r>
      <w:r w:rsidR="00E47E2B" w:rsidRPr="003B27EB">
        <w:rPr>
          <w:i/>
          <w:lang w:val="fr-FR"/>
        </w:rPr>
        <w:t>par exemple l’achat de matières premières, le calcul d’un prix de revient</w:t>
      </w:r>
      <w:r w:rsidR="00E47E2B">
        <w:rPr>
          <w:lang w:val="fr-FR"/>
        </w:rPr>
        <w:t>) et en aval (</w:t>
      </w:r>
      <w:r w:rsidR="00E47E2B" w:rsidRPr="003B27EB">
        <w:rPr>
          <w:i/>
          <w:lang w:val="fr-FR"/>
        </w:rPr>
        <w:t>par exemple les aspects liés à la commercialisation, à la gestion du stock</w:t>
      </w:r>
      <w:r w:rsidR="00E47E2B">
        <w:rPr>
          <w:lang w:val="fr-FR"/>
        </w:rPr>
        <w:t>) de l’activité productive proprement dite.  En clair, le</w:t>
      </w:r>
      <w:r w:rsidR="0082571D">
        <w:rPr>
          <w:lang w:val="fr-FR"/>
        </w:rPr>
        <w:t xml:space="preserve">s Centres de Formation Professionnels ne peuvent à eux seuls </w:t>
      </w:r>
      <w:r w:rsidR="00E47E2B">
        <w:rPr>
          <w:lang w:val="fr-FR"/>
        </w:rPr>
        <w:t xml:space="preserve">s’occuper de l’accompagnement des femmes dans le lancement d’une activité productive. Il s’agit-là d’un problème auquel il faudra apporter une réponse dans le cas des </w:t>
      </w:r>
      <w:r w:rsidR="00A15A94">
        <w:rPr>
          <w:lang w:val="fr-FR"/>
        </w:rPr>
        <w:t>20</w:t>
      </w:r>
      <w:r w:rsidR="00E47E2B">
        <w:rPr>
          <w:lang w:val="fr-FR"/>
        </w:rPr>
        <w:t xml:space="preserve"> femmes bénéficiaires d’un micro-crédit : sans un appui extérieur, elles ne parviendront jamais à rembourser leur crédit autrement qu’à s’endetter auprès de leurs proches.</w:t>
      </w:r>
      <w:r w:rsidR="001E1BEA">
        <w:rPr>
          <w:lang w:val="fr-FR"/>
        </w:rPr>
        <w:t xml:space="preserve"> </w:t>
      </w:r>
    </w:p>
    <w:p w:rsidR="003D7EC0" w:rsidRPr="00082CBF" w:rsidRDefault="001A15B8" w:rsidP="0038607C">
      <w:pPr>
        <w:pStyle w:val="NoSpacing"/>
        <w:numPr>
          <w:ilvl w:val="0"/>
          <w:numId w:val="17"/>
        </w:numPr>
        <w:rPr>
          <w:lang w:val="fr-FR"/>
        </w:rPr>
      </w:pPr>
      <w:r w:rsidRPr="00082CBF">
        <w:rPr>
          <w:lang w:val="fr-FR"/>
        </w:rPr>
        <w:t>La mission a enfin pu constater que les critères</w:t>
      </w:r>
      <w:r w:rsidR="00637E87">
        <w:rPr>
          <w:rStyle w:val="FootnoteReference"/>
          <w:lang w:val="fr-FR"/>
        </w:rPr>
        <w:footnoteReference w:id="64"/>
      </w:r>
      <w:r w:rsidRPr="00082CBF">
        <w:rPr>
          <w:lang w:val="fr-FR"/>
        </w:rPr>
        <w:t xml:space="preserve"> de l’ANGEM pour l’octroi d’un microcrédit n’étaient </w:t>
      </w:r>
      <w:r w:rsidR="0082571D">
        <w:rPr>
          <w:lang w:val="fr-FR"/>
        </w:rPr>
        <w:t xml:space="preserve">pas </w:t>
      </w:r>
      <w:r w:rsidRPr="00082CBF">
        <w:rPr>
          <w:lang w:val="fr-FR"/>
        </w:rPr>
        <w:t>suffisamment robustes pour optimiser les chances que le crédit soit remboursé</w:t>
      </w:r>
      <w:r>
        <w:rPr>
          <w:rStyle w:val="FootnoteReference"/>
          <w:lang w:val="fr-FR"/>
        </w:rPr>
        <w:footnoteReference w:id="65"/>
      </w:r>
      <w:r w:rsidR="00C002B6" w:rsidRPr="00082CBF">
        <w:rPr>
          <w:lang w:val="fr-FR"/>
        </w:rPr>
        <w:t xml:space="preserve">. </w:t>
      </w:r>
      <w:r w:rsidR="001E1BEA" w:rsidRPr="00082CBF">
        <w:rPr>
          <w:lang w:val="fr-FR"/>
        </w:rPr>
        <w:t>En outre, s</w:t>
      </w:r>
      <w:r w:rsidR="00C002B6" w:rsidRPr="00082CBF">
        <w:rPr>
          <w:lang w:val="fr-FR"/>
        </w:rPr>
        <w:t xml:space="preserve">i les conditions du prêt </w:t>
      </w:r>
      <w:r w:rsidR="00204E24" w:rsidRPr="00082CBF">
        <w:rPr>
          <w:lang w:val="fr-FR"/>
        </w:rPr>
        <w:t xml:space="preserve">de 100.000 DA </w:t>
      </w:r>
      <w:r w:rsidR="00C002B6" w:rsidRPr="00082CBF">
        <w:rPr>
          <w:lang w:val="fr-FR"/>
        </w:rPr>
        <w:t xml:space="preserve">sont </w:t>
      </w:r>
      <w:r w:rsidR="00204E24" w:rsidRPr="00082CBF">
        <w:rPr>
          <w:lang w:val="fr-FR"/>
        </w:rPr>
        <w:t xml:space="preserve">indéniablement </w:t>
      </w:r>
      <w:r w:rsidR="00C002B6" w:rsidRPr="00082CBF">
        <w:rPr>
          <w:lang w:val="fr-FR"/>
        </w:rPr>
        <w:t>avantageuses</w:t>
      </w:r>
      <w:r w:rsidR="00204E24">
        <w:rPr>
          <w:rStyle w:val="FootnoteReference"/>
          <w:lang w:val="fr-FR"/>
        </w:rPr>
        <w:footnoteReference w:id="66"/>
      </w:r>
      <w:r w:rsidR="00C002B6" w:rsidRPr="00082CBF">
        <w:rPr>
          <w:lang w:val="fr-FR"/>
        </w:rPr>
        <w:t>, le plafond semble trop bas pour financer à 100% le lancement d’une micro-activité</w:t>
      </w:r>
      <w:r w:rsidR="00C002B6">
        <w:rPr>
          <w:rStyle w:val="FootnoteReference"/>
          <w:lang w:val="fr-FR"/>
        </w:rPr>
        <w:footnoteReference w:id="67"/>
      </w:r>
      <w:r w:rsidR="00C002B6" w:rsidRPr="00082CBF">
        <w:rPr>
          <w:lang w:val="fr-FR"/>
        </w:rPr>
        <w:t xml:space="preserve">. </w:t>
      </w:r>
      <w:r w:rsidR="001E1BEA" w:rsidRPr="00082CBF">
        <w:rPr>
          <w:lang w:val="fr-FR"/>
        </w:rPr>
        <w:t>De surcroît</w:t>
      </w:r>
      <w:r w:rsidR="00C002B6" w:rsidRPr="00082CBF">
        <w:rPr>
          <w:lang w:val="fr-FR"/>
        </w:rPr>
        <w:t>, seuls les bénéficiaires du deuxième type de micro-crédit de l’</w:t>
      </w:r>
      <w:r w:rsidR="00204E24" w:rsidRPr="00082CBF">
        <w:rPr>
          <w:lang w:val="fr-FR"/>
        </w:rPr>
        <w:t>ANGEM (</w:t>
      </w:r>
      <w:r w:rsidR="00C002B6" w:rsidRPr="00082CBF">
        <w:rPr>
          <w:lang w:val="fr-FR"/>
        </w:rPr>
        <w:t xml:space="preserve">un prêt </w:t>
      </w:r>
      <w:r w:rsidR="00204E24" w:rsidRPr="00082CBF">
        <w:rPr>
          <w:lang w:val="fr-FR"/>
        </w:rPr>
        <w:t xml:space="preserve">maximum </w:t>
      </w:r>
      <w:r w:rsidR="00C002B6" w:rsidRPr="00082CBF">
        <w:rPr>
          <w:lang w:val="fr-FR"/>
        </w:rPr>
        <w:t>de 1.000.000 DA</w:t>
      </w:r>
      <w:r w:rsidR="00204E24" w:rsidRPr="00082CBF">
        <w:rPr>
          <w:lang w:val="fr-FR"/>
        </w:rPr>
        <w:t>)</w:t>
      </w:r>
      <w:r w:rsidR="00C002B6" w:rsidRPr="00082CBF">
        <w:rPr>
          <w:lang w:val="fr-FR"/>
        </w:rPr>
        <w:t xml:space="preserve"> peuvent </w:t>
      </w:r>
      <w:r w:rsidR="000A5456" w:rsidRPr="00082CBF">
        <w:rPr>
          <w:lang w:val="fr-FR"/>
        </w:rPr>
        <w:t xml:space="preserve">prétendre à </w:t>
      </w:r>
      <w:r w:rsidR="00C002B6" w:rsidRPr="00082CBF">
        <w:rPr>
          <w:lang w:val="fr-FR"/>
        </w:rPr>
        <w:t>un appui</w:t>
      </w:r>
      <w:r w:rsidR="003D7EC0" w:rsidRPr="00082CBF">
        <w:rPr>
          <w:lang w:val="fr-FR"/>
        </w:rPr>
        <w:t xml:space="preserve"> technico-financier de la part de l’agence, </w:t>
      </w:r>
      <w:r w:rsidR="00204E24" w:rsidRPr="00082CBF">
        <w:rPr>
          <w:lang w:val="fr-FR"/>
        </w:rPr>
        <w:t xml:space="preserve">et </w:t>
      </w:r>
      <w:r w:rsidR="003D7EC0" w:rsidRPr="00082CBF">
        <w:rPr>
          <w:lang w:val="fr-FR"/>
        </w:rPr>
        <w:t>l’antenne d</w:t>
      </w:r>
      <w:r w:rsidR="00204E24" w:rsidRPr="00082CBF">
        <w:rPr>
          <w:lang w:val="fr-FR"/>
        </w:rPr>
        <w:t>e Tam</w:t>
      </w:r>
      <w:r w:rsidR="00082CBF" w:rsidRPr="00082CBF">
        <w:rPr>
          <w:lang w:val="fr-FR"/>
        </w:rPr>
        <w:t xml:space="preserve">anrasset ne dispose pas, en tout cas, </w:t>
      </w:r>
      <w:r w:rsidR="003D7EC0" w:rsidRPr="00082CBF">
        <w:rPr>
          <w:lang w:val="fr-FR"/>
        </w:rPr>
        <w:t>des moyens humains nécessaires pour accompagner les bénéficiaires du prêt de 100.000 DA.</w:t>
      </w:r>
      <w:r w:rsidR="004B2948">
        <w:rPr>
          <w:lang w:val="fr-FR"/>
        </w:rPr>
        <w:t xml:space="preserve"> S’il semble que les 20 bénéficiaires de microcrédit du programme ont suivi une formation de base en finances (ex. calcul de coût, gestion de stock), celle-ci a probablement été insuffisante.</w:t>
      </w:r>
      <w:r w:rsidR="003D7EC0">
        <w:rPr>
          <w:rStyle w:val="FootnoteReference"/>
          <w:lang w:val="fr-FR"/>
        </w:rPr>
        <w:footnoteReference w:id="68"/>
      </w:r>
      <w:r w:rsidR="003D7EC0" w:rsidRPr="00082CBF">
        <w:rPr>
          <w:lang w:val="fr-FR"/>
        </w:rPr>
        <w:t xml:space="preserve"> </w:t>
      </w:r>
    </w:p>
    <w:p w:rsidR="00F86AB8" w:rsidRDefault="000A5456" w:rsidP="00D8742E">
      <w:pPr>
        <w:pStyle w:val="NoSpacing"/>
        <w:numPr>
          <w:ilvl w:val="0"/>
          <w:numId w:val="1"/>
        </w:numPr>
        <w:ind w:left="0" w:firstLine="0"/>
        <w:rPr>
          <w:lang w:val="fr-FR"/>
        </w:rPr>
      </w:pPr>
      <w:r>
        <w:rPr>
          <w:lang w:val="fr-FR"/>
        </w:rPr>
        <w:lastRenderedPageBreak/>
        <w:t>La mission souhaite soulever un dernier point qui n’est pas un problème, mais un risque. Le succès de l’intervention A</w:t>
      </w:r>
      <w:r w:rsidR="00F84626">
        <w:rPr>
          <w:lang w:val="fr-FR"/>
        </w:rPr>
        <w:t xml:space="preserve">23 </w:t>
      </w:r>
      <w:r>
        <w:rPr>
          <w:lang w:val="fr-FR"/>
        </w:rPr>
        <w:t>telle qu’elle a été pensée et conçue par les partenaires</w:t>
      </w:r>
      <w:r w:rsidR="00DD7189">
        <w:rPr>
          <w:lang w:val="fr-FR"/>
        </w:rPr>
        <w:t>,</w:t>
      </w:r>
      <w:r>
        <w:rPr>
          <w:lang w:val="fr-FR"/>
        </w:rPr>
        <w:t xml:space="preserve"> repose sur le fait que la participation des femmes porteuses du VIH</w:t>
      </w:r>
      <w:r w:rsidR="0082571D">
        <w:rPr>
          <w:lang w:val="fr-FR"/>
        </w:rPr>
        <w:t>/SIDA</w:t>
      </w:r>
      <w:r>
        <w:rPr>
          <w:lang w:val="fr-FR"/>
        </w:rPr>
        <w:t xml:space="preserve"> aux programmes de formation du CFP se fait dans l’anonymat</w:t>
      </w:r>
      <w:r w:rsidR="00DD7189">
        <w:rPr>
          <w:lang w:val="fr-FR"/>
        </w:rPr>
        <w:t xml:space="preserve"> le plus complet</w:t>
      </w:r>
      <w:r>
        <w:rPr>
          <w:lang w:val="fr-FR"/>
        </w:rPr>
        <w:t>. Ainsi, seul le Directeur du CFP, le Directeur de l’</w:t>
      </w:r>
      <w:r w:rsidR="00DD7189">
        <w:rPr>
          <w:lang w:val="fr-FR"/>
        </w:rPr>
        <w:t xml:space="preserve">Hôpital, </w:t>
      </w:r>
      <w:r>
        <w:rPr>
          <w:lang w:val="fr-FR"/>
        </w:rPr>
        <w:t xml:space="preserve">le </w:t>
      </w:r>
      <w:r w:rsidR="00F84626">
        <w:rPr>
          <w:lang w:val="fr-FR"/>
        </w:rPr>
        <w:t xml:space="preserve">Coordonnateur </w:t>
      </w:r>
      <w:r>
        <w:rPr>
          <w:lang w:val="fr-FR"/>
        </w:rPr>
        <w:t xml:space="preserve">de l’ANGEM </w:t>
      </w:r>
      <w:r w:rsidR="00DD7189">
        <w:rPr>
          <w:lang w:val="fr-FR"/>
        </w:rPr>
        <w:t xml:space="preserve">et bien-sûr le Facilitateur recruté par El Hayet, </w:t>
      </w:r>
      <w:r>
        <w:rPr>
          <w:lang w:val="fr-FR"/>
        </w:rPr>
        <w:t>o</w:t>
      </w:r>
      <w:r w:rsidR="00DD7189">
        <w:rPr>
          <w:lang w:val="fr-FR"/>
        </w:rPr>
        <w:t xml:space="preserve">nt connaissance du programme. Le personnel enseignant du CFP comme les autres élèves </w:t>
      </w:r>
      <w:r w:rsidR="00082CBF">
        <w:rPr>
          <w:lang w:val="fr-FR"/>
        </w:rPr>
        <w:t xml:space="preserve">du centre </w:t>
      </w:r>
      <w:r w:rsidR="00DD7189">
        <w:rPr>
          <w:lang w:val="fr-FR"/>
        </w:rPr>
        <w:t xml:space="preserve">ne savent pas que des femmes ou des jeunes filles séropositives </w:t>
      </w:r>
      <w:r w:rsidR="00082CBF">
        <w:rPr>
          <w:lang w:val="fr-FR"/>
        </w:rPr>
        <w:t>étudient à leurs c</w:t>
      </w:r>
      <w:r w:rsidR="00082CBF">
        <w:rPr>
          <w:rFonts w:cs="Calibri"/>
          <w:lang w:val="fr-FR"/>
        </w:rPr>
        <w:t>ô</w:t>
      </w:r>
      <w:r w:rsidR="00082CBF">
        <w:rPr>
          <w:lang w:val="fr-FR"/>
        </w:rPr>
        <w:t>tés</w:t>
      </w:r>
      <w:r w:rsidR="00DD7189">
        <w:rPr>
          <w:lang w:val="fr-FR"/>
        </w:rPr>
        <w:t xml:space="preserve">. </w:t>
      </w:r>
      <w:r w:rsidR="00082CBF">
        <w:rPr>
          <w:lang w:val="fr-FR"/>
        </w:rPr>
        <w:t xml:space="preserve">Les bénéficiaires elles-mêmes ne se connaissent pas forcément, à moins qu’elles ne se soient croisées à l’hôpital. Dans un contexte </w:t>
      </w:r>
      <w:r w:rsidR="00BA76AD">
        <w:rPr>
          <w:lang w:val="fr-FR"/>
        </w:rPr>
        <w:t xml:space="preserve">culturel </w:t>
      </w:r>
      <w:r w:rsidR="00082CBF">
        <w:rPr>
          <w:lang w:val="fr-FR"/>
        </w:rPr>
        <w:t>où</w:t>
      </w:r>
      <w:r w:rsidR="00DD7189">
        <w:rPr>
          <w:lang w:val="fr-FR"/>
        </w:rPr>
        <w:t xml:space="preserve"> la stigmatisation et la marginalisation sociale des personnes séropositives demeure très forte, cet anonymat semble en effet important</w:t>
      </w:r>
      <w:r w:rsidR="00F86AB8">
        <w:rPr>
          <w:lang w:val="fr-FR"/>
        </w:rPr>
        <w:t xml:space="preserve">. </w:t>
      </w:r>
      <w:r w:rsidR="00BA76AD">
        <w:rPr>
          <w:lang w:val="fr-FR"/>
        </w:rPr>
        <w:t xml:space="preserve">Il est </w:t>
      </w:r>
      <w:r w:rsidR="0082571D">
        <w:rPr>
          <w:lang w:val="fr-FR"/>
        </w:rPr>
        <w:t>par contre</w:t>
      </w:r>
      <w:r w:rsidR="00BA76AD">
        <w:rPr>
          <w:lang w:val="fr-FR"/>
        </w:rPr>
        <w:t xml:space="preserve"> légitime de se poser la ques</w:t>
      </w:r>
      <w:r w:rsidR="00F86AB8">
        <w:rPr>
          <w:lang w:val="fr-FR"/>
        </w:rPr>
        <w:t>tion de savoir combien de temps ce type d’intervention</w:t>
      </w:r>
      <w:r w:rsidR="00BA76AD">
        <w:rPr>
          <w:lang w:val="fr-FR"/>
        </w:rPr>
        <w:t xml:space="preserve"> peut continuer à fonctionner ainsi </w:t>
      </w:r>
      <w:r w:rsidR="00F86AB8" w:rsidRPr="00BA76AD">
        <w:rPr>
          <w:lang w:val="fr-FR"/>
        </w:rPr>
        <w:t xml:space="preserve">dans le </w:t>
      </w:r>
      <w:r w:rsidR="00BA76AD" w:rsidRPr="00BA76AD">
        <w:rPr>
          <w:lang w:val="fr-FR"/>
        </w:rPr>
        <w:t>secret</w:t>
      </w:r>
      <w:r w:rsidR="00BA76AD">
        <w:rPr>
          <w:lang w:val="fr-FR"/>
        </w:rPr>
        <w:t xml:space="preserve"> et de se demander quelles pourraient être les conséquences si ce secret était levé. Quoi qu’il en soit, le besoin que l’anonymat des bénéficiaires soit préservé représente pour les partenaires un obstacle certain à la diffusion des résultats de cette intervention pilote, ce qui pourrait nuire aux perspectives de réplication du modèle. </w:t>
      </w:r>
    </w:p>
    <w:p w:rsidR="00C622CD" w:rsidRDefault="00F86AB8" w:rsidP="00D8742E">
      <w:pPr>
        <w:pStyle w:val="NoSpacing"/>
        <w:numPr>
          <w:ilvl w:val="0"/>
          <w:numId w:val="1"/>
        </w:numPr>
        <w:ind w:left="0" w:firstLine="0"/>
        <w:rPr>
          <w:lang w:val="fr-FR"/>
        </w:rPr>
      </w:pPr>
      <w:r>
        <w:rPr>
          <w:lang w:val="fr-FR"/>
        </w:rPr>
        <w:t>Les recommandations détaillées de la mission d’évaluation s’agissant de la suite à donner à l’activité A23 sont présentées plus loin dans la dernière partie du présent rappo</w:t>
      </w:r>
      <w:r w:rsidR="0082571D">
        <w:rPr>
          <w:lang w:val="fr-FR"/>
        </w:rPr>
        <w:t>rt</w:t>
      </w:r>
      <w:r>
        <w:rPr>
          <w:lang w:val="fr-FR"/>
        </w:rPr>
        <w:t xml:space="preserve">. Dans l’immédiat, une action urgente est nécessaire afin que la totalité des fonds alloués à cette activité puissent être transférés à l’ONUSIDA. </w:t>
      </w:r>
      <w:r w:rsidR="00BA76AD">
        <w:rPr>
          <w:lang w:val="fr-FR"/>
        </w:rPr>
        <w:t>Faute de fonds, en effet, c</w:t>
      </w:r>
      <w:r>
        <w:rPr>
          <w:lang w:val="fr-FR"/>
        </w:rPr>
        <w:t>ertaines activités en cours, et notamment le versement d’une indemnité aux stagiaires, ont été mises en susp</w:t>
      </w:r>
      <w:r w:rsidR="00BA76AD">
        <w:rPr>
          <w:lang w:val="fr-FR"/>
        </w:rPr>
        <w:t>ens</w:t>
      </w:r>
      <w:r>
        <w:rPr>
          <w:lang w:val="fr-FR"/>
        </w:rPr>
        <w:t xml:space="preserve"> et l’ONUSIDA a même </w:t>
      </w:r>
      <w:r w:rsidR="00BA76AD">
        <w:rPr>
          <w:lang w:val="fr-FR"/>
        </w:rPr>
        <w:t xml:space="preserve">dû </w:t>
      </w:r>
      <w:r>
        <w:rPr>
          <w:lang w:val="fr-FR"/>
        </w:rPr>
        <w:t>utilis</w:t>
      </w:r>
      <w:r w:rsidR="00BA76AD">
        <w:rPr>
          <w:lang w:val="fr-FR"/>
        </w:rPr>
        <w:t>er</w:t>
      </w:r>
      <w:r>
        <w:rPr>
          <w:lang w:val="fr-FR"/>
        </w:rPr>
        <w:t xml:space="preserve"> les 3.500 dollars qui avaient été alloués pour la prise en</w:t>
      </w:r>
      <w:r w:rsidR="00BA76AD">
        <w:rPr>
          <w:lang w:val="fr-FR"/>
        </w:rPr>
        <w:t xml:space="preserve"> charge de ses frais de gestion. </w:t>
      </w:r>
      <w:r>
        <w:rPr>
          <w:lang w:val="fr-FR"/>
        </w:rPr>
        <w:t>L’agence a également été incapable de financer les activités de suivi qu’elle avait programmées.</w:t>
      </w:r>
    </w:p>
    <w:p w:rsidR="00F86AB8" w:rsidRDefault="00F86AB8" w:rsidP="00D8742E">
      <w:pPr>
        <w:pStyle w:val="NoSpacing"/>
        <w:numPr>
          <w:ilvl w:val="0"/>
          <w:numId w:val="1"/>
        </w:numPr>
        <w:ind w:left="0" w:firstLine="0"/>
        <w:rPr>
          <w:lang w:val="fr-FR"/>
        </w:rPr>
      </w:pPr>
      <w:r>
        <w:rPr>
          <w:lang w:val="fr-FR"/>
        </w:rPr>
        <w:t xml:space="preserve">Suite aux discussions avec l’ONUSIDA, la mission souhaite appuyer le projet d’étendre les activités de l’A23 aux villes d’Alger et d’Oran, la séroprévalence au VIH-SIDA y étant également très importante. Ce faisant, la mission recommande aux partenaires </w:t>
      </w:r>
      <w:r w:rsidR="00E73274">
        <w:rPr>
          <w:lang w:val="fr-FR"/>
        </w:rPr>
        <w:t xml:space="preserve">que soit prise en compte </w:t>
      </w:r>
      <w:r>
        <w:rPr>
          <w:lang w:val="fr-FR"/>
        </w:rPr>
        <w:t>l’expérience de Tamanrasset</w:t>
      </w:r>
      <w:r w:rsidR="00E73274">
        <w:rPr>
          <w:lang w:val="fr-FR"/>
        </w:rPr>
        <w:t xml:space="preserve"> et que les améliorations nécessaires soient apportées à l’approche, notamment le besoin d’orienter les femmes vers des domaines porteurs.</w:t>
      </w:r>
      <w:r w:rsidR="000F2952">
        <w:rPr>
          <w:lang w:val="fr-FR"/>
        </w:rPr>
        <w:t xml:space="preserve"> La mission recommandera aussi au</w:t>
      </w:r>
      <w:r w:rsidR="00BA76AD">
        <w:rPr>
          <w:lang w:val="fr-FR"/>
        </w:rPr>
        <w:t>x</w:t>
      </w:r>
      <w:r w:rsidR="000F2952">
        <w:rPr>
          <w:lang w:val="fr-FR"/>
        </w:rPr>
        <w:t xml:space="preserve"> partenaires d’essayer d’appuyer l’association El Hayet dans la stabilisation de sa situation financière : afin que l’activité A23 soit reproduite dans d’autres localités, et donc que le salaire d’un Facilitateur puisse être assuré, il serait utile que le programme engage des discussions avec le Ministère de la Solida</w:t>
      </w:r>
      <w:r w:rsidR="00BA76AD">
        <w:rPr>
          <w:lang w:val="fr-FR"/>
        </w:rPr>
        <w:t xml:space="preserve">rité Nationale et de la famille afin qu’un accord tripartite de reconduction de l’activité soit signé, le MSNF s’engageant à octroyer une subvention à El Hayet pour lui permettre de payer le salaire de trois Facilitateurs (pour Tamanrasset, Alger et Oran). </w:t>
      </w:r>
    </w:p>
    <w:p w:rsidR="000E4CDE" w:rsidRDefault="00C622CD" w:rsidP="00D8742E">
      <w:pPr>
        <w:pStyle w:val="NoSpacing"/>
        <w:numPr>
          <w:ilvl w:val="0"/>
          <w:numId w:val="1"/>
        </w:numPr>
        <w:ind w:left="0" w:firstLine="0"/>
        <w:rPr>
          <w:lang w:val="fr-FR"/>
        </w:rPr>
      </w:pPr>
      <w:r w:rsidRPr="00E73274">
        <w:rPr>
          <w:b/>
          <w:lang w:val="fr-FR"/>
        </w:rPr>
        <w:t xml:space="preserve"> </w:t>
      </w:r>
      <w:r w:rsidR="00E73274" w:rsidRPr="00E73274">
        <w:rPr>
          <w:b/>
          <w:lang w:val="fr-FR"/>
        </w:rPr>
        <w:t>Système de garde d’enfants en milieu rural (A24</w:t>
      </w:r>
      <w:r w:rsidR="00E73274">
        <w:rPr>
          <w:lang w:val="fr-FR"/>
        </w:rPr>
        <w:t>).</w:t>
      </w:r>
      <w:r w:rsidR="000F2952">
        <w:rPr>
          <w:lang w:val="fr-FR"/>
        </w:rPr>
        <w:t xml:space="preserve"> Dans le but de trouver une solution au problème de la garde d’enfants, les concepteurs ont prévu une dernière activité au titre du Produit P9, celle de la conception et de la mise en place d’</w:t>
      </w:r>
      <w:r w:rsidR="000E4CDE">
        <w:rPr>
          <w:lang w:val="fr-FR"/>
        </w:rPr>
        <w:t xml:space="preserve">un dispositif de garde d’enfants qui soit adapté au milieu rural. Un budget de 150.000 dollars a ainsi été alloué à cette action pilote, dont la réalisation a été confiée à l’UNICEF </w:t>
      </w:r>
      <w:r w:rsidR="00786E1B">
        <w:rPr>
          <w:lang w:val="fr-FR"/>
        </w:rPr>
        <w:t>et</w:t>
      </w:r>
      <w:r w:rsidR="000E4CDE">
        <w:rPr>
          <w:lang w:val="fr-FR"/>
        </w:rPr>
        <w:t xml:space="preserve"> le MDCFCF.</w:t>
      </w:r>
    </w:p>
    <w:p w:rsidR="00745C42" w:rsidRDefault="00786E1B" w:rsidP="00D8742E">
      <w:pPr>
        <w:pStyle w:val="NoSpacing"/>
        <w:numPr>
          <w:ilvl w:val="0"/>
          <w:numId w:val="1"/>
        </w:numPr>
        <w:ind w:left="0" w:firstLine="0"/>
        <w:rPr>
          <w:lang w:val="fr-FR"/>
        </w:rPr>
      </w:pPr>
      <w:r w:rsidRPr="0047798C">
        <w:rPr>
          <w:lang w:val="fr-FR"/>
        </w:rPr>
        <w:t>Comme dans le cas de l’A22, b</w:t>
      </w:r>
      <w:r w:rsidR="000E4CDE" w:rsidRPr="0047798C">
        <w:rPr>
          <w:lang w:val="fr-FR"/>
        </w:rPr>
        <w:t>ien que le démarrage de cette activité n’avai</w:t>
      </w:r>
      <w:r w:rsidR="0051735B">
        <w:rPr>
          <w:lang w:val="fr-FR"/>
        </w:rPr>
        <w:t>t pas été prévu avant l’Année 2</w:t>
      </w:r>
      <w:r w:rsidR="000E4CDE" w:rsidRPr="0047798C">
        <w:rPr>
          <w:lang w:val="fr-FR"/>
        </w:rPr>
        <w:t xml:space="preserve"> et qu’aucun fonds n’ai</w:t>
      </w:r>
      <w:r w:rsidRPr="0047798C">
        <w:rPr>
          <w:lang w:val="fr-FR"/>
        </w:rPr>
        <w:t>en</w:t>
      </w:r>
      <w:r w:rsidR="000E4CDE" w:rsidRPr="0047798C">
        <w:rPr>
          <w:lang w:val="fr-FR"/>
        </w:rPr>
        <w:t xml:space="preserve">t par conséquent été transférés, </w:t>
      </w:r>
      <w:r w:rsidRPr="0047798C">
        <w:rPr>
          <w:lang w:val="fr-FR"/>
        </w:rPr>
        <w:t>les partenaires ont devancé le calendrier pour mettre en œuvre un certaine nombre d’activités préparatoires.</w:t>
      </w:r>
      <w:r w:rsidR="00A030CE" w:rsidRPr="0047798C">
        <w:rPr>
          <w:lang w:val="fr-FR"/>
        </w:rPr>
        <w:t xml:space="preserve"> </w:t>
      </w:r>
      <w:r w:rsidR="0047798C" w:rsidRPr="0047798C">
        <w:rPr>
          <w:lang w:val="fr-FR"/>
        </w:rPr>
        <w:t xml:space="preserve">Ainsi, des TdR de qualité ont été préparés pour le recrutement d’un consultant. Il est </w:t>
      </w:r>
      <w:r w:rsidR="0051735B">
        <w:rPr>
          <w:lang w:val="fr-FR"/>
        </w:rPr>
        <w:t xml:space="preserve">prévu que l’étude porte sur </w:t>
      </w:r>
      <w:r w:rsidR="0047798C" w:rsidRPr="0047798C">
        <w:rPr>
          <w:lang w:val="fr-FR"/>
        </w:rPr>
        <w:t>les perceptions, pratiques et mode organisationnel en matière d’éducation et de système de garde d’enfant en milieu rural et que des propositions de mise en place de dispositifs de prise en charge de la petite enfance so</w:t>
      </w:r>
      <w:r w:rsidR="0051735B">
        <w:rPr>
          <w:lang w:val="fr-FR"/>
        </w:rPr>
        <w:t>ie</w:t>
      </w:r>
      <w:r w:rsidR="0047798C" w:rsidRPr="0047798C">
        <w:rPr>
          <w:lang w:val="fr-FR"/>
        </w:rPr>
        <w:t>nt élaborées</w:t>
      </w:r>
      <w:r w:rsidR="0047798C">
        <w:rPr>
          <w:lang w:val="fr-FR"/>
        </w:rPr>
        <w:t>. Pour l’instant, il semble que les villes de Tipaza et de Djelfa aient été retenues, mais lors de la revue annuelle de décembre, les participants ont recommandé que le choix final soit effectué en fonction des synergies et interactions possibles avec d’autres activités du programme. En fonction de ce critère, le choix de restreindre l’activité à Djelfa pourrait permettre de concentrer les efforts sur une seule localité et la mission recommande cette option.</w:t>
      </w:r>
    </w:p>
    <w:p w:rsidR="0047798C" w:rsidRDefault="0047798C" w:rsidP="00D8742E">
      <w:pPr>
        <w:pStyle w:val="NoSpacing"/>
        <w:numPr>
          <w:ilvl w:val="0"/>
          <w:numId w:val="1"/>
        </w:numPr>
        <w:ind w:left="0" w:firstLine="0"/>
        <w:rPr>
          <w:lang w:val="fr-FR"/>
        </w:rPr>
      </w:pPr>
      <w:r>
        <w:rPr>
          <w:lang w:val="fr-FR"/>
        </w:rPr>
        <w:lastRenderedPageBreak/>
        <w:t>Il convient de noter que cette activité pilote semble générer l’interr</w:t>
      </w:r>
      <w:r w:rsidR="0051735B">
        <w:rPr>
          <w:lang w:val="fr-FR"/>
        </w:rPr>
        <w:t>ogation de nombreux partenaires</w:t>
      </w:r>
      <w:r>
        <w:rPr>
          <w:lang w:val="fr-FR"/>
        </w:rPr>
        <w:t xml:space="preserve"> qui pensent qu’il est inconcevable que des femmes rurales soient intéressées par un dispositif de garde d’enfants, ou que leurs maris leur permettent de confier leur enfant à ce type de structures. Quant à l’UNICEF, il semble que cette initiative n’aura vraiment de sens </w:t>
      </w:r>
      <w:r w:rsidR="00623EAE">
        <w:rPr>
          <w:lang w:val="fr-FR"/>
        </w:rPr>
        <w:t xml:space="preserve">qu’à la condition qu’elle soit accompagnée d’un véritable projet pédagogique ou éducatif. On le voit, il conviendra d’aborder cette activité avec beaucoup de précautions et en accentuant son caractère pilote, tout en conservant </w:t>
      </w:r>
      <w:r w:rsidR="0051735B">
        <w:rPr>
          <w:lang w:val="fr-FR"/>
        </w:rPr>
        <w:t>à l’esprit</w:t>
      </w:r>
      <w:r w:rsidR="00623EAE">
        <w:rPr>
          <w:lang w:val="fr-FR"/>
        </w:rPr>
        <w:t xml:space="preserve"> que l’objectif est d’apporter une solution au problème des femmes rurales vulnérables qui souhaitent s’engager dans une activité génératrice de revenus, ou suivre une formation professionnelle, mais ne le peuvent car elles doivent s’occuper d’enfants en bas âge. Une telle structure ne pouvant être pérennisée, sur le plan financier, en tout cas dans le court terme, que grâce à des subventions, la question de la pérennisation </w:t>
      </w:r>
      <w:r w:rsidR="007B3749">
        <w:rPr>
          <w:lang w:val="fr-FR"/>
        </w:rPr>
        <w:t>financière</w:t>
      </w:r>
      <w:r w:rsidR="00623EAE">
        <w:rPr>
          <w:lang w:val="fr-FR"/>
        </w:rPr>
        <w:t xml:space="preserve"> devra en outre être abordée rapidement</w:t>
      </w:r>
      <w:r w:rsidR="0051735B">
        <w:rPr>
          <w:lang w:val="fr-FR"/>
        </w:rPr>
        <w:t xml:space="preserve"> avec le gouvernement et les autorités locales.</w:t>
      </w:r>
    </w:p>
    <w:p w:rsidR="00623EAE" w:rsidRPr="00623EAE" w:rsidRDefault="00623EAE" w:rsidP="00623EAE">
      <w:pPr>
        <w:pStyle w:val="NoSpacing"/>
        <w:rPr>
          <w:lang w:val="fr-FR"/>
        </w:rPr>
      </w:pPr>
    </w:p>
    <w:p w:rsidR="00623EAE" w:rsidRPr="005365E9" w:rsidRDefault="00623EAE" w:rsidP="0038607C">
      <w:pPr>
        <w:pStyle w:val="UNDPTitle1"/>
        <w:numPr>
          <w:ilvl w:val="2"/>
          <w:numId w:val="10"/>
        </w:numPr>
        <w:tabs>
          <w:tab w:val="left" w:pos="900"/>
        </w:tabs>
        <w:ind w:left="900" w:hanging="270"/>
        <w:outlineLvl w:val="2"/>
        <w:rPr>
          <w:i/>
          <w:color w:val="auto"/>
        </w:rPr>
      </w:pPr>
      <w:bookmarkStart w:id="24" w:name="_Toc322342014"/>
      <w:r w:rsidRPr="005365E9">
        <w:rPr>
          <w:i/>
          <w:color w:val="auto"/>
        </w:rPr>
        <w:t xml:space="preserve">Effet </w:t>
      </w:r>
      <w:r>
        <w:rPr>
          <w:i/>
          <w:color w:val="auto"/>
        </w:rPr>
        <w:t>3</w:t>
      </w:r>
      <w:r w:rsidRPr="005365E9">
        <w:rPr>
          <w:i/>
          <w:color w:val="auto"/>
        </w:rPr>
        <w:t xml:space="preserve"> – </w:t>
      </w:r>
      <w:r w:rsidRPr="00623EAE">
        <w:rPr>
          <w:i/>
          <w:color w:val="auto"/>
          <w:lang w:val="fr-FR"/>
        </w:rPr>
        <w:t>La promotion de l’image de la femme active et le renforcement des valeurs d’équité et d’égalité à travers une diffusion de l’information sensible au genre</w:t>
      </w:r>
      <w:bookmarkEnd w:id="24"/>
    </w:p>
    <w:p w:rsidR="0051735B" w:rsidRDefault="00623EAE" w:rsidP="00D8742E">
      <w:pPr>
        <w:pStyle w:val="NoSpacing"/>
        <w:numPr>
          <w:ilvl w:val="0"/>
          <w:numId w:val="1"/>
        </w:numPr>
        <w:ind w:left="0" w:firstLine="0"/>
        <w:rPr>
          <w:lang w:val="fr-CA"/>
        </w:rPr>
      </w:pPr>
      <w:r>
        <w:rPr>
          <w:lang w:val="fr-CA"/>
        </w:rPr>
        <w:t xml:space="preserve">Notant que certaines normes et valeurs qui structurent la </w:t>
      </w:r>
      <w:r w:rsidR="00233008">
        <w:rPr>
          <w:lang w:val="fr-CA"/>
        </w:rPr>
        <w:t>société</w:t>
      </w:r>
      <w:r>
        <w:rPr>
          <w:lang w:val="fr-CA"/>
        </w:rPr>
        <w:t xml:space="preserve"> </w:t>
      </w:r>
      <w:r w:rsidR="00233008">
        <w:rPr>
          <w:lang w:val="fr-CA"/>
        </w:rPr>
        <w:t>algérienne</w:t>
      </w:r>
      <w:r>
        <w:rPr>
          <w:lang w:val="fr-CA"/>
        </w:rPr>
        <w:t xml:space="preserve"> agissent comme des éléments contraignants pour l’autonomisation des femmes et que les médias </w:t>
      </w:r>
      <w:r w:rsidR="00233008">
        <w:rPr>
          <w:lang w:val="fr-CA"/>
        </w:rPr>
        <w:t>véhiculent</w:t>
      </w:r>
      <w:r>
        <w:rPr>
          <w:lang w:val="fr-CA"/>
        </w:rPr>
        <w:t xml:space="preserve"> peu d’images qui permettent d’avoir une vue globale des femmes dans le monde du travail et de leur contribution à la vie économique, le document de projet identifie </w:t>
      </w:r>
      <w:r w:rsidR="00233008">
        <w:rPr>
          <w:lang w:val="fr-CA"/>
        </w:rPr>
        <w:t>quatre principaux « </w:t>
      </w:r>
      <w:r>
        <w:rPr>
          <w:lang w:val="fr-CA"/>
        </w:rPr>
        <w:t>produits</w:t>
      </w:r>
      <w:r w:rsidR="00233008">
        <w:rPr>
          <w:lang w:val="fr-CA"/>
        </w:rPr>
        <w:t> » ou résultats attendus et de 11 séries « activités »</w:t>
      </w:r>
      <w:r w:rsidR="0051735B">
        <w:rPr>
          <w:lang w:val="fr-CA"/>
        </w:rPr>
        <w:t>.</w:t>
      </w:r>
    </w:p>
    <w:p w:rsidR="00233008" w:rsidRPr="0051735B" w:rsidRDefault="00233008" w:rsidP="00D8742E">
      <w:pPr>
        <w:pStyle w:val="NoSpacing"/>
        <w:numPr>
          <w:ilvl w:val="0"/>
          <w:numId w:val="1"/>
        </w:numPr>
        <w:ind w:left="0" w:firstLine="0"/>
        <w:rPr>
          <w:bCs/>
          <w:iCs/>
          <w:lang w:val="fr-CA"/>
        </w:rPr>
      </w:pPr>
      <w:r w:rsidRPr="0051735B">
        <w:rPr>
          <w:lang w:val="fr-CA"/>
        </w:rPr>
        <w:t xml:space="preserve"> Alors la plupart de ces activités auraient dû être lancées au cours de la première année de mise en œuvre, une seule l’a été. Il s’agit de l’A28, qui prévoit la réalisation d’u</w:t>
      </w:r>
      <w:r w:rsidRPr="0051735B">
        <w:rPr>
          <w:bCs/>
          <w:iCs/>
          <w:lang w:val="fr-CA"/>
        </w:rPr>
        <w:t xml:space="preserve">n répertoire des </w:t>
      </w:r>
      <w:r w:rsidR="002A0672" w:rsidRPr="0051735B">
        <w:rPr>
          <w:bCs/>
          <w:iCs/>
          <w:lang w:val="fr-CA"/>
        </w:rPr>
        <w:t xml:space="preserve">organisations et des </w:t>
      </w:r>
      <w:r w:rsidRPr="0051735B">
        <w:rPr>
          <w:bCs/>
          <w:iCs/>
          <w:lang w:val="fr-CA"/>
        </w:rPr>
        <w:t xml:space="preserve">personnes ressources </w:t>
      </w:r>
      <w:r w:rsidRPr="0051735B">
        <w:rPr>
          <w:lang w:val="fr-FR"/>
        </w:rPr>
        <w:t>travaillant</w:t>
      </w:r>
      <w:r w:rsidRPr="0051735B">
        <w:rPr>
          <w:bCs/>
          <w:iCs/>
          <w:lang w:val="fr-CA"/>
        </w:rPr>
        <w:t xml:space="preserve"> sur le genre en Algérie.</w:t>
      </w:r>
      <w:r w:rsidRPr="0051735B">
        <w:rPr>
          <w:lang w:val="fr-CA"/>
        </w:rPr>
        <w:t xml:space="preserve"> Dotée d’un budget de 40.000 dollars, la réalisation de cette activité a été confiée au PNUD et au MDCFCF. Un cabinet de consultants national a été recruté et a commencé ses travaux en septembre 2011.</w:t>
      </w:r>
    </w:p>
    <w:p w:rsidR="002A0672" w:rsidRDefault="002A0672" w:rsidP="00D8742E">
      <w:pPr>
        <w:pStyle w:val="NoSpacing"/>
        <w:numPr>
          <w:ilvl w:val="0"/>
          <w:numId w:val="1"/>
        </w:numPr>
        <w:ind w:left="0" w:firstLine="0"/>
        <w:rPr>
          <w:lang w:val="fr-CA"/>
        </w:rPr>
      </w:pPr>
      <w:r>
        <w:rPr>
          <w:lang w:val="fr-CA"/>
        </w:rPr>
        <w:t>Les autres activités n’ont pas été lancées, malgré leur importance stratégique, faute de temps et de moyens humains et les perspectives que ces activités soient menées à bien d’ici à la fin de la période de mise en œuvre du programme sans appui extérieur sont minces, de l’avis de la mission</w:t>
      </w:r>
    </w:p>
    <w:p w:rsidR="00233008" w:rsidRDefault="002A0672" w:rsidP="00D8742E">
      <w:pPr>
        <w:pStyle w:val="NoSpacing"/>
        <w:numPr>
          <w:ilvl w:val="0"/>
          <w:numId w:val="1"/>
        </w:numPr>
        <w:ind w:left="0" w:firstLine="0"/>
        <w:rPr>
          <w:lang w:val="fr-CA"/>
        </w:rPr>
      </w:pPr>
      <w:r>
        <w:rPr>
          <w:lang w:val="fr-CA"/>
        </w:rPr>
        <w:t xml:space="preserve">En décembre 2011, une première version de </w:t>
      </w:r>
      <w:r w:rsidR="00635713">
        <w:rPr>
          <w:lang w:val="fr-CA"/>
        </w:rPr>
        <w:t>plan de</w:t>
      </w:r>
      <w:r>
        <w:rPr>
          <w:lang w:val="fr-CA"/>
        </w:rPr>
        <w:t xml:space="preserve"> communication et de plaidoyer a été </w:t>
      </w:r>
      <w:r w:rsidR="00635713">
        <w:rPr>
          <w:lang w:val="fr-CA"/>
        </w:rPr>
        <w:t>préparée</w:t>
      </w:r>
      <w:r w:rsidR="00641187">
        <w:rPr>
          <w:lang w:val="fr-CA"/>
        </w:rPr>
        <w:t xml:space="preserve"> par le Groupe de Communication des Nations Unies</w:t>
      </w:r>
      <w:r w:rsidR="0051735B">
        <w:rPr>
          <w:lang w:val="fr-CA"/>
        </w:rPr>
        <w:t xml:space="preserve">. </w:t>
      </w:r>
      <w:r w:rsidR="00641187">
        <w:rPr>
          <w:lang w:val="fr-CA"/>
        </w:rPr>
        <w:t>Si la mise en œuvre de cette stratégie, qui paraît bien pensée et s’</w:t>
      </w:r>
      <w:r w:rsidR="00180CB4">
        <w:rPr>
          <w:lang w:val="fr-CA"/>
        </w:rPr>
        <w:t xml:space="preserve">appuie sur un diagnostic </w:t>
      </w:r>
      <w:r w:rsidR="0051735B">
        <w:rPr>
          <w:lang w:val="fr-CA"/>
        </w:rPr>
        <w:t>rapide</w:t>
      </w:r>
      <w:r w:rsidR="00180CB4">
        <w:rPr>
          <w:lang w:val="fr-CA"/>
        </w:rPr>
        <w:t xml:space="preserve"> du fonctionnement du programme conjoint, aidera certainement à améliorer la visibilité de ce dernier, elle ne pourra permettre la réalisation de toutes les activités prévues au titre de l’Effet 3. </w:t>
      </w:r>
      <w:r w:rsidR="00635713">
        <w:rPr>
          <w:lang w:val="fr-CA"/>
        </w:rPr>
        <w:t xml:space="preserve"> </w:t>
      </w:r>
      <w:r w:rsidR="00180CB4">
        <w:rPr>
          <w:lang w:val="fr-CA"/>
        </w:rPr>
        <w:t>D’une part, en effet, toutes les activités de l’Effet 3 ne sont pas nécessairement incluses dans le Plan de Communication; d’autre part, aucun mécanisme n’est pour l’instant arrêté s’agissant de la mise en œuvre effective de ce Plan.</w:t>
      </w:r>
    </w:p>
    <w:p w:rsidR="00180CB4" w:rsidRDefault="00180CB4" w:rsidP="00180CB4">
      <w:pPr>
        <w:pStyle w:val="NoSpacing"/>
        <w:numPr>
          <w:ilvl w:val="0"/>
          <w:numId w:val="1"/>
        </w:numPr>
        <w:ind w:left="0" w:firstLine="0"/>
        <w:rPr>
          <w:lang w:val="fr-CA"/>
        </w:rPr>
      </w:pPr>
      <w:r w:rsidRPr="0051735B">
        <w:rPr>
          <w:lang w:val="fr-CA"/>
        </w:rPr>
        <w:t xml:space="preserve">Sans l’appui supplémentaire d’un Expert en Communication placé au sein de l’Équipe de </w:t>
      </w:r>
      <w:r w:rsidRPr="0051735B">
        <w:rPr>
          <w:lang w:val="fr-FR"/>
        </w:rPr>
        <w:t>Programme</w:t>
      </w:r>
      <w:r w:rsidRPr="0051735B">
        <w:rPr>
          <w:lang w:val="fr-CA"/>
        </w:rPr>
        <w:t>, et chargé de la bonne exécution des activités de l’Effet 3 et de la mise en œuvre du Plan de Communication, la mission est d’avis que le programme conjoint ne pourra mene</w:t>
      </w:r>
      <w:r w:rsidR="0051735B">
        <w:rPr>
          <w:lang w:val="fr-CA"/>
        </w:rPr>
        <w:t>r à bien les activités prévues.</w:t>
      </w:r>
    </w:p>
    <w:p w:rsidR="0051735B" w:rsidRPr="0051735B" w:rsidRDefault="0051735B" w:rsidP="0051735B">
      <w:pPr>
        <w:pStyle w:val="NoSpacing"/>
        <w:rPr>
          <w:lang w:val="fr-CA"/>
        </w:rPr>
      </w:pPr>
    </w:p>
    <w:p w:rsidR="0057573C" w:rsidRPr="007A469D" w:rsidRDefault="0057573C" w:rsidP="0038607C">
      <w:pPr>
        <w:pStyle w:val="UNDPTitle1"/>
        <w:numPr>
          <w:ilvl w:val="1"/>
          <w:numId w:val="6"/>
        </w:numPr>
        <w:outlineLvl w:val="2"/>
        <w:rPr>
          <w:color w:val="auto"/>
        </w:rPr>
      </w:pPr>
      <w:bookmarkStart w:id="25" w:name="_Toc322342015"/>
      <w:r w:rsidRPr="007A469D">
        <w:rPr>
          <w:color w:val="auto"/>
        </w:rPr>
        <w:t>Atteinte des objectifs et perspectives de pérennité</w:t>
      </w:r>
      <w:bookmarkEnd w:id="25"/>
    </w:p>
    <w:p w:rsidR="00A15A94" w:rsidRDefault="0051735B" w:rsidP="00D8742E">
      <w:pPr>
        <w:pStyle w:val="NoSpacing"/>
        <w:numPr>
          <w:ilvl w:val="0"/>
          <w:numId w:val="1"/>
        </w:numPr>
        <w:ind w:left="0" w:firstLine="0"/>
        <w:rPr>
          <w:lang w:val="fr-CA"/>
        </w:rPr>
      </w:pPr>
      <w:r w:rsidRPr="00A15A94">
        <w:rPr>
          <w:b/>
          <w:lang w:val="fr-CA"/>
        </w:rPr>
        <w:t>Atteinte des objectifs.</w:t>
      </w:r>
      <w:r w:rsidRPr="00A15A94">
        <w:rPr>
          <w:lang w:val="fr-CA"/>
        </w:rPr>
        <w:t xml:space="preserve"> </w:t>
      </w:r>
      <w:r w:rsidR="00350948" w:rsidRPr="00A15A94">
        <w:rPr>
          <w:lang w:val="fr-CA"/>
        </w:rPr>
        <w:t>Étant</w:t>
      </w:r>
      <w:r w:rsidR="00180CB4" w:rsidRPr="00A15A94">
        <w:rPr>
          <w:lang w:val="fr-CA"/>
        </w:rPr>
        <w:t xml:space="preserve"> donné le grand retard accumulé et </w:t>
      </w:r>
      <w:r w:rsidR="00350948" w:rsidRPr="00A15A94">
        <w:rPr>
          <w:lang w:val="fr-CA"/>
        </w:rPr>
        <w:t>son état</w:t>
      </w:r>
      <w:r w:rsidR="00180CB4" w:rsidRPr="00A15A94">
        <w:rPr>
          <w:lang w:val="fr-CA"/>
        </w:rPr>
        <w:t xml:space="preserve"> actuel </w:t>
      </w:r>
      <w:r w:rsidR="00350948" w:rsidRPr="00A15A94">
        <w:rPr>
          <w:lang w:val="fr-CA"/>
        </w:rPr>
        <w:t xml:space="preserve">d’avancement, il est impossible que le programme conjoint </w:t>
      </w:r>
      <w:r w:rsidR="007A469D" w:rsidRPr="00A15A94">
        <w:rPr>
          <w:lang w:val="fr-CA"/>
        </w:rPr>
        <w:t>atteigne l</w:t>
      </w:r>
      <w:r w:rsidR="00350948" w:rsidRPr="00A15A94">
        <w:rPr>
          <w:lang w:val="fr-CA"/>
        </w:rPr>
        <w:t xml:space="preserve">es objectifs </w:t>
      </w:r>
      <w:r w:rsidR="007A469D" w:rsidRPr="00A15A94">
        <w:rPr>
          <w:lang w:val="fr-CA"/>
        </w:rPr>
        <w:t>spécifiques</w:t>
      </w:r>
      <w:r w:rsidR="00C807C4" w:rsidRPr="00A15A94">
        <w:rPr>
          <w:lang w:val="fr-CA"/>
        </w:rPr>
        <w:t xml:space="preserve"> par ailleurs</w:t>
      </w:r>
      <w:r w:rsidR="007A469D" w:rsidRPr="00A15A94">
        <w:rPr>
          <w:lang w:val="fr-CA"/>
        </w:rPr>
        <w:t xml:space="preserve"> </w:t>
      </w:r>
      <w:r w:rsidR="00350948" w:rsidRPr="00A15A94">
        <w:rPr>
          <w:lang w:val="fr-CA"/>
        </w:rPr>
        <w:t xml:space="preserve">bien trop ambitieux qui lui avaient été assignés. </w:t>
      </w:r>
      <w:r w:rsidR="007A469D" w:rsidRPr="00A15A94">
        <w:rPr>
          <w:lang w:val="fr-CA"/>
        </w:rPr>
        <w:t>Quant à la contribution que le programme peut apporter à la réalisation de ce qui s</w:t>
      </w:r>
      <w:r w:rsidR="00F25954" w:rsidRPr="00A15A94">
        <w:rPr>
          <w:lang w:val="fr-CA"/>
        </w:rPr>
        <w:t xml:space="preserve">emble </w:t>
      </w:r>
      <w:r w:rsidR="00F25954" w:rsidRPr="00A15A94">
        <w:rPr>
          <w:lang w:val="fr-FR"/>
        </w:rPr>
        <w:t>être</w:t>
      </w:r>
      <w:r w:rsidR="00F25954" w:rsidRPr="00A15A94">
        <w:rPr>
          <w:lang w:val="fr-CA"/>
        </w:rPr>
        <w:t xml:space="preserve"> son objectif global - </w:t>
      </w:r>
      <w:r w:rsidR="007A469D" w:rsidRPr="00A15A94">
        <w:rPr>
          <w:lang w:val="fr-CA"/>
        </w:rPr>
        <w:t xml:space="preserve">l’égalité des genres et l’autonomisation </w:t>
      </w:r>
      <w:r w:rsidR="00F25954" w:rsidRPr="00A15A94">
        <w:rPr>
          <w:lang w:val="fr-CA"/>
        </w:rPr>
        <w:t>de la femme en Algérie -</w:t>
      </w:r>
      <w:r w:rsidR="007A469D" w:rsidRPr="00A15A94">
        <w:rPr>
          <w:lang w:val="fr-CA"/>
        </w:rPr>
        <w:t xml:space="preserve"> on comprend aisément que même </w:t>
      </w:r>
      <w:r w:rsidR="00F25954" w:rsidRPr="00A15A94">
        <w:rPr>
          <w:lang w:val="fr-CA"/>
        </w:rPr>
        <w:t>s’ils</w:t>
      </w:r>
      <w:r w:rsidR="007A469D" w:rsidRPr="00A15A94">
        <w:rPr>
          <w:lang w:val="fr-CA"/>
        </w:rPr>
        <w:t xml:space="preserve"> parvenai</w:t>
      </w:r>
      <w:r w:rsidR="00F25954" w:rsidRPr="00A15A94">
        <w:rPr>
          <w:lang w:val="fr-CA"/>
        </w:rPr>
        <w:t>en</w:t>
      </w:r>
      <w:r w:rsidR="007A469D" w:rsidRPr="00A15A94">
        <w:rPr>
          <w:lang w:val="fr-CA"/>
        </w:rPr>
        <w:t xml:space="preserve">t à </w:t>
      </w:r>
      <w:r w:rsidR="007A469D" w:rsidRPr="00A15A94">
        <w:rPr>
          <w:lang w:val="fr-CA"/>
        </w:rPr>
        <w:lastRenderedPageBreak/>
        <w:t xml:space="preserve">mettre en œuvre toutes les activités prévues et dépenser l’essentiel du budget, </w:t>
      </w:r>
      <w:r w:rsidR="00F25954" w:rsidRPr="00A15A94">
        <w:rPr>
          <w:lang w:val="fr-CA"/>
        </w:rPr>
        <w:t>les partenaires ne</w:t>
      </w:r>
      <w:r w:rsidR="007A469D" w:rsidRPr="00A15A94">
        <w:rPr>
          <w:lang w:val="fr-CA"/>
        </w:rPr>
        <w:t xml:space="preserve"> pourrai</w:t>
      </w:r>
      <w:r w:rsidR="00F25954" w:rsidRPr="00A15A94">
        <w:rPr>
          <w:lang w:val="fr-CA"/>
        </w:rPr>
        <w:t>en</w:t>
      </w:r>
      <w:r w:rsidR="007A469D" w:rsidRPr="00A15A94">
        <w:rPr>
          <w:lang w:val="fr-CA"/>
        </w:rPr>
        <w:t>t faire qu’une contribution marginale à ce</w:t>
      </w:r>
      <w:r w:rsidR="00A15A94" w:rsidRPr="00A15A94">
        <w:rPr>
          <w:lang w:val="fr-CA"/>
        </w:rPr>
        <w:t>t objectif à long terme.</w:t>
      </w:r>
      <w:r w:rsidR="00F25954" w:rsidRPr="00A15A94">
        <w:rPr>
          <w:lang w:val="fr-CA"/>
        </w:rPr>
        <w:t xml:space="preserve"> </w:t>
      </w:r>
    </w:p>
    <w:p w:rsidR="00350948" w:rsidRPr="00A15A94" w:rsidRDefault="00350948" w:rsidP="00D8742E">
      <w:pPr>
        <w:pStyle w:val="NoSpacing"/>
        <w:numPr>
          <w:ilvl w:val="0"/>
          <w:numId w:val="1"/>
        </w:numPr>
        <w:ind w:left="0" w:firstLine="0"/>
        <w:rPr>
          <w:lang w:val="fr-CA"/>
        </w:rPr>
      </w:pPr>
      <w:r w:rsidRPr="00A15A94">
        <w:rPr>
          <w:lang w:val="fr-CA"/>
        </w:rPr>
        <w:t>Dans l’hypothès</w:t>
      </w:r>
      <w:r w:rsidR="00800EDF" w:rsidRPr="00A15A94">
        <w:rPr>
          <w:lang w:val="fr-CA"/>
        </w:rPr>
        <w:t xml:space="preserve">e où les partenaires arrivent à </w:t>
      </w:r>
      <w:r w:rsidRPr="00A15A94">
        <w:rPr>
          <w:lang w:val="fr-CA"/>
        </w:rPr>
        <w:t xml:space="preserve">surmonter les obstacles </w:t>
      </w:r>
      <w:r w:rsidR="00F25954" w:rsidRPr="00A15A94">
        <w:rPr>
          <w:lang w:val="fr-CA"/>
        </w:rPr>
        <w:t xml:space="preserve">importants </w:t>
      </w:r>
      <w:r w:rsidRPr="00A15A94">
        <w:rPr>
          <w:lang w:val="fr-CA"/>
        </w:rPr>
        <w:t>qui s’opposent à une mise en œuvre rapide et efficace</w:t>
      </w:r>
      <w:r w:rsidR="00800EDF" w:rsidRPr="00A15A94">
        <w:rPr>
          <w:lang w:val="fr-CA"/>
        </w:rPr>
        <w:t>,</w:t>
      </w:r>
      <w:r w:rsidRPr="00A15A94">
        <w:rPr>
          <w:lang w:val="fr-CA"/>
        </w:rPr>
        <w:t xml:space="preserve"> et </w:t>
      </w:r>
      <w:r w:rsidR="00800EDF" w:rsidRPr="00A15A94">
        <w:rPr>
          <w:lang w:val="fr-CA"/>
        </w:rPr>
        <w:t xml:space="preserve">s’ils </w:t>
      </w:r>
      <w:r w:rsidRPr="00A15A94">
        <w:rPr>
          <w:lang w:val="fr-CA"/>
        </w:rPr>
        <w:t xml:space="preserve">parviennent à concentrer leurs efforts </w:t>
      </w:r>
      <w:r w:rsidR="00800EDF" w:rsidRPr="00A15A94">
        <w:rPr>
          <w:lang w:val="fr-CA"/>
        </w:rPr>
        <w:t>autour d’</w:t>
      </w:r>
      <w:r w:rsidRPr="00A15A94">
        <w:rPr>
          <w:lang w:val="fr-CA"/>
        </w:rPr>
        <w:t xml:space="preserve">un nombre </w:t>
      </w:r>
      <w:r w:rsidRPr="00A15A94">
        <w:rPr>
          <w:lang w:val="fr-FR"/>
        </w:rPr>
        <w:t>resserré</w:t>
      </w:r>
      <w:r w:rsidRPr="00A15A94">
        <w:rPr>
          <w:lang w:val="fr-CA"/>
        </w:rPr>
        <w:t xml:space="preserve"> d’activités stratégiques, la mission est cependant d’avis que le programme</w:t>
      </w:r>
      <w:r w:rsidR="00C807C4" w:rsidRPr="00A15A94">
        <w:rPr>
          <w:lang w:val="fr-CA"/>
        </w:rPr>
        <w:t>, qui est parvenu à poser certains jalons importants,</w:t>
      </w:r>
      <w:r w:rsidRPr="00A15A94">
        <w:rPr>
          <w:lang w:val="fr-CA"/>
        </w:rPr>
        <w:t xml:space="preserve"> a le potentiel </w:t>
      </w:r>
      <w:r w:rsidR="00F25954" w:rsidRPr="00A15A94">
        <w:rPr>
          <w:lang w:val="fr-CA"/>
        </w:rPr>
        <w:t>d’apporter un certain nombre de contributions intéressantes et utiles</w:t>
      </w:r>
      <w:r w:rsidR="00C807C4" w:rsidRPr="00A15A94">
        <w:rPr>
          <w:lang w:val="fr-CA"/>
        </w:rPr>
        <w:t xml:space="preserve"> à l’avancement des objectifs suivants</w:t>
      </w:r>
      <w:r w:rsidRPr="00A15A94">
        <w:rPr>
          <w:lang w:val="fr-CA"/>
        </w:rPr>
        <w:t xml:space="preserve"> : </w:t>
      </w:r>
    </w:p>
    <w:p w:rsidR="00350948" w:rsidRDefault="00350948" w:rsidP="0038607C">
      <w:pPr>
        <w:pStyle w:val="NoSpacing"/>
        <w:numPr>
          <w:ilvl w:val="0"/>
          <w:numId w:val="18"/>
        </w:numPr>
        <w:rPr>
          <w:lang w:val="fr-CA"/>
        </w:rPr>
      </w:pPr>
      <w:r w:rsidRPr="007A469D">
        <w:rPr>
          <w:b/>
          <w:lang w:val="fr-CA"/>
        </w:rPr>
        <w:t>Effet 1 :</w:t>
      </w:r>
      <w:r>
        <w:rPr>
          <w:lang w:val="fr-CA"/>
        </w:rPr>
        <w:t xml:space="preserve"> Le programme ne parviendra pas à « </w:t>
      </w:r>
      <w:r w:rsidRPr="00350948">
        <w:rPr>
          <w:i/>
          <w:lang w:val="fr-CA"/>
        </w:rPr>
        <w:t>renforcer les processus de prise de décision équitable en matière de stratégies et programmes de développement</w:t>
      </w:r>
      <w:r>
        <w:rPr>
          <w:lang w:val="fr-CA"/>
        </w:rPr>
        <w:t> »</w:t>
      </w:r>
      <w:r w:rsidR="007A469D">
        <w:rPr>
          <w:lang w:val="fr-CA"/>
        </w:rPr>
        <w:t xml:space="preserve"> et cet objectif n’était </w:t>
      </w:r>
      <w:r w:rsidR="00C807C4">
        <w:rPr>
          <w:lang w:val="fr-CA"/>
        </w:rPr>
        <w:t>de toute fa</w:t>
      </w:r>
      <w:r w:rsidR="00C807C4">
        <w:rPr>
          <w:rFonts w:cs="Calibri"/>
          <w:lang w:val="fr-CA"/>
        </w:rPr>
        <w:t>ç</w:t>
      </w:r>
      <w:r w:rsidR="00C807C4">
        <w:rPr>
          <w:lang w:val="fr-CA"/>
        </w:rPr>
        <w:t xml:space="preserve">on </w:t>
      </w:r>
      <w:r w:rsidR="007A469D">
        <w:rPr>
          <w:lang w:val="fr-CA"/>
        </w:rPr>
        <w:t>pas réaliste pour un programme de cette ampleur et d’une durée de trois ans.</w:t>
      </w:r>
      <w:r>
        <w:rPr>
          <w:lang w:val="fr-CA"/>
        </w:rPr>
        <w:t xml:space="preserve"> S’il parvient à finaliser les études </w:t>
      </w:r>
      <w:r w:rsidR="006149EF">
        <w:rPr>
          <w:lang w:val="fr-CA"/>
        </w:rPr>
        <w:t xml:space="preserve">déjà lancées ou prévues, et qu’elles sont de qualité et bien utilisées </w:t>
      </w:r>
      <w:r w:rsidR="006149EF" w:rsidRPr="007A469D">
        <w:rPr>
          <w:i/>
          <w:lang w:val="fr-CA"/>
        </w:rPr>
        <w:t>(notamment l’Audit genre de deux ministères, l’Enquête budget-temps, l’enquête sur les obstacles à l’emploi féminin, la documentation des expériences des Observatoires de l’emploi féminin de la Sonatrach/Sonelgaz)</w:t>
      </w:r>
      <w:r w:rsidR="006149EF">
        <w:rPr>
          <w:lang w:val="fr-CA"/>
        </w:rPr>
        <w:t xml:space="preserve"> et s’il parvient à établir une base de données pour centraliser les données sur le genre et à former les </w:t>
      </w:r>
      <w:r w:rsidR="007A469D">
        <w:rPr>
          <w:lang w:val="fr-CA"/>
        </w:rPr>
        <w:t>personnes clés des ministères partenaires autour de l’analyse genre</w:t>
      </w:r>
      <w:r w:rsidR="006149EF">
        <w:rPr>
          <w:lang w:val="fr-CA"/>
        </w:rPr>
        <w:t xml:space="preserve">, le programme a </w:t>
      </w:r>
      <w:r w:rsidR="007A469D">
        <w:rPr>
          <w:lang w:val="fr-CA"/>
        </w:rPr>
        <w:t>cependant</w:t>
      </w:r>
      <w:r w:rsidR="006149EF">
        <w:rPr>
          <w:lang w:val="fr-CA"/>
        </w:rPr>
        <w:t xml:space="preserve"> le potentiel d’améliorer les connaissances et données sur le genre </w:t>
      </w:r>
      <w:r w:rsidR="007A469D">
        <w:rPr>
          <w:lang w:val="fr-CA"/>
        </w:rPr>
        <w:t xml:space="preserve">en Algérie </w:t>
      </w:r>
      <w:r w:rsidR="006149EF" w:rsidRPr="007A469D">
        <w:rPr>
          <w:b/>
          <w:i/>
          <w:lang w:val="fr-CA"/>
        </w:rPr>
        <w:t>(P1)</w:t>
      </w:r>
      <w:r w:rsidR="006149EF">
        <w:rPr>
          <w:lang w:val="fr-CA"/>
        </w:rPr>
        <w:t xml:space="preserve"> et de </w:t>
      </w:r>
      <w:r w:rsidR="007A469D">
        <w:rPr>
          <w:lang w:val="fr-CA"/>
        </w:rPr>
        <w:t>renforcer la capacité</w:t>
      </w:r>
      <w:r w:rsidR="006149EF">
        <w:rPr>
          <w:lang w:val="fr-CA"/>
        </w:rPr>
        <w:t xml:space="preserve"> des institutions nationales productrices de statistiques en matière d’analyse genre </w:t>
      </w:r>
      <w:r w:rsidR="006149EF" w:rsidRPr="007A469D">
        <w:rPr>
          <w:b/>
          <w:i/>
          <w:lang w:val="fr-CA"/>
        </w:rPr>
        <w:t>(P2).</w:t>
      </w:r>
      <w:r w:rsidR="006149EF" w:rsidRPr="006149EF">
        <w:rPr>
          <w:b/>
          <w:lang w:val="fr-CA"/>
        </w:rPr>
        <w:t xml:space="preserve"> </w:t>
      </w:r>
      <w:r w:rsidR="006149EF">
        <w:rPr>
          <w:lang w:val="fr-CA"/>
        </w:rPr>
        <w:t>En outre, l’expérience que le MADR projette de mener à bien dans la wilaya pilote de Djelfa, si elle est conduite avec la célérité requise, a le potentiel d’apporter un éclairage important sur la faisabilité, dans le contexte algérien, de l</w:t>
      </w:r>
      <w:r w:rsidR="007A469D">
        <w:rPr>
          <w:lang w:val="fr-CA"/>
        </w:rPr>
        <w:t>’application de l</w:t>
      </w:r>
      <w:r w:rsidR="006149EF">
        <w:rPr>
          <w:lang w:val="fr-CA"/>
        </w:rPr>
        <w:t xml:space="preserve">a BSG au niveau local </w:t>
      </w:r>
      <w:r w:rsidR="006149EF" w:rsidRPr="007A469D">
        <w:rPr>
          <w:b/>
          <w:i/>
          <w:lang w:val="fr-CA"/>
        </w:rPr>
        <w:t>(P4).</w:t>
      </w:r>
      <w:r w:rsidR="006149EF">
        <w:rPr>
          <w:b/>
          <w:lang w:val="fr-CA"/>
        </w:rPr>
        <w:t xml:space="preserve"> </w:t>
      </w:r>
      <w:r w:rsidR="007A469D" w:rsidRPr="007A469D">
        <w:rPr>
          <w:lang w:val="fr-CA"/>
        </w:rPr>
        <w:t xml:space="preserve">Enfin, s’il poursuit ses activités de formation de cadres d’organisation de la société civile, notamment </w:t>
      </w:r>
      <w:r w:rsidR="007A469D">
        <w:rPr>
          <w:lang w:val="fr-CA"/>
        </w:rPr>
        <w:t>à</w:t>
      </w:r>
      <w:r w:rsidR="007A469D" w:rsidRPr="007A469D">
        <w:rPr>
          <w:lang w:val="fr-CA"/>
        </w:rPr>
        <w:t xml:space="preserve"> Djelfa, </w:t>
      </w:r>
      <w:r w:rsidR="007A469D">
        <w:rPr>
          <w:lang w:val="fr-CA"/>
        </w:rPr>
        <w:t>mais aussi au niveau national, à l’analyse genre et au plaidoyer sur le genre, l</w:t>
      </w:r>
      <w:r w:rsidR="007A469D" w:rsidRPr="007A469D">
        <w:rPr>
          <w:lang w:val="fr-CA"/>
        </w:rPr>
        <w:t xml:space="preserve">e programme a le potentiel de </w:t>
      </w:r>
      <w:r w:rsidR="007A469D">
        <w:rPr>
          <w:lang w:val="fr-CA"/>
        </w:rPr>
        <w:t xml:space="preserve">renforcer les capacités de ces organisations à mieux faire entendre la voix des femmes </w:t>
      </w:r>
      <w:r w:rsidR="007A469D" w:rsidRPr="007A469D">
        <w:rPr>
          <w:i/>
          <w:lang w:val="fr-CA"/>
        </w:rPr>
        <w:t>(</w:t>
      </w:r>
      <w:r w:rsidR="007A469D" w:rsidRPr="007A469D">
        <w:rPr>
          <w:b/>
          <w:i/>
          <w:lang w:val="fr-CA"/>
        </w:rPr>
        <w:t>P5).</w:t>
      </w:r>
      <w:r w:rsidR="007A469D">
        <w:rPr>
          <w:lang w:val="fr-CA"/>
        </w:rPr>
        <w:t xml:space="preserve"> </w:t>
      </w:r>
    </w:p>
    <w:p w:rsidR="00D06068" w:rsidRPr="00E44F86" w:rsidRDefault="00800EDF" w:rsidP="0038607C">
      <w:pPr>
        <w:pStyle w:val="NoSpacing"/>
        <w:numPr>
          <w:ilvl w:val="0"/>
          <w:numId w:val="18"/>
        </w:numPr>
        <w:rPr>
          <w:lang w:val="fr-CA"/>
        </w:rPr>
      </w:pPr>
      <w:r>
        <w:rPr>
          <w:b/>
          <w:lang w:val="fr-CA"/>
        </w:rPr>
        <w:t>Effet 2</w:t>
      </w:r>
      <w:r w:rsidR="00506BF6" w:rsidRPr="00506BF6">
        <w:rPr>
          <w:b/>
          <w:lang w:val="fr-CA"/>
        </w:rPr>
        <w:t xml:space="preserve">. </w:t>
      </w:r>
      <w:r w:rsidR="00506BF6">
        <w:rPr>
          <w:lang w:val="fr-CA"/>
        </w:rPr>
        <w:t xml:space="preserve">L’objectif </w:t>
      </w:r>
      <w:r w:rsidR="00C807C4">
        <w:rPr>
          <w:lang w:val="fr-CA"/>
        </w:rPr>
        <w:t xml:space="preserve">trop </w:t>
      </w:r>
      <w:r w:rsidR="00506BF6">
        <w:rPr>
          <w:lang w:val="fr-CA"/>
        </w:rPr>
        <w:t>ambitieux « </w:t>
      </w:r>
      <w:r w:rsidR="00506BF6" w:rsidRPr="00506BF6">
        <w:rPr>
          <w:i/>
          <w:lang w:val="fr-CA"/>
        </w:rPr>
        <w:t>d’amélioration de l’employabilité des femmes, en particulier les femmes rurales et vulnérables, et le renforcement de leur accès à un travail décent</w:t>
      </w:r>
      <w:r w:rsidR="00506BF6">
        <w:rPr>
          <w:lang w:val="fr-CA"/>
        </w:rPr>
        <w:t> »</w:t>
      </w:r>
      <w:r w:rsidR="00506BF6" w:rsidRPr="00506BF6">
        <w:rPr>
          <w:lang w:val="fr-CA"/>
        </w:rPr>
        <w:t xml:space="preserve"> </w:t>
      </w:r>
      <w:r w:rsidR="00506BF6">
        <w:rPr>
          <w:lang w:val="fr-CA"/>
        </w:rPr>
        <w:t>ne sera pas atteint. Au mieux, et s’il parvient à accélérer la cadence de l’exécution, le programme parviendra-t-il à lancer des activités pilotes visant à informer et accompagner les femmes rurales, en particulier les femmes vulnérables, les illettrées et celle porteuses du VIH/SIDA, dans leur projet de lancement d’activité génératrice de revenus (</w:t>
      </w:r>
      <w:r w:rsidR="00506BF6" w:rsidRPr="0051735B">
        <w:rPr>
          <w:b/>
          <w:i/>
          <w:lang w:val="fr-CA"/>
        </w:rPr>
        <w:t>P8 et P9</w:t>
      </w:r>
      <w:r w:rsidR="00506BF6">
        <w:rPr>
          <w:lang w:val="fr-CA"/>
        </w:rPr>
        <w:t>)</w:t>
      </w:r>
      <w:r w:rsidR="00180CB4" w:rsidRPr="00506BF6">
        <w:rPr>
          <w:lang w:val="fr-CA"/>
        </w:rPr>
        <w:t xml:space="preserve">, </w:t>
      </w:r>
      <w:r w:rsidR="00506BF6">
        <w:rPr>
          <w:lang w:val="fr-CA"/>
        </w:rPr>
        <w:t>mais l’impact ne se réalisera qu’à la condition que l’État algérien ou les collectivités locales prolongent ou répliquent ces approches pilotes</w:t>
      </w:r>
      <w:r>
        <w:rPr>
          <w:lang w:val="fr-CA"/>
        </w:rPr>
        <w:t xml:space="preserve">, perspectives qui ne peuvent être actuellement évaluées étant donné que la plupart des activités pilotes n’ont pas encore été lancées. Etant donné le retard accumulé et les doutes qui subsistent quant à la capacité </w:t>
      </w:r>
      <w:r w:rsidR="00C807C4">
        <w:rPr>
          <w:lang w:val="fr-CA"/>
        </w:rPr>
        <w:t>des partenaires concernés à</w:t>
      </w:r>
      <w:r>
        <w:rPr>
          <w:lang w:val="fr-CA"/>
        </w:rPr>
        <w:t xml:space="preserve"> mobiliser l’expertise requise, il semble improb</w:t>
      </w:r>
      <w:r w:rsidR="00C807C4">
        <w:rPr>
          <w:lang w:val="fr-CA"/>
        </w:rPr>
        <w:t xml:space="preserve">able que le programme réalise </w:t>
      </w:r>
      <w:r>
        <w:rPr>
          <w:lang w:val="fr-CA"/>
        </w:rPr>
        <w:t xml:space="preserve">les autres sous-objectifs de l’Effet 2, à savoir celui d’améliorer la connaissance des facteurs qui entravent l’insertion professionnelle des femmes (P6), et celui que l’offre de formation soit mieux adaptée aux besoins </w:t>
      </w:r>
      <w:r w:rsidRPr="00E44F86">
        <w:rPr>
          <w:lang w:val="fr-CA"/>
        </w:rPr>
        <w:t>des femmes et du marché du travail (P7).</w:t>
      </w:r>
    </w:p>
    <w:p w:rsidR="006167A4" w:rsidRDefault="00800EDF" w:rsidP="0038607C">
      <w:pPr>
        <w:pStyle w:val="NoSpacing"/>
        <w:numPr>
          <w:ilvl w:val="0"/>
          <w:numId w:val="18"/>
        </w:numPr>
        <w:rPr>
          <w:lang w:val="fr-FR"/>
        </w:rPr>
      </w:pPr>
      <w:r w:rsidRPr="00E44F86">
        <w:rPr>
          <w:b/>
          <w:lang w:val="fr-CA"/>
        </w:rPr>
        <w:t>Effet 3.</w:t>
      </w:r>
      <w:r w:rsidRPr="00E44F86">
        <w:rPr>
          <w:lang w:val="fr-CA"/>
        </w:rPr>
        <w:t xml:space="preserve"> Aucune activité importante n’ayant pour l’instant été réalisée au titre de l’objectif de </w:t>
      </w:r>
      <w:r w:rsidRPr="00E44F86">
        <w:rPr>
          <w:i/>
          <w:lang w:val="fr-FR"/>
        </w:rPr>
        <w:t>« la promotion de l’image de la femme active et le renforcement des valeurs d’équité et d’égalité à travers une diffusion de l’information sensible au genre </w:t>
      </w:r>
      <w:r w:rsidRPr="00E44F86">
        <w:rPr>
          <w:lang w:val="fr-FR"/>
        </w:rPr>
        <w:t xml:space="preserve">», le programme n’a pour l’instant apporté aucune contribution à la réalisation du dernier effet. Dans l’hypothèse où les partenaires parviennent à mobiliser rapidement l’expertise et l’appui supplémentaire requis, il est cependant plausible de penser </w:t>
      </w:r>
      <w:r w:rsidR="00E44F86" w:rsidRPr="00E44F86">
        <w:rPr>
          <w:lang w:val="fr-FR"/>
        </w:rPr>
        <w:t xml:space="preserve">qu’il reste encore suffisamment de temps pour réaliser </w:t>
      </w:r>
      <w:r w:rsidR="0051735B">
        <w:rPr>
          <w:lang w:val="fr-FR"/>
        </w:rPr>
        <w:t xml:space="preserve">quelques activités </w:t>
      </w:r>
      <w:r w:rsidR="00B62C7A">
        <w:rPr>
          <w:lang w:val="fr-FR"/>
        </w:rPr>
        <w:t>importantes</w:t>
      </w:r>
      <w:r w:rsidR="0051735B">
        <w:rPr>
          <w:lang w:val="fr-FR"/>
        </w:rPr>
        <w:t xml:space="preserve"> initialement prévues à l’Effet 3.</w:t>
      </w:r>
    </w:p>
    <w:p w:rsidR="007A0794" w:rsidRPr="00E44F86" w:rsidRDefault="007A0794" w:rsidP="007A0794">
      <w:pPr>
        <w:pStyle w:val="NoSpacing"/>
        <w:ind w:left="720"/>
        <w:rPr>
          <w:lang w:val="fr-FR"/>
        </w:rPr>
      </w:pPr>
    </w:p>
    <w:p w:rsidR="0051735B" w:rsidRDefault="0051735B" w:rsidP="000C666A">
      <w:pPr>
        <w:pStyle w:val="NoSpacing"/>
        <w:numPr>
          <w:ilvl w:val="0"/>
          <w:numId w:val="1"/>
        </w:numPr>
        <w:ind w:left="0" w:firstLine="0"/>
        <w:rPr>
          <w:szCs w:val="22"/>
          <w:lang w:val="fr-CA"/>
        </w:rPr>
      </w:pPr>
      <w:r w:rsidRPr="0051735B">
        <w:rPr>
          <w:b/>
          <w:szCs w:val="22"/>
          <w:lang w:val="fr-CA"/>
        </w:rPr>
        <w:t>Perspectives de pérennité.</w:t>
      </w:r>
      <w:r>
        <w:rPr>
          <w:szCs w:val="22"/>
          <w:lang w:val="fr-CA"/>
        </w:rPr>
        <w:t xml:space="preserve"> </w:t>
      </w:r>
      <w:r w:rsidR="000C666A">
        <w:rPr>
          <w:szCs w:val="22"/>
          <w:lang w:val="fr-CA"/>
        </w:rPr>
        <w:t xml:space="preserve">Étant donné le retard accumulé, il est difficile de discuter des perspectives de pérennité des acquis éventuels du programme. Nul doute, en tout cas, que l’atteinte </w:t>
      </w:r>
      <w:r w:rsidR="000C666A">
        <w:rPr>
          <w:szCs w:val="22"/>
          <w:lang w:val="fr-CA"/>
        </w:rPr>
        <w:lastRenderedPageBreak/>
        <w:t>des objectifs ultimes du programme nécessitera l’action concertée et intensifiée du gouvernement algérien et de tous les partenaires au développement pendant au moins plusieurs années après la clôture du programme. La mission a</w:t>
      </w:r>
      <w:r>
        <w:rPr>
          <w:szCs w:val="22"/>
          <w:lang w:val="fr-CA"/>
        </w:rPr>
        <w:t xml:space="preserve"> recueilli,</w:t>
      </w:r>
      <w:r w:rsidR="000C666A">
        <w:rPr>
          <w:szCs w:val="22"/>
          <w:lang w:val="fr-CA"/>
        </w:rPr>
        <w:t xml:space="preserve"> </w:t>
      </w:r>
      <w:r>
        <w:rPr>
          <w:szCs w:val="22"/>
          <w:lang w:val="fr-CA"/>
        </w:rPr>
        <w:t xml:space="preserve">à ce sujet, </w:t>
      </w:r>
      <w:r w:rsidR="000C666A">
        <w:rPr>
          <w:szCs w:val="22"/>
          <w:lang w:val="fr-CA"/>
        </w:rPr>
        <w:t xml:space="preserve">l’assurance du </w:t>
      </w:r>
      <w:r>
        <w:rPr>
          <w:szCs w:val="22"/>
          <w:lang w:val="fr-CA"/>
        </w:rPr>
        <w:t>Coordonnateur Résident du SNU</w:t>
      </w:r>
      <w:r w:rsidR="000C666A">
        <w:rPr>
          <w:szCs w:val="22"/>
          <w:lang w:val="fr-CA"/>
        </w:rPr>
        <w:t xml:space="preserve"> que la poursuite des objectifs d’intégration de l’approche genre et d’autonomisation de la femme continuera à être appuyée</w:t>
      </w:r>
      <w:r>
        <w:rPr>
          <w:szCs w:val="22"/>
          <w:lang w:val="fr-CA"/>
        </w:rPr>
        <w:t xml:space="preserve"> par le SNU</w:t>
      </w:r>
      <w:r w:rsidR="000C666A">
        <w:rPr>
          <w:szCs w:val="22"/>
          <w:lang w:val="fr-CA"/>
        </w:rPr>
        <w:t>.</w:t>
      </w:r>
      <w:r w:rsidR="00287402">
        <w:rPr>
          <w:szCs w:val="22"/>
          <w:lang w:val="fr-CA"/>
        </w:rPr>
        <w:t xml:space="preserve"> </w:t>
      </w:r>
      <w:r>
        <w:rPr>
          <w:szCs w:val="22"/>
          <w:lang w:val="fr-CA"/>
        </w:rPr>
        <w:t>D’une certaine façon, le programme a donc le potentiel de jouer le rôle de précurseur de la promotion de l’approche genre dans le pays.</w:t>
      </w:r>
    </w:p>
    <w:p w:rsidR="00D64AC0" w:rsidRDefault="0051735B" w:rsidP="000C666A">
      <w:pPr>
        <w:pStyle w:val="NoSpacing"/>
        <w:numPr>
          <w:ilvl w:val="0"/>
          <w:numId w:val="1"/>
        </w:numPr>
        <w:ind w:left="0" w:firstLine="0"/>
        <w:rPr>
          <w:szCs w:val="22"/>
          <w:lang w:val="fr-CA"/>
        </w:rPr>
      </w:pPr>
      <w:r>
        <w:rPr>
          <w:szCs w:val="22"/>
          <w:lang w:val="fr-CA"/>
        </w:rPr>
        <w:t>Quant à l’implication nécessaire du gouvernement et des autorités locales dans la pérennisation ou la réplication des interventions pilotes, le succès dépendra non seulement de la qualité des interventions, mais aussi de la capacité du programme à bien les évaluer et les documenter, puis de sensibiliser les décideurs.</w:t>
      </w:r>
      <w:r w:rsidRPr="0051735B">
        <w:rPr>
          <w:szCs w:val="22"/>
          <w:lang w:val="fr-CA"/>
        </w:rPr>
        <w:t xml:space="preserve"> </w:t>
      </w:r>
    </w:p>
    <w:p w:rsidR="00E44F86" w:rsidRPr="00D64AC0" w:rsidRDefault="00D64AC0" w:rsidP="00D64AC0">
      <w:pPr>
        <w:pStyle w:val="NoSpacing"/>
        <w:numPr>
          <w:ilvl w:val="0"/>
          <w:numId w:val="1"/>
        </w:numPr>
        <w:ind w:left="0" w:firstLine="0"/>
        <w:rPr>
          <w:szCs w:val="22"/>
          <w:lang w:val="fr-CA"/>
        </w:rPr>
      </w:pPr>
      <w:r>
        <w:rPr>
          <w:szCs w:val="22"/>
          <w:lang w:val="fr-CA"/>
        </w:rPr>
        <w:t>S’agissant enfin de l’appropriation du programme conjoint par le gouvernement, les efforts déployés par le SNU pour que les processus de gestion et décisionnels impliquent au maximum les différentes contreparties nationales semblent avoir porté leurs fruits puisque la mission a pu constater l’adhésion forte de  l’ensemble des partenaires autour du programme et de ses objectifs, sous l’égide du MDCFCF.</w:t>
      </w:r>
    </w:p>
    <w:p w:rsidR="000F0ACF" w:rsidRDefault="000F0ACF">
      <w:pPr>
        <w:rPr>
          <w:rFonts w:ascii="Calibri" w:hAnsi="Calibri"/>
          <w:b/>
          <w:sz w:val="22"/>
          <w:szCs w:val="22"/>
          <w:lang w:val="fr-CA"/>
        </w:rPr>
      </w:pPr>
      <w:r w:rsidRPr="0049243E">
        <w:rPr>
          <w:lang w:val="fr-FR"/>
        </w:rPr>
        <w:br w:type="page"/>
      </w:r>
    </w:p>
    <w:p w:rsidR="00953EB5" w:rsidRPr="00471EE1" w:rsidRDefault="00F25B83" w:rsidP="0038607C">
      <w:pPr>
        <w:pStyle w:val="UNDPTitle1"/>
        <w:numPr>
          <w:ilvl w:val="0"/>
          <w:numId w:val="11"/>
        </w:numPr>
        <w:spacing w:before="360"/>
        <w:outlineLvl w:val="1"/>
        <w:rPr>
          <w:color w:val="auto"/>
        </w:rPr>
      </w:pPr>
      <w:bookmarkStart w:id="26" w:name="_Toc322342016"/>
      <w:r w:rsidRPr="00471EE1">
        <w:rPr>
          <w:color w:val="auto"/>
        </w:rPr>
        <w:lastRenderedPageBreak/>
        <w:t>Efficie</w:t>
      </w:r>
      <w:r w:rsidRPr="00740AAD">
        <w:rPr>
          <w:color w:val="auto"/>
          <w:szCs w:val="24"/>
          <w:lang w:val="fr-FR"/>
        </w:rPr>
        <w:t>n</w:t>
      </w:r>
      <w:r w:rsidRPr="00471EE1">
        <w:rPr>
          <w:color w:val="auto"/>
        </w:rPr>
        <w:t xml:space="preserve">ce </w:t>
      </w:r>
      <w:r w:rsidR="00953EB5" w:rsidRPr="00471EE1">
        <w:rPr>
          <w:color w:val="auto"/>
        </w:rPr>
        <w:t>des processus de mise en œuvre</w:t>
      </w:r>
      <w:bookmarkEnd w:id="26"/>
    </w:p>
    <w:p w:rsidR="00194A89" w:rsidRPr="00E44F86" w:rsidRDefault="001E3770" w:rsidP="00D8742E">
      <w:pPr>
        <w:pStyle w:val="NoSpacing"/>
        <w:numPr>
          <w:ilvl w:val="0"/>
          <w:numId w:val="1"/>
        </w:numPr>
        <w:ind w:left="0" w:firstLine="0"/>
        <w:rPr>
          <w:lang w:val="fr-FR"/>
        </w:rPr>
      </w:pPr>
      <w:r>
        <w:rPr>
          <w:lang w:val="fr-FR"/>
        </w:rPr>
        <w:t>S’agissant de la mise en œuvre du programme conjoint,</w:t>
      </w:r>
      <w:r w:rsidR="00194A89" w:rsidRPr="00194A89">
        <w:rPr>
          <w:lang w:val="fr-FR"/>
        </w:rPr>
        <w:t xml:space="preserve"> la mission a conclu qu</w:t>
      </w:r>
      <w:r>
        <w:rPr>
          <w:lang w:val="fr-FR"/>
        </w:rPr>
        <w:t xml:space="preserve">’elle </w:t>
      </w:r>
      <w:r w:rsidR="00194A89" w:rsidRPr="00E44F86">
        <w:rPr>
          <w:lang w:val="fr-FR"/>
        </w:rPr>
        <w:t xml:space="preserve">pâtit depuis le début de lacunes dans le fonctionnement </w:t>
      </w:r>
      <w:r>
        <w:rPr>
          <w:lang w:val="fr-FR"/>
        </w:rPr>
        <w:t>des</w:t>
      </w:r>
      <w:r w:rsidR="00194A89" w:rsidRPr="00E44F86">
        <w:rPr>
          <w:lang w:val="fr-FR"/>
        </w:rPr>
        <w:t xml:space="preserve"> structures de gouvernance</w:t>
      </w:r>
      <w:r w:rsidR="00740AAD">
        <w:rPr>
          <w:lang w:val="fr-FR"/>
        </w:rPr>
        <w:t xml:space="preserve"> et de gestion</w:t>
      </w:r>
      <w:r>
        <w:rPr>
          <w:lang w:val="fr-FR"/>
        </w:rPr>
        <w:t xml:space="preserve"> du programme</w:t>
      </w:r>
      <w:r w:rsidR="00194A89" w:rsidRPr="00E44F86">
        <w:rPr>
          <w:lang w:val="fr-FR"/>
        </w:rPr>
        <w:t xml:space="preserve">, </w:t>
      </w:r>
      <w:r w:rsidR="00BE5AB3">
        <w:rPr>
          <w:lang w:val="fr-FR"/>
        </w:rPr>
        <w:t>et d’une confusion dans les r</w:t>
      </w:r>
      <w:r w:rsidR="00BE5AB3">
        <w:rPr>
          <w:rFonts w:cs="Calibri"/>
          <w:lang w:val="fr-FR"/>
        </w:rPr>
        <w:t>ô</w:t>
      </w:r>
      <w:r w:rsidR="00BE5AB3">
        <w:rPr>
          <w:lang w:val="fr-FR"/>
        </w:rPr>
        <w:t xml:space="preserve">les de chacun, </w:t>
      </w:r>
      <w:r w:rsidR="00194A89" w:rsidRPr="00E44F86">
        <w:rPr>
          <w:lang w:val="fr-FR"/>
        </w:rPr>
        <w:t>ainsi que le présenteront les chapitres suivants.</w:t>
      </w:r>
    </w:p>
    <w:p w:rsidR="00740AAD" w:rsidRPr="00F36DCE" w:rsidRDefault="004C0252" w:rsidP="00D8742E">
      <w:pPr>
        <w:pStyle w:val="NoSpacing"/>
        <w:numPr>
          <w:ilvl w:val="0"/>
          <w:numId w:val="1"/>
        </w:numPr>
        <w:ind w:left="0" w:firstLine="0"/>
        <w:rPr>
          <w:lang w:val="fr-FR"/>
        </w:rPr>
      </w:pPr>
      <w:r w:rsidRPr="00F36DCE">
        <w:rPr>
          <w:lang w:val="fr-FR"/>
        </w:rPr>
        <w:t xml:space="preserve">Par ailleurs,  la tendance </w:t>
      </w:r>
      <w:r w:rsidR="00740AAD" w:rsidRPr="00F36DCE">
        <w:rPr>
          <w:lang w:val="fr-FR"/>
        </w:rPr>
        <w:t>semble avoir</w:t>
      </w:r>
      <w:r w:rsidRPr="00F36DCE">
        <w:rPr>
          <w:lang w:val="fr-FR"/>
        </w:rPr>
        <w:t xml:space="preserve"> été </w:t>
      </w:r>
      <w:r w:rsidR="00F36DCE" w:rsidRPr="00F36DCE">
        <w:rPr>
          <w:lang w:val="fr-FR"/>
        </w:rPr>
        <w:t>au</w:t>
      </w:r>
      <w:r w:rsidR="00E44F86" w:rsidRPr="00F36DCE">
        <w:rPr>
          <w:lang w:val="fr-FR"/>
        </w:rPr>
        <w:t xml:space="preserve"> suivi</w:t>
      </w:r>
      <w:r w:rsidRPr="00F36DCE">
        <w:rPr>
          <w:lang w:val="fr-FR"/>
        </w:rPr>
        <w:t xml:space="preserve"> à la lettre des procédures du manuel de mise en œuvre des programmes conjoints du </w:t>
      </w:r>
      <w:r w:rsidR="00E44F86" w:rsidRPr="00F36DCE">
        <w:rPr>
          <w:lang w:val="fr-FR"/>
        </w:rPr>
        <w:t>Fonds-OMD</w:t>
      </w:r>
      <w:r w:rsidR="00E44F86">
        <w:rPr>
          <w:rStyle w:val="FootnoteReference"/>
          <w:lang w:val="fr-FR"/>
        </w:rPr>
        <w:footnoteReference w:id="69"/>
      </w:r>
      <w:r w:rsidR="00E44F86" w:rsidRPr="00F36DCE">
        <w:rPr>
          <w:lang w:val="fr-FR"/>
        </w:rPr>
        <w:t xml:space="preserve">, ou des dispositions parfois peu claires et inadaptées du document de projet, </w:t>
      </w:r>
      <w:r w:rsidRPr="00F36DCE">
        <w:rPr>
          <w:lang w:val="fr-FR"/>
        </w:rPr>
        <w:t xml:space="preserve">sans </w:t>
      </w:r>
      <w:r w:rsidR="00E44F86" w:rsidRPr="00F36DCE">
        <w:rPr>
          <w:lang w:val="fr-FR"/>
        </w:rPr>
        <w:t xml:space="preserve">que </w:t>
      </w:r>
      <w:r w:rsidRPr="00F36DCE">
        <w:rPr>
          <w:lang w:val="fr-FR"/>
        </w:rPr>
        <w:t xml:space="preserve">suffisamment de distance </w:t>
      </w:r>
      <w:r w:rsidR="00E44F86" w:rsidRPr="00F36DCE">
        <w:rPr>
          <w:lang w:val="fr-FR"/>
        </w:rPr>
        <w:t xml:space="preserve">ne soit prise </w:t>
      </w:r>
      <w:r w:rsidRPr="00F36DCE">
        <w:rPr>
          <w:lang w:val="fr-FR"/>
        </w:rPr>
        <w:t>pour</w:t>
      </w:r>
      <w:r w:rsidR="00E44F86" w:rsidRPr="00F36DCE">
        <w:rPr>
          <w:lang w:val="fr-FR"/>
        </w:rPr>
        <w:t xml:space="preserve"> les adapter au contexte ou lorsque les circonstances l’auraient exigé.</w:t>
      </w:r>
      <w:r w:rsidR="00740AAD" w:rsidRPr="00F36DCE">
        <w:rPr>
          <w:lang w:val="fr-FR"/>
        </w:rPr>
        <w:t xml:space="preserve"> Enfin, la bonne mise en œuvre du programme a été caractérisée par la grande faiblesse des ressources humaines </w:t>
      </w:r>
      <w:r w:rsidR="000F0ACF" w:rsidRPr="00F36DCE">
        <w:rPr>
          <w:lang w:val="fr-FR"/>
        </w:rPr>
        <w:t xml:space="preserve">qui lui a été </w:t>
      </w:r>
      <w:r w:rsidR="00740AAD" w:rsidRPr="00F36DCE">
        <w:rPr>
          <w:lang w:val="fr-FR"/>
        </w:rPr>
        <w:t>attribuée</w:t>
      </w:r>
      <w:r w:rsidR="000F0ACF" w:rsidRPr="00F36DCE">
        <w:rPr>
          <w:lang w:val="fr-FR"/>
        </w:rPr>
        <w:t xml:space="preserve"> et il s’agit-là sans doute de principale obstacle à surmonter si l’on veut redresser la situation du programme. Ces trois aspects précis, qui ont tous contribué au grand retard pris dans l’exécution, sont élaborés dans les paragraphes suivants qui présentent les conclusions de la mission sur l’efficience des processus décisionnels s’agissant du pilotage, de la gestion, de la coordination, de planification et du suivi du programme.  </w:t>
      </w:r>
    </w:p>
    <w:p w:rsidR="005E0145" w:rsidRDefault="00B53C13" w:rsidP="0038607C">
      <w:pPr>
        <w:pStyle w:val="UNDPTitle1"/>
        <w:numPr>
          <w:ilvl w:val="1"/>
          <w:numId w:val="6"/>
        </w:numPr>
        <w:outlineLvl w:val="2"/>
        <w:rPr>
          <w:color w:val="auto"/>
        </w:rPr>
      </w:pPr>
      <w:bookmarkStart w:id="27" w:name="_Toc322342017"/>
      <w:r>
        <w:rPr>
          <w:color w:val="auto"/>
        </w:rPr>
        <w:t>Efficience d’ensemble</w:t>
      </w:r>
      <w:bookmarkEnd w:id="27"/>
    </w:p>
    <w:p w:rsidR="00F36DCE" w:rsidRPr="00F36DCE" w:rsidRDefault="00194A89" w:rsidP="00F36DCE">
      <w:pPr>
        <w:pStyle w:val="NoSpacing"/>
        <w:numPr>
          <w:ilvl w:val="0"/>
          <w:numId w:val="1"/>
        </w:numPr>
        <w:spacing w:after="0"/>
        <w:ind w:left="0" w:firstLine="0"/>
        <w:rPr>
          <w:lang w:val="fr-FR"/>
        </w:rPr>
      </w:pPr>
      <w:r w:rsidRPr="00F36DCE">
        <w:rPr>
          <w:lang w:val="fr-FR"/>
        </w:rPr>
        <w:t xml:space="preserve">L’efficience d’ensemble des processus décisionnels et de mise en œuvre du programme conjoint a </w:t>
      </w:r>
      <w:r w:rsidR="00E44F86" w:rsidRPr="00F36DCE">
        <w:rPr>
          <w:lang w:val="fr-FR"/>
        </w:rPr>
        <w:t>semble-t-il été plut</w:t>
      </w:r>
      <w:r w:rsidR="00E44F86" w:rsidRPr="00F36DCE">
        <w:rPr>
          <w:rFonts w:cs="Calibri"/>
          <w:lang w:val="fr-FR"/>
        </w:rPr>
        <w:t>ô</w:t>
      </w:r>
      <w:r w:rsidR="00E44F86" w:rsidRPr="00F36DCE">
        <w:rPr>
          <w:lang w:val="fr-FR"/>
        </w:rPr>
        <w:t xml:space="preserve">t </w:t>
      </w:r>
      <w:r w:rsidRPr="00F36DCE">
        <w:rPr>
          <w:lang w:val="fr-FR"/>
        </w:rPr>
        <w:t xml:space="preserve">faible et </w:t>
      </w:r>
      <w:r w:rsidR="004C0252" w:rsidRPr="00F36DCE">
        <w:rPr>
          <w:lang w:val="fr-FR"/>
        </w:rPr>
        <w:t>entravée par une grande lourdeur de fonctionnement.</w:t>
      </w:r>
      <w:r w:rsidR="00805322" w:rsidRPr="00F36DCE">
        <w:rPr>
          <w:lang w:val="fr-FR"/>
        </w:rPr>
        <w:t xml:space="preserve"> Ainsi, même après le démarrage effectif </w:t>
      </w:r>
      <w:r w:rsidR="000F0ACF" w:rsidRPr="00F36DCE">
        <w:rPr>
          <w:lang w:val="fr-FR"/>
        </w:rPr>
        <w:t>du programme</w:t>
      </w:r>
      <w:r w:rsidR="00E44F86">
        <w:rPr>
          <w:rStyle w:val="FootnoteReference"/>
          <w:lang w:val="fr-FR"/>
        </w:rPr>
        <w:footnoteReference w:id="70"/>
      </w:r>
      <w:r w:rsidR="00805322" w:rsidRPr="00F36DCE">
        <w:rPr>
          <w:lang w:val="fr-FR"/>
        </w:rPr>
        <w:t xml:space="preserve">, la cadence de l’exécution ne s’est pas accélérée, sauf à de rares exceptions. </w:t>
      </w:r>
      <w:r w:rsidR="000F0ACF" w:rsidRPr="00F36DCE">
        <w:rPr>
          <w:lang w:val="fr-FR"/>
        </w:rPr>
        <w:t>Il a ainsi fallu attendre le mois d’octobre 2011 pour constater un réel envol des  dépenses et des engagements financiers.</w:t>
      </w:r>
      <w:r w:rsidR="00F36DCE" w:rsidRPr="00F36DCE">
        <w:rPr>
          <w:lang w:val="fr-FR"/>
        </w:rPr>
        <w:t xml:space="preserve"> Pour comprendre les cause</w:t>
      </w:r>
      <w:r w:rsidR="00F36DCE">
        <w:rPr>
          <w:lang w:val="fr-FR"/>
        </w:rPr>
        <w:t>s</w:t>
      </w:r>
      <w:r w:rsidR="00F36DCE" w:rsidRPr="00F36DCE">
        <w:rPr>
          <w:lang w:val="fr-FR"/>
        </w:rPr>
        <w:t xml:space="preserve"> de ce</w:t>
      </w:r>
      <w:r w:rsidR="00F36DCE">
        <w:rPr>
          <w:lang w:val="fr-FR"/>
        </w:rPr>
        <w:t>t état de fait,</w:t>
      </w:r>
      <w:r w:rsidR="00F36DCE" w:rsidRPr="00F36DCE">
        <w:rPr>
          <w:lang w:val="fr-FR"/>
        </w:rPr>
        <w:t xml:space="preserve"> il est d’abord utile de comprendre la façon dont, idéalement, se sont organisé</w:t>
      </w:r>
      <w:r w:rsidR="00F36DCE">
        <w:rPr>
          <w:lang w:val="fr-FR"/>
        </w:rPr>
        <w:t>s</w:t>
      </w:r>
      <w:r w:rsidR="00F36DCE" w:rsidRPr="00F36DCE">
        <w:rPr>
          <w:lang w:val="fr-FR"/>
        </w:rPr>
        <w:t xml:space="preserve"> les programme</w:t>
      </w:r>
      <w:r w:rsidR="00F36DCE">
        <w:rPr>
          <w:lang w:val="fr-FR"/>
        </w:rPr>
        <w:t>s</w:t>
      </w:r>
      <w:r w:rsidR="00F36DCE" w:rsidRPr="00F36DCE">
        <w:rPr>
          <w:lang w:val="fr-FR"/>
        </w:rPr>
        <w:t xml:space="preserve"> conjoints du Fonds-OMD à travers le monde. </w:t>
      </w:r>
      <w:r w:rsidRPr="00F36DCE">
        <w:rPr>
          <w:lang w:val="fr-FR"/>
        </w:rPr>
        <w:t xml:space="preserve">Le schéma </w:t>
      </w:r>
      <w:r w:rsidR="00F36DCE" w:rsidRPr="00F36DCE">
        <w:rPr>
          <w:lang w:val="fr-FR"/>
        </w:rPr>
        <w:t>ci-dessous</w:t>
      </w:r>
      <w:r w:rsidRPr="00F36DCE">
        <w:rPr>
          <w:lang w:val="fr-FR"/>
        </w:rPr>
        <w:t xml:space="preserve"> présente la structure typique des programmes conjoints financés par le Fonds-OMD. </w:t>
      </w:r>
    </w:p>
    <w:p w:rsidR="00F36DCE" w:rsidRDefault="00F36DCE" w:rsidP="00F36DCE">
      <w:pPr>
        <w:jc w:val="center"/>
        <w:rPr>
          <w:lang w:val="fr-FR"/>
        </w:rPr>
      </w:pPr>
      <w:r w:rsidRPr="00F36DCE">
        <w:rPr>
          <w:rFonts w:asciiTheme="minorHAnsi" w:hAnsiTheme="minorHAnsi" w:cstheme="minorHAnsi"/>
          <w:b/>
          <w:sz w:val="20"/>
          <w:szCs w:val="20"/>
          <w:lang w:val="fr-FR"/>
        </w:rPr>
        <w:t>Structure de gouvernance standard des programmes du F-OMD</w:t>
      </w:r>
    </w:p>
    <w:p w:rsidR="00F36DCE" w:rsidRPr="00F36DCE" w:rsidRDefault="00F36DCE" w:rsidP="00F36DCE">
      <w:pPr>
        <w:pStyle w:val="NoSpacing"/>
        <w:rPr>
          <w:lang w:val="fr-FR"/>
        </w:rPr>
      </w:pPr>
      <w:r>
        <w:rPr>
          <w:noProof/>
        </w:rPr>
        <w:drawing>
          <wp:inline distT="0" distB="0" distL="0" distR="0">
            <wp:extent cx="5616044" cy="2977116"/>
            <wp:effectExtent l="19050" t="19050" r="22860" b="139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49238" cy="2994712"/>
                    </a:xfrm>
                    <a:prstGeom prst="rect">
                      <a:avLst/>
                    </a:prstGeom>
                    <a:noFill/>
                    <a:ln w="19050">
                      <a:solidFill>
                        <a:srgbClr val="1F497D">
                          <a:lumMod val="60000"/>
                          <a:lumOff val="40000"/>
                        </a:srgbClr>
                      </a:solidFill>
                    </a:ln>
                  </pic:spPr>
                </pic:pic>
              </a:graphicData>
            </a:graphic>
          </wp:inline>
        </w:drawing>
      </w:r>
    </w:p>
    <w:p w:rsidR="00F36DCE" w:rsidRDefault="00590540" w:rsidP="00F36DCE">
      <w:pPr>
        <w:pStyle w:val="NoSpacing"/>
        <w:numPr>
          <w:ilvl w:val="0"/>
          <w:numId w:val="1"/>
        </w:numPr>
        <w:ind w:left="0" w:firstLine="0"/>
        <w:rPr>
          <w:lang w:val="fr-FR"/>
        </w:rPr>
      </w:pPr>
      <w:r>
        <w:rPr>
          <w:lang w:val="fr-FR"/>
        </w:rPr>
        <w:lastRenderedPageBreak/>
        <w:t xml:space="preserve">Comme on le voit, </w:t>
      </w:r>
      <w:r w:rsidR="00F36DCE">
        <w:rPr>
          <w:lang w:val="fr-FR"/>
        </w:rPr>
        <w:t xml:space="preserve">selon l’organisation idéale, </w:t>
      </w:r>
      <w:r>
        <w:rPr>
          <w:lang w:val="fr-FR"/>
        </w:rPr>
        <w:t>l’organe supérieur de pilotage et de surveillance des programmes conjoints est le Comité National de Pilotage, composé en principe du Coordonnateur Résident des NU, d’un représentant du gouvernement (en général issu d’un ministère habitué à traiter avec</w:t>
      </w:r>
      <w:r w:rsidR="00B62C7A">
        <w:rPr>
          <w:lang w:val="fr-FR"/>
        </w:rPr>
        <w:t xml:space="preserve"> le système des NU,</w:t>
      </w:r>
      <w:r>
        <w:rPr>
          <w:lang w:val="fr-FR"/>
        </w:rPr>
        <w:t xml:space="preserve"> par exemple la Planification ou les Affaires Etrangères) et enfin un représentant du gouvernement espagnol (en général l’AECID). Un Comité de gestion, composé des représentants des partenaires d’exécution avec pouvoir décisionnels (en général les Chefs d’agence des Nations Unies, les Directeurs/Sous-Directeurs de Départements ministériels clés) est quant à lui chargé des décisions techniques et opérationnelles qui s’imposent, alors que la gestion des activités proprement dite est la responsabilité d’une Equipe de gestion du programme, logée soit auprès de l’Agence Leader des Nations Unies (dans le cas d’une exécution directe, DEX dans le jargon) ou au sein de l’institution nationale désignée Agent d’Exécution (dans le cas d’une exécution nationale, NEX). Afin de bien coordonner les actions</w:t>
      </w:r>
      <w:r w:rsidR="00236271">
        <w:rPr>
          <w:lang w:val="fr-FR"/>
        </w:rPr>
        <w:t xml:space="preserve"> des différents partenaires, il est d’usage que des groupes techniques supervisés et coordonnés par l’Equipe de gestion, soient également constitués,</w:t>
      </w:r>
    </w:p>
    <w:p w:rsidR="00F36DCE" w:rsidRDefault="00F36DCE" w:rsidP="00F36DCE">
      <w:pPr>
        <w:pStyle w:val="NoSpacing"/>
        <w:numPr>
          <w:ilvl w:val="0"/>
          <w:numId w:val="1"/>
        </w:numPr>
        <w:ind w:left="0" w:firstLine="0"/>
        <w:rPr>
          <w:lang w:val="fr-FR"/>
        </w:rPr>
      </w:pPr>
      <w:r>
        <w:rPr>
          <w:lang w:val="fr-FR"/>
        </w:rPr>
        <w:t>En Algérie,</w:t>
      </w:r>
      <w:r w:rsidRPr="00F36DCE">
        <w:rPr>
          <w:lang w:val="fr-FR"/>
        </w:rPr>
        <w:t xml:space="preserve"> la structure de gouvernance mise en place </w:t>
      </w:r>
      <w:r>
        <w:rPr>
          <w:lang w:val="fr-FR"/>
        </w:rPr>
        <w:t>pour</w:t>
      </w:r>
      <w:r w:rsidRPr="00F36DCE">
        <w:rPr>
          <w:lang w:val="fr-FR"/>
        </w:rPr>
        <w:t xml:space="preserve"> le programme conjoint suit le même modèle, à quelques exceptions près. Ainsi, le choix a été fait de ne pas nommer d’Agence</w:t>
      </w:r>
      <w:r>
        <w:rPr>
          <w:lang w:val="fr-FR"/>
        </w:rPr>
        <w:t xml:space="preserve"> Chef de file/Lead </w:t>
      </w:r>
      <w:r w:rsidRPr="00F36DCE">
        <w:rPr>
          <w:lang w:val="fr-FR"/>
        </w:rPr>
        <w:t xml:space="preserve">au sein </w:t>
      </w:r>
      <w:r>
        <w:rPr>
          <w:lang w:val="fr-FR"/>
        </w:rPr>
        <w:t>du SNU,</w:t>
      </w:r>
      <w:r w:rsidRPr="00F36DCE">
        <w:rPr>
          <w:lang w:val="fr-FR"/>
        </w:rPr>
        <w:t xml:space="preserve"> le rôle de coordination ayant été initialement laissé au Bureau du Coordonnateur Résident, ce qui a posé quelques problèmes, comme on le verra plus loin.</w:t>
      </w:r>
    </w:p>
    <w:p w:rsidR="00236271" w:rsidRPr="00F36DCE" w:rsidRDefault="00F36DCE" w:rsidP="00F36DCE">
      <w:pPr>
        <w:pStyle w:val="NoSpacing"/>
        <w:numPr>
          <w:ilvl w:val="0"/>
          <w:numId w:val="1"/>
        </w:numPr>
        <w:ind w:left="0" w:firstLine="0"/>
        <w:rPr>
          <w:lang w:val="fr-FR"/>
        </w:rPr>
      </w:pPr>
      <w:r>
        <w:rPr>
          <w:lang w:val="fr-FR"/>
        </w:rPr>
        <w:t>Idéalement et p</w:t>
      </w:r>
      <w:r w:rsidR="00236271" w:rsidRPr="00F36DCE">
        <w:rPr>
          <w:lang w:val="fr-FR"/>
        </w:rPr>
        <w:t xml:space="preserve">our que ce modèle fonctionne bien, il est important que les membres des comités aux différents niveaux ne soient pas les mêmes. Ainsi, </w:t>
      </w:r>
      <w:r w:rsidR="008C794B" w:rsidRPr="00F36DCE">
        <w:rPr>
          <w:lang w:val="fr-FR"/>
        </w:rPr>
        <w:t xml:space="preserve">comme le montre le diagramme suivant, </w:t>
      </w:r>
      <w:r w:rsidR="00236271" w:rsidRPr="00F36DCE">
        <w:rPr>
          <w:lang w:val="fr-FR"/>
        </w:rPr>
        <w:t>c’est sur la base des recommandations du Comité de Gestion du Programme, elles-mêmes formulées sur la base des recommandations ou des informations fournies par l’Equipe</w:t>
      </w:r>
      <w:r w:rsidR="008C794B" w:rsidRPr="00F36DCE">
        <w:rPr>
          <w:lang w:val="fr-FR"/>
        </w:rPr>
        <w:t xml:space="preserve"> du programme</w:t>
      </w:r>
      <w:r w:rsidR="00236271" w:rsidRPr="00F36DCE">
        <w:rPr>
          <w:lang w:val="fr-FR"/>
        </w:rPr>
        <w:t>, que le Comité National de Pilotage</w:t>
      </w:r>
      <w:r w:rsidR="008C794B" w:rsidRPr="00F36DCE">
        <w:rPr>
          <w:lang w:val="fr-FR"/>
        </w:rPr>
        <w:t xml:space="preserve"> prend les décisions stratégiques qui s’imposent (par exemple une réorientation de certaines activités) ou celles qui concernent ses prérogatives décisionnelles (comme l’approbation du Plan Travail Annuel du programme ou l’approbation de réallocations budgétaires).</w:t>
      </w:r>
    </w:p>
    <w:p w:rsidR="008C794B" w:rsidRPr="008C794B" w:rsidRDefault="008C794B" w:rsidP="008C794B">
      <w:pPr>
        <w:pStyle w:val="NoSpacing"/>
        <w:spacing w:after="0"/>
        <w:jc w:val="center"/>
        <w:rPr>
          <w:b/>
          <w:sz w:val="20"/>
          <w:szCs w:val="20"/>
          <w:lang w:val="fr-FR"/>
        </w:rPr>
      </w:pPr>
      <w:r w:rsidRPr="008C794B">
        <w:rPr>
          <w:b/>
          <w:sz w:val="20"/>
          <w:szCs w:val="20"/>
          <w:lang w:val="fr-FR"/>
        </w:rPr>
        <w:t>Modèle de fonctionnement standard et processus décisionnels des programmes conjoints</w:t>
      </w:r>
    </w:p>
    <w:p w:rsidR="00462DC0" w:rsidRDefault="00B233DD" w:rsidP="00462DC0">
      <w:pPr>
        <w:pStyle w:val="NoSpacing"/>
        <w:rPr>
          <w:lang w:val="fr-FR"/>
        </w:rPr>
      </w:pPr>
      <w:r>
        <w:rPr>
          <w:noProof/>
        </w:rPr>
        <mc:AlternateContent>
          <mc:Choice Requires="wpg">
            <w:drawing>
              <wp:anchor distT="0" distB="0" distL="114300" distR="114300" simplePos="0" relativeHeight="251706368" behindDoc="0" locked="0" layoutInCell="1" allowOverlap="1">
                <wp:simplePos x="0" y="0"/>
                <wp:positionH relativeFrom="column">
                  <wp:posOffset>76200</wp:posOffset>
                </wp:positionH>
                <wp:positionV relativeFrom="paragraph">
                  <wp:posOffset>122555</wp:posOffset>
                </wp:positionV>
                <wp:extent cx="5916295" cy="3506470"/>
                <wp:effectExtent l="0" t="0" r="27305" b="17780"/>
                <wp:wrapNone/>
                <wp:docPr id="290" name="Gruppieren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3506470"/>
                          <a:chOff x="122331" y="0"/>
                          <a:chExt cx="6117104" cy="3479517"/>
                        </a:xfrm>
                      </wpg:grpSpPr>
                      <wps:wsp>
                        <wps:cNvPr id="1" name="Text Box 2"/>
                        <wps:cNvSpPr txBox="1">
                          <a:spLocks noChangeArrowheads="1"/>
                        </wps:cNvSpPr>
                        <wps:spPr bwMode="auto">
                          <a:xfrm>
                            <a:off x="2535384" y="2602573"/>
                            <a:ext cx="1347852" cy="524722"/>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E46B31" w:rsidRDefault="00E46B31" w:rsidP="00236271">
                              <w:pPr>
                                <w:jc w:val="center"/>
                                <w:rPr>
                                  <w:rFonts w:asciiTheme="minorHAnsi" w:hAnsiTheme="minorHAnsi" w:cstheme="minorHAnsi"/>
                                  <w:b/>
                                  <w:sz w:val="20"/>
                                  <w:szCs w:val="20"/>
                                  <w:lang w:val="fr-FR"/>
                                </w:rPr>
                              </w:pPr>
                            </w:p>
                            <w:p w:rsidR="00E46B31" w:rsidRPr="00236271" w:rsidRDefault="00E46B31" w:rsidP="00236271">
                              <w:pPr>
                                <w:jc w:val="center"/>
                                <w:rPr>
                                  <w:rFonts w:asciiTheme="minorHAnsi" w:hAnsiTheme="minorHAnsi" w:cstheme="minorHAnsi"/>
                                  <w:b/>
                                  <w:sz w:val="20"/>
                                  <w:szCs w:val="20"/>
                                  <w:lang w:val="fr-FR"/>
                                </w:rPr>
                              </w:pPr>
                              <w:r w:rsidRPr="00236271">
                                <w:rPr>
                                  <w:rFonts w:asciiTheme="minorHAnsi" w:hAnsiTheme="minorHAnsi" w:cstheme="minorHAnsi"/>
                                  <w:b/>
                                  <w:sz w:val="20"/>
                                  <w:szCs w:val="20"/>
                                  <w:lang w:val="fr-FR"/>
                                </w:rPr>
                                <w:t xml:space="preserve">Equipe de Gestion </w:t>
                              </w:r>
                            </w:p>
                          </w:txbxContent>
                        </wps:txbx>
                        <wps:bodyPr rot="0" vert="horz" wrap="square" lIns="91440" tIns="45720" rIns="91440" bIns="45720" anchor="t" anchorCtr="0">
                          <a:noAutofit/>
                        </wps:bodyPr>
                      </wps:wsp>
                      <wps:wsp>
                        <wps:cNvPr id="2" name="Text Box 2"/>
                        <wps:cNvSpPr txBox="1">
                          <a:spLocks noChangeArrowheads="1"/>
                        </wps:cNvSpPr>
                        <wps:spPr bwMode="auto">
                          <a:xfrm>
                            <a:off x="2535599" y="1290532"/>
                            <a:ext cx="1455143" cy="720763"/>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E46B31" w:rsidRDefault="00E46B31" w:rsidP="00236271">
                              <w:pPr>
                                <w:jc w:val="center"/>
                                <w:rPr>
                                  <w:rFonts w:asciiTheme="minorHAnsi" w:hAnsiTheme="minorHAnsi" w:cstheme="minorHAnsi"/>
                                  <w:b/>
                                  <w:sz w:val="20"/>
                                  <w:szCs w:val="20"/>
                                  <w:lang w:val="fr-FR"/>
                                </w:rPr>
                              </w:pPr>
                            </w:p>
                            <w:p w:rsidR="00E46B31" w:rsidRDefault="00E46B31" w:rsidP="00236271">
                              <w:pPr>
                                <w:jc w:val="center"/>
                                <w:rPr>
                                  <w:rFonts w:asciiTheme="minorHAnsi" w:hAnsiTheme="minorHAnsi" w:cstheme="minorHAnsi"/>
                                  <w:b/>
                                  <w:sz w:val="20"/>
                                  <w:szCs w:val="20"/>
                                  <w:lang w:val="fr-FR"/>
                                </w:rPr>
                              </w:pPr>
                              <w:r>
                                <w:rPr>
                                  <w:rFonts w:asciiTheme="minorHAnsi" w:hAnsiTheme="minorHAnsi" w:cstheme="minorHAnsi"/>
                                  <w:b/>
                                  <w:sz w:val="20"/>
                                  <w:szCs w:val="20"/>
                                  <w:lang w:val="fr-FR"/>
                                </w:rPr>
                                <w:t>Comité de Gestion du programme</w:t>
                              </w:r>
                            </w:p>
                            <w:p w:rsidR="00E46B31" w:rsidRPr="00236271" w:rsidRDefault="00E46B31" w:rsidP="00236271">
                              <w:pPr>
                                <w:jc w:val="center"/>
                                <w:rPr>
                                  <w:rFonts w:asciiTheme="minorHAnsi" w:hAnsiTheme="minorHAnsi" w:cstheme="minorHAnsi"/>
                                  <w:b/>
                                  <w:sz w:val="20"/>
                                  <w:szCs w:val="20"/>
                                  <w:lang w:val="fr-FR"/>
                                </w:rPr>
                              </w:pPr>
                            </w:p>
                          </w:txbxContent>
                        </wps:txbx>
                        <wps:bodyPr rot="0" vert="horz" wrap="square" lIns="91440" tIns="45720" rIns="91440" bIns="45720" anchor="t" anchorCtr="0">
                          <a:noAutofit/>
                        </wps:bodyPr>
                      </wps:wsp>
                      <wps:wsp>
                        <wps:cNvPr id="3" name="Text Box 2"/>
                        <wps:cNvSpPr txBox="1">
                          <a:spLocks noChangeArrowheads="1"/>
                        </wps:cNvSpPr>
                        <wps:spPr bwMode="auto">
                          <a:xfrm>
                            <a:off x="2613656" y="107544"/>
                            <a:ext cx="1215603" cy="72076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46B31" w:rsidRDefault="00E46B31" w:rsidP="00236271">
                              <w:pPr>
                                <w:jc w:val="center"/>
                                <w:rPr>
                                  <w:rFonts w:asciiTheme="minorHAnsi" w:hAnsiTheme="minorHAnsi" w:cstheme="minorHAnsi"/>
                                  <w:b/>
                                  <w:sz w:val="20"/>
                                  <w:szCs w:val="20"/>
                                  <w:lang w:val="fr-FR"/>
                                </w:rPr>
                              </w:pPr>
                            </w:p>
                            <w:p w:rsidR="00E46B31" w:rsidRDefault="00E46B31" w:rsidP="00236271">
                              <w:pPr>
                                <w:jc w:val="center"/>
                                <w:rPr>
                                  <w:rFonts w:asciiTheme="minorHAnsi" w:hAnsiTheme="minorHAnsi" w:cstheme="minorHAnsi"/>
                                  <w:b/>
                                  <w:sz w:val="20"/>
                                  <w:szCs w:val="20"/>
                                  <w:lang w:val="fr-FR"/>
                                </w:rPr>
                              </w:pPr>
                              <w:r>
                                <w:rPr>
                                  <w:rFonts w:asciiTheme="minorHAnsi" w:hAnsiTheme="minorHAnsi" w:cstheme="minorHAnsi"/>
                                  <w:b/>
                                  <w:sz w:val="20"/>
                                  <w:szCs w:val="20"/>
                                  <w:lang w:val="fr-FR"/>
                                </w:rPr>
                                <w:t>Comité National de Pilotage</w:t>
                              </w:r>
                            </w:p>
                            <w:p w:rsidR="00E46B31" w:rsidRPr="00236271" w:rsidRDefault="00E46B31" w:rsidP="00236271">
                              <w:pPr>
                                <w:jc w:val="center"/>
                                <w:rPr>
                                  <w:rFonts w:asciiTheme="minorHAnsi" w:hAnsiTheme="minorHAnsi" w:cstheme="minorHAnsi"/>
                                  <w:b/>
                                  <w:sz w:val="20"/>
                                  <w:szCs w:val="20"/>
                                  <w:lang w:val="fr-FR"/>
                                </w:rPr>
                              </w:pPr>
                            </w:p>
                          </w:txbxContent>
                        </wps:txbx>
                        <wps:bodyPr rot="0" vert="horz" wrap="square" lIns="91440" tIns="45720" rIns="91440" bIns="45720" anchor="t" anchorCtr="0">
                          <a:noAutofit/>
                        </wps:bodyPr>
                      </wps:wsp>
                      <wpg:grpSp>
                        <wpg:cNvPr id="14" name="Gruppieren 14"/>
                        <wpg:cNvGrpSpPr/>
                        <wpg:grpSpPr>
                          <a:xfrm>
                            <a:off x="1450814" y="1806767"/>
                            <a:ext cx="1084560" cy="1086159"/>
                            <a:chOff x="144873" y="132521"/>
                            <a:chExt cx="774283" cy="1013773"/>
                          </a:xfrm>
                        </wpg:grpSpPr>
                        <wps:wsp>
                          <wps:cNvPr id="5" name="Gerade Verbindung 5"/>
                          <wps:cNvCnPr/>
                          <wps:spPr>
                            <a:xfrm flipH="1">
                              <a:off x="151260" y="1146257"/>
                              <a:ext cx="767896" cy="37"/>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0" name="Gerade Verbindung 10"/>
                          <wps:cNvCnPr/>
                          <wps:spPr>
                            <a:xfrm flipV="1">
                              <a:off x="144873" y="132521"/>
                              <a:ext cx="0" cy="1013726"/>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3" name="Gerade Verbindung 13"/>
                          <wps:cNvCnPr/>
                          <wps:spPr>
                            <a:xfrm>
                              <a:off x="151199" y="145014"/>
                              <a:ext cx="711560" cy="0"/>
                            </a:xfrm>
                            <a:prstGeom prst="line">
                              <a:avLst/>
                            </a:prstGeom>
                            <a:ln>
                              <a:headEnd type="none" w="med" len="med"/>
                              <a:tailEnd type="triangle" w="med" len="med"/>
                            </a:ln>
                          </wps:spPr>
                          <wps:style>
                            <a:lnRef idx="3">
                              <a:schemeClr val="accent4"/>
                            </a:lnRef>
                            <a:fillRef idx="0">
                              <a:schemeClr val="accent4"/>
                            </a:fillRef>
                            <a:effectRef idx="2">
                              <a:schemeClr val="accent4"/>
                            </a:effectRef>
                            <a:fontRef idx="minor">
                              <a:schemeClr val="tx1"/>
                            </a:fontRef>
                          </wps:style>
                          <wps:bodyPr/>
                        </wps:wsp>
                      </wpg:grpSp>
                      <wps:wsp>
                        <wps:cNvPr id="4" name="Text Box 2"/>
                        <wps:cNvSpPr txBox="1">
                          <a:spLocks noChangeArrowheads="1"/>
                        </wps:cNvSpPr>
                        <wps:spPr bwMode="auto">
                          <a:xfrm>
                            <a:off x="4119809" y="2516858"/>
                            <a:ext cx="2065654" cy="962659"/>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E46B31" w:rsidRPr="00900231" w:rsidRDefault="00E46B31" w:rsidP="00236271">
                              <w:pPr>
                                <w:jc w:val="center"/>
                                <w:rPr>
                                  <w:rFonts w:asciiTheme="minorHAnsi" w:hAnsiTheme="minorHAnsi" w:cstheme="minorHAnsi"/>
                                  <w:i/>
                                  <w:sz w:val="18"/>
                                  <w:szCs w:val="18"/>
                                  <w:u w:val="single"/>
                                  <w:lang w:val="fr-FR"/>
                                </w:rPr>
                              </w:pPr>
                              <w:r w:rsidRPr="00900231">
                                <w:rPr>
                                  <w:rFonts w:asciiTheme="minorHAnsi" w:hAnsiTheme="minorHAnsi" w:cstheme="minorHAnsi"/>
                                  <w:i/>
                                  <w:sz w:val="18"/>
                                  <w:szCs w:val="18"/>
                                  <w:u w:val="single"/>
                                  <w:lang w:val="fr-FR"/>
                                </w:rPr>
                                <w:t>Pouvoirs décisionnels :</w:t>
                              </w:r>
                            </w:p>
                            <w:p w:rsidR="00E46B31" w:rsidRDefault="00E46B31" w:rsidP="0038607C">
                              <w:pPr>
                                <w:numPr>
                                  <w:ilvl w:val="0"/>
                                  <w:numId w:val="21"/>
                                </w:numPr>
                                <w:ind w:left="360" w:hanging="270"/>
                                <w:rPr>
                                  <w:rFonts w:asciiTheme="minorHAnsi" w:hAnsiTheme="minorHAnsi" w:cstheme="minorHAnsi"/>
                                  <w:i/>
                                  <w:sz w:val="18"/>
                                  <w:szCs w:val="18"/>
                                  <w:lang w:val="fr-FR"/>
                                </w:rPr>
                              </w:pPr>
                              <w:r w:rsidRPr="00900231">
                                <w:rPr>
                                  <w:rFonts w:asciiTheme="minorHAnsi" w:hAnsiTheme="minorHAnsi" w:cstheme="minorHAnsi"/>
                                  <w:i/>
                                  <w:sz w:val="18"/>
                                  <w:szCs w:val="18"/>
                                  <w:lang w:val="fr-FR"/>
                                </w:rPr>
                                <w:t xml:space="preserve">Gère </w:t>
                              </w:r>
                              <w:r>
                                <w:rPr>
                                  <w:rFonts w:asciiTheme="minorHAnsi" w:hAnsiTheme="minorHAnsi" w:cstheme="minorHAnsi"/>
                                  <w:i/>
                                  <w:sz w:val="18"/>
                                  <w:szCs w:val="18"/>
                                  <w:lang w:val="fr-FR"/>
                                </w:rPr>
                                <w:t>le budget de l’Equipe</w:t>
                              </w:r>
                            </w:p>
                            <w:p w:rsidR="00E46B31" w:rsidRPr="00900231" w:rsidRDefault="00E46B31" w:rsidP="0038607C">
                              <w:pPr>
                                <w:numPr>
                                  <w:ilvl w:val="0"/>
                                  <w:numId w:val="21"/>
                                </w:numPr>
                                <w:ind w:left="360" w:hanging="270"/>
                                <w:rPr>
                                  <w:rFonts w:asciiTheme="minorHAnsi" w:hAnsiTheme="minorHAnsi" w:cstheme="minorHAnsi"/>
                                  <w:i/>
                                  <w:sz w:val="18"/>
                                  <w:szCs w:val="18"/>
                                  <w:lang w:val="fr-FR"/>
                                </w:rPr>
                              </w:pPr>
                              <w:r>
                                <w:rPr>
                                  <w:rFonts w:asciiTheme="minorHAnsi" w:hAnsiTheme="minorHAnsi" w:cstheme="minorHAnsi"/>
                                  <w:i/>
                                  <w:sz w:val="18"/>
                                  <w:szCs w:val="18"/>
                                  <w:lang w:val="fr-FR"/>
                                </w:rPr>
                                <w:t>C</w:t>
                              </w:r>
                              <w:r w:rsidRPr="00900231">
                                <w:rPr>
                                  <w:rFonts w:asciiTheme="minorHAnsi" w:hAnsiTheme="minorHAnsi" w:cstheme="minorHAnsi"/>
                                  <w:i/>
                                  <w:sz w:val="18"/>
                                  <w:szCs w:val="18"/>
                                  <w:lang w:val="fr-FR"/>
                                </w:rPr>
                                <w:t>oordonne la mise en œuvre</w:t>
                              </w:r>
                            </w:p>
                            <w:p w:rsidR="00E46B31" w:rsidRDefault="00E46B31" w:rsidP="0038607C">
                              <w:pPr>
                                <w:numPr>
                                  <w:ilvl w:val="0"/>
                                  <w:numId w:val="21"/>
                                </w:numPr>
                                <w:ind w:left="360" w:hanging="270"/>
                                <w:rPr>
                                  <w:rFonts w:asciiTheme="minorHAnsi" w:hAnsiTheme="minorHAnsi" w:cstheme="minorHAnsi"/>
                                  <w:i/>
                                  <w:sz w:val="18"/>
                                  <w:szCs w:val="18"/>
                                  <w:lang w:val="fr-FR"/>
                                </w:rPr>
                              </w:pPr>
                              <w:r w:rsidRPr="00900231">
                                <w:rPr>
                                  <w:rFonts w:asciiTheme="minorHAnsi" w:hAnsiTheme="minorHAnsi" w:cstheme="minorHAnsi"/>
                                  <w:i/>
                                  <w:sz w:val="18"/>
                                  <w:szCs w:val="18"/>
                                  <w:lang w:val="fr-FR"/>
                                </w:rPr>
                                <w:t xml:space="preserve">Prépare les PT, budgets, rapports financiers </w:t>
                              </w:r>
                              <w:r>
                                <w:rPr>
                                  <w:rFonts w:asciiTheme="minorHAnsi" w:hAnsiTheme="minorHAnsi" w:cstheme="minorHAnsi"/>
                                  <w:i/>
                                  <w:sz w:val="18"/>
                                  <w:szCs w:val="18"/>
                                  <w:lang w:val="fr-FR"/>
                                </w:rPr>
                                <w:t>consolidés, etc.</w:t>
                              </w:r>
                            </w:p>
                            <w:p w:rsidR="00E46B31" w:rsidRPr="00900231" w:rsidRDefault="00E46B31" w:rsidP="0038607C">
                              <w:pPr>
                                <w:numPr>
                                  <w:ilvl w:val="0"/>
                                  <w:numId w:val="21"/>
                                </w:numPr>
                                <w:ind w:left="360" w:hanging="270"/>
                                <w:rPr>
                                  <w:rFonts w:asciiTheme="minorHAnsi" w:hAnsiTheme="minorHAnsi" w:cstheme="minorHAnsi"/>
                                  <w:i/>
                                  <w:sz w:val="18"/>
                                  <w:szCs w:val="18"/>
                                  <w:lang w:val="fr-FR"/>
                                </w:rPr>
                              </w:pPr>
                              <w:r>
                                <w:rPr>
                                  <w:rFonts w:asciiTheme="minorHAnsi" w:hAnsiTheme="minorHAnsi" w:cstheme="minorHAnsi"/>
                                  <w:i/>
                                  <w:sz w:val="18"/>
                                  <w:szCs w:val="18"/>
                                  <w:lang w:val="fr-FR"/>
                                </w:rPr>
                                <w:t>Liaison avec le F-OMD</w:t>
                              </w:r>
                            </w:p>
                          </w:txbxContent>
                        </wps:txbx>
                        <wps:bodyPr rot="0" vert="horz" wrap="square" lIns="91440" tIns="45720" rIns="91440" bIns="45720" anchor="t" anchorCtr="0">
                          <a:noAutofit/>
                        </wps:bodyPr>
                      </wps:wsp>
                      <wps:wsp>
                        <wps:cNvPr id="17" name="Text Box 2"/>
                        <wps:cNvSpPr txBox="1">
                          <a:spLocks noChangeArrowheads="1"/>
                        </wps:cNvSpPr>
                        <wps:spPr bwMode="auto">
                          <a:xfrm>
                            <a:off x="4119645" y="1150381"/>
                            <a:ext cx="2119236" cy="1101698"/>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E46B31" w:rsidRPr="00462DC0" w:rsidRDefault="00E46B31" w:rsidP="00462DC0">
                              <w:pPr>
                                <w:jc w:val="center"/>
                                <w:rPr>
                                  <w:rFonts w:asciiTheme="minorHAnsi" w:hAnsiTheme="minorHAnsi" w:cstheme="minorHAnsi"/>
                                  <w:i/>
                                  <w:sz w:val="18"/>
                                  <w:szCs w:val="18"/>
                                  <w:u w:val="single"/>
                                  <w:lang w:val="fr-FR"/>
                                </w:rPr>
                              </w:pPr>
                              <w:r w:rsidRPr="00462DC0">
                                <w:rPr>
                                  <w:rFonts w:asciiTheme="minorHAnsi" w:hAnsiTheme="minorHAnsi" w:cstheme="minorHAnsi"/>
                                  <w:i/>
                                  <w:sz w:val="18"/>
                                  <w:szCs w:val="18"/>
                                  <w:u w:val="single"/>
                                  <w:lang w:val="fr-FR"/>
                                </w:rPr>
                                <w:t>Pouvoirs décisionnels :</w:t>
                              </w:r>
                            </w:p>
                            <w:p w:rsidR="00E46B31" w:rsidRPr="00462DC0" w:rsidRDefault="00E46B31" w:rsidP="0038607C">
                              <w:pPr>
                                <w:numPr>
                                  <w:ilvl w:val="0"/>
                                  <w:numId w:val="21"/>
                                </w:numPr>
                                <w:ind w:left="360" w:hanging="270"/>
                                <w:rPr>
                                  <w:rFonts w:asciiTheme="minorHAnsi" w:hAnsiTheme="minorHAnsi" w:cstheme="minorHAnsi"/>
                                  <w:i/>
                                  <w:sz w:val="18"/>
                                  <w:szCs w:val="18"/>
                                  <w:lang w:val="fr-FR"/>
                                </w:rPr>
                              </w:pPr>
                              <w:r w:rsidRPr="00462DC0">
                                <w:rPr>
                                  <w:rFonts w:asciiTheme="minorHAnsi" w:hAnsiTheme="minorHAnsi" w:cstheme="minorHAnsi"/>
                                  <w:i/>
                                  <w:sz w:val="18"/>
                                  <w:szCs w:val="18"/>
                                  <w:lang w:val="fr-FR"/>
                                </w:rPr>
                                <w:t>Gère l’Equipe de Gestion</w:t>
                              </w:r>
                            </w:p>
                            <w:p w:rsidR="00E46B31" w:rsidRPr="00462DC0" w:rsidRDefault="00E46B31" w:rsidP="0038607C">
                              <w:pPr>
                                <w:numPr>
                                  <w:ilvl w:val="0"/>
                                  <w:numId w:val="21"/>
                                </w:numPr>
                                <w:ind w:left="360" w:hanging="270"/>
                                <w:rPr>
                                  <w:rFonts w:asciiTheme="minorHAnsi" w:hAnsiTheme="minorHAnsi" w:cstheme="minorHAnsi"/>
                                  <w:i/>
                                  <w:sz w:val="18"/>
                                  <w:szCs w:val="18"/>
                                  <w:lang w:val="fr-FR"/>
                                </w:rPr>
                              </w:pPr>
                              <w:r w:rsidRPr="00462DC0">
                                <w:rPr>
                                  <w:rFonts w:asciiTheme="minorHAnsi" w:hAnsiTheme="minorHAnsi" w:cstheme="minorHAnsi"/>
                                  <w:i/>
                                  <w:sz w:val="18"/>
                                  <w:szCs w:val="18"/>
                                  <w:lang w:val="fr-FR"/>
                                </w:rPr>
                                <w:t xml:space="preserve">Approbation préliminaire du PT, budget, </w:t>
                              </w:r>
                              <w:r>
                                <w:rPr>
                                  <w:rFonts w:asciiTheme="minorHAnsi" w:hAnsiTheme="minorHAnsi" w:cstheme="minorHAnsi"/>
                                  <w:i/>
                                  <w:sz w:val="18"/>
                                  <w:szCs w:val="18"/>
                                  <w:lang w:val="fr-FR"/>
                                </w:rPr>
                                <w:t xml:space="preserve">rapports financiers, </w:t>
                              </w:r>
                              <w:r w:rsidRPr="00462DC0">
                                <w:rPr>
                                  <w:rFonts w:asciiTheme="minorHAnsi" w:hAnsiTheme="minorHAnsi" w:cstheme="minorHAnsi"/>
                                  <w:i/>
                                  <w:sz w:val="18"/>
                                  <w:szCs w:val="18"/>
                                  <w:lang w:val="fr-FR"/>
                                </w:rPr>
                                <w:t>etc.</w:t>
                              </w:r>
                            </w:p>
                            <w:p w:rsidR="00E46B31" w:rsidRPr="00462DC0" w:rsidRDefault="00E46B31" w:rsidP="0038607C">
                              <w:pPr>
                                <w:numPr>
                                  <w:ilvl w:val="0"/>
                                  <w:numId w:val="21"/>
                                </w:numPr>
                                <w:ind w:left="360" w:hanging="270"/>
                                <w:rPr>
                                  <w:rFonts w:asciiTheme="minorHAnsi" w:hAnsiTheme="minorHAnsi" w:cstheme="minorHAnsi"/>
                                  <w:i/>
                                  <w:sz w:val="18"/>
                                  <w:szCs w:val="18"/>
                                  <w:lang w:val="fr-FR"/>
                                </w:rPr>
                              </w:pPr>
                              <w:r w:rsidRPr="00462DC0">
                                <w:rPr>
                                  <w:rFonts w:asciiTheme="minorHAnsi" w:hAnsiTheme="minorHAnsi" w:cstheme="minorHAnsi"/>
                                  <w:i/>
                                  <w:sz w:val="18"/>
                                  <w:szCs w:val="18"/>
                                  <w:lang w:val="fr-FR"/>
                                </w:rPr>
                                <w:t>Autorise les recrutements</w:t>
                              </w:r>
                            </w:p>
                            <w:p w:rsidR="00E46B31" w:rsidRPr="00462DC0" w:rsidRDefault="00E46B31" w:rsidP="0038607C">
                              <w:pPr>
                                <w:numPr>
                                  <w:ilvl w:val="0"/>
                                  <w:numId w:val="21"/>
                                </w:numPr>
                                <w:ind w:left="360" w:hanging="270"/>
                                <w:rPr>
                                  <w:rFonts w:asciiTheme="minorHAnsi" w:hAnsiTheme="minorHAnsi" w:cstheme="minorHAnsi"/>
                                  <w:i/>
                                  <w:sz w:val="18"/>
                                  <w:szCs w:val="18"/>
                                  <w:lang w:val="fr-FR"/>
                                </w:rPr>
                              </w:pPr>
                              <w:r w:rsidRPr="00462DC0">
                                <w:rPr>
                                  <w:rFonts w:asciiTheme="minorHAnsi" w:hAnsiTheme="minorHAnsi" w:cstheme="minorHAnsi"/>
                                  <w:i/>
                                  <w:sz w:val="18"/>
                                  <w:szCs w:val="18"/>
                                  <w:lang w:val="fr-FR"/>
                                </w:rPr>
                                <w:t>Recommande réallocations budgétaires</w:t>
                              </w:r>
                            </w:p>
                            <w:p w:rsidR="00E46B31" w:rsidRPr="00510AB6" w:rsidRDefault="00E46B31" w:rsidP="00510AB6">
                              <w:pPr>
                                <w:jc w:val="center"/>
                                <w:rPr>
                                  <w:rFonts w:asciiTheme="minorHAnsi" w:hAnsiTheme="minorHAnsi" w:cstheme="minorHAnsi"/>
                                  <w:i/>
                                  <w:sz w:val="18"/>
                                  <w:szCs w:val="18"/>
                                  <w:lang w:val="fr-FR"/>
                                </w:rPr>
                              </w:pPr>
                            </w:p>
                          </w:txbxContent>
                        </wps:txbx>
                        <wps:bodyPr rot="0" vert="horz" wrap="square" lIns="91440" tIns="45720" rIns="91440" bIns="45720" anchor="t" anchorCtr="0">
                          <a:noAutofit/>
                        </wps:bodyPr>
                      </wps:wsp>
                      <wps:wsp>
                        <wps:cNvPr id="22" name="Text Box 2"/>
                        <wps:cNvSpPr txBox="1">
                          <a:spLocks noChangeArrowheads="1"/>
                        </wps:cNvSpPr>
                        <wps:spPr bwMode="auto">
                          <a:xfrm>
                            <a:off x="122342" y="2010182"/>
                            <a:ext cx="2123952" cy="677731"/>
                          </a:xfrm>
                          <a:prstGeom prst="rect">
                            <a:avLst/>
                          </a:prstGeom>
                          <a:solidFill>
                            <a:srgbClr val="FFFFFF"/>
                          </a:solidFill>
                          <a:ln w="9525">
                            <a:solidFill>
                              <a:schemeClr val="bg1">
                                <a:lumMod val="75000"/>
                              </a:schemeClr>
                            </a:solidFill>
                            <a:prstDash val="sysDot"/>
                            <a:miter lim="800000"/>
                            <a:headEnd/>
                            <a:tailEnd/>
                          </a:ln>
                        </wps:spPr>
                        <wps:txbx>
                          <w:txbxContent>
                            <w:p w:rsidR="00E46B31" w:rsidRPr="00510AB6" w:rsidRDefault="00E46B31" w:rsidP="0038607C">
                              <w:pPr>
                                <w:numPr>
                                  <w:ilvl w:val="0"/>
                                  <w:numId w:val="20"/>
                                </w:numPr>
                                <w:ind w:left="270" w:hanging="270"/>
                                <w:rPr>
                                  <w:rFonts w:asciiTheme="minorHAnsi" w:hAnsiTheme="minorHAnsi" w:cstheme="minorHAnsi"/>
                                  <w:i/>
                                  <w:sz w:val="18"/>
                                  <w:szCs w:val="18"/>
                                  <w:lang w:val="fr-FR"/>
                                </w:rPr>
                              </w:pPr>
                              <w:r w:rsidRPr="00510AB6">
                                <w:rPr>
                                  <w:rFonts w:asciiTheme="minorHAnsi" w:hAnsiTheme="minorHAnsi" w:cstheme="minorHAnsi"/>
                                  <w:i/>
                                  <w:sz w:val="18"/>
                                  <w:szCs w:val="18"/>
                                  <w:lang w:val="fr-FR"/>
                                </w:rPr>
                                <w:t>Rend compte des progrès</w:t>
                              </w:r>
                            </w:p>
                            <w:p w:rsidR="00E46B31" w:rsidRDefault="00E46B31" w:rsidP="0038607C">
                              <w:pPr>
                                <w:numPr>
                                  <w:ilvl w:val="0"/>
                                  <w:numId w:val="20"/>
                                </w:numPr>
                                <w:ind w:left="270" w:hanging="270"/>
                                <w:rPr>
                                  <w:rFonts w:asciiTheme="minorHAnsi" w:hAnsiTheme="minorHAnsi" w:cstheme="minorHAnsi"/>
                                  <w:i/>
                                  <w:sz w:val="18"/>
                                  <w:szCs w:val="18"/>
                                  <w:lang w:val="fr-FR"/>
                                </w:rPr>
                              </w:pPr>
                              <w:r w:rsidRPr="00510AB6">
                                <w:rPr>
                                  <w:rFonts w:asciiTheme="minorHAnsi" w:hAnsiTheme="minorHAnsi" w:cstheme="minorHAnsi"/>
                                  <w:i/>
                                  <w:sz w:val="18"/>
                                  <w:szCs w:val="18"/>
                                  <w:lang w:val="fr-FR"/>
                                </w:rPr>
                                <w:t>Soulève les problèmes</w:t>
                              </w:r>
                            </w:p>
                            <w:p w:rsidR="00E46B31" w:rsidRPr="00510AB6" w:rsidRDefault="00E46B31" w:rsidP="0038607C">
                              <w:pPr>
                                <w:numPr>
                                  <w:ilvl w:val="0"/>
                                  <w:numId w:val="20"/>
                                </w:numPr>
                                <w:ind w:left="270" w:hanging="270"/>
                                <w:rPr>
                                  <w:rFonts w:asciiTheme="minorHAnsi" w:hAnsiTheme="minorHAnsi" w:cstheme="minorHAnsi"/>
                                  <w:i/>
                                  <w:sz w:val="18"/>
                                  <w:szCs w:val="18"/>
                                  <w:lang w:val="fr-FR"/>
                                </w:rPr>
                              </w:pPr>
                              <w:r>
                                <w:rPr>
                                  <w:rFonts w:asciiTheme="minorHAnsi" w:hAnsiTheme="minorHAnsi" w:cstheme="minorHAnsi"/>
                                  <w:i/>
                                  <w:sz w:val="18"/>
                                  <w:szCs w:val="18"/>
                                  <w:lang w:val="fr-FR"/>
                                </w:rPr>
                                <w:t>R</w:t>
                              </w:r>
                              <w:r w:rsidRPr="00510AB6">
                                <w:rPr>
                                  <w:rFonts w:asciiTheme="minorHAnsi" w:hAnsiTheme="minorHAnsi" w:cstheme="minorHAnsi"/>
                                  <w:i/>
                                  <w:sz w:val="18"/>
                                  <w:szCs w:val="18"/>
                                  <w:lang w:val="fr-FR"/>
                                </w:rPr>
                                <w:t>ecommande les solutions</w:t>
                              </w:r>
                              <w:r>
                                <w:rPr>
                                  <w:rFonts w:asciiTheme="minorHAnsi" w:hAnsiTheme="minorHAnsi" w:cstheme="minorHAnsi"/>
                                  <w:i/>
                                  <w:sz w:val="18"/>
                                  <w:szCs w:val="18"/>
                                  <w:lang w:val="fr-FR"/>
                                </w:rPr>
                                <w:t xml:space="preserve"> auprès du CGP</w:t>
                              </w:r>
                            </w:p>
                          </w:txbxContent>
                        </wps:txbx>
                        <wps:bodyPr rot="0" vert="horz" wrap="square" lIns="91440" tIns="45720" rIns="91440" bIns="45720" anchor="t" anchorCtr="0">
                          <a:noAutofit/>
                        </wps:bodyPr>
                      </wps:wsp>
                      <wpg:grpSp>
                        <wpg:cNvPr id="25" name="Gruppieren 25"/>
                        <wpg:cNvGrpSpPr/>
                        <wpg:grpSpPr>
                          <a:xfrm>
                            <a:off x="1450728" y="382702"/>
                            <a:ext cx="1075691" cy="1143661"/>
                            <a:chOff x="144811" y="179991"/>
                            <a:chExt cx="767951" cy="906568"/>
                          </a:xfrm>
                        </wpg:grpSpPr>
                        <wps:wsp>
                          <wps:cNvPr id="26" name="Gerade Verbindung 26"/>
                          <wps:cNvCnPr/>
                          <wps:spPr>
                            <a:xfrm flipH="1">
                              <a:off x="144866" y="1086522"/>
                              <a:ext cx="767896" cy="37"/>
                            </a:xfrm>
                            <a:prstGeom prst="line">
                              <a:avLst/>
                            </a:prstGeom>
                            <a:ln/>
                          </wps:spPr>
                          <wps:style>
                            <a:lnRef idx="3">
                              <a:schemeClr val="accent3"/>
                            </a:lnRef>
                            <a:fillRef idx="0">
                              <a:schemeClr val="accent3"/>
                            </a:fillRef>
                            <a:effectRef idx="2">
                              <a:schemeClr val="accent3"/>
                            </a:effectRef>
                            <a:fontRef idx="minor">
                              <a:schemeClr val="tx1"/>
                            </a:fontRef>
                          </wps:style>
                          <wps:bodyPr/>
                        </wps:wsp>
                        <wps:wsp>
                          <wps:cNvPr id="27" name="Gerade Verbindung 27"/>
                          <wps:cNvCnPr/>
                          <wps:spPr>
                            <a:xfrm flipV="1">
                              <a:off x="152813" y="183616"/>
                              <a:ext cx="0" cy="902943"/>
                            </a:xfrm>
                            <a:prstGeom prst="line">
                              <a:avLst/>
                            </a:prstGeom>
                            <a:ln/>
                          </wps:spPr>
                          <wps:style>
                            <a:lnRef idx="3">
                              <a:schemeClr val="accent3"/>
                            </a:lnRef>
                            <a:fillRef idx="0">
                              <a:schemeClr val="accent3"/>
                            </a:fillRef>
                            <a:effectRef idx="2">
                              <a:schemeClr val="accent3"/>
                            </a:effectRef>
                            <a:fontRef idx="minor">
                              <a:schemeClr val="tx1"/>
                            </a:fontRef>
                          </wps:style>
                          <wps:bodyPr/>
                        </wps:wsp>
                        <wps:wsp>
                          <wps:cNvPr id="28" name="Gerade Verbindung 28"/>
                          <wps:cNvCnPr/>
                          <wps:spPr>
                            <a:xfrm>
                              <a:off x="144811" y="179991"/>
                              <a:ext cx="767951" cy="0"/>
                            </a:xfrm>
                            <a:prstGeom prst="line">
                              <a:avLst/>
                            </a:prstGeom>
                            <a:ln>
                              <a:headEnd type="none" w="med" len="med"/>
                              <a:tailEnd type="triangle" w="med" len="med"/>
                            </a:ln>
                          </wps:spPr>
                          <wps:style>
                            <a:lnRef idx="3">
                              <a:schemeClr val="accent3"/>
                            </a:lnRef>
                            <a:fillRef idx="0">
                              <a:schemeClr val="accent3"/>
                            </a:fillRef>
                            <a:effectRef idx="2">
                              <a:schemeClr val="accent3"/>
                            </a:effectRef>
                            <a:fontRef idx="minor">
                              <a:schemeClr val="tx1"/>
                            </a:fontRef>
                          </wps:style>
                          <wps:bodyPr/>
                        </wps:wsp>
                      </wpg:grpSp>
                      <wps:wsp>
                        <wps:cNvPr id="24" name="Text Box 2"/>
                        <wps:cNvSpPr txBox="1">
                          <a:spLocks noChangeArrowheads="1"/>
                        </wps:cNvSpPr>
                        <wps:spPr bwMode="auto">
                          <a:xfrm>
                            <a:off x="122331" y="505332"/>
                            <a:ext cx="2413375" cy="683259"/>
                          </a:xfrm>
                          <a:prstGeom prst="rect">
                            <a:avLst/>
                          </a:prstGeom>
                          <a:solidFill>
                            <a:srgbClr val="FFFFFF"/>
                          </a:solidFill>
                          <a:ln w="9525">
                            <a:solidFill>
                              <a:schemeClr val="bg1">
                                <a:lumMod val="75000"/>
                              </a:schemeClr>
                            </a:solidFill>
                            <a:prstDash val="sysDot"/>
                            <a:miter lim="800000"/>
                            <a:headEnd/>
                            <a:tailEnd/>
                          </a:ln>
                        </wps:spPr>
                        <wps:txbx>
                          <w:txbxContent>
                            <w:p w:rsidR="00E46B31" w:rsidRPr="00462DC0" w:rsidRDefault="00E46B31" w:rsidP="0038607C">
                              <w:pPr>
                                <w:numPr>
                                  <w:ilvl w:val="0"/>
                                  <w:numId w:val="20"/>
                                </w:numPr>
                                <w:ind w:left="270" w:hanging="270"/>
                                <w:rPr>
                                  <w:rFonts w:asciiTheme="minorHAnsi" w:hAnsiTheme="minorHAnsi" w:cstheme="minorHAnsi"/>
                                  <w:i/>
                                  <w:sz w:val="18"/>
                                  <w:szCs w:val="18"/>
                                  <w:lang w:val="fr-FR"/>
                                </w:rPr>
                              </w:pPr>
                              <w:r w:rsidRPr="00462DC0">
                                <w:rPr>
                                  <w:rFonts w:asciiTheme="minorHAnsi" w:hAnsiTheme="minorHAnsi" w:cstheme="minorHAnsi"/>
                                  <w:i/>
                                  <w:sz w:val="18"/>
                                  <w:szCs w:val="18"/>
                                  <w:lang w:val="fr-FR"/>
                                </w:rPr>
                                <w:t>Rend compte des progrès</w:t>
                              </w:r>
                            </w:p>
                            <w:p w:rsidR="00E46B31" w:rsidRDefault="00E46B31" w:rsidP="0038607C">
                              <w:pPr>
                                <w:numPr>
                                  <w:ilvl w:val="0"/>
                                  <w:numId w:val="20"/>
                                </w:numPr>
                                <w:ind w:left="270" w:hanging="270"/>
                                <w:rPr>
                                  <w:rFonts w:asciiTheme="minorHAnsi" w:hAnsiTheme="minorHAnsi" w:cstheme="minorHAnsi"/>
                                  <w:i/>
                                  <w:sz w:val="18"/>
                                  <w:szCs w:val="18"/>
                                  <w:lang w:val="fr-FR"/>
                                </w:rPr>
                              </w:pPr>
                              <w:r w:rsidRPr="00462DC0">
                                <w:rPr>
                                  <w:rFonts w:asciiTheme="minorHAnsi" w:hAnsiTheme="minorHAnsi" w:cstheme="minorHAnsi"/>
                                  <w:i/>
                                  <w:sz w:val="18"/>
                                  <w:szCs w:val="18"/>
                                  <w:lang w:val="fr-FR"/>
                                </w:rPr>
                                <w:t xml:space="preserve">Soulève les problèmes </w:t>
                              </w:r>
                            </w:p>
                            <w:p w:rsidR="00E46B31" w:rsidRDefault="00E46B31" w:rsidP="0038607C">
                              <w:pPr>
                                <w:numPr>
                                  <w:ilvl w:val="0"/>
                                  <w:numId w:val="20"/>
                                </w:numPr>
                                <w:ind w:left="270" w:hanging="270"/>
                                <w:rPr>
                                  <w:rFonts w:asciiTheme="minorHAnsi" w:hAnsiTheme="minorHAnsi" w:cstheme="minorHAnsi"/>
                                  <w:i/>
                                  <w:sz w:val="18"/>
                                  <w:szCs w:val="18"/>
                                  <w:lang w:val="fr-FR"/>
                                </w:rPr>
                              </w:pPr>
                              <w:r>
                                <w:rPr>
                                  <w:rFonts w:asciiTheme="minorHAnsi" w:hAnsiTheme="minorHAnsi" w:cstheme="minorHAnsi"/>
                                  <w:i/>
                                  <w:sz w:val="18"/>
                                  <w:szCs w:val="18"/>
                                  <w:lang w:val="fr-FR"/>
                                </w:rPr>
                                <w:t>R</w:t>
                              </w:r>
                              <w:r w:rsidRPr="00462DC0">
                                <w:rPr>
                                  <w:rFonts w:asciiTheme="minorHAnsi" w:hAnsiTheme="minorHAnsi" w:cstheme="minorHAnsi"/>
                                  <w:i/>
                                  <w:sz w:val="18"/>
                                  <w:szCs w:val="18"/>
                                  <w:lang w:val="fr-FR"/>
                                </w:rPr>
                                <w:t>ecommande les solutions auprès du CNP</w:t>
                              </w:r>
                            </w:p>
                            <w:p w:rsidR="00E46B31" w:rsidRPr="00462DC0" w:rsidRDefault="00E46B31" w:rsidP="0038607C">
                              <w:pPr>
                                <w:numPr>
                                  <w:ilvl w:val="0"/>
                                  <w:numId w:val="20"/>
                                </w:numPr>
                                <w:ind w:left="270" w:hanging="270"/>
                                <w:rPr>
                                  <w:rFonts w:asciiTheme="minorHAnsi" w:hAnsiTheme="minorHAnsi" w:cstheme="minorHAnsi"/>
                                  <w:i/>
                                  <w:sz w:val="18"/>
                                  <w:szCs w:val="18"/>
                                  <w:lang w:val="fr-FR"/>
                                </w:rPr>
                              </w:pPr>
                              <w:r>
                                <w:rPr>
                                  <w:rFonts w:asciiTheme="minorHAnsi" w:hAnsiTheme="minorHAnsi" w:cstheme="minorHAnsi"/>
                                  <w:i/>
                                  <w:sz w:val="18"/>
                                  <w:szCs w:val="18"/>
                                  <w:lang w:val="fr-FR"/>
                                </w:rPr>
                                <w:t>Recommande l’approbation du PT, budget</w:t>
                              </w:r>
                            </w:p>
                          </w:txbxContent>
                        </wps:txbx>
                        <wps:bodyPr rot="0" vert="horz" wrap="square" lIns="91440" tIns="45720" rIns="91440" bIns="45720" anchor="t" anchorCtr="0">
                          <a:noAutofit/>
                        </wps:bodyPr>
                      </wps:wsp>
                      <wps:wsp>
                        <wps:cNvPr id="29" name="Text Box 2"/>
                        <wps:cNvSpPr txBox="1">
                          <a:spLocks noChangeArrowheads="1"/>
                        </wps:cNvSpPr>
                        <wps:spPr bwMode="auto">
                          <a:xfrm>
                            <a:off x="4120179" y="0"/>
                            <a:ext cx="2119256" cy="95743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46B31" w:rsidRPr="00462DC0" w:rsidRDefault="00E46B31" w:rsidP="00462DC0">
                              <w:pPr>
                                <w:jc w:val="center"/>
                                <w:rPr>
                                  <w:rFonts w:asciiTheme="minorHAnsi" w:hAnsiTheme="minorHAnsi" w:cstheme="minorHAnsi"/>
                                  <w:i/>
                                  <w:sz w:val="18"/>
                                  <w:szCs w:val="18"/>
                                  <w:u w:val="single"/>
                                  <w:lang w:val="fr-FR"/>
                                </w:rPr>
                              </w:pPr>
                              <w:r w:rsidRPr="00462DC0">
                                <w:rPr>
                                  <w:rFonts w:asciiTheme="minorHAnsi" w:hAnsiTheme="minorHAnsi" w:cstheme="minorHAnsi"/>
                                  <w:i/>
                                  <w:sz w:val="18"/>
                                  <w:szCs w:val="18"/>
                                  <w:u w:val="single"/>
                                  <w:lang w:val="fr-FR"/>
                                </w:rPr>
                                <w:t>Pouvoirs décisionnels :</w:t>
                              </w:r>
                            </w:p>
                            <w:p w:rsidR="00E46B31" w:rsidRPr="00900231" w:rsidRDefault="00E46B31" w:rsidP="0038607C">
                              <w:pPr>
                                <w:numPr>
                                  <w:ilvl w:val="0"/>
                                  <w:numId w:val="21"/>
                                </w:numPr>
                                <w:ind w:left="360" w:hanging="270"/>
                                <w:rPr>
                                  <w:rFonts w:asciiTheme="minorHAnsi" w:hAnsiTheme="minorHAnsi" w:cstheme="minorHAnsi"/>
                                  <w:i/>
                                  <w:sz w:val="18"/>
                                  <w:szCs w:val="18"/>
                                  <w:lang w:val="fr-FR"/>
                                </w:rPr>
                              </w:pPr>
                              <w:r w:rsidRPr="00900231">
                                <w:rPr>
                                  <w:rFonts w:asciiTheme="minorHAnsi" w:hAnsiTheme="minorHAnsi" w:cstheme="minorHAnsi"/>
                                  <w:i/>
                                  <w:sz w:val="18"/>
                                  <w:szCs w:val="18"/>
                                  <w:lang w:val="fr-FR"/>
                                </w:rPr>
                                <w:t>Approuve le PT, budget, etc.</w:t>
                              </w:r>
                            </w:p>
                            <w:p w:rsidR="00E46B31" w:rsidRPr="00900231" w:rsidRDefault="00E46B31" w:rsidP="0038607C">
                              <w:pPr>
                                <w:numPr>
                                  <w:ilvl w:val="0"/>
                                  <w:numId w:val="21"/>
                                </w:numPr>
                                <w:ind w:left="360" w:hanging="270"/>
                                <w:rPr>
                                  <w:rFonts w:asciiTheme="minorHAnsi" w:hAnsiTheme="minorHAnsi" w:cstheme="minorHAnsi"/>
                                  <w:i/>
                                  <w:sz w:val="18"/>
                                  <w:szCs w:val="18"/>
                                  <w:lang w:val="fr-FR"/>
                                </w:rPr>
                              </w:pPr>
                              <w:r w:rsidRPr="00900231">
                                <w:rPr>
                                  <w:rFonts w:asciiTheme="minorHAnsi" w:hAnsiTheme="minorHAnsi" w:cstheme="minorHAnsi"/>
                                  <w:i/>
                                  <w:sz w:val="18"/>
                                  <w:szCs w:val="18"/>
                                  <w:lang w:val="fr-FR"/>
                                </w:rPr>
                                <w:t>Approuve les modifications de la conception</w:t>
                              </w:r>
                            </w:p>
                            <w:p w:rsidR="00E46B31" w:rsidRPr="00900231" w:rsidRDefault="00E46B31" w:rsidP="0038607C">
                              <w:pPr>
                                <w:numPr>
                                  <w:ilvl w:val="0"/>
                                  <w:numId w:val="21"/>
                                </w:numPr>
                                <w:ind w:left="360" w:hanging="270"/>
                                <w:rPr>
                                  <w:rFonts w:asciiTheme="minorHAnsi" w:hAnsiTheme="minorHAnsi" w:cstheme="minorHAnsi"/>
                                  <w:i/>
                                  <w:sz w:val="18"/>
                                  <w:szCs w:val="18"/>
                                  <w:lang w:val="fr-FR"/>
                                </w:rPr>
                              </w:pPr>
                              <w:r w:rsidRPr="00900231">
                                <w:rPr>
                                  <w:rFonts w:asciiTheme="minorHAnsi" w:hAnsiTheme="minorHAnsi" w:cstheme="minorHAnsi"/>
                                  <w:i/>
                                  <w:sz w:val="18"/>
                                  <w:szCs w:val="18"/>
                                  <w:lang w:val="fr-FR"/>
                                </w:rPr>
                                <w:t>Approuve les réallocations budgétaires (+/- 20%)</w:t>
                              </w:r>
                            </w:p>
                          </w:txbxContent>
                        </wps:txbx>
                        <wps:bodyPr rot="0" vert="horz" wrap="square" lIns="91440" tIns="45720" rIns="91440" bIns="45720" anchor="t" anchorCtr="0">
                          <a:noAutofit/>
                        </wps:bodyPr>
                      </wps:wsp>
                      <wps:wsp>
                        <wps:cNvPr id="30" name="Pfeil nach rechts 30"/>
                        <wps:cNvSpPr/>
                        <wps:spPr>
                          <a:xfrm>
                            <a:off x="3851238" y="387275"/>
                            <a:ext cx="290830" cy="290195"/>
                          </a:xfrm>
                          <a:prstGeom prst="rightArrow">
                            <a:avLst>
                              <a:gd name="adj1" fmla="val 52056"/>
                              <a:gd name="adj2" fmla="val 50000"/>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Pfeil nach rechts 31"/>
                        <wps:cNvSpPr/>
                        <wps:spPr>
                          <a:xfrm>
                            <a:off x="3883511" y="1463040"/>
                            <a:ext cx="290830" cy="290195"/>
                          </a:xfrm>
                          <a:prstGeom prst="rightArrow">
                            <a:avLst>
                              <a:gd name="adj1" fmla="val 52056"/>
                              <a:gd name="adj2" fmla="val 50000"/>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Pfeil nach rechts 288"/>
                        <wps:cNvSpPr/>
                        <wps:spPr>
                          <a:xfrm>
                            <a:off x="3851238" y="2689411"/>
                            <a:ext cx="290830" cy="290195"/>
                          </a:xfrm>
                          <a:prstGeom prst="rightArrow">
                            <a:avLst>
                              <a:gd name="adj1" fmla="val 52056"/>
                              <a:gd name="adj2" fmla="val 50000"/>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90" o:spid="_x0000_s1034" style="position:absolute;left:0;text-align:left;margin-left:6pt;margin-top:9.65pt;width:465.85pt;height:276.1pt;z-index:251706368;mso-width-relative:margin;mso-height-relative:margin" coordorigin="1223" coordsize="61171,3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">
                <v:shape id="_x0000_s1035" type="#_x0000_t202" style="position:absolute;left:25353;top:26025;width:13479;height:5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SF78A&#10;AADaAAAADwAAAGRycy9kb3ducmV2LnhtbERP24rCMBB9F/Yfwiz4punKIlKNogvCsiLS6gcMzdgW&#10;m0lJsrX69UYQfBoO5zqLVW8a0ZHztWUFX+MEBHFhdc2lgtNxO5qB8AFZY2OZFNzIw2r5MVhgqu2V&#10;M+ryUIoYwj5FBVUIbSqlLyoy6Me2JY7c2TqDIUJXSu3wGsNNIydJMpUGa44NFbb0U1Fxyf+Ngu47&#10;ZOZy2B2T7Lwp7nu5OzV/TqnhZ7+egwjUh7f45f7VcT48X3le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IdIXvwAAANoAAAAPAAAAAAAAAAAAAAAAAJgCAABkcnMvZG93bnJl&#10;di54bWxQSwUGAAAAAAQABAD1AAAAhAMAAAAA&#10;" fillcolor="white [3201]" strokecolor="#8064a2 [3207]" strokeweight="2pt">
                  <v:textbox>
                    <w:txbxContent>
                      <w:p w:rsidR="00E46B31" w:rsidRDefault="00E46B31" w:rsidP="00236271">
                        <w:pPr>
                          <w:jc w:val="center"/>
                          <w:rPr>
                            <w:rFonts w:asciiTheme="minorHAnsi" w:hAnsiTheme="minorHAnsi" w:cstheme="minorHAnsi"/>
                            <w:b/>
                            <w:sz w:val="20"/>
                            <w:szCs w:val="20"/>
                            <w:lang w:val="fr-FR"/>
                          </w:rPr>
                        </w:pPr>
                      </w:p>
                      <w:p w:rsidR="00E46B31" w:rsidRPr="00236271" w:rsidRDefault="00E46B31" w:rsidP="00236271">
                        <w:pPr>
                          <w:jc w:val="center"/>
                          <w:rPr>
                            <w:rFonts w:asciiTheme="minorHAnsi" w:hAnsiTheme="minorHAnsi" w:cstheme="minorHAnsi"/>
                            <w:b/>
                            <w:sz w:val="20"/>
                            <w:szCs w:val="20"/>
                            <w:lang w:val="fr-FR"/>
                          </w:rPr>
                        </w:pPr>
                        <w:r w:rsidRPr="00236271">
                          <w:rPr>
                            <w:rFonts w:asciiTheme="minorHAnsi" w:hAnsiTheme="minorHAnsi" w:cstheme="minorHAnsi"/>
                            <w:b/>
                            <w:sz w:val="20"/>
                            <w:szCs w:val="20"/>
                            <w:lang w:val="fr-FR"/>
                          </w:rPr>
                          <w:t xml:space="preserve">Equipe de Gestion </w:t>
                        </w:r>
                      </w:p>
                    </w:txbxContent>
                  </v:textbox>
                </v:shape>
                <v:shape id="_x0000_s1036" type="#_x0000_t202" style="position:absolute;left:25355;top:12905;width:14552;height:7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RUsEA&#10;AADaAAAADwAAAGRycy9kb3ducmV2LnhtbESP3YrCMBSE74V9h3CEvdNUF0S6Rqmii+iVPw9waM62&#10;xeakm2Tb+vZGELwcZuYbZrHqTS1acr6yrGAyTkAQ51ZXXCi4XnajOQgfkDXWlknBnTyslh+DBaba&#10;dnyi9hwKESHsU1RQhtCkUvq8JIN+bBvi6P1aZzBE6QqpHXYRbmo5TZKZNFhxXCixoU1J+e38bxR8&#10;ZbQ7uPW1/TvyfdtkncfDz1ypz2GffYMI1Id3+NXeawVTeF6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x0VLBAAAA2gAAAA8AAAAAAAAAAAAAAAAAmAIAAGRycy9kb3du&#10;cmV2LnhtbFBLBQYAAAAABAAEAPUAAACGAwAAAAA=&#10;" fillcolor="white [3201]" strokecolor="#9bbb59 [3206]" strokeweight="2pt">
                  <v:textbox>
                    <w:txbxContent>
                      <w:p w:rsidR="00E46B31" w:rsidRDefault="00E46B31" w:rsidP="00236271">
                        <w:pPr>
                          <w:jc w:val="center"/>
                          <w:rPr>
                            <w:rFonts w:asciiTheme="minorHAnsi" w:hAnsiTheme="minorHAnsi" w:cstheme="minorHAnsi"/>
                            <w:b/>
                            <w:sz w:val="20"/>
                            <w:szCs w:val="20"/>
                            <w:lang w:val="fr-FR"/>
                          </w:rPr>
                        </w:pPr>
                      </w:p>
                      <w:p w:rsidR="00E46B31" w:rsidRDefault="00E46B31" w:rsidP="00236271">
                        <w:pPr>
                          <w:jc w:val="center"/>
                          <w:rPr>
                            <w:rFonts w:asciiTheme="minorHAnsi" w:hAnsiTheme="minorHAnsi" w:cstheme="minorHAnsi"/>
                            <w:b/>
                            <w:sz w:val="20"/>
                            <w:szCs w:val="20"/>
                            <w:lang w:val="fr-FR"/>
                          </w:rPr>
                        </w:pPr>
                        <w:r>
                          <w:rPr>
                            <w:rFonts w:asciiTheme="minorHAnsi" w:hAnsiTheme="minorHAnsi" w:cstheme="minorHAnsi"/>
                            <w:b/>
                            <w:sz w:val="20"/>
                            <w:szCs w:val="20"/>
                            <w:lang w:val="fr-FR"/>
                          </w:rPr>
                          <w:t>Comité de Gestion du programme</w:t>
                        </w:r>
                      </w:p>
                      <w:p w:rsidR="00E46B31" w:rsidRPr="00236271" w:rsidRDefault="00E46B31" w:rsidP="00236271">
                        <w:pPr>
                          <w:jc w:val="center"/>
                          <w:rPr>
                            <w:rFonts w:asciiTheme="minorHAnsi" w:hAnsiTheme="minorHAnsi" w:cstheme="minorHAnsi"/>
                            <w:b/>
                            <w:sz w:val="20"/>
                            <w:szCs w:val="20"/>
                            <w:lang w:val="fr-FR"/>
                          </w:rPr>
                        </w:pPr>
                      </w:p>
                    </w:txbxContent>
                  </v:textbox>
                </v:shape>
                <v:shape id="_x0000_s1037" type="#_x0000_t202" style="position:absolute;left:26136;top:1075;width:12156;height:7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1GGsIA&#10;AADaAAAADwAAAGRycy9kb3ducmV2LnhtbESPT4vCMBTE74LfITzBm6ZWWLQaRYSFZVkP/kHw9mie&#10;TbF56TbRdr/9RhA8DjPzG2a57mwlHtT40rGCyTgBQZw7XXKh4HT8HM1A+ICssXJMCv7Iw3rV7y0x&#10;067lPT0OoRARwj5DBSaEOpPS54Ys+rGriaN3dY3FEGVTSN1gG+G2kmmSfEiLJccFgzVtDeW3w90q&#10;4PTyez/Pvy+3U2tsujPmp9rtlRoOus0CRKAuvMOv9pdWMIXn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UYawgAAANoAAAAPAAAAAAAAAAAAAAAAAJgCAABkcnMvZG93&#10;bnJldi54bWxQSwUGAAAAAAQABAD1AAAAhwMAAAAA&#10;" fillcolor="white [3201]" strokecolor="#c0504d [3205]" strokeweight="2pt">
                  <v:textbox>
                    <w:txbxContent>
                      <w:p w:rsidR="00E46B31" w:rsidRDefault="00E46B31" w:rsidP="00236271">
                        <w:pPr>
                          <w:jc w:val="center"/>
                          <w:rPr>
                            <w:rFonts w:asciiTheme="minorHAnsi" w:hAnsiTheme="minorHAnsi" w:cstheme="minorHAnsi"/>
                            <w:b/>
                            <w:sz w:val="20"/>
                            <w:szCs w:val="20"/>
                            <w:lang w:val="fr-FR"/>
                          </w:rPr>
                        </w:pPr>
                      </w:p>
                      <w:p w:rsidR="00E46B31" w:rsidRDefault="00E46B31" w:rsidP="00236271">
                        <w:pPr>
                          <w:jc w:val="center"/>
                          <w:rPr>
                            <w:rFonts w:asciiTheme="minorHAnsi" w:hAnsiTheme="minorHAnsi" w:cstheme="minorHAnsi"/>
                            <w:b/>
                            <w:sz w:val="20"/>
                            <w:szCs w:val="20"/>
                            <w:lang w:val="fr-FR"/>
                          </w:rPr>
                        </w:pPr>
                        <w:r>
                          <w:rPr>
                            <w:rFonts w:asciiTheme="minorHAnsi" w:hAnsiTheme="minorHAnsi" w:cstheme="minorHAnsi"/>
                            <w:b/>
                            <w:sz w:val="20"/>
                            <w:szCs w:val="20"/>
                            <w:lang w:val="fr-FR"/>
                          </w:rPr>
                          <w:t>Comité National de Pilotage</w:t>
                        </w:r>
                      </w:p>
                      <w:p w:rsidR="00E46B31" w:rsidRPr="00236271" w:rsidRDefault="00E46B31" w:rsidP="00236271">
                        <w:pPr>
                          <w:jc w:val="center"/>
                          <w:rPr>
                            <w:rFonts w:asciiTheme="minorHAnsi" w:hAnsiTheme="minorHAnsi" w:cstheme="minorHAnsi"/>
                            <w:b/>
                            <w:sz w:val="20"/>
                            <w:szCs w:val="20"/>
                            <w:lang w:val="fr-FR"/>
                          </w:rPr>
                        </w:pPr>
                      </w:p>
                    </w:txbxContent>
                  </v:textbox>
                </v:shape>
                <v:group id="Gruppieren 14" o:spid="_x0000_s1038" style="position:absolute;left:14508;top:18067;width:10845;height:10862" coordorigin="1448,1325" coordsize="7742,10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Gerade Verbindung 5" o:spid="_x0000_s1039" style="position:absolute;flip:x;visibility:visible;mso-wrap-style:square" from="1512,11462" to="9191,1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acbMMAAADaAAAADwAAAGRycy9kb3ducmV2LnhtbESPzWrDMBCE74W8g9hAb42cX4IbJYRA&#10;Q3PooU4eYGutf1rvyliq47x9FCj0OMzMN8xmN3Cjeup87cTAdJKAIsmdraU0cDm/vaxB+YBisXFC&#10;Bm7kYbcdPW0wte4qn9RnoVQRIj5FA1UIbaq1zyti9BPXkkSvcB1jiLIrte3wGuHc6FmSrDRjLXGh&#10;wpYOFeU/2S8bWMynR15y8eV5n6+y7+LUfyxaY57Hw/4VVKAh/If/2u/WwBIeV+IN0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WnGzDAAAA2gAAAA8AAAAAAAAAAAAA&#10;AAAAoQIAAGRycy9kb3ducmV2LnhtbFBLBQYAAAAABAAEAPkAAACRAwAAAAA=&#10;" strokecolor="#8064a2 [3207]" strokeweight="3pt">
                    <v:shadow on="t" color="black" opacity="22937f" origin=",.5" offset="0,.63889mm"/>
                  </v:line>
                  <v:line id="Gerade Verbindung 10" o:spid="_x0000_s1040" style="position:absolute;flip:y;visibility:visible;mso-wrap-style:square" from="1448,1325" to="1448,1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g++MQAAADbAAAADwAAAGRycy9kb3ducmV2LnhtbESPzU7DQAyE70i8w8pI3OimpVRV6Laq&#10;KoHgwIG0D2Cyzk8be6Pskoa3xwckbrZmPPN5s5u4MyMNsQ3iYD7LwJCUwbdSOzgdXx7WYGJC8dgF&#10;IQc/FGG3vb3ZYO7DVT5pLFJtNERijg6alPrc2lg2xBhnoSdRrQoDY9J1qK0f8Krh3NlFlq0sYyva&#10;0GBPh4bKS/HNDpaP81d+4uor8r5cFefqffxY9s7d3037ZzCJpvRv/rt+84qv9PqLDm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WD74xAAAANsAAAAPAAAAAAAAAAAA&#10;AAAAAKECAABkcnMvZG93bnJldi54bWxQSwUGAAAAAAQABAD5AAAAkgMAAAAA&#10;" strokecolor="#8064a2 [3207]" strokeweight="3pt">
                    <v:shadow on="t" color="black" opacity="22937f" origin=",.5" offset="0,.63889mm"/>
                  </v:line>
                  <v:line id="Gerade Verbindung 13" o:spid="_x0000_s1041" style="position:absolute;visibility:visible;mso-wrap-style:square" from="1511,1450" to="862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nPmsAAAADbAAAADwAAAGRycy9kb3ducmV2LnhtbERPTYvCMBC9L/gfwgheljWtokg1igiC&#10;J0Xd3odmbIrNpDRRq7/eCAt7m8f7nMWqs7W4U+srxwrSYQKCuHC64lLB73n7MwPhA7LG2jEpeJKH&#10;1bL3tcBMuwcf6X4KpYgh7DNUYEJoMil9YciiH7qGOHIX11oMEbal1C0+Yrit5ShJptJixbHBYEMb&#10;Q8X1dLMKrmY2OTTf2zTPJ/m0eN3q/fmYKjXod+s5iEBd+Bf/uXc6zh/D55d4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Zz5rAAAAA2wAAAA8AAAAAAAAAAAAAAAAA&#10;oQIAAGRycy9kb3ducmV2LnhtbFBLBQYAAAAABAAEAPkAAACOAwAAAAA=&#10;" strokecolor="#8064a2 [3207]" strokeweight="3pt">
                    <v:stroke endarrow="block"/>
                    <v:shadow on="t" color="black" opacity="22937f" origin=",.5" offset="0,.63889mm"/>
                  </v:line>
                </v:group>
                <v:shape id="_x0000_s1042" type="#_x0000_t202" style="position:absolute;left:41198;top:25168;width:20656;height:9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Zxj8EA&#10;AADaAAAADwAAAGRycy9kb3ducmV2LnhtbESP0YrCMBRE3xf8h3AF39bURWSpRlFhQRSRqh9waa5t&#10;sbkpSazVrzeCsI/DzJxhZovO1KIl5yvLCkbDBARxbnXFhYLz6e/7F4QPyBpry6TgQR4W897XDFNt&#10;75xRewyFiBD2KSooQ2hSKX1ekkE/tA1x9C7WGQxRukJqh/cIN7X8SZKJNFhxXCixoXVJ+fV4Mwra&#10;ccjM9bA7JdlllT/3cneut06pQb9bTkEE6sJ/+NPeaAVjeF+JN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WcY/BAAAA2gAAAA8AAAAAAAAAAAAAAAAAmAIAAGRycy9kb3du&#10;cmV2LnhtbFBLBQYAAAAABAAEAPUAAACGAwAAAAA=&#10;" fillcolor="white [3201]" strokecolor="#8064a2 [3207]" strokeweight="2pt">
                  <v:textbox>
                    <w:txbxContent>
                      <w:p w:rsidR="00E46B31" w:rsidRPr="00900231" w:rsidRDefault="00E46B31" w:rsidP="00236271">
                        <w:pPr>
                          <w:jc w:val="center"/>
                          <w:rPr>
                            <w:rFonts w:asciiTheme="minorHAnsi" w:hAnsiTheme="minorHAnsi" w:cstheme="minorHAnsi"/>
                            <w:i/>
                            <w:sz w:val="18"/>
                            <w:szCs w:val="18"/>
                            <w:u w:val="single"/>
                            <w:lang w:val="fr-FR"/>
                          </w:rPr>
                        </w:pPr>
                        <w:r w:rsidRPr="00900231">
                          <w:rPr>
                            <w:rFonts w:asciiTheme="minorHAnsi" w:hAnsiTheme="minorHAnsi" w:cstheme="minorHAnsi"/>
                            <w:i/>
                            <w:sz w:val="18"/>
                            <w:szCs w:val="18"/>
                            <w:u w:val="single"/>
                            <w:lang w:val="fr-FR"/>
                          </w:rPr>
                          <w:t>Pouvoirs décisionnels :</w:t>
                        </w:r>
                      </w:p>
                      <w:p w:rsidR="00E46B31" w:rsidRDefault="00E46B31" w:rsidP="0038607C">
                        <w:pPr>
                          <w:numPr>
                            <w:ilvl w:val="0"/>
                            <w:numId w:val="21"/>
                          </w:numPr>
                          <w:ind w:left="360" w:hanging="270"/>
                          <w:rPr>
                            <w:rFonts w:asciiTheme="minorHAnsi" w:hAnsiTheme="minorHAnsi" w:cstheme="minorHAnsi"/>
                            <w:i/>
                            <w:sz w:val="18"/>
                            <w:szCs w:val="18"/>
                            <w:lang w:val="fr-FR"/>
                          </w:rPr>
                        </w:pPr>
                        <w:r w:rsidRPr="00900231">
                          <w:rPr>
                            <w:rFonts w:asciiTheme="minorHAnsi" w:hAnsiTheme="minorHAnsi" w:cstheme="minorHAnsi"/>
                            <w:i/>
                            <w:sz w:val="18"/>
                            <w:szCs w:val="18"/>
                            <w:lang w:val="fr-FR"/>
                          </w:rPr>
                          <w:t xml:space="preserve">Gère </w:t>
                        </w:r>
                        <w:r>
                          <w:rPr>
                            <w:rFonts w:asciiTheme="minorHAnsi" w:hAnsiTheme="minorHAnsi" w:cstheme="minorHAnsi"/>
                            <w:i/>
                            <w:sz w:val="18"/>
                            <w:szCs w:val="18"/>
                            <w:lang w:val="fr-FR"/>
                          </w:rPr>
                          <w:t>le budget de l’Equipe</w:t>
                        </w:r>
                      </w:p>
                      <w:p w:rsidR="00E46B31" w:rsidRPr="00900231" w:rsidRDefault="00E46B31" w:rsidP="0038607C">
                        <w:pPr>
                          <w:numPr>
                            <w:ilvl w:val="0"/>
                            <w:numId w:val="21"/>
                          </w:numPr>
                          <w:ind w:left="360" w:hanging="270"/>
                          <w:rPr>
                            <w:rFonts w:asciiTheme="minorHAnsi" w:hAnsiTheme="minorHAnsi" w:cstheme="minorHAnsi"/>
                            <w:i/>
                            <w:sz w:val="18"/>
                            <w:szCs w:val="18"/>
                            <w:lang w:val="fr-FR"/>
                          </w:rPr>
                        </w:pPr>
                        <w:r>
                          <w:rPr>
                            <w:rFonts w:asciiTheme="minorHAnsi" w:hAnsiTheme="minorHAnsi" w:cstheme="minorHAnsi"/>
                            <w:i/>
                            <w:sz w:val="18"/>
                            <w:szCs w:val="18"/>
                            <w:lang w:val="fr-FR"/>
                          </w:rPr>
                          <w:t>C</w:t>
                        </w:r>
                        <w:r w:rsidRPr="00900231">
                          <w:rPr>
                            <w:rFonts w:asciiTheme="minorHAnsi" w:hAnsiTheme="minorHAnsi" w:cstheme="minorHAnsi"/>
                            <w:i/>
                            <w:sz w:val="18"/>
                            <w:szCs w:val="18"/>
                            <w:lang w:val="fr-FR"/>
                          </w:rPr>
                          <w:t>oordonne la mise en œuvre</w:t>
                        </w:r>
                      </w:p>
                      <w:p w:rsidR="00E46B31" w:rsidRDefault="00E46B31" w:rsidP="0038607C">
                        <w:pPr>
                          <w:numPr>
                            <w:ilvl w:val="0"/>
                            <w:numId w:val="21"/>
                          </w:numPr>
                          <w:ind w:left="360" w:hanging="270"/>
                          <w:rPr>
                            <w:rFonts w:asciiTheme="minorHAnsi" w:hAnsiTheme="minorHAnsi" w:cstheme="minorHAnsi"/>
                            <w:i/>
                            <w:sz w:val="18"/>
                            <w:szCs w:val="18"/>
                            <w:lang w:val="fr-FR"/>
                          </w:rPr>
                        </w:pPr>
                        <w:r w:rsidRPr="00900231">
                          <w:rPr>
                            <w:rFonts w:asciiTheme="minorHAnsi" w:hAnsiTheme="minorHAnsi" w:cstheme="minorHAnsi"/>
                            <w:i/>
                            <w:sz w:val="18"/>
                            <w:szCs w:val="18"/>
                            <w:lang w:val="fr-FR"/>
                          </w:rPr>
                          <w:t xml:space="preserve">Prépare les PT, budgets, rapports financiers </w:t>
                        </w:r>
                        <w:r>
                          <w:rPr>
                            <w:rFonts w:asciiTheme="minorHAnsi" w:hAnsiTheme="minorHAnsi" w:cstheme="minorHAnsi"/>
                            <w:i/>
                            <w:sz w:val="18"/>
                            <w:szCs w:val="18"/>
                            <w:lang w:val="fr-FR"/>
                          </w:rPr>
                          <w:t>consolidés, etc.</w:t>
                        </w:r>
                      </w:p>
                      <w:p w:rsidR="00E46B31" w:rsidRPr="00900231" w:rsidRDefault="00E46B31" w:rsidP="0038607C">
                        <w:pPr>
                          <w:numPr>
                            <w:ilvl w:val="0"/>
                            <w:numId w:val="21"/>
                          </w:numPr>
                          <w:ind w:left="360" w:hanging="270"/>
                          <w:rPr>
                            <w:rFonts w:asciiTheme="minorHAnsi" w:hAnsiTheme="minorHAnsi" w:cstheme="minorHAnsi"/>
                            <w:i/>
                            <w:sz w:val="18"/>
                            <w:szCs w:val="18"/>
                            <w:lang w:val="fr-FR"/>
                          </w:rPr>
                        </w:pPr>
                        <w:r>
                          <w:rPr>
                            <w:rFonts w:asciiTheme="minorHAnsi" w:hAnsiTheme="minorHAnsi" w:cstheme="minorHAnsi"/>
                            <w:i/>
                            <w:sz w:val="18"/>
                            <w:szCs w:val="18"/>
                            <w:lang w:val="fr-FR"/>
                          </w:rPr>
                          <w:t>Liaison avec le F-OMD</w:t>
                        </w:r>
                      </w:p>
                    </w:txbxContent>
                  </v:textbox>
                </v:shape>
                <v:shape id="_x0000_s1043" type="#_x0000_t202" style="position:absolute;left:41196;top:11503;width:21192;height:11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zzMAA&#10;AADbAAAADwAAAGRycy9kb3ducmV2LnhtbERPzYrCMBC+L/gOYQRva6qCK12j1EVF3JOuDzA0s23Z&#10;ZtJNYlvf3giCt/n4fme57k0tWnK+sqxgMk5AEOdWV1wouPzs3hcgfEDWWFsmBTfysF4N3paYatvx&#10;idpzKEQMYZ+igjKEJpXS5yUZ9GPbEEfu1zqDIUJXSO2wi+GmltMkmUuDFceGEhv6Kin/O1+NgllG&#10;u6PbXNr/b75tm6zzeNwvlBoN++wTRKA+vMRP90HH+R/w+CUeI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8zzMAAAADbAAAADwAAAAAAAAAAAAAAAACYAgAAZHJzL2Rvd25y&#10;ZXYueG1sUEsFBgAAAAAEAAQA9QAAAIUDAAAAAA==&#10;" fillcolor="white [3201]" strokecolor="#9bbb59 [3206]" strokeweight="2pt">
                  <v:textbox>
                    <w:txbxContent>
                      <w:p w:rsidR="00E46B31" w:rsidRPr="00462DC0" w:rsidRDefault="00E46B31" w:rsidP="00462DC0">
                        <w:pPr>
                          <w:jc w:val="center"/>
                          <w:rPr>
                            <w:rFonts w:asciiTheme="minorHAnsi" w:hAnsiTheme="minorHAnsi" w:cstheme="minorHAnsi"/>
                            <w:i/>
                            <w:sz w:val="18"/>
                            <w:szCs w:val="18"/>
                            <w:u w:val="single"/>
                            <w:lang w:val="fr-FR"/>
                          </w:rPr>
                        </w:pPr>
                        <w:r w:rsidRPr="00462DC0">
                          <w:rPr>
                            <w:rFonts w:asciiTheme="minorHAnsi" w:hAnsiTheme="minorHAnsi" w:cstheme="minorHAnsi"/>
                            <w:i/>
                            <w:sz w:val="18"/>
                            <w:szCs w:val="18"/>
                            <w:u w:val="single"/>
                            <w:lang w:val="fr-FR"/>
                          </w:rPr>
                          <w:t>Pouvoirs décisionnels :</w:t>
                        </w:r>
                      </w:p>
                      <w:p w:rsidR="00E46B31" w:rsidRPr="00462DC0" w:rsidRDefault="00E46B31" w:rsidP="0038607C">
                        <w:pPr>
                          <w:numPr>
                            <w:ilvl w:val="0"/>
                            <w:numId w:val="21"/>
                          </w:numPr>
                          <w:ind w:left="360" w:hanging="270"/>
                          <w:rPr>
                            <w:rFonts w:asciiTheme="minorHAnsi" w:hAnsiTheme="minorHAnsi" w:cstheme="minorHAnsi"/>
                            <w:i/>
                            <w:sz w:val="18"/>
                            <w:szCs w:val="18"/>
                            <w:lang w:val="fr-FR"/>
                          </w:rPr>
                        </w:pPr>
                        <w:r w:rsidRPr="00462DC0">
                          <w:rPr>
                            <w:rFonts w:asciiTheme="minorHAnsi" w:hAnsiTheme="minorHAnsi" w:cstheme="minorHAnsi"/>
                            <w:i/>
                            <w:sz w:val="18"/>
                            <w:szCs w:val="18"/>
                            <w:lang w:val="fr-FR"/>
                          </w:rPr>
                          <w:t>Gère l’Equipe de Gestion</w:t>
                        </w:r>
                      </w:p>
                      <w:p w:rsidR="00E46B31" w:rsidRPr="00462DC0" w:rsidRDefault="00E46B31" w:rsidP="0038607C">
                        <w:pPr>
                          <w:numPr>
                            <w:ilvl w:val="0"/>
                            <w:numId w:val="21"/>
                          </w:numPr>
                          <w:ind w:left="360" w:hanging="270"/>
                          <w:rPr>
                            <w:rFonts w:asciiTheme="minorHAnsi" w:hAnsiTheme="minorHAnsi" w:cstheme="minorHAnsi"/>
                            <w:i/>
                            <w:sz w:val="18"/>
                            <w:szCs w:val="18"/>
                            <w:lang w:val="fr-FR"/>
                          </w:rPr>
                        </w:pPr>
                        <w:r w:rsidRPr="00462DC0">
                          <w:rPr>
                            <w:rFonts w:asciiTheme="minorHAnsi" w:hAnsiTheme="minorHAnsi" w:cstheme="minorHAnsi"/>
                            <w:i/>
                            <w:sz w:val="18"/>
                            <w:szCs w:val="18"/>
                            <w:lang w:val="fr-FR"/>
                          </w:rPr>
                          <w:t xml:space="preserve">Approbation préliminaire du PT, budget, </w:t>
                        </w:r>
                        <w:r>
                          <w:rPr>
                            <w:rFonts w:asciiTheme="minorHAnsi" w:hAnsiTheme="minorHAnsi" w:cstheme="minorHAnsi"/>
                            <w:i/>
                            <w:sz w:val="18"/>
                            <w:szCs w:val="18"/>
                            <w:lang w:val="fr-FR"/>
                          </w:rPr>
                          <w:t xml:space="preserve">rapports financiers, </w:t>
                        </w:r>
                        <w:r w:rsidRPr="00462DC0">
                          <w:rPr>
                            <w:rFonts w:asciiTheme="minorHAnsi" w:hAnsiTheme="minorHAnsi" w:cstheme="minorHAnsi"/>
                            <w:i/>
                            <w:sz w:val="18"/>
                            <w:szCs w:val="18"/>
                            <w:lang w:val="fr-FR"/>
                          </w:rPr>
                          <w:t>etc.</w:t>
                        </w:r>
                      </w:p>
                      <w:p w:rsidR="00E46B31" w:rsidRPr="00462DC0" w:rsidRDefault="00E46B31" w:rsidP="0038607C">
                        <w:pPr>
                          <w:numPr>
                            <w:ilvl w:val="0"/>
                            <w:numId w:val="21"/>
                          </w:numPr>
                          <w:ind w:left="360" w:hanging="270"/>
                          <w:rPr>
                            <w:rFonts w:asciiTheme="minorHAnsi" w:hAnsiTheme="minorHAnsi" w:cstheme="minorHAnsi"/>
                            <w:i/>
                            <w:sz w:val="18"/>
                            <w:szCs w:val="18"/>
                            <w:lang w:val="fr-FR"/>
                          </w:rPr>
                        </w:pPr>
                        <w:r w:rsidRPr="00462DC0">
                          <w:rPr>
                            <w:rFonts w:asciiTheme="minorHAnsi" w:hAnsiTheme="minorHAnsi" w:cstheme="minorHAnsi"/>
                            <w:i/>
                            <w:sz w:val="18"/>
                            <w:szCs w:val="18"/>
                            <w:lang w:val="fr-FR"/>
                          </w:rPr>
                          <w:t>Autorise les recrutements</w:t>
                        </w:r>
                      </w:p>
                      <w:p w:rsidR="00E46B31" w:rsidRPr="00462DC0" w:rsidRDefault="00E46B31" w:rsidP="0038607C">
                        <w:pPr>
                          <w:numPr>
                            <w:ilvl w:val="0"/>
                            <w:numId w:val="21"/>
                          </w:numPr>
                          <w:ind w:left="360" w:hanging="270"/>
                          <w:rPr>
                            <w:rFonts w:asciiTheme="minorHAnsi" w:hAnsiTheme="minorHAnsi" w:cstheme="minorHAnsi"/>
                            <w:i/>
                            <w:sz w:val="18"/>
                            <w:szCs w:val="18"/>
                            <w:lang w:val="fr-FR"/>
                          </w:rPr>
                        </w:pPr>
                        <w:r w:rsidRPr="00462DC0">
                          <w:rPr>
                            <w:rFonts w:asciiTheme="minorHAnsi" w:hAnsiTheme="minorHAnsi" w:cstheme="minorHAnsi"/>
                            <w:i/>
                            <w:sz w:val="18"/>
                            <w:szCs w:val="18"/>
                            <w:lang w:val="fr-FR"/>
                          </w:rPr>
                          <w:t>Recommande réallocations budgétaires</w:t>
                        </w:r>
                      </w:p>
                      <w:p w:rsidR="00E46B31" w:rsidRPr="00510AB6" w:rsidRDefault="00E46B31" w:rsidP="00510AB6">
                        <w:pPr>
                          <w:jc w:val="center"/>
                          <w:rPr>
                            <w:rFonts w:asciiTheme="minorHAnsi" w:hAnsiTheme="minorHAnsi" w:cstheme="minorHAnsi"/>
                            <w:i/>
                            <w:sz w:val="18"/>
                            <w:szCs w:val="18"/>
                            <w:lang w:val="fr-FR"/>
                          </w:rPr>
                        </w:pPr>
                      </w:p>
                    </w:txbxContent>
                  </v:textbox>
                </v:shape>
                <v:shape id="_x0000_s1044" type="#_x0000_t202" style="position:absolute;left:1223;top:20101;width:21239;height:6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GHWcQA&#10;AADbAAAADwAAAGRycy9kb3ducmV2LnhtbESPT2vCQBTE7wW/w/KE3uomoUiJWUULBemhUOvF22P3&#10;5Q9m38bsNol++m5B8DjMzG+YYjPZVgzU+8axgnSRgCDWzjRcKTj+fLy8gfAB2WDrmBRcycNmPXsq&#10;MDdu5G8aDqESEcI+RwV1CF0updc1WfQL1xFHr3S9xRBlX0nT4xjhtpVZkiylxYbjQo0dvdekz4df&#10;q6DBskvptj996dcdDZ/pZUzapVLP82m7AhFoCo/wvb03CrIM/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h1nEAAAA2wAAAA8AAAAAAAAAAAAAAAAAmAIAAGRycy9k&#10;b3ducmV2LnhtbFBLBQYAAAAABAAEAPUAAACJAwAAAAA=&#10;" strokecolor="#bfbfbf [2412]">
                  <v:stroke dashstyle="1 1"/>
                  <v:textbox>
                    <w:txbxContent>
                      <w:p w:rsidR="00E46B31" w:rsidRPr="00510AB6" w:rsidRDefault="00E46B31" w:rsidP="0038607C">
                        <w:pPr>
                          <w:numPr>
                            <w:ilvl w:val="0"/>
                            <w:numId w:val="20"/>
                          </w:numPr>
                          <w:ind w:left="270" w:hanging="270"/>
                          <w:rPr>
                            <w:rFonts w:asciiTheme="minorHAnsi" w:hAnsiTheme="minorHAnsi" w:cstheme="minorHAnsi"/>
                            <w:i/>
                            <w:sz w:val="18"/>
                            <w:szCs w:val="18"/>
                            <w:lang w:val="fr-FR"/>
                          </w:rPr>
                        </w:pPr>
                        <w:r w:rsidRPr="00510AB6">
                          <w:rPr>
                            <w:rFonts w:asciiTheme="minorHAnsi" w:hAnsiTheme="minorHAnsi" w:cstheme="minorHAnsi"/>
                            <w:i/>
                            <w:sz w:val="18"/>
                            <w:szCs w:val="18"/>
                            <w:lang w:val="fr-FR"/>
                          </w:rPr>
                          <w:t>Rend compte des progrès</w:t>
                        </w:r>
                      </w:p>
                      <w:p w:rsidR="00E46B31" w:rsidRDefault="00E46B31" w:rsidP="0038607C">
                        <w:pPr>
                          <w:numPr>
                            <w:ilvl w:val="0"/>
                            <w:numId w:val="20"/>
                          </w:numPr>
                          <w:ind w:left="270" w:hanging="270"/>
                          <w:rPr>
                            <w:rFonts w:asciiTheme="minorHAnsi" w:hAnsiTheme="minorHAnsi" w:cstheme="minorHAnsi"/>
                            <w:i/>
                            <w:sz w:val="18"/>
                            <w:szCs w:val="18"/>
                            <w:lang w:val="fr-FR"/>
                          </w:rPr>
                        </w:pPr>
                        <w:r w:rsidRPr="00510AB6">
                          <w:rPr>
                            <w:rFonts w:asciiTheme="minorHAnsi" w:hAnsiTheme="minorHAnsi" w:cstheme="minorHAnsi"/>
                            <w:i/>
                            <w:sz w:val="18"/>
                            <w:szCs w:val="18"/>
                            <w:lang w:val="fr-FR"/>
                          </w:rPr>
                          <w:t>Soulève les problèmes</w:t>
                        </w:r>
                      </w:p>
                      <w:p w:rsidR="00E46B31" w:rsidRPr="00510AB6" w:rsidRDefault="00E46B31" w:rsidP="0038607C">
                        <w:pPr>
                          <w:numPr>
                            <w:ilvl w:val="0"/>
                            <w:numId w:val="20"/>
                          </w:numPr>
                          <w:ind w:left="270" w:hanging="270"/>
                          <w:rPr>
                            <w:rFonts w:asciiTheme="minorHAnsi" w:hAnsiTheme="minorHAnsi" w:cstheme="minorHAnsi"/>
                            <w:i/>
                            <w:sz w:val="18"/>
                            <w:szCs w:val="18"/>
                            <w:lang w:val="fr-FR"/>
                          </w:rPr>
                        </w:pPr>
                        <w:r>
                          <w:rPr>
                            <w:rFonts w:asciiTheme="minorHAnsi" w:hAnsiTheme="minorHAnsi" w:cstheme="minorHAnsi"/>
                            <w:i/>
                            <w:sz w:val="18"/>
                            <w:szCs w:val="18"/>
                            <w:lang w:val="fr-FR"/>
                          </w:rPr>
                          <w:t>R</w:t>
                        </w:r>
                        <w:r w:rsidRPr="00510AB6">
                          <w:rPr>
                            <w:rFonts w:asciiTheme="minorHAnsi" w:hAnsiTheme="minorHAnsi" w:cstheme="minorHAnsi"/>
                            <w:i/>
                            <w:sz w:val="18"/>
                            <w:szCs w:val="18"/>
                            <w:lang w:val="fr-FR"/>
                          </w:rPr>
                          <w:t>ecommande les solutions</w:t>
                        </w:r>
                        <w:r>
                          <w:rPr>
                            <w:rFonts w:asciiTheme="minorHAnsi" w:hAnsiTheme="minorHAnsi" w:cstheme="minorHAnsi"/>
                            <w:i/>
                            <w:sz w:val="18"/>
                            <w:szCs w:val="18"/>
                            <w:lang w:val="fr-FR"/>
                          </w:rPr>
                          <w:t xml:space="preserve"> auprès du CGP</w:t>
                        </w:r>
                      </w:p>
                    </w:txbxContent>
                  </v:textbox>
                </v:shape>
                <v:group id="Gruppieren 25" o:spid="_x0000_s1045" style="position:absolute;left:14507;top:3827;width:10757;height:11436" coordorigin="1448,1799" coordsize="7679,9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Gerade Verbindung 26" o:spid="_x0000_s1046" style="position:absolute;flip:x;visibility:visible;mso-wrap-style:square" from="1448,10865" to="9127,10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RtcMAAADbAAAADwAAAGRycy9kb3ducmV2LnhtbESPQUvDQBSE70L/w/IK3uymBavEbost&#10;CLkIbSqeH9nXJDX7Nuy+JvHfu4LgcZiZb5jNbnKdGijE1rOB5SIDRVx523Jt4OP89vAMKgqyxc4z&#10;GfimCLvt7G6DufUjn2gopVYJwjFHA41In2sdq4YcxoXviZN38cGhJBlqbQOOCe46vcqytXbYclpo&#10;sKdDQ9VXeXMGPh+vw744nG5neQqFlMejvNvRmPv59PoCSmiS//Bfu7AGVmv4/ZJ+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cUbXDAAAA2wAAAA8AAAAAAAAAAAAA&#10;AAAAoQIAAGRycy9kb3ducmV2LnhtbFBLBQYAAAAABAAEAPkAAACRAwAAAAA=&#10;" strokecolor="#9bbb59 [3206]" strokeweight="3pt">
                    <v:shadow on="t" color="black" opacity="22937f" origin=",.5" offset="0,.63889mm"/>
                  </v:line>
                  <v:line id="Gerade Verbindung 27" o:spid="_x0000_s1047" style="position:absolute;flip:y;visibility:visible;mso-wrap-style:square" from="1528,1836" to="1528,10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D0LsMAAADbAAAADwAAAGRycy9kb3ducmV2LnhtbESPQUvDQBSE70L/w/IK3uymBa3Ebost&#10;CLkIbSqeH9nXJDX7Nuy+JvHfu4LgcZiZb5jNbnKdGijE1rOB5SIDRVx523Jt4OP89vAMKgqyxc4z&#10;GfimCLvt7G6DufUjn2gopVYJwjFHA41In2sdq4YcxoXviZN38cGhJBlqbQOOCe46vcqyJ+2w5bTQ&#10;YE+Hhqqv8uYMfD5eh31xON3Osg6FlMejvNvRmPv59PoCSmiS//Bfu7AGVmv4/ZJ+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Q9C7DAAAA2wAAAA8AAAAAAAAAAAAA&#10;AAAAoQIAAGRycy9kb3ducmV2LnhtbFBLBQYAAAAABAAEAPkAAACRAwAAAAA=&#10;" strokecolor="#9bbb59 [3206]" strokeweight="3pt">
                    <v:shadow on="t" color="black" opacity="22937f" origin=",.5" offset="0,.63889mm"/>
                  </v:line>
                  <v:line id="Gerade Verbindung 28" o:spid="_x0000_s1048" style="position:absolute;visibility:visible;mso-wrap-style:square" from="1448,1799" to="9127,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0p9r8AAADbAAAADwAAAGRycy9kb3ducmV2LnhtbERPy4rCMBTdD/gP4QruNLUL0WoUEYRC&#10;F+IDwd2lubbV5qYkUTt/P1kIszyc92rTm1a8yfnGsoLpJAFBXFrdcKXgct6P5yB8QNbYWiYFv+Rh&#10;sx78rDDT9sNHep9CJWII+wwV1CF0mZS+rMmgn9iOOHJ36wyGCF0ltcNPDDetTJNkJg02HBtq7GhX&#10;U/k8vYyCx9bN84OxdMjT6eJRXJ2/3QulRsN+uwQRqA//4q871wrSODZ+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0p9r8AAADbAAAADwAAAAAAAAAAAAAAAACh&#10;AgAAZHJzL2Rvd25yZXYueG1sUEsFBgAAAAAEAAQA+QAAAI0DAAAAAA==&#10;" strokecolor="#9bbb59 [3206]" strokeweight="3pt">
                    <v:stroke endarrow="block"/>
                    <v:shadow on="t" color="black" opacity="22937f" origin=",.5" offset="0,.63889mm"/>
                  </v:line>
                </v:group>
                <v:shape id="_x0000_s1049" type="#_x0000_t202" style="position:absolute;left:1223;top:5053;width:24134;height:6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6tsQA&#10;AADbAAAADwAAAGRycy9kb3ducmV2LnhtbESPzWrDMBCE74W8g9hAb41sE0xxI5skUAg9BOrmktti&#10;rX+otXIs1Xb79FGh0OMwM98wu2IxvZhodJ1lBfEmAkFcWd1xo+Dy8fr0DMJ5ZI29ZVLwTQ6KfPWw&#10;w0zbmd9pKn0jAoRdhgpa74dMSle1ZNBt7EAcvNqOBn2QYyP1iHOAm14mUZRKgx2HhRYHOrZUfZZf&#10;RkGH9RDTz+l6rrYHmt7i2xz1qVKP62X/AsLT4v/Df+2TVpBs4f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0urbEAAAA2wAAAA8AAAAAAAAAAAAAAAAAmAIAAGRycy9k&#10;b3ducmV2LnhtbFBLBQYAAAAABAAEAPUAAACJAwAAAAA=&#10;" strokecolor="#bfbfbf [2412]">
                  <v:stroke dashstyle="1 1"/>
                  <v:textbox>
                    <w:txbxContent>
                      <w:p w:rsidR="00E46B31" w:rsidRPr="00462DC0" w:rsidRDefault="00E46B31" w:rsidP="0038607C">
                        <w:pPr>
                          <w:numPr>
                            <w:ilvl w:val="0"/>
                            <w:numId w:val="20"/>
                          </w:numPr>
                          <w:ind w:left="270" w:hanging="270"/>
                          <w:rPr>
                            <w:rFonts w:asciiTheme="minorHAnsi" w:hAnsiTheme="minorHAnsi" w:cstheme="minorHAnsi"/>
                            <w:i/>
                            <w:sz w:val="18"/>
                            <w:szCs w:val="18"/>
                            <w:lang w:val="fr-FR"/>
                          </w:rPr>
                        </w:pPr>
                        <w:r w:rsidRPr="00462DC0">
                          <w:rPr>
                            <w:rFonts w:asciiTheme="minorHAnsi" w:hAnsiTheme="minorHAnsi" w:cstheme="minorHAnsi"/>
                            <w:i/>
                            <w:sz w:val="18"/>
                            <w:szCs w:val="18"/>
                            <w:lang w:val="fr-FR"/>
                          </w:rPr>
                          <w:t>Rend compte des progrès</w:t>
                        </w:r>
                      </w:p>
                      <w:p w:rsidR="00E46B31" w:rsidRDefault="00E46B31" w:rsidP="0038607C">
                        <w:pPr>
                          <w:numPr>
                            <w:ilvl w:val="0"/>
                            <w:numId w:val="20"/>
                          </w:numPr>
                          <w:ind w:left="270" w:hanging="270"/>
                          <w:rPr>
                            <w:rFonts w:asciiTheme="minorHAnsi" w:hAnsiTheme="minorHAnsi" w:cstheme="minorHAnsi"/>
                            <w:i/>
                            <w:sz w:val="18"/>
                            <w:szCs w:val="18"/>
                            <w:lang w:val="fr-FR"/>
                          </w:rPr>
                        </w:pPr>
                        <w:r w:rsidRPr="00462DC0">
                          <w:rPr>
                            <w:rFonts w:asciiTheme="minorHAnsi" w:hAnsiTheme="minorHAnsi" w:cstheme="minorHAnsi"/>
                            <w:i/>
                            <w:sz w:val="18"/>
                            <w:szCs w:val="18"/>
                            <w:lang w:val="fr-FR"/>
                          </w:rPr>
                          <w:t xml:space="preserve">Soulève les problèmes </w:t>
                        </w:r>
                      </w:p>
                      <w:p w:rsidR="00E46B31" w:rsidRDefault="00E46B31" w:rsidP="0038607C">
                        <w:pPr>
                          <w:numPr>
                            <w:ilvl w:val="0"/>
                            <w:numId w:val="20"/>
                          </w:numPr>
                          <w:ind w:left="270" w:hanging="270"/>
                          <w:rPr>
                            <w:rFonts w:asciiTheme="minorHAnsi" w:hAnsiTheme="minorHAnsi" w:cstheme="minorHAnsi"/>
                            <w:i/>
                            <w:sz w:val="18"/>
                            <w:szCs w:val="18"/>
                            <w:lang w:val="fr-FR"/>
                          </w:rPr>
                        </w:pPr>
                        <w:r>
                          <w:rPr>
                            <w:rFonts w:asciiTheme="minorHAnsi" w:hAnsiTheme="minorHAnsi" w:cstheme="minorHAnsi"/>
                            <w:i/>
                            <w:sz w:val="18"/>
                            <w:szCs w:val="18"/>
                            <w:lang w:val="fr-FR"/>
                          </w:rPr>
                          <w:t>R</w:t>
                        </w:r>
                        <w:r w:rsidRPr="00462DC0">
                          <w:rPr>
                            <w:rFonts w:asciiTheme="minorHAnsi" w:hAnsiTheme="minorHAnsi" w:cstheme="minorHAnsi"/>
                            <w:i/>
                            <w:sz w:val="18"/>
                            <w:szCs w:val="18"/>
                            <w:lang w:val="fr-FR"/>
                          </w:rPr>
                          <w:t>ecommande les solutions auprès du CNP</w:t>
                        </w:r>
                      </w:p>
                      <w:p w:rsidR="00E46B31" w:rsidRPr="00462DC0" w:rsidRDefault="00E46B31" w:rsidP="0038607C">
                        <w:pPr>
                          <w:numPr>
                            <w:ilvl w:val="0"/>
                            <w:numId w:val="20"/>
                          </w:numPr>
                          <w:ind w:left="270" w:hanging="270"/>
                          <w:rPr>
                            <w:rFonts w:asciiTheme="minorHAnsi" w:hAnsiTheme="minorHAnsi" w:cstheme="minorHAnsi"/>
                            <w:i/>
                            <w:sz w:val="18"/>
                            <w:szCs w:val="18"/>
                            <w:lang w:val="fr-FR"/>
                          </w:rPr>
                        </w:pPr>
                        <w:r>
                          <w:rPr>
                            <w:rFonts w:asciiTheme="minorHAnsi" w:hAnsiTheme="minorHAnsi" w:cstheme="minorHAnsi"/>
                            <w:i/>
                            <w:sz w:val="18"/>
                            <w:szCs w:val="18"/>
                            <w:lang w:val="fr-FR"/>
                          </w:rPr>
                          <w:t>Recommande l’approbation du PT, budget</w:t>
                        </w:r>
                      </w:p>
                    </w:txbxContent>
                  </v:textbox>
                </v:shape>
                <v:shape id="_x0000_s1050" type="#_x0000_t202" style="position:absolute;left:41201;width:21193;height:9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QZusQA&#10;AADbAAAADwAAAGRycy9kb3ducmV2LnhtbESPT2vCQBTE7wW/w/KE3urGHERTVymCUIo5xErB2yP7&#10;mg1m38bs5k+/vVso9DjMzG+Y7X6yjRio87VjBctFAoK4dLrmSsHl8/iyBuEDssbGMSn4IQ/73exp&#10;i5l2Ixc0nEMlIoR9hgpMCG0mpS8NWfQL1xJH79t1FkOUXSV1h2OE20amSbKSFmuOCwZbOhgqb+fe&#10;KuD0eu+/Nh/X22U0Ns2NOTV5odTzfHp7BRFoCv/hv/a7VpBu4PdL/AFy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0GbrEAAAA2wAAAA8AAAAAAAAAAAAAAAAAmAIAAGRycy9k&#10;b3ducmV2LnhtbFBLBQYAAAAABAAEAPUAAACJAwAAAAA=&#10;" fillcolor="white [3201]" strokecolor="#c0504d [3205]" strokeweight="2pt">
                  <v:textbox>
                    <w:txbxContent>
                      <w:p w:rsidR="00E46B31" w:rsidRPr="00462DC0" w:rsidRDefault="00E46B31" w:rsidP="00462DC0">
                        <w:pPr>
                          <w:jc w:val="center"/>
                          <w:rPr>
                            <w:rFonts w:asciiTheme="minorHAnsi" w:hAnsiTheme="minorHAnsi" w:cstheme="minorHAnsi"/>
                            <w:i/>
                            <w:sz w:val="18"/>
                            <w:szCs w:val="18"/>
                            <w:u w:val="single"/>
                            <w:lang w:val="fr-FR"/>
                          </w:rPr>
                        </w:pPr>
                        <w:r w:rsidRPr="00462DC0">
                          <w:rPr>
                            <w:rFonts w:asciiTheme="minorHAnsi" w:hAnsiTheme="minorHAnsi" w:cstheme="minorHAnsi"/>
                            <w:i/>
                            <w:sz w:val="18"/>
                            <w:szCs w:val="18"/>
                            <w:u w:val="single"/>
                            <w:lang w:val="fr-FR"/>
                          </w:rPr>
                          <w:t>Pouvoirs décisionnels :</w:t>
                        </w:r>
                      </w:p>
                      <w:p w:rsidR="00E46B31" w:rsidRPr="00900231" w:rsidRDefault="00E46B31" w:rsidP="0038607C">
                        <w:pPr>
                          <w:numPr>
                            <w:ilvl w:val="0"/>
                            <w:numId w:val="21"/>
                          </w:numPr>
                          <w:ind w:left="360" w:hanging="270"/>
                          <w:rPr>
                            <w:rFonts w:asciiTheme="minorHAnsi" w:hAnsiTheme="minorHAnsi" w:cstheme="minorHAnsi"/>
                            <w:i/>
                            <w:sz w:val="18"/>
                            <w:szCs w:val="18"/>
                            <w:lang w:val="fr-FR"/>
                          </w:rPr>
                        </w:pPr>
                        <w:r w:rsidRPr="00900231">
                          <w:rPr>
                            <w:rFonts w:asciiTheme="minorHAnsi" w:hAnsiTheme="minorHAnsi" w:cstheme="minorHAnsi"/>
                            <w:i/>
                            <w:sz w:val="18"/>
                            <w:szCs w:val="18"/>
                            <w:lang w:val="fr-FR"/>
                          </w:rPr>
                          <w:t>Approuve le PT, budget, etc.</w:t>
                        </w:r>
                      </w:p>
                      <w:p w:rsidR="00E46B31" w:rsidRPr="00900231" w:rsidRDefault="00E46B31" w:rsidP="0038607C">
                        <w:pPr>
                          <w:numPr>
                            <w:ilvl w:val="0"/>
                            <w:numId w:val="21"/>
                          </w:numPr>
                          <w:ind w:left="360" w:hanging="270"/>
                          <w:rPr>
                            <w:rFonts w:asciiTheme="minorHAnsi" w:hAnsiTheme="minorHAnsi" w:cstheme="minorHAnsi"/>
                            <w:i/>
                            <w:sz w:val="18"/>
                            <w:szCs w:val="18"/>
                            <w:lang w:val="fr-FR"/>
                          </w:rPr>
                        </w:pPr>
                        <w:r w:rsidRPr="00900231">
                          <w:rPr>
                            <w:rFonts w:asciiTheme="minorHAnsi" w:hAnsiTheme="minorHAnsi" w:cstheme="minorHAnsi"/>
                            <w:i/>
                            <w:sz w:val="18"/>
                            <w:szCs w:val="18"/>
                            <w:lang w:val="fr-FR"/>
                          </w:rPr>
                          <w:t>Approuve les modifications de la conception</w:t>
                        </w:r>
                      </w:p>
                      <w:p w:rsidR="00E46B31" w:rsidRPr="00900231" w:rsidRDefault="00E46B31" w:rsidP="0038607C">
                        <w:pPr>
                          <w:numPr>
                            <w:ilvl w:val="0"/>
                            <w:numId w:val="21"/>
                          </w:numPr>
                          <w:ind w:left="360" w:hanging="270"/>
                          <w:rPr>
                            <w:rFonts w:asciiTheme="minorHAnsi" w:hAnsiTheme="minorHAnsi" w:cstheme="minorHAnsi"/>
                            <w:i/>
                            <w:sz w:val="18"/>
                            <w:szCs w:val="18"/>
                            <w:lang w:val="fr-FR"/>
                          </w:rPr>
                        </w:pPr>
                        <w:r w:rsidRPr="00900231">
                          <w:rPr>
                            <w:rFonts w:asciiTheme="minorHAnsi" w:hAnsiTheme="minorHAnsi" w:cstheme="minorHAnsi"/>
                            <w:i/>
                            <w:sz w:val="18"/>
                            <w:szCs w:val="18"/>
                            <w:lang w:val="fr-FR"/>
                          </w:rPr>
                          <w:t>Approuve les réallocations budgétaires (+/- 20%)</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0" o:spid="_x0000_s1051" type="#_x0000_t13" style="position:absolute;left:38512;top:3872;width:2908;height:2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eFJMEA&#10;AADbAAAADwAAAGRycy9kb3ducmV2LnhtbERPTWvCQBC9C/6HZQRvZmOFItFVJBiotBTUIHgbs2MS&#10;zM6G7BrTf989FHp8vO/1djCN6KlztWUF8ygGQVxYXXOpID9nsyUI55E1NpZJwQ852G7GozUm2r74&#10;SP3JlyKEsEtQQeV9m0jpiooMusi2xIG7286gD7Arpe7wFcJNI9/i+F0arDk0VNhSWlHxOD2Ngvv3&#10;Is32h4v76k3Ph1sdf145V2o6GXYrEJ4G/y/+c39oBYuwPnw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XhSTBAAAA2wAAAA8AAAAAAAAAAAAAAAAAmAIAAGRycy9kb3du&#10;cmV2LnhtbFBLBQYAAAAABAAEAPUAAACGAwAAAAA=&#10;" adj="10824,5178" fillcolor="#ffc000" strokecolor="#ffc000" strokeweight="2pt"/>
                <v:shape id="Pfeil nach rechts 31" o:spid="_x0000_s1052" type="#_x0000_t13" style="position:absolute;left:38835;top:14630;width:2908;height:2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gv8QA&#10;AADbAAAADwAAAGRycy9kb3ducmV2LnhtbESPQWvCQBSE7wX/w/IEb82uFUqJriKiULEUqkHw9sw+&#10;k2D2bciuMf77bqHgcZiZb5jZore16Kj1lWMN40SBIM6dqbjQkB02rx8gfEA2WDsmDQ/ysJgPXmaY&#10;GnfnH+r2oRARwj5FDWUITSqlz0uy6BPXEEfv4lqLIcq2kKbFe4TbWr4p9S4tVhwXSmxoVVJ+3d+s&#10;hsv3ZLVZb4/+q7Mdb8+V2p0403o07JdTEIH68Az/tz+NhskY/r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bIL/EAAAA2wAAAA8AAAAAAAAAAAAAAAAAmAIAAGRycy9k&#10;b3ducmV2LnhtbFBLBQYAAAAABAAEAPUAAACJAwAAAAA=&#10;" adj="10824,5178" fillcolor="#ffc000" strokecolor="#ffc000" strokeweight="2pt"/>
                <v:shape id="Pfeil nach rechts 288" o:spid="_x0000_s1053" type="#_x0000_t13" style="position:absolute;left:38512;top:26894;width:2908;height:2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TisEA&#10;AADcAAAADwAAAGRycy9kb3ducmV2LnhtbERPTYvCMBC9C/6HMII3TVdBpDaVRRQURdCVBW+zzdiW&#10;bSalibX+e3MQPD7ed7LsTCVaalxpWcHXOAJBnFldcq7g8rMZzUE4j6yxskwKnuRgmfZ7CcbaPvhE&#10;7dnnIoSwi1FB4X0dS+myggy6sa2JA3ezjUEfYJNL3eAjhJtKTqJoJg2WHBoKrGlVUPZ/vhsFt+N0&#10;tVnvft2hNS3v/spof+WLUsNB970A4anzH/HbvdUKJvOwNpwJR0C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5E4rBAAAA3AAAAA8AAAAAAAAAAAAAAAAAmAIAAGRycy9kb3du&#10;cmV2LnhtbFBLBQYAAAAABAAEAPUAAACGAwAAAAA=&#10;" adj="10824,5178" fillcolor="#ffc000" strokecolor="#ffc000" strokeweight="2pt"/>
              </v:group>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24765</wp:posOffset>
                </wp:positionH>
                <wp:positionV relativeFrom="paragraph">
                  <wp:posOffset>65405</wp:posOffset>
                </wp:positionV>
                <wp:extent cx="6077585" cy="3721735"/>
                <wp:effectExtent l="0" t="0" r="18415" b="12065"/>
                <wp:wrapNone/>
                <wp:docPr id="289" name="Rechteck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7585" cy="372173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hteck 289" o:spid="_x0000_s1026" style="position:absolute;margin-left:1.95pt;margin-top:5.15pt;width:478.55pt;height:29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" filled="f" strokecolor="black [3213]" strokeweight="1.25pt">
                <v:path arrowok="t"/>
              </v:rect>
            </w:pict>
          </mc:Fallback>
        </mc:AlternateContent>
      </w:r>
    </w:p>
    <w:p w:rsidR="00236271" w:rsidRDefault="00236271" w:rsidP="00236271">
      <w:pPr>
        <w:pStyle w:val="NoSpacing"/>
        <w:ind w:left="990" w:hanging="360"/>
        <w:rPr>
          <w:lang w:val="fr-FR"/>
        </w:rPr>
      </w:pPr>
    </w:p>
    <w:p w:rsidR="00236271" w:rsidRDefault="00236271" w:rsidP="00236271">
      <w:pPr>
        <w:pStyle w:val="NoSpacing"/>
        <w:ind w:left="990" w:hanging="360"/>
        <w:rPr>
          <w:lang w:val="fr-FR"/>
        </w:rPr>
      </w:pPr>
    </w:p>
    <w:p w:rsidR="00236271" w:rsidRDefault="00236271" w:rsidP="00236271">
      <w:pPr>
        <w:pStyle w:val="NoSpacing"/>
        <w:ind w:left="990" w:hanging="360"/>
        <w:rPr>
          <w:lang w:val="fr-FR"/>
        </w:rPr>
      </w:pPr>
    </w:p>
    <w:p w:rsidR="00EC13CE" w:rsidRDefault="00EC13CE" w:rsidP="00EC13CE">
      <w:pPr>
        <w:pStyle w:val="NoSpacing"/>
        <w:ind w:left="990" w:hanging="360"/>
        <w:rPr>
          <w:lang w:val="fr-FR"/>
        </w:rPr>
      </w:pPr>
    </w:p>
    <w:p w:rsidR="00236271" w:rsidRDefault="00236271" w:rsidP="00236271">
      <w:pPr>
        <w:pStyle w:val="NoSpacing"/>
        <w:ind w:left="990" w:hanging="360"/>
        <w:rPr>
          <w:lang w:val="fr-FR"/>
        </w:rPr>
      </w:pPr>
    </w:p>
    <w:p w:rsidR="00236271" w:rsidRDefault="00236271" w:rsidP="00236271">
      <w:pPr>
        <w:pStyle w:val="NoSpacing"/>
        <w:ind w:left="990" w:hanging="360"/>
        <w:rPr>
          <w:lang w:val="fr-FR"/>
        </w:rPr>
      </w:pPr>
    </w:p>
    <w:p w:rsidR="00236271" w:rsidRDefault="00236271" w:rsidP="00236271">
      <w:pPr>
        <w:pStyle w:val="NoSpacing"/>
        <w:ind w:left="990" w:hanging="360"/>
        <w:rPr>
          <w:lang w:val="fr-FR"/>
        </w:rPr>
      </w:pPr>
    </w:p>
    <w:p w:rsidR="00236271" w:rsidRDefault="00236271" w:rsidP="00236271">
      <w:pPr>
        <w:pStyle w:val="NoSpacing"/>
        <w:ind w:left="990" w:hanging="360"/>
        <w:rPr>
          <w:lang w:val="fr-FR"/>
        </w:rPr>
      </w:pPr>
    </w:p>
    <w:p w:rsidR="00236271" w:rsidRDefault="00236271" w:rsidP="00236271">
      <w:pPr>
        <w:pStyle w:val="NoSpacing"/>
        <w:ind w:left="990" w:hanging="360"/>
        <w:rPr>
          <w:lang w:val="fr-FR"/>
        </w:rPr>
      </w:pPr>
    </w:p>
    <w:p w:rsidR="00236271" w:rsidRDefault="00236271" w:rsidP="00236271">
      <w:pPr>
        <w:pStyle w:val="NoSpacing"/>
        <w:ind w:left="990" w:hanging="360"/>
        <w:rPr>
          <w:lang w:val="fr-FR"/>
        </w:rPr>
      </w:pPr>
    </w:p>
    <w:p w:rsidR="00236271" w:rsidRDefault="00236271" w:rsidP="00236271">
      <w:pPr>
        <w:pStyle w:val="NoSpacing"/>
        <w:ind w:left="990" w:hanging="360"/>
        <w:rPr>
          <w:lang w:val="fr-FR"/>
        </w:rPr>
      </w:pPr>
    </w:p>
    <w:p w:rsidR="00236271" w:rsidRDefault="00236271" w:rsidP="00236271">
      <w:pPr>
        <w:pStyle w:val="NoSpacing"/>
        <w:ind w:left="990" w:hanging="360"/>
        <w:rPr>
          <w:lang w:val="fr-FR"/>
        </w:rPr>
      </w:pPr>
    </w:p>
    <w:p w:rsidR="00462DC0" w:rsidRDefault="00462DC0" w:rsidP="00462DC0">
      <w:pPr>
        <w:pStyle w:val="NoSpacing"/>
        <w:rPr>
          <w:lang w:val="fr-FR"/>
        </w:rPr>
      </w:pPr>
    </w:p>
    <w:p w:rsidR="00F36DCE" w:rsidRDefault="00F36DCE" w:rsidP="00462DC0">
      <w:pPr>
        <w:pStyle w:val="NoSpacing"/>
        <w:rPr>
          <w:lang w:val="fr-FR"/>
        </w:rPr>
      </w:pPr>
    </w:p>
    <w:p w:rsidR="00F36DCE" w:rsidRDefault="00F36DCE" w:rsidP="00462DC0">
      <w:pPr>
        <w:pStyle w:val="NoSpacing"/>
        <w:rPr>
          <w:lang w:val="fr-FR"/>
        </w:rPr>
      </w:pPr>
    </w:p>
    <w:p w:rsidR="00F36DCE" w:rsidRPr="00F36DCE" w:rsidRDefault="00F36DCE" w:rsidP="00F36DCE">
      <w:pPr>
        <w:pStyle w:val="NoSpacing"/>
        <w:numPr>
          <w:ilvl w:val="0"/>
          <w:numId w:val="1"/>
        </w:numPr>
        <w:ind w:left="0" w:firstLine="0"/>
        <w:rPr>
          <w:szCs w:val="22"/>
          <w:lang w:val="fr-CA"/>
        </w:rPr>
      </w:pPr>
      <w:r w:rsidRPr="00F36DCE">
        <w:rPr>
          <w:lang w:val="fr-FR"/>
        </w:rPr>
        <w:t>On verra que dans le cas du programme conjoint, ce modèle n’a pu fonctionner correctement.</w:t>
      </w:r>
      <w:r w:rsidRPr="00F36DCE">
        <w:rPr>
          <w:lang w:val="fr-FR"/>
        </w:rPr>
        <w:br w:type="page"/>
      </w:r>
    </w:p>
    <w:p w:rsidR="009B3B1B" w:rsidRPr="000B4F72" w:rsidRDefault="009F55B6" w:rsidP="0038607C">
      <w:pPr>
        <w:pStyle w:val="UNDPTitle1"/>
        <w:numPr>
          <w:ilvl w:val="1"/>
          <w:numId w:val="6"/>
        </w:numPr>
        <w:outlineLvl w:val="2"/>
        <w:rPr>
          <w:color w:val="auto"/>
        </w:rPr>
      </w:pPr>
      <w:bookmarkStart w:id="28" w:name="_Toc322342018"/>
      <w:r w:rsidRPr="000B4F72">
        <w:rPr>
          <w:color w:val="auto"/>
        </w:rPr>
        <w:lastRenderedPageBreak/>
        <w:t>La surveillance et le pilotage</w:t>
      </w:r>
      <w:bookmarkEnd w:id="28"/>
    </w:p>
    <w:p w:rsidR="000B4F72" w:rsidRDefault="003606A3" w:rsidP="00F36DCE">
      <w:pPr>
        <w:pStyle w:val="NoSpacing"/>
        <w:numPr>
          <w:ilvl w:val="0"/>
          <w:numId w:val="1"/>
        </w:numPr>
        <w:ind w:left="0" w:firstLine="0"/>
        <w:rPr>
          <w:lang w:val="fr-CA"/>
        </w:rPr>
      </w:pPr>
      <w:r w:rsidRPr="000B4F72">
        <w:rPr>
          <w:b/>
          <w:lang w:val="fr-CA"/>
        </w:rPr>
        <w:t xml:space="preserve">Le </w:t>
      </w:r>
      <w:r w:rsidR="00B53C13">
        <w:rPr>
          <w:b/>
          <w:lang w:val="fr-CA"/>
        </w:rPr>
        <w:t>Comité National</w:t>
      </w:r>
      <w:r w:rsidRPr="000B4F72">
        <w:rPr>
          <w:b/>
          <w:lang w:val="fr-CA"/>
        </w:rPr>
        <w:t xml:space="preserve"> de Pilotage</w:t>
      </w:r>
      <w:r w:rsidR="000B4F72" w:rsidRPr="000B4F72">
        <w:rPr>
          <w:lang w:val="fr-CA"/>
        </w:rPr>
        <w:t>.</w:t>
      </w:r>
      <w:r w:rsidR="000B4F72">
        <w:rPr>
          <w:lang w:val="fr-CA"/>
        </w:rPr>
        <w:t xml:space="preserve"> Conformément aux procédures du </w:t>
      </w:r>
      <w:r w:rsidR="00B62C7A">
        <w:rPr>
          <w:lang w:val="fr-CA"/>
        </w:rPr>
        <w:t>Fonds-OMD</w:t>
      </w:r>
      <w:r w:rsidR="000B4F72">
        <w:rPr>
          <w:lang w:val="fr-CA"/>
        </w:rPr>
        <w:t xml:space="preserve"> et des stipulations du document de projet, un Comité National de Pilotage a été mis en place. </w:t>
      </w:r>
      <w:r w:rsidR="0022592C">
        <w:rPr>
          <w:lang w:val="fr-CA"/>
        </w:rPr>
        <w:t>Composé du Coordonnateur R</w:t>
      </w:r>
      <w:r w:rsidRPr="000B4F72">
        <w:rPr>
          <w:lang w:val="fr-CA"/>
        </w:rPr>
        <w:t xml:space="preserve">ésident du système des Nations Unies en Algérie (SNU) (également Co-Président du CNP), du Sous-Directeur du Développement Social à la Direction Générale des Affaires Politiques et de Sécurité </w:t>
      </w:r>
      <w:r w:rsidRPr="004E01D2">
        <w:rPr>
          <w:lang w:val="fr-FR"/>
        </w:rPr>
        <w:t>Internationales</w:t>
      </w:r>
      <w:r w:rsidRPr="000B4F72">
        <w:rPr>
          <w:lang w:val="fr-CA"/>
        </w:rPr>
        <w:t xml:space="preserve"> du MAE (autre Co-Président du CNP) et du Coordonnateur Général de l’Agence Espagnole pour la Coopération Int</w:t>
      </w:r>
      <w:r w:rsidR="00812186">
        <w:rPr>
          <w:lang w:val="fr-CA"/>
        </w:rPr>
        <w:t>ernationale au Développement (</w:t>
      </w:r>
      <w:r w:rsidRPr="000B4F72">
        <w:rPr>
          <w:lang w:val="fr-CA"/>
        </w:rPr>
        <w:t>AECID</w:t>
      </w:r>
      <w:r w:rsidR="00812186">
        <w:rPr>
          <w:lang w:val="fr-CA"/>
        </w:rPr>
        <w:t>)</w:t>
      </w:r>
      <w:r w:rsidRPr="000B4F72">
        <w:rPr>
          <w:lang w:val="fr-CA"/>
        </w:rPr>
        <w:t xml:space="preserve">, le CNP s’est réuni </w:t>
      </w:r>
      <w:r w:rsidR="000B4F72">
        <w:rPr>
          <w:lang w:val="fr-CA"/>
        </w:rPr>
        <w:t>quatre</w:t>
      </w:r>
      <w:r w:rsidRPr="000B4F72">
        <w:rPr>
          <w:lang w:val="fr-CA"/>
        </w:rPr>
        <w:t xml:space="preserve"> fois depuis le démarrage du programme</w:t>
      </w:r>
      <w:r w:rsidR="000B4F72" w:rsidRPr="000B4F72">
        <w:rPr>
          <w:vertAlign w:val="superscript"/>
          <w:lang w:val="fr-CA"/>
        </w:rPr>
        <w:footnoteReference w:id="71"/>
      </w:r>
      <w:r w:rsidR="000B4F72" w:rsidRPr="000B4F72">
        <w:rPr>
          <w:lang w:val="fr-CA"/>
        </w:rPr>
        <w:t xml:space="preserve"> en la présence de partenaires du programme conviés à titre consultatif. </w:t>
      </w:r>
    </w:p>
    <w:p w:rsidR="004258E3" w:rsidRDefault="00812186" w:rsidP="00F36DCE">
      <w:pPr>
        <w:pStyle w:val="NoSpacing"/>
        <w:numPr>
          <w:ilvl w:val="0"/>
          <w:numId w:val="1"/>
        </w:numPr>
        <w:ind w:left="0" w:firstLine="0"/>
        <w:rPr>
          <w:lang w:val="fr-CA"/>
        </w:rPr>
      </w:pPr>
      <w:r w:rsidRPr="004258E3">
        <w:rPr>
          <w:lang w:val="fr-CA"/>
        </w:rPr>
        <w:t>La</w:t>
      </w:r>
      <w:r w:rsidR="000B4F72" w:rsidRPr="004258E3">
        <w:rPr>
          <w:lang w:val="fr-CA"/>
        </w:rPr>
        <w:t xml:space="preserve"> première réunion du CNP </w:t>
      </w:r>
      <w:r w:rsidR="00F549A5" w:rsidRPr="004258E3">
        <w:rPr>
          <w:lang w:val="fr-CA"/>
        </w:rPr>
        <w:t>n’a eu lieu en novembre 2009 (</w:t>
      </w:r>
      <w:r w:rsidR="000B4F72" w:rsidRPr="004258E3">
        <w:rPr>
          <w:lang w:val="fr-CA"/>
        </w:rPr>
        <w:t xml:space="preserve">soit </w:t>
      </w:r>
      <w:r w:rsidR="00F549A5" w:rsidRPr="004258E3">
        <w:rPr>
          <w:lang w:val="fr-CA"/>
        </w:rPr>
        <w:t>9</w:t>
      </w:r>
      <w:r w:rsidR="00A738D6" w:rsidRPr="004258E3">
        <w:rPr>
          <w:lang w:val="fr-CA"/>
        </w:rPr>
        <w:t xml:space="preserve"> </w:t>
      </w:r>
      <w:r w:rsidR="000B4F72" w:rsidRPr="004258E3">
        <w:rPr>
          <w:lang w:val="fr-CA"/>
        </w:rPr>
        <w:t>mois</w:t>
      </w:r>
      <w:r w:rsidR="00A738D6" w:rsidRPr="004258E3">
        <w:rPr>
          <w:lang w:val="fr-CA"/>
        </w:rPr>
        <w:t xml:space="preserve"> après la signature du document de projet</w:t>
      </w:r>
      <w:r w:rsidR="00F549A5" w:rsidRPr="004258E3">
        <w:rPr>
          <w:lang w:val="fr-CA"/>
        </w:rPr>
        <w:t>),</w:t>
      </w:r>
      <w:r w:rsidRPr="004258E3">
        <w:rPr>
          <w:lang w:val="fr-CA"/>
        </w:rPr>
        <w:t xml:space="preserve"> puis il faut attendre le mois de février 2011 (soit 12 </w:t>
      </w:r>
      <w:r w:rsidRPr="004258E3">
        <w:rPr>
          <w:lang w:val="fr-FR"/>
        </w:rPr>
        <w:t>mois</w:t>
      </w:r>
      <w:r w:rsidRPr="004258E3">
        <w:rPr>
          <w:lang w:val="fr-CA"/>
        </w:rPr>
        <w:t xml:space="preserve"> après la date </w:t>
      </w:r>
      <w:r w:rsidRPr="00D8742E">
        <w:rPr>
          <w:lang w:val="fr-FR"/>
        </w:rPr>
        <w:t>du</w:t>
      </w:r>
      <w:r w:rsidRPr="004258E3">
        <w:rPr>
          <w:lang w:val="fr-CA"/>
        </w:rPr>
        <w:t xml:space="preserve"> démarrage officiel du programme) pour que ne soit organisée</w:t>
      </w:r>
      <w:r w:rsidR="00A738D6" w:rsidRPr="004258E3">
        <w:rPr>
          <w:lang w:val="fr-CA"/>
        </w:rPr>
        <w:t xml:space="preserve"> </w:t>
      </w:r>
      <w:r w:rsidR="003606A3" w:rsidRPr="004258E3">
        <w:rPr>
          <w:lang w:val="fr-CA"/>
        </w:rPr>
        <w:t xml:space="preserve">la </w:t>
      </w:r>
      <w:r w:rsidR="00A738D6" w:rsidRPr="004258E3">
        <w:rPr>
          <w:lang w:val="fr-CA"/>
        </w:rPr>
        <w:t>deuxième</w:t>
      </w:r>
      <w:r w:rsidR="000B4F72" w:rsidRPr="004258E3">
        <w:rPr>
          <w:lang w:val="fr-CA"/>
        </w:rPr>
        <w:t xml:space="preserve"> </w:t>
      </w:r>
      <w:r w:rsidR="003606A3" w:rsidRPr="004258E3">
        <w:rPr>
          <w:lang w:val="fr-CA"/>
        </w:rPr>
        <w:t>réunion</w:t>
      </w:r>
      <w:r w:rsidRPr="004258E3">
        <w:rPr>
          <w:lang w:val="fr-CA"/>
        </w:rPr>
        <w:t>.</w:t>
      </w:r>
      <w:r w:rsidR="00A738D6" w:rsidRPr="004258E3">
        <w:rPr>
          <w:lang w:val="fr-CA"/>
        </w:rPr>
        <w:t xml:space="preserve"> </w:t>
      </w:r>
      <w:r w:rsidR="00F549A5" w:rsidRPr="004258E3">
        <w:rPr>
          <w:lang w:val="fr-CA"/>
        </w:rPr>
        <w:t>Ce long laps de temps a cert</w:t>
      </w:r>
      <w:r w:rsidR="004258E3" w:rsidRPr="004258E3">
        <w:rPr>
          <w:lang w:val="fr-CA"/>
        </w:rPr>
        <w:t xml:space="preserve">ainement été </w:t>
      </w:r>
      <w:r w:rsidR="004258E3" w:rsidRPr="00F36DCE">
        <w:rPr>
          <w:lang w:val="fr-FR"/>
        </w:rPr>
        <w:t>préjudiciable</w:t>
      </w:r>
      <w:r w:rsidR="004258E3" w:rsidRPr="004258E3">
        <w:rPr>
          <w:lang w:val="fr-CA"/>
        </w:rPr>
        <w:t xml:space="preserve"> à l’établissement rapide de la plateforme</w:t>
      </w:r>
      <w:r w:rsidR="0022592C">
        <w:rPr>
          <w:lang w:val="fr-CA"/>
        </w:rPr>
        <w:t xml:space="preserve"> de mise en œuvre du programme d’une part, et surtout n’a pas permis que le CNP apporte une guidance stratégique à la réorientation des activités trop complexes ou des activités qui n’étaient plus pertinente.</w:t>
      </w:r>
    </w:p>
    <w:p w:rsidR="00B9690E" w:rsidRPr="0022592C" w:rsidRDefault="0022592C" w:rsidP="00F36DCE">
      <w:pPr>
        <w:pStyle w:val="NoSpacing"/>
        <w:numPr>
          <w:ilvl w:val="0"/>
          <w:numId w:val="1"/>
        </w:numPr>
        <w:ind w:left="0" w:firstLine="0"/>
        <w:rPr>
          <w:lang w:val="fr-CA"/>
        </w:rPr>
      </w:pPr>
      <w:r>
        <w:rPr>
          <w:lang w:val="fr-CA"/>
        </w:rPr>
        <w:t>A</w:t>
      </w:r>
      <w:r w:rsidR="0020306B" w:rsidRPr="0022592C">
        <w:rPr>
          <w:lang w:val="fr-CA"/>
        </w:rPr>
        <w:t xml:space="preserve"> p</w:t>
      </w:r>
      <w:r w:rsidR="004258E3" w:rsidRPr="0022592C">
        <w:rPr>
          <w:lang w:val="fr-CA"/>
        </w:rPr>
        <w:t>artir de février 2011, on note une accélération de la cadence des réunions du CNP</w:t>
      </w:r>
      <w:r>
        <w:rPr>
          <w:lang w:val="fr-CA"/>
        </w:rPr>
        <w:t xml:space="preserve">. </w:t>
      </w:r>
      <w:r w:rsidR="0056006D">
        <w:rPr>
          <w:lang w:val="fr-CA"/>
        </w:rPr>
        <w:t>C</w:t>
      </w:r>
      <w:r w:rsidR="00B9690E" w:rsidRPr="0022592C">
        <w:rPr>
          <w:lang w:val="fr-CA"/>
        </w:rPr>
        <w:t xml:space="preserve">omme le montre le tableau ci-après qui fait le bilan de l’état d’application/suivi de chacune des recommandations formulées par le CNP depuis février 2011, </w:t>
      </w:r>
      <w:r>
        <w:rPr>
          <w:lang w:val="fr-CA"/>
        </w:rPr>
        <w:t>les</w:t>
      </w:r>
      <w:r w:rsidR="00B9690E" w:rsidRPr="0022592C">
        <w:rPr>
          <w:lang w:val="fr-CA"/>
        </w:rPr>
        <w:t xml:space="preserve"> </w:t>
      </w:r>
      <w:r w:rsidR="00B9690E" w:rsidRPr="00D8742E">
        <w:rPr>
          <w:lang w:val="fr-FR"/>
        </w:rPr>
        <w:t>recommandations</w:t>
      </w:r>
      <w:r w:rsidR="00B9690E" w:rsidRPr="0022592C">
        <w:rPr>
          <w:lang w:val="fr-CA"/>
        </w:rPr>
        <w:t xml:space="preserve"> </w:t>
      </w:r>
      <w:r>
        <w:rPr>
          <w:lang w:val="fr-CA"/>
        </w:rPr>
        <w:t xml:space="preserve">du CNP prises tout au long de l’année 2011 ont </w:t>
      </w:r>
      <w:r w:rsidR="0056006D">
        <w:rPr>
          <w:lang w:val="fr-CA"/>
        </w:rPr>
        <w:t>dans l’ensemble</w:t>
      </w:r>
      <w:r w:rsidR="00B9690E" w:rsidRPr="0022592C">
        <w:rPr>
          <w:lang w:val="fr-CA"/>
        </w:rPr>
        <w:t xml:space="preserve"> </w:t>
      </w:r>
      <w:r>
        <w:rPr>
          <w:lang w:val="fr-CA"/>
        </w:rPr>
        <w:t xml:space="preserve">été </w:t>
      </w:r>
      <w:r w:rsidR="00B9690E" w:rsidRPr="0022592C">
        <w:rPr>
          <w:lang w:val="fr-CA"/>
        </w:rPr>
        <w:t xml:space="preserve">suivies </w:t>
      </w:r>
      <w:r w:rsidR="0056006D">
        <w:rPr>
          <w:lang w:val="fr-CA"/>
        </w:rPr>
        <w:t>d’effet</w:t>
      </w:r>
      <w:r w:rsidR="00DF63AF">
        <w:rPr>
          <w:lang w:val="fr-CA"/>
        </w:rPr>
        <w:t xml:space="preserve">. </w:t>
      </w:r>
    </w:p>
    <w:p w:rsidR="0020306B" w:rsidRPr="0020306B" w:rsidRDefault="0020306B" w:rsidP="0020306B">
      <w:pPr>
        <w:jc w:val="center"/>
        <w:rPr>
          <w:rFonts w:ascii="Calibri" w:hAnsi="Calibri" w:cs="Calibri"/>
          <w:b/>
          <w:bCs/>
          <w:color w:val="000000"/>
          <w:sz w:val="20"/>
          <w:szCs w:val="20"/>
          <w:lang w:val="fr-FR"/>
        </w:rPr>
      </w:pPr>
      <w:r>
        <w:rPr>
          <w:rFonts w:ascii="Calibri" w:hAnsi="Calibri" w:cs="Calibri"/>
          <w:b/>
          <w:bCs/>
          <w:color w:val="000000"/>
          <w:sz w:val="20"/>
          <w:szCs w:val="20"/>
          <w:lang w:val="fr-FR"/>
        </w:rPr>
        <w:t xml:space="preserve">Liste des </w:t>
      </w:r>
      <w:r w:rsidRPr="0020306B">
        <w:rPr>
          <w:rFonts w:ascii="Calibri" w:hAnsi="Calibri" w:cs="Calibri"/>
          <w:b/>
          <w:bCs/>
          <w:color w:val="000000"/>
          <w:sz w:val="20"/>
          <w:szCs w:val="20"/>
          <w:lang w:val="fr-FR"/>
        </w:rPr>
        <w:t xml:space="preserve">recommandations </w:t>
      </w:r>
      <w:r w:rsidR="00F84626">
        <w:rPr>
          <w:rFonts w:ascii="Calibri" w:hAnsi="Calibri" w:cs="Calibri"/>
          <w:b/>
          <w:bCs/>
          <w:color w:val="000000"/>
          <w:sz w:val="20"/>
          <w:szCs w:val="20"/>
          <w:lang w:val="fr-FR"/>
        </w:rPr>
        <w:t>du</w:t>
      </w:r>
      <w:r w:rsidRPr="0020306B">
        <w:rPr>
          <w:rFonts w:ascii="Calibri" w:hAnsi="Calibri" w:cs="Calibri"/>
          <w:b/>
          <w:bCs/>
          <w:color w:val="000000"/>
          <w:sz w:val="20"/>
          <w:szCs w:val="20"/>
          <w:lang w:val="fr-FR"/>
        </w:rPr>
        <w:t xml:space="preserve"> Comité National de Pilotage</w:t>
      </w:r>
    </w:p>
    <w:tbl>
      <w:tblPr>
        <w:tblW w:w="7444" w:type="dxa"/>
        <w:jc w:val="center"/>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76"/>
        <w:gridCol w:w="2068"/>
      </w:tblGrid>
      <w:tr w:rsidR="0020306B" w:rsidRPr="0052245B" w:rsidTr="0056006D">
        <w:trPr>
          <w:trHeight w:val="300"/>
          <w:jc w:val="center"/>
        </w:trPr>
        <w:tc>
          <w:tcPr>
            <w:tcW w:w="7444" w:type="dxa"/>
            <w:gridSpan w:val="2"/>
            <w:shd w:val="clear" w:color="auto" w:fill="auto"/>
            <w:noWrap/>
            <w:vAlign w:val="center"/>
            <w:hideMark/>
          </w:tcPr>
          <w:p w:rsidR="0020306B" w:rsidRPr="0020306B" w:rsidRDefault="0020306B" w:rsidP="0020306B">
            <w:pPr>
              <w:jc w:val="center"/>
              <w:rPr>
                <w:rFonts w:ascii="Calibri" w:hAnsi="Calibri" w:cs="Calibri"/>
                <w:bCs/>
                <w:i/>
                <w:color w:val="000000"/>
                <w:sz w:val="18"/>
                <w:szCs w:val="18"/>
                <w:lang w:val="fr-FR"/>
              </w:rPr>
            </w:pPr>
            <w:r w:rsidRPr="0020306B">
              <w:rPr>
                <w:rFonts w:ascii="Calibri" w:hAnsi="Calibri" w:cs="Calibri"/>
                <w:bCs/>
                <w:i/>
                <w:color w:val="000000"/>
                <w:sz w:val="18"/>
                <w:szCs w:val="18"/>
                <w:lang w:val="fr-FR"/>
              </w:rPr>
              <w:t>(Réunions de fév. nov. et déc. 2011).</w:t>
            </w:r>
          </w:p>
        </w:tc>
      </w:tr>
      <w:tr w:rsidR="0020306B" w:rsidRPr="0052245B" w:rsidTr="0056006D">
        <w:trPr>
          <w:trHeight w:val="211"/>
          <w:jc w:val="center"/>
        </w:trPr>
        <w:tc>
          <w:tcPr>
            <w:tcW w:w="5376" w:type="dxa"/>
            <w:shd w:val="clear" w:color="auto" w:fill="auto"/>
            <w:noWrap/>
            <w:vAlign w:val="center"/>
            <w:hideMark/>
          </w:tcPr>
          <w:p w:rsidR="0020306B" w:rsidRPr="0020306B" w:rsidRDefault="0020306B" w:rsidP="0020306B">
            <w:pPr>
              <w:rPr>
                <w:rFonts w:ascii="Calibri" w:hAnsi="Calibri" w:cs="Calibri"/>
                <w:color w:val="000000"/>
                <w:sz w:val="16"/>
                <w:szCs w:val="16"/>
                <w:lang w:val="fr-FR"/>
              </w:rPr>
            </w:pPr>
          </w:p>
        </w:tc>
        <w:tc>
          <w:tcPr>
            <w:tcW w:w="2068" w:type="dxa"/>
            <w:vMerge w:val="restart"/>
            <w:shd w:val="clear" w:color="auto" w:fill="auto"/>
            <w:vAlign w:val="center"/>
            <w:hideMark/>
          </w:tcPr>
          <w:p w:rsidR="0020306B" w:rsidRPr="0020306B" w:rsidRDefault="0020306B" w:rsidP="0020306B">
            <w:pPr>
              <w:jc w:val="center"/>
              <w:rPr>
                <w:rFonts w:ascii="Calibri" w:hAnsi="Calibri" w:cs="Calibri"/>
                <w:b/>
                <w:bCs/>
                <w:i/>
                <w:color w:val="000000"/>
                <w:sz w:val="16"/>
                <w:szCs w:val="16"/>
                <w:lang w:val="fr-FR"/>
              </w:rPr>
            </w:pPr>
            <w:r w:rsidRPr="0020306B">
              <w:rPr>
                <w:rFonts w:ascii="Calibri" w:hAnsi="Calibri" w:cs="Calibri"/>
                <w:b/>
                <w:bCs/>
                <w:i/>
                <w:color w:val="000000"/>
                <w:sz w:val="16"/>
                <w:szCs w:val="16"/>
                <w:lang w:val="fr-FR"/>
              </w:rPr>
              <w:t>Recommandation suivie</w:t>
            </w:r>
            <w:r w:rsidR="0056006D">
              <w:rPr>
                <w:rFonts w:ascii="Calibri" w:hAnsi="Calibri" w:cs="Calibri"/>
                <w:b/>
                <w:bCs/>
                <w:i/>
                <w:color w:val="000000"/>
                <w:sz w:val="16"/>
                <w:szCs w:val="16"/>
                <w:lang w:val="fr-FR"/>
              </w:rPr>
              <w:t>/avec effet</w:t>
            </w:r>
            <w:r w:rsidRPr="0020306B">
              <w:rPr>
                <w:rFonts w:ascii="Calibri" w:hAnsi="Calibri" w:cs="Calibri"/>
                <w:b/>
                <w:bCs/>
                <w:i/>
                <w:color w:val="000000"/>
                <w:sz w:val="16"/>
                <w:szCs w:val="16"/>
                <w:lang w:val="fr-FR"/>
              </w:rPr>
              <w:t xml:space="preserve"> à ce jour?</w:t>
            </w:r>
          </w:p>
        </w:tc>
      </w:tr>
      <w:tr w:rsidR="0020306B" w:rsidRPr="0020306B" w:rsidTr="0056006D">
        <w:trPr>
          <w:trHeight w:val="66"/>
          <w:jc w:val="center"/>
        </w:trPr>
        <w:tc>
          <w:tcPr>
            <w:tcW w:w="5376" w:type="dxa"/>
            <w:shd w:val="clear" w:color="auto" w:fill="auto"/>
            <w:noWrap/>
            <w:vAlign w:val="center"/>
            <w:hideMark/>
          </w:tcPr>
          <w:p w:rsidR="0020306B" w:rsidRPr="0020306B" w:rsidRDefault="006355CD" w:rsidP="0020306B">
            <w:pPr>
              <w:jc w:val="center"/>
              <w:rPr>
                <w:rFonts w:ascii="Calibri" w:hAnsi="Calibri" w:cs="Calibri"/>
                <w:b/>
                <w:bCs/>
                <w:color w:val="000000"/>
                <w:sz w:val="16"/>
                <w:szCs w:val="16"/>
              </w:rPr>
            </w:pPr>
            <w:r>
              <w:rPr>
                <w:rFonts w:ascii="Calibri" w:hAnsi="Calibri" w:cs="Calibri"/>
                <w:b/>
                <w:bCs/>
                <w:color w:val="000000"/>
                <w:sz w:val="16"/>
                <w:szCs w:val="16"/>
              </w:rPr>
              <w:t>F</w:t>
            </w:r>
            <w:r w:rsidR="0020306B">
              <w:rPr>
                <w:rFonts w:ascii="Calibri" w:hAnsi="Calibri" w:cs="Calibri"/>
                <w:b/>
                <w:bCs/>
                <w:color w:val="000000"/>
                <w:sz w:val="16"/>
                <w:szCs w:val="16"/>
              </w:rPr>
              <w:t>é</w:t>
            </w:r>
            <w:r w:rsidR="0020306B" w:rsidRPr="0020306B">
              <w:rPr>
                <w:rFonts w:ascii="Calibri" w:hAnsi="Calibri" w:cs="Calibri"/>
                <w:b/>
                <w:bCs/>
                <w:color w:val="000000"/>
                <w:sz w:val="16"/>
                <w:szCs w:val="16"/>
              </w:rPr>
              <w:t>vrier 2011</w:t>
            </w:r>
          </w:p>
        </w:tc>
        <w:tc>
          <w:tcPr>
            <w:tcW w:w="2068" w:type="dxa"/>
            <w:vMerge/>
            <w:vAlign w:val="center"/>
            <w:hideMark/>
          </w:tcPr>
          <w:p w:rsidR="0020306B" w:rsidRPr="0020306B" w:rsidRDefault="0020306B" w:rsidP="0020306B">
            <w:pPr>
              <w:rPr>
                <w:rFonts w:ascii="Calibri" w:hAnsi="Calibri" w:cs="Calibri"/>
                <w:b/>
                <w:bCs/>
                <w:i/>
                <w:color w:val="000000"/>
                <w:sz w:val="16"/>
                <w:szCs w:val="16"/>
              </w:rPr>
            </w:pPr>
          </w:p>
        </w:tc>
      </w:tr>
      <w:tr w:rsidR="0020306B" w:rsidRPr="0020306B" w:rsidTr="0056006D">
        <w:trPr>
          <w:trHeight w:val="139"/>
          <w:jc w:val="center"/>
        </w:trPr>
        <w:tc>
          <w:tcPr>
            <w:tcW w:w="5376" w:type="dxa"/>
            <w:shd w:val="clear" w:color="auto" w:fill="auto"/>
            <w:noWrap/>
            <w:vAlign w:val="center"/>
            <w:hideMark/>
          </w:tcPr>
          <w:p w:rsidR="0020306B" w:rsidRPr="0020306B" w:rsidRDefault="0020306B" w:rsidP="0020306B">
            <w:pPr>
              <w:jc w:val="both"/>
              <w:rPr>
                <w:rFonts w:ascii="Calibri" w:hAnsi="Calibri" w:cs="Calibri"/>
                <w:color w:val="000000"/>
                <w:sz w:val="16"/>
                <w:szCs w:val="16"/>
                <w:lang w:val="fr-FR"/>
              </w:rPr>
            </w:pPr>
            <w:r>
              <w:rPr>
                <w:rFonts w:ascii="Calibri" w:hAnsi="Calibri" w:cs="Calibri"/>
                <w:color w:val="000000"/>
                <w:sz w:val="16"/>
                <w:szCs w:val="16"/>
                <w:lang w:val="fr-FR"/>
              </w:rPr>
              <w:t>Organisation d’un é</w:t>
            </w:r>
            <w:r w:rsidRPr="0020306B">
              <w:rPr>
                <w:rFonts w:ascii="Calibri" w:hAnsi="Calibri" w:cs="Calibri"/>
                <w:color w:val="000000"/>
                <w:sz w:val="16"/>
                <w:szCs w:val="16"/>
                <w:lang w:val="fr-FR"/>
              </w:rPr>
              <w:t xml:space="preserve">vénementiel </w:t>
            </w:r>
            <w:r>
              <w:rPr>
                <w:rFonts w:ascii="Calibri" w:hAnsi="Calibri" w:cs="Calibri"/>
                <w:color w:val="000000"/>
                <w:sz w:val="16"/>
                <w:szCs w:val="16"/>
                <w:lang w:val="fr-FR"/>
              </w:rPr>
              <w:t>pour le lancement du programme commun</w:t>
            </w:r>
          </w:p>
        </w:tc>
        <w:tc>
          <w:tcPr>
            <w:tcW w:w="2068" w:type="dxa"/>
            <w:tcBorders>
              <w:bottom w:val="dotted" w:sz="4" w:space="0" w:color="auto"/>
            </w:tcBorders>
            <w:shd w:val="clear" w:color="auto" w:fill="auto"/>
            <w:noWrap/>
            <w:vAlign w:val="center"/>
            <w:hideMark/>
          </w:tcPr>
          <w:p w:rsidR="0020306B" w:rsidRPr="0020306B" w:rsidRDefault="0020306B" w:rsidP="0020306B">
            <w:pPr>
              <w:jc w:val="center"/>
              <w:rPr>
                <w:rFonts w:ascii="Calibri" w:hAnsi="Calibri" w:cs="Calibri"/>
                <w:bCs/>
                <w:i/>
                <w:iCs/>
                <w:color w:val="000000"/>
                <w:sz w:val="16"/>
                <w:szCs w:val="16"/>
              </w:rPr>
            </w:pPr>
            <w:r w:rsidRPr="0020306B">
              <w:rPr>
                <w:rFonts w:ascii="Calibri" w:hAnsi="Calibri" w:cs="Calibri"/>
                <w:bCs/>
                <w:i/>
                <w:iCs/>
                <w:color w:val="000000"/>
                <w:sz w:val="16"/>
                <w:szCs w:val="16"/>
              </w:rPr>
              <w:t>non</w:t>
            </w:r>
          </w:p>
        </w:tc>
      </w:tr>
      <w:tr w:rsidR="0020306B" w:rsidRPr="0020306B" w:rsidTr="0056006D">
        <w:trPr>
          <w:trHeight w:val="148"/>
          <w:jc w:val="center"/>
        </w:trPr>
        <w:tc>
          <w:tcPr>
            <w:tcW w:w="5376" w:type="dxa"/>
            <w:shd w:val="clear" w:color="auto" w:fill="auto"/>
            <w:noWrap/>
            <w:vAlign w:val="center"/>
            <w:hideMark/>
          </w:tcPr>
          <w:p w:rsidR="0020306B" w:rsidRPr="0020306B" w:rsidRDefault="0020306B" w:rsidP="0020306B">
            <w:pPr>
              <w:jc w:val="both"/>
              <w:rPr>
                <w:rFonts w:ascii="Calibri" w:hAnsi="Calibri" w:cs="Calibri"/>
                <w:color w:val="000000"/>
                <w:sz w:val="16"/>
                <w:szCs w:val="16"/>
                <w:lang w:val="fr-FR"/>
              </w:rPr>
            </w:pPr>
            <w:r w:rsidRPr="0020306B">
              <w:rPr>
                <w:rFonts w:ascii="Calibri" w:hAnsi="Calibri" w:cs="Calibri"/>
                <w:color w:val="000000"/>
                <w:sz w:val="16"/>
                <w:szCs w:val="16"/>
                <w:lang w:val="fr-FR"/>
              </w:rPr>
              <w:t>Accélér</w:t>
            </w:r>
            <w:r>
              <w:rPr>
                <w:rFonts w:ascii="Calibri" w:hAnsi="Calibri" w:cs="Calibri"/>
                <w:color w:val="000000"/>
                <w:sz w:val="16"/>
                <w:szCs w:val="16"/>
                <w:lang w:val="fr-FR"/>
              </w:rPr>
              <w:t>er la mise en œuvre des actions, avec identification expertise</w:t>
            </w:r>
          </w:p>
        </w:tc>
        <w:tc>
          <w:tcPr>
            <w:tcW w:w="2068" w:type="dxa"/>
            <w:shd w:val="clear" w:color="auto" w:fill="D9D9D9" w:themeFill="background1" w:themeFillShade="D9"/>
            <w:noWrap/>
            <w:vAlign w:val="center"/>
            <w:hideMark/>
          </w:tcPr>
          <w:p w:rsidR="0020306B" w:rsidRPr="0020306B" w:rsidRDefault="0056006D" w:rsidP="0020306B">
            <w:pPr>
              <w:jc w:val="center"/>
              <w:rPr>
                <w:rFonts w:ascii="Calibri" w:hAnsi="Calibri" w:cs="Calibri"/>
                <w:i/>
                <w:color w:val="000000"/>
                <w:sz w:val="16"/>
                <w:szCs w:val="16"/>
              </w:rPr>
            </w:pPr>
            <w:r>
              <w:rPr>
                <w:rFonts w:ascii="Calibri" w:hAnsi="Calibri" w:cs="Calibri"/>
                <w:i/>
                <w:color w:val="000000"/>
                <w:sz w:val="16"/>
                <w:szCs w:val="16"/>
              </w:rPr>
              <w:t>oui</w:t>
            </w:r>
            <w:r>
              <w:rPr>
                <w:rStyle w:val="FootnoteReference"/>
                <w:rFonts w:ascii="Calibri" w:hAnsi="Calibri" w:cs="Calibri"/>
                <w:i/>
                <w:color w:val="000000"/>
                <w:sz w:val="16"/>
                <w:szCs w:val="16"/>
              </w:rPr>
              <w:footnoteReference w:id="72"/>
            </w:r>
          </w:p>
        </w:tc>
      </w:tr>
      <w:tr w:rsidR="0020306B" w:rsidRPr="0020306B" w:rsidTr="0056006D">
        <w:trPr>
          <w:trHeight w:val="130"/>
          <w:jc w:val="center"/>
        </w:trPr>
        <w:tc>
          <w:tcPr>
            <w:tcW w:w="5376" w:type="dxa"/>
            <w:shd w:val="clear" w:color="auto" w:fill="auto"/>
            <w:noWrap/>
            <w:vAlign w:val="center"/>
            <w:hideMark/>
          </w:tcPr>
          <w:p w:rsidR="0020306B" w:rsidRPr="0020306B" w:rsidRDefault="0020306B" w:rsidP="0020306B">
            <w:pPr>
              <w:jc w:val="both"/>
              <w:rPr>
                <w:rFonts w:ascii="Calibri" w:hAnsi="Calibri" w:cs="Calibri"/>
                <w:color w:val="000000"/>
                <w:sz w:val="16"/>
                <w:szCs w:val="16"/>
                <w:lang w:val="fr-FR"/>
              </w:rPr>
            </w:pPr>
            <w:r w:rsidRPr="0020306B">
              <w:rPr>
                <w:rFonts w:ascii="Calibri" w:hAnsi="Calibri" w:cs="Calibri"/>
                <w:color w:val="000000"/>
                <w:sz w:val="16"/>
                <w:szCs w:val="16"/>
                <w:lang w:val="fr-FR"/>
              </w:rPr>
              <w:t>T</w:t>
            </w:r>
            <w:r>
              <w:rPr>
                <w:rFonts w:ascii="Calibri" w:hAnsi="Calibri" w:cs="Calibri"/>
                <w:color w:val="000000"/>
                <w:sz w:val="16"/>
                <w:szCs w:val="16"/>
                <w:lang w:val="fr-FR"/>
              </w:rPr>
              <w:t>ransfert de fonds entre agences</w:t>
            </w:r>
          </w:p>
        </w:tc>
        <w:tc>
          <w:tcPr>
            <w:tcW w:w="2068" w:type="dxa"/>
            <w:shd w:val="clear" w:color="auto" w:fill="auto"/>
            <w:noWrap/>
            <w:vAlign w:val="center"/>
            <w:hideMark/>
          </w:tcPr>
          <w:p w:rsidR="0020306B" w:rsidRPr="0020306B" w:rsidRDefault="0020306B" w:rsidP="0020306B">
            <w:pPr>
              <w:jc w:val="center"/>
              <w:rPr>
                <w:rFonts w:ascii="Calibri" w:hAnsi="Calibri" w:cs="Calibri"/>
                <w:i/>
                <w:color w:val="000000"/>
                <w:sz w:val="16"/>
                <w:szCs w:val="16"/>
              </w:rPr>
            </w:pPr>
            <w:r w:rsidRPr="0020306B">
              <w:rPr>
                <w:rFonts w:ascii="Calibri" w:hAnsi="Calibri" w:cs="Calibri"/>
                <w:i/>
                <w:color w:val="000000"/>
                <w:sz w:val="16"/>
                <w:szCs w:val="16"/>
              </w:rPr>
              <w:t>non</w:t>
            </w:r>
          </w:p>
        </w:tc>
      </w:tr>
      <w:tr w:rsidR="0020306B" w:rsidRPr="0020306B" w:rsidTr="0056006D">
        <w:trPr>
          <w:trHeight w:val="184"/>
          <w:jc w:val="center"/>
        </w:trPr>
        <w:tc>
          <w:tcPr>
            <w:tcW w:w="5376" w:type="dxa"/>
            <w:shd w:val="clear" w:color="auto" w:fill="auto"/>
            <w:noWrap/>
            <w:vAlign w:val="center"/>
            <w:hideMark/>
          </w:tcPr>
          <w:p w:rsidR="0020306B" w:rsidRPr="0020306B" w:rsidRDefault="0020306B" w:rsidP="0020306B">
            <w:pPr>
              <w:jc w:val="both"/>
              <w:rPr>
                <w:rFonts w:ascii="Calibri" w:hAnsi="Calibri" w:cs="Calibri"/>
                <w:color w:val="000000"/>
                <w:sz w:val="16"/>
                <w:szCs w:val="16"/>
              </w:rPr>
            </w:pPr>
            <w:r>
              <w:rPr>
                <w:rFonts w:ascii="Calibri" w:hAnsi="Calibri" w:cs="Calibri"/>
                <w:color w:val="000000"/>
                <w:sz w:val="16"/>
                <w:szCs w:val="16"/>
                <w:lang w:val="fr-FR"/>
              </w:rPr>
              <w:t>Validation du plan annuel 2011</w:t>
            </w:r>
          </w:p>
        </w:tc>
        <w:tc>
          <w:tcPr>
            <w:tcW w:w="2068" w:type="dxa"/>
            <w:shd w:val="clear" w:color="auto" w:fill="auto"/>
            <w:noWrap/>
            <w:vAlign w:val="center"/>
            <w:hideMark/>
          </w:tcPr>
          <w:p w:rsidR="0020306B" w:rsidRPr="0020306B" w:rsidRDefault="0020306B" w:rsidP="0020306B">
            <w:pPr>
              <w:jc w:val="center"/>
              <w:rPr>
                <w:rFonts w:ascii="Calibri" w:hAnsi="Calibri" w:cs="Calibri"/>
                <w:i/>
                <w:color w:val="000000"/>
                <w:sz w:val="16"/>
                <w:szCs w:val="16"/>
              </w:rPr>
            </w:pPr>
            <w:r w:rsidRPr="0020306B">
              <w:rPr>
                <w:rFonts w:ascii="Calibri" w:hAnsi="Calibri" w:cs="Calibri"/>
                <w:i/>
                <w:color w:val="000000"/>
                <w:sz w:val="16"/>
                <w:szCs w:val="16"/>
              </w:rPr>
              <w:t>n/a</w:t>
            </w:r>
          </w:p>
        </w:tc>
      </w:tr>
      <w:tr w:rsidR="0020306B" w:rsidRPr="0020306B" w:rsidTr="0056006D">
        <w:trPr>
          <w:trHeight w:val="121"/>
          <w:jc w:val="center"/>
        </w:trPr>
        <w:tc>
          <w:tcPr>
            <w:tcW w:w="5376" w:type="dxa"/>
            <w:shd w:val="clear" w:color="auto" w:fill="auto"/>
            <w:noWrap/>
            <w:vAlign w:val="center"/>
            <w:hideMark/>
          </w:tcPr>
          <w:p w:rsidR="0020306B" w:rsidRPr="0020306B" w:rsidRDefault="0020306B" w:rsidP="0020306B">
            <w:pPr>
              <w:jc w:val="both"/>
              <w:rPr>
                <w:rFonts w:ascii="Calibri" w:hAnsi="Calibri" w:cs="Calibri"/>
                <w:color w:val="000000"/>
                <w:sz w:val="16"/>
                <w:szCs w:val="16"/>
                <w:lang w:val="fr-FR"/>
              </w:rPr>
            </w:pPr>
            <w:r w:rsidRPr="0020306B">
              <w:rPr>
                <w:rFonts w:ascii="Calibri" w:hAnsi="Calibri" w:cs="Calibri"/>
                <w:color w:val="000000"/>
                <w:sz w:val="16"/>
                <w:szCs w:val="16"/>
                <w:lang w:val="fr-FR"/>
              </w:rPr>
              <w:t>Officialisation du CGP et de sa composition</w:t>
            </w:r>
          </w:p>
        </w:tc>
        <w:tc>
          <w:tcPr>
            <w:tcW w:w="2068" w:type="dxa"/>
            <w:shd w:val="clear" w:color="auto" w:fill="auto"/>
            <w:noWrap/>
            <w:vAlign w:val="center"/>
            <w:hideMark/>
          </w:tcPr>
          <w:p w:rsidR="0020306B" w:rsidRPr="0020306B" w:rsidRDefault="0020306B" w:rsidP="0020306B">
            <w:pPr>
              <w:jc w:val="center"/>
              <w:rPr>
                <w:rFonts w:ascii="Calibri" w:hAnsi="Calibri" w:cs="Calibri"/>
                <w:i/>
                <w:color w:val="000000"/>
                <w:sz w:val="16"/>
                <w:szCs w:val="16"/>
              </w:rPr>
            </w:pPr>
            <w:r w:rsidRPr="0020306B">
              <w:rPr>
                <w:rFonts w:ascii="Calibri" w:hAnsi="Calibri" w:cs="Calibri"/>
                <w:i/>
                <w:color w:val="000000"/>
                <w:sz w:val="16"/>
                <w:szCs w:val="16"/>
              </w:rPr>
              <w:t>n/a</w:t>
            </w:r>
          </w:p>
        </w:tc>
      </w:tr>
      <w:tr w:rsidR="0020306B" w:rsidRPr="0020306B" w:rsidTr="0056006D">
        <w:trPr>
          <w:trHeight w:val="166"/>
          <w:jc w:val="center"/>
        </w:trPr>
        <w:tc>
          <w:tcPr>
            <w:tcW w:w="5376" w:type="dxa"/>
            <w:shd w:val="clear" w:color="auto" w:fill="auto"/>
            <w:noWrap/>
            <w:vAlign w:val="center"/>
            <w:hideMark/>
          </w:tcPr>
          <w:p w:rsidR="0020306B" w:rsidRPr="0020306B" w:rsidRDefault="0020306B" w:rsidP="0020306B">
            <w:pPr>
              <w:jc w:val="both"/>
              <w:rPr>
                <w:rFonts w:asciiTheme="minorHAnsi" w:hAnsiTheme="minorHAnsi" w:cstheme="minorHAnsi"/>
                <w:color w:val="000000"/>
                <w:sz w:val="16"/>
                <w:szCs w:val="16"/>
                <w:lang w:val="fr-FR"/>
              </w:rPr>
            </w:pPr>
            <w:r w:rsidRPr="0020306B">
              <w:rPr>
                <w:rFonts w:asciiTheme="minorHAnsi" w:hAnsiTheme="minorHAnsi" w:cstheme="minorHAnsi"/>
                <w:color w:val="000000"/>
                <w:sz w:val="16"/>
                <w:szCs w:val="16"/>
                <w:lang w:val="fr-FR"/>
              </w:rPr>
              <w:t>Date prochaine réunion du CNP</w:t>
            </w:r>
          </w:p>
        </w:tc>
        <w:tc>
          <w:tcPr>
            <w:tcW w:w="2068" w:type="dxa"/>
            <w:shd w:val="clear" w:color="auto" w:fill="auto"/>
            <w:noWrap/>
            <w:vAlign w:val="center"/>
            <w:hideMark/>
          </w:tcPr>
          <w:p w:rsidR="0020306B" w:rsidRPr="0020306B" w:rsidRDefault="0020306B" w:rsidP="0020306B">
            <w:pPr>
              <w:jc w:val="center"/>
              <w:rPr>
                <w:rFonts w:ascii="Calibri" w:hAnsi="Calibri" w:cs="Calibri"/>
                <w:i/>
                <w:color w:val="000000"/>
                <w:sz w:val="16"/>
                <w:szCs w:val="16"/>
              </w:rPr>
            </w:pPr>
            <w:r w:rsidRPr="0020306B">
              <w:rPr>
                <w:rFonts w:ascii="Calibri" w:hAnsi="Calibri" w:cs="Calibri"/>
                <w:i/>
                <w:color w:val="000000"/>
                <w:sz w:val="16"/>
                <w:szCs w:val="16"/>
              </w:rPr>
              <w:t>non</w:t>
            </w:r>
          </w:p>
        </w:tc>
      </w:tr>
      <w:tr w:rsidR="0020306B" w:rsidRPr="0020306B" w:rsidTr="0056006D">
        <w:trPr>
          <w:trHeight w:val="255"/>
          <w:jc w:val="center"/>
        </w:trPr>
        <w:tc>
          <w:tcPr>
            <w:tcW w:w="5376" w:type="dxa"/>
            <w:shd w:val="clear" w:color="auto" w:fill="auto"/>
            <w:noWrap/>
            <w:vAlign w:val="center"/>
            <w:hideMark/>
          </w:tcPr>
          <w:p w:rsidR="0020306B" w:rsidRPr="0020306B" w:rsidRDefault="0020306B" w:rsidP="0020306B">
            <w:pPr>
              <w:jc w:val="center"/>
              <w:rPr>
                <w:rFonts w:ascii="Calibri" w:hAnsi="Calibri" w:cs="Calibri"/>
                <w:b/>
                <w:bCs/>
                <w:color w:val="000000"/>
                <w:sz w:val="16"/>
                <w:szCs w:val="16"/>
              </w:rPr>
            </w:pPr>
            <w:r w:rsidRPr="0020306B">
              <w:rPr>
                <w:rFonts w:ascii="Calibri" w:hAnsi="Calibri" w:cs="Calibri"/>
                <w:b/>
                <w:bCs/>
                <w:color w:val="000000"/>
                <w:sz w:val="16"/>
                <w:szCs w:val="16"/>
              </w:rPr>
              <w:t>Novembre 2011</w:t>
            </w:r>
          </w:p>
        </w:tc>
        <w:tc>
          <w:tcPr>
            <w:tcW w:w="2068" w:type="dxa"/>
            <w:tcBorders>
              <w:bottom w:val="dotted" w:sz="4" w:space="0" w:color="auto"/>
            </w:tcBorders>
            <w:shd w:val="clear" w:color="auto" w:fill="auto"/>
            <w:noWrap/>
            <w:vAlign w:val="center"/>
            <w:hideMark/>
          </w:tcPr>
          <w:p w:rsidR="0020306B" w:rsidRPr="0020306B" w:rsidRDefault="0020306B" w:rsidP="0020306B">
            <w:pPr>
              <w:jc w:val="center"/>
              <w:rPr>
                <w:rFonts w:ascii="Calibri" w:hAnsi="Calibri" w:cs="Calibri"/>
                <w:i/>
                <w:color w:val="000000"/>
                <w:sz w:val="16"/>
                <w:szCs w:val="16"/>
              </w:rPr>
            </w:pPr>
          </w:p>
        </w:tc>
      </w:tr>
      <w:tr w:rsidR="0020306B" w:rsidRPr="0020306B" w:rsidTr="0056006D">
        <w:trPr>
          <w:trHeight w:val="229"/>
          <w:jc w:val="center"/>
        </w:trPr>
        <w:tc>
          <w:tcPr>
            <w:tcW w:w="5376" w:type="dxa"/>
            <w:shd w:val="clear" w:color="auto" w:fill="auto"/>
            <w:noWrap/>
            <w:vAlign w:val="center"/>
            <w:hideMark/>
          </w:tcPr>
          <w:p w:rsidR="0020306B" w:rsidRPr="0020306B" w:rsidRDefault="0020306B" w:rsidP="0020306B">
            <w:pPr>
              <w:jc w:val="both"/>
              <w:rPr>
                <w:rFonts w:ascii="Symbol" w:hAnsi="Symbol" w:cs="Calibri"/>
                <w:color w:val="000000"/>
                <w:sz w:val="16"/>
                <w:szCs w:val="16"/>
                <w:lang w:val="fr-FR"/>
              </w:rPr>
            </w:pPr>
            <w:r>
              <w:rPr>
                <w:rFonts w:ascii="Calibri" w:hAnsi="Calibri" w:cs="Calibri"/>
                <w:color w:val="000000"/>
                <w:sz w:val="16"/>
                <w:szCs w:val="16"/>
                <w:lang w:val="fr-FR"/>
              </w:rPr>
              <w:t>Organisation d’un é</w:t>
            </w:r>
            <w:r w:rsidRPr="0020306B">
              <w:rPr>
                <w:rFonts w:ascii="Calibri" w:hAnsi="Calibri" w:cs="Calibri"/>
                <w:color w:val="000000"/>
                <w:sz w:val="16"/>
                <w:szCs w:val="16"/>
                <w:lang w:val="fr-FR"/>
              </w:rPr>
              <w:t xml:space="preserve">vénementiel </w:t>
            </w:r>
            <w:r>
              <w:rPr>
                <w:rFonts w:ascii="Calibri" w:hAnsi="Calibri" w:cs="Calibri"/>
                <w:color w:val="000000"/>
                <w:sz w:val="16"/>
                <w:szCs w:val="16"/>
                <w:lang w:val="fr-FR"/>
              </w:rPr>
              <w:t>pour le lancement du programme commun</w:t>
            </w:r>
          </w:p>
        </w:tc>
        <w:tc>
          <w:tcPr>
            <w:tcW w:w="2068" w:type="dxa"/>
            <w:tcBorders>
              <w:bottom w:val="dotted" w:sz="4" w:space="0" w:color="auto"/>
            </w:tcBorders>
            <w:shd w:val="clear" w:color="auto" w:fill="D9D9D9" w:themeFill="background1" w:themeFillShade="D9"/>
            <w:noWrap/>
            <w:vAlign w:val="center"/>
            <w:hideMark/>
          </w:tcPr>
          <w:p w:rsidR="0020306B" w:rsidRPr="0020306B" w:rsidRDefault="0056006D" w:rsidP="0020306B">
            <w:pPr>
              <w:jc w:val="center"/>
              <w:rPr>
                <w:rFonts w:ascii="Calibri" w:hAnsi="Calibri" w:cs="Calibri"/>
                <w:i/>
                <w:color w:val="000000"/>
                <w:sz w:val="16"/>
                <w:szCs w:val="16"/>
              </w:rPr>
            </w:pPr>
            <w:r>
              <w:rPr>
                <w:rFonts w:ascii="Calibri" w:hAnsi="Calibri" w:cs="Calibri"/>
                <w:i/>
                <w:color w:val="000000"/>
                <w:sz w:val="16"/>
                <w:szCs w:val="16"/>
              </w:rPr>
              <w:t>oui</w:t>
            </w:r>
            <w:r>
              <w:rPr>
                <w:rStyle w:val="FootnoteReference"/>
                <w:rFonts w:ascii="Calibri" w:hAnsi="Calibri" w:cs="Calibri"/>
                <w:i/>
                <w:color w:val="000000"/>
                <w:sz w:val="16"/>
                <w:szCs w:val="16"/>
              </w:rPr>
              <w:footnoteReference w:id="73"/>
            </w:r>
          </w:p>
        </w:tc>
      </w:tr>
      <w:tr w:rsidR="0020306B" w:rsidRPr="0020306B" w:rsidTr="0056006D">
        <w:trPr>
          <w:trHeight w:val="166"/>
          <w:jc w:val="center"/>
        </w:trPr>
        <w:tc>
          <w:tcPr>
            <w:tcW w:w="5376" w:type="dxa"/>
            <w:shd w:val="clear" w:color="auto" w:fill="auto"/>
            <w:noWrap/>
            <w:vAlign w:val="center"/>
            <w:hideMark/>
          </w:tcPr>
          <w:p w:rsidR="0020306B" w:rsidRPr="0020306B" w:rsidRDefault="0020306B" w:rsidP="0020306B">
            <w:pPr>
              <w:jc w:val="both"/>
              <w:rPr>
                <w:rFonts w:ascii="Symbol" w:hAnsi="Symbol" w:cs="Calibri"/>
                <w:color w:val="000000"/>
                <w:sz w:val="16"/>
                <w:szCs w:val="16"/>
              </w:rPr>
            </w:pPr>
            <w:r w:rsidRPr="0020306B">
              <w:rPr>
                <w:rFonts w:ascii="Calibri" w:hAnsi="Calibri" w:cs="Calibri"/>
                <w:color w:val="000000"/>
                <w:sz w:val="16"/>
                <w:szCs w:val="16"/>
                <w:lang w:val="fr-FR"/>
              </w:rPr>
              <w:t>S</w:t>
            </w:r>
            <w:r>
              <w:rPr>
                <w:rFonts w:ascii="Calibri" w:hAnsi="Calibri" w:cs="Calibri"/>
                <w:color w:val="000000"/>
                <w:sz w:val="16"/>
                <w:szCs w:val="16"/>
                <w:lang w:val="fr-FR"/>
              </w:rPr>
              <w:t>ignature des Memoranda d’Accord</w:t>
            </w:r>
          </w:p>
        </w:tc>
        <w:tc>
          <w:tcPr>
            <w:tcW w:w="2068" w:type="dxa"/>
            <w:tcBorders>
              <w:bottom w:val="dotted" w:sz="4" w:space="0" w:color="auto"/>
            </w:tcBorders>
            <w:shd w:val="clear" w:color="auto" w:fill="D9D9D9" w:themeFill="background1" w:themeFillShade="D9"/>
            <w:noWrap/>
            <w:vAlign w:val="center"/>
            <w:hideMark/>
          </w:tcPr>
          <w:p w:rsidR="0020306B" w:rsidRPr="0020306B" w:rsidRDefault="0056006D" w:rsidP="0020306B">
            <w:pPr>
              <w:jc w:val="center"/>
              <w:rPr>
                <w:rFonts w:ascii="Calibri" w:hAnsi="Calibri" w:cs="Calibri"/>
                <w:i/>
                <w:color w:val="000000"/>
                <w:sz w:val="16"/>
                <w:szCs w:val="16"/>
              </w:rPr>
            </w:pPr>
            <w:r>
              <w:rPr>
                <w:rFonts w:ascii="Calibri" w:hAnsi="Calibri" w:cs="Calibri"/>
                <w:i/>
                <w:color w:val="000000"/>
                <w:sz w:val="16"/>
                <w:szCs w:val="16"/>
              </w:rPr>
              <w:t>oui</w:t>
            </w:r>
          </w:p>
        </w:tc>
      </w:tr>
      <w:tr w:rsidR="0020306B" w:rsidRPr="0020306B" w:rsidTr="0056006D">
        <w:trPr>
          <w:trHeight w:val="139"/>
          <w:jc w:val="center"/>
        </w:trPr>
        <w:tc>
          <w:tcPr>
            <w:tcW w:w="5376" w:type="dxa"/>
            <w:shd w:val="clear" w:color="auto" w:fill="auto"/>
            <w:noWrap/>
            <w:vAlign w:val="center"/>
            <w:hideMark/>
          </w:tcPr>
          <w:p w:rsidR="0020306B" w:rsidRPr="0020306B" w:rsidRDefault="0020306B" w:rsidP="0020306B">
            <w:pPr>
              <w:jc w:val="both"/>
              <w:rPr>
                <w:rFonts w:ascii="Calibri" w:hAnsi="Calibri" w:cs="Calibri"/>
                <w:color w:val="000000"/>
                <w:sz w:val="16"/>
                <w:szCs w:val="16"/>
              </w:rPr>
            </w:pPr>
            <w:r w:rsidRPr="0020306B">
              <w:rPr>
                <w:rFonts w:ascii="Calibri" w:hAnsi="Calibri" w:cs="Calibri"/>
                <w:color w:val="000000"/>
                <w:sz w:val="16"/>
                <w:szCs w:val="16"/>
                <w:lang w:val="fr-FR"/>
              </w:rPr>
              <w:t>Or</w:t>
            </w:r>
            <w:r>
              <w:rPr>
                <w:rFonts w:ascii="Calibri" w:hAnsi="Calibri" w:cs="Calibri"/>
                <w:color w:val="000000"/>
                <w:sz w:val="16"/>
                <w:szCs w:val="16"/>
                <w:lang w:val="fr-FR"/>
              </w:rPr>
              <w:t>ganisation d'une revue annuelle</w:t>
            </w:r>
          </w:p>
        </w:tc>
        <w:tc>
          <w:tcPr>
            <w:tcW w:w="2068" w:type="dxa"/>
            <w:shd w:val="clear" w:color="auto" w:fill="D9D9D9" w:themeFill="background1" w:themeFillShade="D9"/>
            <w:noWrap/>
            <w:vAlign w:val="center"/>
            <w:hideMark/>
          </w:tcPr>
          <w:p w:rsidR="0020306B" w:rsidRPr="0020306B" w:rsidRDefault="0020306B" w:rsidP="0020306B">
            <w:pPr>
              <w:jc w:val="center"/>
              <w:rPr>
                <w:rFonts w:ascii="Calibri" w:hAnsi="Calibri" w:cs="Calibri"/>
                <w:i/>
                <w:color w:val="000000"/>
                <w:sz w:val="16"/>
                <w:szCs w:val="16"/>
              </w:rPr>
            </w:pPr>
            <w:r w:rsidRPr="0020306B">
              <w:rPr>
                <w:rFonts w:ascii="Calibri" w:hAnsi="Calibri" w:cs="Calibri"/>
                <w:i/>
                <w:color w:val="000000"/>
                <w:sz w:val="16"/>
                <w:szCs w:val="16"/>
              </w:rPr>
              <w:t>oui</w:t>
            </w:r>
          </w:p>
        </w:tc>
      </w:tr>
      <w:tr w:rsidR="0020306B" w:rsidRPr="0020306B" w:rsidTr="0056006D">
        <w:trPr>
          <w:trHeight w:val="121"/>
          <w:jc w:val="center"/>
        </w:trPr>
        <w:tc>
          <w:tcPr>
            <w:tcW w:w="5376" w:type="dxa"/>
            <w:shd w:val="clear" w:color="auto" w:fill="auto"/>
            <w:noWrap/>
            <w:vAlign w:val="center"/>
            <w:hideMark/>
          </w:tcPr>
          <w:p w:rsidR="0020306B" w:rsidRPr="0020306B" w:rsidRDefault="0020306B" w:rsidP="0020306B">
            <w:pPr>
              <w:jc w:val="both"/>
              <w:rPr>
                <w:rFonts w:ascii="Calibri" w:hAnsi="Calibri" w:cs="Calibri"/>
                <w:color w:val="000000"/>
                <w:sz w:val="16"/>
                <w:szCs w:val="16"/>
                <w:lang w:val="fr-FR"/>
              </w:rPr>
            </w:pPr>
            <w:r w:rsidRPr="0020306B">
              <w:rPr>
                <w:rFonts w:ascii="Calibri" w:hAnsi="Calibri" w:cs="Calibri"/>
                <w:color w:val="000000"/>
                <w:sz w:val="16"/>
                <w:szCs w:val="16"/>
                <w:lang w:val="fr-FR"/>
              </w:rPr>
              <w:t>T</w:t>
            </w:r>
            <w:r>
              <w:rPr>
                <w:rFonts w:ascii="Calibri" w:hAnsi="Calibri" w:cs="Calibri"/>
                <w:color w:val="000000"/>
                <w:sz w:val="16"/>
                <w:szCs w:val="16"/>
                <w:lang w:val="fr-FR"/>
              </w:rPr>
              <w:t>ransfert de fonds entre agences</w:t>
            </w:r>
          </w:p>
        </w:tc>
        <w:tc>
          <w:tcPr>
            <w:tcW w:w="2068" w:type="dxa"/>
            <w:shd w:val="clear" w:color="auto" w:fill="auto"/>
            <w:noWrap/>
            <w:vAlign w:val="center"/>
            <w:hideMark/>
          </w:tcPr>
          <w:p w:rsidR="0020306B" w:rsidRPr="0020306B" w:rsidRDefault="0020306B" w:rsidP="0020306B">
            <w:pPr>
              <w:jc w:val="center"/>
              <w:rPr>
                <w:rFonts w:ascii="Calibri" w:hAnsi="Calibri" w:cs="Calibri"/>
                <w:i/>
                <w:color w:val="000000"/>
                <w:sz w:val="16"/>
                <w:szCs w:val="16"/>
              </w:rPr>
            </w:pPr>
            <w:r w:rsidRPr="0020306B">
              <w:rPr>
                <w:rFonts w:ascii="Calibri" w:hAnsi="Calibri" w:cs="Calibri"/>
                <w:i/>
                <w:color w:val="000000"/>
                <w:sz w:val="16"/>
                <w:szCs w:val="16"/>
              </w:rPr>
              <w:t>non</w:t>
            </w:r>
          </w:p>
        </w:tc>
      </w:tr>
      <w:tr w:rsidR="0020306B" w:rsidRPr="0020306B" w:rsidTr="0056006D">
        <w:trPr>
          <w:trHeight w:val="184"/>
          <w:jc w:val="center"/>
        </w:trPr>
        <w:tc>
          <w:tcPr>
            <w:tcW w:w="5376" w:type="dxa"/>
            <w:shd w:val="clear" w:color="auto" w:fill="auto"/>
            <w:noWrap/>
            <w:vAlign w:val="center"/>
            <w:hideMark/>
          </w:tcPr>
          <w:p w:rsidR="0020306B" w:rsidRPr="0020306B" w:rsidRDefault="0020306B" w:rsidP="0020306B">
            <w:pPr>
              <w:jc w:val="both"/>
              <w:rPr>
                <w:rFonts w:ascii="Calibri" w:hAnsi="Calibri" w:cs="Calibri"/>
                <w:color w:val="000000"/>
                <w:sz w:val="16"/>
                <w:szCs w:val="16"/>
              </w:rPr>
            </w:pPr>
            <w:r>
              <w:rPr>
                <w:rFonts w:ascii="Calibri" w:hAnsi="Calibri" w:cs="Calibri"/>
                <w:color w:val="000000"/>
                <w:sz w:val="16"/>
                <w:szCs w:val="16"/>
                <w:lang w:val="fr-FR"/>
              </w:rPr>
              <w:t>Validation du plan annuel 2012</w:t>
            </w:r>
          </w:p>
        </w:tc>
        <w:tc>
          <w:tcPr>
            <w:tcW w:w="2068" w:type="dxa"/>
            <w:shd w:val="clear" w:color="auto" w:fill="auto"/>
            <w:noWrap/>
            <w:vAlign w:val="center"/>
            <w:hideMark/>
          </w:tcPr>
          <w:p w:rsidR="0020306B" w:rsidRPr="0020306B" w:rsidRDefault="0020306B" w:rsidP="0020306B">
            <w:pPr>
              <w:jc w:val="center"/>
              <w:rPr>
                <w:rFonts w:ascii="Calibri" w:hAnsi="Calibri" w:cs="Calibri"/>
                <w:i/>
                <w:color w:val="000000"/>
                <w:sz w:val="16"/>
                <w:szCs w:val="16"/>
              </w:rPr>
            </w:pPr>
            <w:r w:rsidRPr="0020306B">
              <w:rPr>
                <w:rFonts w:ascii="Calibri" w:hAnsi="Calibri" w:cs="Calibri"/>
                <w:i/>
                <w:color w:val="000000"/>
                <w:sz w:val="16"/>
                <w:szCs w:val="16"/>
              </w:rPr>
              <w:t>n/a</w:t>
            </w:r>
          </w:p>
        </w:tc>
      </w:tr>
      <w:tr w:rsidR="0020306B" w:rsidRPr="0020306B" w:rsidTr="0056006D">
        <w:trPr>
          <w:trHeight w:val="337"/>
          <w:jc w:val="center"/>
        </w:trPr>
        <w:tc>
          <w:tcPr>
            <w:tcW w:w="5376" w:type="dxa"/>
            <w:shd w:val="clear" w:color="auto" w:fill="auto"/>
            <w:noWrap/>
            <w:vAlign w:val="center"/>
            <w:hideMark/>
          </w:tcPr>
          <w:p w:rsidR="0020306B" w:rsidRPr="0020306B" w:rsidRDefault="0020306B" w:rsidP="0020306B">
            <w:pPr>
              <w:jc w:val="both"/>
              <w:rPr>
                <w:rFonts w:ascii="Calibri" w:hAnsi="Calibri" w:cs="Calibri"/>
                <w:color w:val="000000"/>
                <w:sz w:val="16"/>
                <w:szCs w:val="16"/>
                <w:lang w:val="fr-FR"/>
              </w:rPr>
            </w:pPr>
            <w:r w:rsidRPr="0020306B">
              <w:rPr>
                <w:rFonts w:ascii="Calibri" w:hAnsi="Calibri" w:cs="Calibri"/>
                <w:color w:val="000000"/>
                <w:sz w:val="16"/>
                <w:szCs w:val="16"/>
                <w:lang w:val="fr-FR"/>
              </w:rPr>
              <w:t>Renforcement des capacités du Bureau du Coordonnateur résident et des agences</w:t>
            </w:r>
          </w:p>
        </w:tc>
        <w:tc>
          <w:tcPr>
            <w:tcW w:w="2068" w:type="dxa"/>
            <w:tcBorders>
              <w:bottom w:val="dotted" w:sz="4" w:space="0" w:color="auto"/>
            </w:tcBorders>
            <w:shd w:val="clear" w:color="auto" w:fill="auto"/>
            <w:noWrap/>
            <w:vAlign w:val="center"/>
            <w:hideMark/>
          </w:tcPr>
          <w:p w:rsidR="0020306B" w:rsidRPr="0020306B" w:rsidRDefault="0020306B" w:rsidP="0020306B">
            <w:pPr>
              <w:jc w:val="center"/>
              <w:rPr>
                <w:rFonts w:ascii="Calibri" w:hAnsi="Calibri" w:cs="Calibri"/>
                <w:i/>
                <w:color w:val="000000"/>
                <w:sz w:val="16"/>
                <w:szCs w:val="16"/>
              </w:rPr>
            </w:pPr>
            <w:r w:rsidRPr="0020306B">
              <w:rPr>
                <w:rFonts w:ascii="Calibri" w:hAnsi="Calibri" w:cs="Calibri"/>
                <w:i/>
                <w:color w:val="000000"/>
                <w:sz w:val="16"/>
                <w:szCs w:val="16"/>
              </w:rPr>
              <w:t>non</w:t>
            </w:r>
          </w:p>
        </w:tc>
      </w:tr>
      <w:tr w:rsidR="0020306B" w:rsidRPr="0020306B" w:rsidTr="0056006D">
        <w:trPr>
          <w:trHeight w:val="211"/>
          <w:jc w:val="center"/>
        </w:trPr>
        <w:tc>
          <w:tcPr>
            <w:tcW w:w="5376" w:type="dxa"/>
            <w:shd w:val="clear" w:color="auto" w:fill="auto"/>
            <w:noWrap/>
            <w:vAlign w:val="center"/>
            <w:hideMark/>
          </w:tcPr>
          <w:p w:rsidR="0020306B" w:rsidRPr="0020306B" w:rsidRDefault="0020306B" w:rsidP="0020306B">
            <w:pPr>
              <w:jc w:val="both"/>
              <w:rPr>
                <w:rFonts w:ascii="Calibri" w:hAnsi="Calibri" w:cs="Calibri"/>
                <w:color w:val="000000"/>
                <w:sz w:val="16"/>
                <w:szCs w:val="16"/>
                <w:lang w:val="fr-FR"/>
              </w:rPr>
            </w:pPr>
            <w:r w:rsidRPr="0020306B">
              <w:rPr>
                <w:rFonts w:ascii="Calibri" w:hAnsi="Calibri" w:cs="Calibri"/>
                <w:color w:val="000000"/>
                <w:sz w:val="16"/>
                <w:szCs w:val="16"/>
                <w:lang w:val="fr-FR"/>
              </w:rPr>
              <w:t>Date tenue prochaine réunion du CNP</w:t>
            </w:r>
          </w:p>
        </w:tc>
        <w:tc>
          <w:tcPr>
            <w:tcW w:w="2068" w:type="dxa"/>
            <w:shd w:val="clear" w:color="auto" w:fill="D9D9D9" w:themeFill="background1" w:themeFillShade="D9"/>
            <w:noWrap/>
            <w:vAlign w:val="center"/>
            <w:hideMark/>
          </w:tcPr>
          <w:p w:rsidR="0020306B" w:rsidRPr="0020306B" w:rsidRDefault="0020306B" w:rsidP="0020306B">
            <w:pPr>
              <w:jc w:val="center"/>
              <w:rPr>
                <w:rFonts w:ascii="Calibri" w:hAnsi="Calibri" w:cs="Calibri"/>
                <w:i/>
                <w:color w:val="000000"/>
                <w:sz w:val="16"/>
                <w:szCs w:val="16"/>
              </w:rPr>
            </w:pPr>
            <w:r w:rsidRPr="0020306B">
              <w:rPr>
                <w:rFonts w:ascii="Calibri" w:hAnsi="Calibri" w:cs="Calibri"/>
                <w:i/>
                <w:color w:val="000000"/>
                <w:sz w:val="16"/>
                <w:szCs w:val="16"/>
              </w:rPr>
              <w:t>oui</w:t>
            </w:r>
          </w:p>
        </w:tc>
      </w:tr>
      <w:tr w:rsidR="0020306B" w:rsidRPr="0020306B" w:rsidTr="0056006D">
        <w:trPr>
          <w:trHeight w:val="166"/>
          <w:jc w:val="center"/>
        </w:trPr>
        <w:tc>
          <w:tcPr>
            <w:tcW w:w="5376" w:type="dxa"/>
            <w:shd w:val="clear" w:color="auto" w:fill="auto"/>
            <w:noWrap/>
            <w:vAlign w:val="center"/>
            <w:hideMark/>
          </w:tcPr>
          <w:p w:rsidR="0020306B" w:rsidRPr="0020306B" w:rsidRDefault="0020306B" w:rsidP="0020306B">
            <w:pPr>
              <w:jc w:val="center"/>
              <w:rPr>
                <w:rFonts w:ascii="Calibri" w:hAnsi="Calibri" w:cs="Calibri"/>
                <w:b/>
                <w:bCs/>
                <w:color w:val="000000"/>
                <w:sz w:val="16"/>
                <w:szCs w:val="16"/>
              </w:rPr>
            </w:pPr>
            <w:r>
              <w:rPr>
                <w:rFonts w:ascii="Calibri" w:hAnsi="Calibri" w:cs="Calibri"/>
                <w:b/>
                <w:bCs/>
                <w:color w:val="000000"/>
                <w:sz w:val="16"/>
                <w:szCs w:val="16"/>
              </w:rPr>
              <w:t>Dé</w:t>
            </w:r>
            <w:r w:rsidRPr="0020306B">
              <w:rPr>
                <w:rFonts w:ascii="Calibri" w:hAnsi="Calibri" w:cs="Calibri"/>
                <w:b/>
                <w:bCs/>
                <w:color w:val="000000"/>
                <w:sz w:val="16"/>
                <w:szCs w:val="16"/>
              </w:rPr>
              <w:t>cembre 2011</w:t>
            </w:r>
          </w:p>
        </w:tc>
        <w:tc>
          <w:tcPr>
            <w:tcW w:w="2068" w:type="dxa"/>
            <w:shd w:val="clear" w:color="auto" w:fill="auto"/>
            <w:noWrap/>
            <w:vAlign w:val="center"/>
            <w:hideMark/>
          </w:tcPr>
          <w:p w:rsidR="0020306B" w:rsidRPr="0020306B" w:rsidRDefault="0020306B" w:rsidP="0020306B">
            <w:pPr>
              <w:jc w:val="center"/>
              <w:rPr>
                <w:rFonts w:ascii="Calibri" w:hAnsi="Calibri" w:cs="Calibri"/>
                <w:i/>
                <w:color w:val="000000"/>
                <w:sz w:val="16"/>
                <w:szCs w:val="16"/>
              </w:rPr>
            </w:pPr>
          </w:p>
        </w:tc>
      </w:tr>
      <w:tr w:rsidR="0020306B" w:rsidRPr="0020306B" w:rsidTr="0056006D">
        <w:trPr>
          <w:trHeight w:val="139"/>
          <w:jc w:val="center"/>
        </w:trPr>
        <w:tc>
          <w:tcPr>
            <w:tcW w:w="5376" w:type="dxa"/>
            <w:shd w:val="clear" w:color="auto" w:fill="auto"/>
            <w:noWrap/>
            <w:vAlign w:val="center"/>
            <w:hideMark/>
          </w:tcPr>
          <w:p w:rsidR="0020306B" w:rsidRPr="0020306B" w:rsidRDefault="0020306B" w:rsidP="0020306B">
            <w:pPr>
              <w:rPr>
                <w:rFonts w:ascii="Calibri" w:hAnsi="Calibri" w:cs="Calibri"/>
                <w:color w:val="000000"/>
                <w:sz w:val="16"/>
                <w:szCs w:val="16"/>
                <w:lang w:val="fr-FR"/>
              </w:rPr>
            </w:pPr>
            <w:r w:rsidRPr="0020306B">
              <w:rPr>
                <w:rFonts w:ascii="Calibri" w:hAnsi="Calibri" w:cs="Calibri"/>
                <w:color w:val="000000"/>
                <w:sz w:val="16"/>
                <w:szCs w:val="16"/>
                <w:lang w:val="fr-FR"/>
              </w:rPr>
              <w:t>Les activités programmées pour 2013 sont avancées</w:t>
            </w:r>
            <w:r>
              <w:rPr>
                <w:rFonts w:ascii="Calibri" w:hAnsi="Calibri" w:cs="Calibri"/>
                <w:color w:val="000000"/>
                <w:sz w:val="16"/>
                <w:szCs w:val="16"/>
                <w:lang w:val="fr-FR"/>
              </w:rPr>
              <w:t xml:space="preserve"> à</w:t>
            </w:r>
            <w:r w:rsidRPr="0020306B">
              <w:rPr>
                <w:rFonts w:ascii="Calibri" w:hAnsi="Calibri" w:cs="Calibri"/>
                <w:color w:val="000000"/>
                <w:sz w:val="16"/>
                <w:szCs w:val="16"/>
                <w:lang w:val="fr-FR"/>
              </w:rPr>
              <w:t xml:space="preserve"> 2012</w:t>
            </w:r>
          </w:p>
        </w:tc>
        <w:tc>
          <w:tcPr>
            <w:tcW w:w="2068" w:type="dxa"/>
            <w:shd w:val="clear" w:color="auto" w:fill="auto"/>
            <w:noWrap/>
            <w:vAlign w:val="center"/>
            <w:hideMark/>
          </w:tcPr>
          <w:p w:rsidR="0020306B" w:rsidRPr="0020306B" w:rsidRDefault="0020306B" w:rsidP="0020306B">
            <w:pPr>
              <w:jc w:val="center"/>
              <w:rPr>
                <w:rFonts w:ascii="Calibri" w:hAnsi="Calibri" w:cs="Calibri"/>
                <w:i/>
                <w:color w:val="000000"/>
                <w:sz w:val="16"/>
                <w:szCs w:val="16"/>
              </w:rPr>
            </w:pPr>
            <w:r w:rsidRPr="0020306B">
              <w:rPr>
                <w:rFonts w:ascii="Calibri" w:hAnsi="Calibri" w:cs="Calibri"/>
                <w:i/>
                <w:color w:val="000000"/>
                <w:sz w:val="16"/>
                <w:szCs w:val="16"/>
              </w:rPr>
              <w:t>n/a</w:t>
            </w:r>
          </w:p>
        </w:tc>
      </w:tr>
      <w:tr w:rsidR="0020306B" w:rsidRPr="0020306B" w:rsidTr="0056006D">
        <w:trPr>
          <w:trHeight w:val="94"/>
          <w:jc w:val="center"/>
        </w:trPr>
        <w:tc>
          <w:tcPr>
            <w:tcW w:w="5376" w:type="dxa"/>
            <w:shd w:val="clear" w:color="auto" w:fill="auto"/>
            <w:noWrap/>
            <w:vAlign w:val="center"/>
            <w:hideMark/>
          </w:tcPr>
          <w:p w:rsidR="0020306B" w:rsidRPr="0020306B" w:rsidRDefault="0020306B" w:rsidP="0020306B">
            <w:pPr>
              <w:rPr>
                <w:rFonts w:ascii="Calibri" w:hAnsi="Calibri" w:cs="Calibri"/>
                <w:color w:val="000000"/>
                <w:sz w:val="16"/>
                <w:szCs w:val="16"/>
                <w:lang w:val="fr-FR"/>
              </w:rPr>
            </w:pPr>
            <w:r w:rsidRPr="0020306B">
              <w:rPr>
                <w:rFonts w:ascii="Calibri" w:hAnsi="Calibri" w:cs="Calibri"/>
                <w:color w:val="000000"/>
                <w:sz w:val="16"/>
                <w:szCs w:val="16"/>
                <w:lang w:val="fr-FR"/>
              </w:rPr>
              <w:t>Révision du plan de travail</w:t>
            </w:r>
          </w:p>
        </w:tc>
        <w:tc>
          <w:tcPr>
            <w:tcW w:w="2068" w:type="dxa"/>
            <w:shd w:val="clear" w:color="auto" w:fill="auto"/>
            <w:noWrap/>
            <w:vAlign w:val="center"/>
            <w:hideMark/>
          </w:tcPr>
          <w:p w:rsidR="0020306B" w:rsidRPr="0020306B" w:rsidRDefault="0020306B" w:rsidP="0020306B">
            <w:pPr>
              <w:jc w:val="center"/>
              <w:rPr>
                <w:rFonts w:ascii="Calibri" w:hAnsi="Calibri" w:cs="Calibri"/>
                <w:i/>
                <w:color w:val="000000"/>
                <w:sz w:val="16"/>
                <w:szCs w:val="16"/>
              </w:rPr>
            </w:pPr>
            <w:r w:rsidRPr="0020306B">
              <w:rPr>
                <w:rFonts w:ascii="Calibri" w:hAnsi="Calibri" w:cs="Calibri"/>
                <w:i/>
                <w:color w:val="000000"/>
                <w:sz w:val="16"/>
                <w:szCs w:val="16"/>
              </w:rPr>
              <w:t>n/a</w:t>
            </w:r>
          </w:p>
        </w:tc>
      </w:tr>
      <w:tr w:rsidR="0020306B" w:rsidRPr="0020306B" w:rsidTr="0056006D">
        <w:trPr>
          <w:trHeight w:val="175"/>
          <w:jc w:val="center"/>
        </w:trPr>
        <w:tc>
          <w:tcPr>
            <w:tcW w:w="5376" w:type="dxa"/>
            <w:shd w:val="clear" w:color="auto" w:fill="auto"/>
            <w:vAlign w:val="center"/>
            <w:hideMark/>
          </w:tcPr>
          <w:p w:rsidR="0020306B" w:rsidRPr="0020306B" w:rsidRDefault="0020306B" w:rsidP="0020306B">
            <w:pPr>
              <w:rPr>
                <w:rFonts w:ascii="Calibri" w:hAnsi="Calibri" w:cs="Calibri"/>
                <w:color w:val="000000"/>
                <w:sz w:val="16"/>
                <w:szCs w:val="16"/>
                <w:lang w:val="fr-FR"/>
              </w:rPr>
            </w:pPr>
            <w:r w:rsidRPr="0020306B">
              <w:rPr>
                <w:rFonts w:ascii="Calibri" w:hAnsi="Calibri" w:cs="Calibri"/>
                <w:color w:val="000000"/>
                <w:sz w:val="16"/>
                <w:szCs w:val="16"/>
                <w:lang w:val="fr-FR"/>
              </w:rPr>
              <w:t>Approbation du transfert de fonds entre agences, selon les détails présentés</w:t>
            </w:r>
          </w:p>
        </w:tc>
        <w:tc>
          <w:tcPr>
            <w:tcW w:w="2068" w:type="dxa"/>
            <w:shd w:val="clear" w:color="auto" w:fill="auto"/>
            <w:noWrap/>
            <w:vAlign w:val="center"/>
            <w:hideMark/>
          </w:tcPr>
          <w:p w:rsidR="0020306B" w:rsidRPr="0020306B" w:rsidRDefault="0020306B" w:rsidP="0020306B">
            <w:pPr>
              <w:jc w:val="center"/>
              <w:rPr>
                <w:rFonts w:ascii="Calibri" w:hAnsi="Calibri" w:cs="Calibri"/>
                <w:i/>
                <w:color w:val="000000"/>
                <w:sz w:val="16"/>
                <w:szCs w:val="16"/>
              </w:rPr>
            </w:pPr>
            <w:r w:rsidRPr="0020306B">
              <w:rPr>
                <w:rFonts w:ascii="Calibri" w:hAnsi="Calibri" w:cs="Calibri"/>
                <w:i/>
                <w:color w:val="000000"/>
                <w:sz w:val="16"/>
                <w:szCs w:val="16"/>
              </w:rPr>
              <w:t>non</w:t>
            </w:r>
          </w:p>
        </w:tc>
      </w:tr>
    </w:tbl>
    <w:p w:rsidR="00B9690E" w:rsidRDefault="00B9690E" w:rsidP="00F36DCE">
      <w:pPr>
        <w:pStyle w:val="NoSpacing"/>
        <w:numPr>
          <w:ilvl w:val="0"/>
          <w:numId w:val="1"/>
        </w:numPr>
        <w:ind w:left="0" w:firstLine="0"/>
        <w:rPr>
          <w:lang w:val="fr-CA"/>
        </w:rPr>
      </w:pPr>
      <w:r>
        <w:rPr>
          <w:lang w:val="fr-CA"/>
        </w:rPr>
        <w:t>Il est</w:t>
      </w:r>
      <w:r w:rsidR="00BF4776">
        <w:rPr>
          <w:lang w:val="fr-CA"/>
        </w:rPr>
        <w:t xml:space="preserve"> cependant</w:t>
      </w:r>
      <w:r>
        <w:rPr>
          <w:lang w:val="fr-CA"/>
        </w:rPr>
        <w:t xml:space="preserve"> regrettable de constater qu’un</w:t>
      </w:r>
      <w:r w:rsidR="006355CD">
        <w:rPr>
          <w:lang w:val="fr-CA"/>
        </w:rPr>
        <w:t>e</w:t>
      </w:r>
      <w:r>
        <w:rPr>
          <w:lang w:val="fr-CA"/>
        </w:rPr>
        <w:t xml:space="preserve"> décision aussi importante que le transfert de fonds inter-agences, </w:t>
      </w:r>
      <w:r w:rsidRPr="00F36DCE">
        <w:rPr>
          <w:lang w:val="fr-FR"/>
        </w:rPr>
        <w:t>qui</w:t>
      </w:r>
      <w:r>
        <w:rPr>
          <w:lang w:val="fr-CA"/>
        </w:rPr>
        <w:t xml:space="preserve"> aurait </w:t>
      </w:r>
      <w:r w:rsidRPr="00D8742E">
        <w:rPr>
          <w:lang w:val="fr-FR"/>
        </w:rPr>
        <w:t>permis</w:t>
      </w:r>
      <w:r>
        <w:rPr>
          <w:lang w:val="fr-CA"/>
        </w:rPr>
        <w:t xml:space="preserve"> à l’ONUSIDA et à l’UNICEF de poursuivre ou avancer dans leurs activités, n’avait toujours pas été exécutée au mois de janvier 2012, soit </w:t>
      </w:r>
      <w:r w:rsidR="001E3770">
        <w:rPr>
          <w:lang w:val="fr-CA"/>
        </w:rPr>
        <w:t>douze</w:t>
      </w:r>
      <w:r>
        <w:rPr>
          <w:lang w:val="fr-CA"/>
        </w:rPr>
        <w:t xml:space="preserve"> mois après que le CNP ait donné son accord de principe. </w:t>
      </w:r>
      <w:r w:rsidR="00BF4776">
        <w:rPr>
          <w:lang w:val="fr-CA"/>
        </w:rPr>
        <w:t>A</w:t>
      </w:r>
      <w:r>
        <w:rPr>
          <w:lang w:val="fr-CA"/>
        </w:rPr>
        <w:t xml:space="preserve">u moment de la réalisation de l’évaluation à mi-parcours, </w:t>
      </w:r>
      <w:r w:rsidR="00BF4776">
        <w:rPr>
          <w:lang w:val="fr-CA"/>
        </w:rPr>
        <w:t>le processus était bloqué dans l’attente de la préparation des minutes de réunion du CNP</w:t>
      </w:r>
      <w:r w:rsidR="001E3770">
        <w:rPr>
          <w:lang w:val="fr-CA"/>
        </w:rPr>
        <w:t xml:space="preserve"> du mois de décembre</w:t>
      </w:r>
      <w:r w:rsidR="00BF4776">
        <w:rPr>
          <w:lang w:val="fr-CA"/>
        </w:rPr>
        <w:t>, laquelle avait approuvé le détail de ces transferts.</w:t>
      </w:r>
    </w:p>
    <w:p w:rsidR="0056006D" w:rsidRDefault="00F84626" w:rsidP="0056006D">
      <w:pPr>
        <w:pStyle w:val="NoSpacing"/>
        <w:numPr>
          <w:ilvl w:val="0"/>
          <w:numId w:val="1"/>
        </w:numPr>
        <w:ind w:left="0" w:firstLine="0"/>
        <w:rPr>
          <w:lang w:val="fr-CA"/>
        </w:rPr>
      </w:pPr>
      <w:r>
        <w:rPr>
          <w:lang w:val="fr-CA"/>
        </w:rPr>
        <w:lastRenderedPageBreak/>
        <w:t xml:space="preserve">On </w:t>
      </w:r>
      <w:r w:rsidR="00BF4776">
        <w:rPr>
          <w:lang w:val="fr-CA"/>
        </w:rPr>
        <w:t>pourra enfin remarquer</w:t>
      </w:r>
      <w:r>
        <w:rPr>
          <w:lang w:val="fr-CA"/>
        </w:rPr>
        <w:t xml:space="preserve"> que les décisions ou recommandations du CNP n’ont p</w:t>
      </w:r>
      <w:r w:rsidR="00BF4776">
        <w:rPr>
          <w:lang w:val="fr-CA"/>
        </w:rPr>
        <w:t>as souvent</w:t>
      </w:r>
      <w:r>
        <w:rPr>
          <w:lang w:val="fr-CA"/>
        </w:rPr>
        <w:t xml:space="preserve"> porté sur des aspects </w:t>
      </w:r>
      <w:r w:rsidR="00503CD5">
        <w:rPr>
          <w:lang w:val="fr-CA"/>
        </w:rPr>
        <w:t>de guidance stratégique (comme de s’assurer que les activités du programme sont bien alignées sur les stratégies nationales et les OMD</w:t>
      </w:r>
      <w:r>
        <w:rPr>
          <w:lang w:val="fr-CA"/>
        </w:rPr>
        <w:t>; ou décider de réorientations stratégiques</w:t>
      </w:r>
      <w:r w:rsidR="00503CD5">
        <w:rPr>
          <w:lang w:val="fr-CA"/>
        </w:rPr>
        <w:t xml:space="preserve">) </w:t>
      </w:r>
      <w:r>
        <w:rPr>
          <w:lang w:val="fr-CA"/>
        </w:rPr>
        <w:t>ou ayant trait à son</w:t>
      </w:r>
      <w:r w:rsidR="00503CD5">
        <w:rPr>
          <w:lang w:val="fr-CA"/>
        </w:rPr>
        <w:t xml:space="preserve"> rôle fiduciaire (comme de s’assurer que les ressources financières du programme sont utilisées avec efficience et efficacité et dans le respect des règles</w:t>
      </w:r>
      <w:r w:rsidR="004468AE">
        <w:rPr>
          <w:lang w:val="fr-CA"/>
        </w:rPr>
        <w:t xml:space="preserve"> et du calendrier</w:t>
      </w:r>
      <w:r w:rsidR="00503CD5">
        <w:rPr>
          <w:lang w:val="fr-CA"/>
        </w:rPr>
        <w:t xml:space="preserve">). </w:t>
      </w:r>
    </w:p>
    <w:p w:rsidR="001117B1" w:rsidRPr="00BF4776" w:rsidRDefault="00BF4776" w:rsidP="004468AE">
      <w:pPr>
        <w:pStyle w:val="NoSpacing"/>
        <w:numPr>
          <w:ilvl w:val="0"/>
          <w:numId w:val="1"/>
        </w:numPr>
        <w:ind w:left="0" w:firstLine="0"/>
        <w:rPr>
          <w:lang w:val="fr-FR"/>
        </w:rPr>
      </w:pPr>
      <w:r w:rsidRPr="00BF4776">
        <w:rPr>
          <w:b/>
          <w:lang w:val="fr-CA"/>
        </w:rPr>
        <w:t>Le Comité de Gestion du Programme (CGP).</w:t>
      </w:r>
      <w:r w:rsidRPr="00BF4776">
        <w:rPr>
          <w:lang w:val="fr-CA"/>
        </w:rPr>
        <w:t xml:space="preserve"> </w:t>
      </w:r>
      <w:r w:rsidR="001117B1" w:rsidRPr="00BF4776">
        <w:rPr>
          <w:lang w:val="fr-CA"/>
        </w:rPr>
        <w:t xml:space="preserve">En vertu du principe de l’Exécution Nationale (NEX) et conformément au manuel de procédure du Fonds-OMD, la </w:t>
      </w:r>
      <w:r w:rsidR="001117B1" w:rsidRPr="00BF4776">
        <w:rPr>
          <w:lang w:val="fr-FR"/>
        </w:rPr>
        <w:t>gestion</w:t>
      </w:r>
      <w:r w:rsidR="001117B1" w:rsidRPr="00BF4776">
        <w:rPr>
          <w:lang w:val="fr-CA"/>
        </w:rPr>
        <w:t xml:space="preserve"> du programme a été confiée au </w:t>
      </w:r>
      <w:r w:rsidR="001117B1" w:rsidRPr="00BF4776">
        <w:rPr>
          <w:i/>
          <w:lang w:val="fr-CA"/>
        </w:rPr>
        <w:t xml:space="preserve">Ministère </w:t>
      </w:r>
      <w:r w:rsidR="00D4130B" w:rsidRPr="00BF4776">
        <w:rPr>
          <w:i/>
          <w:lang w:val="fr-CA"/>
        </w:rPr>
        <w:t>D</w:t>
      </w:r>
      <w:r w:rsidR="001117B1" w:rsidRPr="00BF4776">
        <w:rPr>
          <w:i/>
          <w:lang w:val="fr-CA"/>
        </w:rPr>
        <w:t xml:space="preserve">élégué </w:t>
      </w:r>
      <w:r w:rsidR="00D4130B" w:rsidRPr="00BF4776">
        <w:rPr>
          <w:bCs/>
          <w:i/>
          <w:lang w:val="fr-CA"/>
        </w:rPr>
        <w:t>Chargé</w:t>
      </w:r>
      <w:r w:rsidR="001117B1" w:rsidRPr="00BF4776">
        <w:rPr>
          <w:bCs/>
          <w:i/>
          <w:lang w:val="fr-CA"/>
        </w:rPr>
        <w:t xml:space="preserve"> de la </w:t>
      </w:r>
      <w:r w:rsidR="00D4130B" w:rsidRPr="00BF4776">
        <w:rPr>
          <w:bCs/>
          <w:i/>
          <w:lang w:val="fr-CA"/>
        </w:rPr>
        <w:t>F</w:t>
      </w:r>
      <w:r w:rsidR="001117B1" w:rsidRPr="00BF4776">
        <w:rPr>
          <w:bCs/>
          <w:i/>
          <w:lang w:val="fr-CA"/>
        </w:rPr>
        <w:t xml:space="preserve">amille et de la </w:t>
      </w:r>
      <w:r w:rsidR="00D4130B" w:rsidRPr="00BF4776">
        <w:rPr>
          <w:bCs/>
          <w:i/>
          <w:lang w:val="fr-CA"/>
        </w:rPr>
        <w:t>C</w:t>
      </w:r>
      <w:r w:rsidR="001117B1" w:rsidRPr="00BF4776">
        <w:rPr>
          <w:bCs/>
          <w:i/>
          <w:lang w:val="fr-CA"/>
        </w:rPr>
        <w:t xml:space="preserve">ondition </w:t>
      </w:r>
      <w:r w:rsidR="00D4130B" w:rsidRPr="00BF4776">
        <w:rPr>
          <w:bCs/>
          <w:i/>
          <w:lang w:val="fr-CA"/>
        </w:rPr>
        <w:t>F</w:t>
      </w:r>
      <w:r w:rsidR="001117B1" w:rsidRPr="00BF4776">
        <w:rPr>
          <w:bCs/>
          <w:i/>
          <w:lang w:val="fr-CA"/>
        </w:rPr>
        <w:t>éminine</w:t>
      </w:r>
      <w:r w:rsidR="001117B1" w:rsidRPr="00BF4776">
        <w:rPr>
          <w:b/>
          <w:i/>
          <w:lang w:val="fr-CA"/>
        </w:rPr>
        <w:t xml:space="preserve"> </w:t>
      </w:r>
      <w:r w:rsidR="001117B1" w:rsidRPr="00BF4776">
        <w:rPr>
          <w:lang w:val="fr-CA"/>
        </w:rPr>
        <w:t>(MDCFCF)</w:t>
      </w:r>
      <w:r w:rsidR="00D4130B" w:rsidRPr="00BF4776">
        <w:rPr>
          <w:lang w:val="fr-CA"/>
        </w:rPr>
        <w:t xml:space="preserve"> </w:t>
      </w:r>
      <w:r w:rsidR="00D4130B" w:rsidRPr="00BF4776">
        <w:rPr>
          <w:i/>
          <w:lang w:val="fr-CA"/>
        </w:rPr>
        <w:t>auprès du Ministre de la Solidarité Nationale et de la Famille</w:t>
      </w:r>
      <w:r w:rsidR="001117B1" w:rsidRPr="00BF4776">
        <w:rPr>
          <w:lang w:val="fr-CA"/>
        </w:rPr>
        <w:t>, qui est donc l’Agent d’Exécution du programme</w:t>
      </w:r>
      <w:r w:rsidR="00C31DC5" w:rsidRPr="00BF4776">
        <w:rPr>
          <w:lang w:val="fr-CA"/>
        </w:rPr>
        <w:t xml:space="preserve"> et</w:t>
      </w:r>
      <w:r w:rsidR="001117B1" w:rsidRPr="00BF4776">
        <w:rPr>
          <w:lang w:val="fr-CA"/>
        </w:rPr>
        <w:t xml:space="preserve"> </w:t>
      </w:r>
      <w:r w:rsidR="00C31DC5" w:rsidRPr="00BF4776">
        <w:rPr>
          <w:lang w:val="fr-CA"/>
        </w:rPr>
        <w:t xml:space="preserve">le </w:t>
      </w:r>
      <w:r w:rsidR="00C31DC5" w:rsidRPr="00BF4776">
        <w:rPr>
          <w:i/>
          <w:lang w:val="fr-CA"/>
        </w:rPr>
        <w:t>Ministère Lead</w:t>
      </w:r>
      <w:r w:rsidR="00C31DC5" w:rsidRPr="00BF4776">
        <w:rPr>
          <w:lang w:val="fr-CA"/>
        </w:rPr>
        <w:t xml:space="preserve"> (selon la terminologie du Fonds-OMD). A ce titre, le MDCFCF </w:t>
      </w:r>
      <w:r w:rsidR="001117B1" w:rsidRPr="00BF4776">
        <w:rPr>
          <w:lang w:val="fr-CA"/>
        </w:rPr>
        <w:t xml:space="preserve">abrite </w:t>
      </w:r>
      <w:r w:rsidR="00C31DC5" w:rsidRPr="00BF4776">
        <w:rPr>
          <w:lang w:val="fr-CA"/>
        </w:rPr>
        <w:t xml:space="preserve"> et gère </w:t>
      </w:r>
      <w:r w:rsidR="001117B1" w:rsidRPr="00BF4776">
        <w:rPr>
          <w:lang w:val="fr-CA"/>
        </w:rPr>
        <w:t>l’Équipe</w:t>
      </w:r>
      <w:r w:rsidR="00C31DC5" w:rsidRPr="00BF4776">
        <w:rPr>
          <w:lang w:val="fr-CA"/>
        </w:rPr>
        <w:t xml:space="preserve"> de Programme (EP) et codirige</w:t>
      </w:r>
      <w:r w:rsidR="001117B1" w:rsidRPr="00BF4776">
        <w:rPr>
          <w:lang w:val="fr-CA"/>
        </w:rPr>
        <w:t xml:space="preserve"> le CGP.</w:t>
      </w:r>
    </w:p>
    <w:p w:rsidR="00C31DC5" w:rsidRPr="001117B1" w:rsidRDefault="00C31DC5" w:rsidP="004468AE">
      <w:pPr>
        <w:pStyle w:val="NoSpacing"/>
        <w:numPr>
          <w:ilvl w:val="0"/>
          <w:numId w:val="1"/>
        </w:numPr>
        <w:ind w:left="0" w:firstLine="0"/>
        <w:rPr>
          <w:lang w:val="fr-FR"/>
        </w:rPr>
      </w:pPr>
      <w:r>
        <w:rPr>
          <w:lang w:val="fr-CA"/>
        </w:rPr>
        <w:t>A la demande du MDCFCF, chacun des 12 ministères partie prenante au programme a nommé un Point Focal du Programme</w:t>
      </w:r>
      <w:r>
        <w:rPr>
          <w:rStyle w:val="FootnoteReference"/>
          <w:lang w:val="fr-CA"/>
        </w:rPr>
        <w:footnoteReference w:id="74"/>
      </w:r>
      <w:r>
        <w:rPr>
          <w:lang w:val="fr-CA"/>
        </w:rPr>
        <w:t xml:space="preserve">. </w:t>
      </w:r>
      <w:r w:rsidR="00BB478E">
        <w:rPr>
          <w:lang w:val="fr-CA"/>
        </w:rPr>
        <w:t xml:space="preserve">Afin </w:t>
      </w:r>
      <w:r w:rsidR="00BB478E" w:rsidRPr="004468AE">
        <w:rPr>
          <w:lang w:val="fr-FR"/>
        </w:rPr>
        <w:t>d’assurer</w:t>
      </w:r>
      <w:r w:rsidR="00BB478E">
        <w:rPr>
          <w:lang w:val="fr-CA"/>
        </w:rPr>
        <w:t xml:space="preserve"> la continuité de la participation de tous les ministères à tous les travaux du programme, l’EP a récemment entrepris de demander à chaque ministère de désigner un deuxième Point Focal et ce processus de désignation était toujours en cours au moment de l’évaluation à mi-parcours.</w:t>
      </w:r>
    </w:p>
    <w:p w:rsidR="00C31DC5" w:rsidRDefault="00A72B2E" w:rsidP="004468AE">
      <w:pPr>
        <w:pStyle w:val="NoSpacing"/>
        <w:numPr>
          <w:ilvl w:val="0"/>
          <w:numId w:val="1"/>
        </w:numPr>
        <w:ind w:left="0" w:firstLine="0"/>
        <w:rPr>
          <w:lang w:val="fr-CA"/>
        </w:rPr>
      </w:pPr>
      <w:r w:rsidRPr="00C31DC5">
        <w:rPr>
          <w:lang w:val="fr-CA"/>
        </w:rPr>
        <w:t xml:space="preserve">Conformément aux indications du document de projet, un Comité de Gestion a été constitué. </w:t>
      </w:r>
      <w:r w:rsidR="00D4130B">
        <w:rPr>
          <w:lang w:val="fr-CA"/>
        </w:rPr>
        <w:t>Présidé par</w:t>
      </w:r>
      <w:r w:rsidR="00C31DC5" w:rsidRPr="00C31DC5">
        <w:rPr>
          <w:lang w:val="fr-CA"/>
        </w:rPr>
        <w:t xml:space="preserve"> la DNP</w:t>
      </w:r>
      <w:r w:rsidR="00D4130B">
        <w:rPr>
          <w:lang w:val="fr-CA"/>
        </w:rPr>
        <w:t>, avec secrétariat assuré par le Coordonnateur du programme</w:t>
      </w:r>
      <w:r w:rsidR="00C31DC5" w:rsidRPr="00C31DC5">
        <w:rPr>
          <w:lang w:val="fr-CA"/>
        </w:rPr>
        <w:t>, il</w:t>
      </w:r>
      <w:r w:rsidR="007747E9" w:rsidRPr="00C31DC5">
        <w:rPr>
          <w:lang w:val="fr-CA"/>
        </w:rPr>
        <w:t xml:space="preserve"> est composé du personnel des agences des sept Agences des </w:t>
      </w:r>
      <w:r w:rsidR="007747E9" w:rsidRPr="004468AE">
        <w:rPr>
          <w:lang w:val="fr-FR"/>
        </w:rPr>
        <w:t>Nations</w:t>
      </w:r>
      <w:r w:rsidR="007747E9" w:rsidRPr="00C31DC5">
        <w:rPr>
          <w:lang w:val="fr-CA"/>
        </w:rPr>
        <w:t xml:space="preserve"> Unies partenaires du programme et des </w:t>
      </w:r>
      <w:r w:rsidR="004C0154" w:rsidRPr="00C31DC5">
        <w:rPr>
          <w:lang w:val="fr-CA"/>
        </w:rPr>
        <w:t xml:space="preserve">12 </w:t>
      </w:r>
      <w:r w:rsidR="007747E9" w:rsidRPr="00C31DC5">
        <w:rPr>
          <w:lang w:val="fr-CA"/>
        </w:rPr>
        <w:t xml:space="preserve">Points Focaux </w:t>
      </w:r>
      <w:r w:rsidR="00C31DC5" w:rsidRPr="00C31DC5">
        <w:rPr>
          <w:lang w:val="fr-CA"/>
        </w:rPr>
        <w:t xml:space="preserve">des ministères impliqués dans la mise en œuvre du programme. </w:t>
      </w:r>
    </w:p>
    <w:p w:rsidR="004C0154" w:rsidRPr="004468AE" w:rsidRDefault="00D4130B" w:rsidP="004468AE">
      <w:pPr>
        <w:pStyle w:val="NoSpacing"/>
        <w:numPr>
          <w:ilvl w:val="0"/>
          <w:numId w:val="1"/>
        </w:numPr>
        <w:ind w:left="0" w:firstLine="0"/>
        <w:rPr>
          <w:lang w:val="fr-CA"/>
        </w:rPr>
      </w:pPr>
      <w:r>
        <w:rPr>
          <w:lang w:val="fr-CA"/>
        </w:rPr>
        <w:t>Le CGP</w:t>
      </w:r>
      <w:r w:rsidR="007747E9" w:rsidRPr="004468AE">
        <w:rPr>
          <w:lang w:val="fr-CA"/>
        </w:rPr>
        <w:t xml:space="preserve"> </w:t>
      </w:r>
      <w:r w:rsidR="00A72B2E" w:rsidRPr="004468AE">
        <w:rPr>
          <w:lang w:val="fr-FR"/>
        </w:rPr>
        <w:t>s’est</w:t>
      </w:r>
      <w:r w:rsidR="00A72B2E" w:rsidRPr="004468AE">
        <w:rPr>
          <w:lang w:val="fr-CA"/>
        </w:rPr>
        <w:t xml:space="preserve"> réuni </w:t>
      </w:r>
      <w:r w:rsidR="007747E9" w:rsidRPr="004468AE">
        <w:rPr>
          <w:lang w:val="fr-CA"/>
        </w:rPr>
        <w:t>tous les mois</w:t>
      </w:r>
      <w:r>
        <w:rPr>
          <w:lang w:val="fr-CA"/>
        </w:rPr>
        <w:t xml:space="preserve"> et des compte-rendus été préparés à l’issue de chaque réunion</w:t>
      </w:r>
      <w:r>
        <w:rPr>
          <w:rStyle w:val="FootnoteReference"/>
          <w:lang w:val="fr-CA"/>
        </w:rPr>
        <w:footnoteReference w:id="75"/>
      </w:r>
      <w:r w:rsidR="002261F5" w:rsidRPr="004468AE">
        <w:rPr>
          <w:lang w:val="fr-CA"/>
        </w:rPr>
        <w:t>.</w:t>
      </w:r>
      <w:r w:rsidR="00C2109D" w:rsidRPr="004468AE">
        <w:rPr>
          <w:lang w:val="fr-CA"/>
        </w:rPr>
        <w:t xml:space="preserve"> La mission a pu assister à une réunion </w:t>
      </w:r>
      <w:r w:rsidR="004468AE">
        <w:rPr>
          <w:lang w:val="fr-CA"/>
        </w:rPr>
        <w:t>du même</w:t>
      </w:r>
      <w:r w:rsidR="00C2109D" w:rsidRPr="004468AE">
        <w:rPr>
          <w:lang w:val="fr-CA"/>
        </w:rPr>
        <w:t xml:space="preserve"> groupe</w:t>
      </w:r>
      <w:r w:rsidR="004468AE">
        <w:rPr>
          <w:lang w:val="fr-CA"/>
        </w:rPr>
        <w:t xml:space="preserve"> de participants</w:t>
      </w:r>
      <w:r w:rsidR="003B401F">
        <w:rPr>
          <w:rStyle w:val="FootnoteReference"/>
          <w:lang w:val="fr-CA"/>
        </w:rPr>
        <w:footnoteReference w:id="76"/>
      </w:r>
      <w:r w:rsidR="006E0695">
        <w:rPr>
          <w:lang w:val="fr-CA"/>
        </w:rPr>
        <w:t xml:space="preserve">, </w:t>
      </w:r>
      <w:r w:rsidR="004468AE">
        <w:rPr>
          <w:lang w:val="fr-CA"/>
        </w:rPr>
        <w:t xml:space="preserve">ce qui lui a permis de </w:t>
      </w:r>
      <w:r w:rsidR="003B401F" w:rsidRPr="004468AE">
        <w:rPr>
          <w:lang w:val="fr-CA"/>
        </w:rPr>
        <w:t>const</w:t>
      </w:r>
      <w:r w:rsidR="002261F5" w:rsidRPr="004468AE">
        <w:rPr>
          <w:lang w:val="fr-CA"/>
        </w:rPr>
        <w:t xml:space="preserve">ater </w:t>
      </w:r>
      <w:r w:rsidR="004C0154" w:rsidRPr="004468AE">
        <w:rPr>
          <w:lang w:val="fr-CA"/>
        </w:rPr>
        <w:t xml:space="preserve">que le nombre très </w:t>
      </w:r>
      <w:r w:rsidR="004C0154" w:rsidRPr="004468AE">
        <w:rPr>
          <w:lang w:val="fr-FR"/>
        </w:rPr>
        <w:t>important</w:t>
      </w:r>
      <w:r w:rsidR="004C0154" w:rsidRPr="004468AE">
        <w:rPr>
          <w:lang w:val="fr-CA"/>
        </w:rPr>
        <w:t xml:space="preserve"> des participants (plus d’une vingtaine de personnes provenant toutes d’institutions différentes) rend difficilement gérable </w:t>
      </w:r>
      <w:r w:rsidR="004468AE">
        <w:rPr>
          <w:lang w:val="fr-CA"/>
        </w:rPr>
        <w:t>toute</w:t>
      </w:r>
      <w:r w:rsidR="004C0154" w:rsidRPr="004468AE">
        <w:rPr>
          <w:lang w:val="fr-CA"/>
        </w:rPr>
        <w:t xml:space="preserve"> discussion, y compris lorsqu’elle porte sur des points de détails. </w:t>
      </w:r>
      <w:r w:rsidR="002261F5" w:rsidRPr="004468AE">
        <w:rPr>
          <w:lang w:val="fr-CA"/>
        </w:rPr>
        <w:t>On le comprend aisément, ce contexte est peu propice</w:t>
      </w:r>
      <w:r w:rsidR="004C0154" w:rsidRPr="004468AE">
        <w:rPr>
          <w:lang w:val="fr-CA"/>
        </w:rPr>
        <w:t xml:space="preserve"> à la prise de décision rapide. </w:t>
      </w:r>
      <w:r w:rsidR="00BE5AB3" w:rsidRPr="004468AE">
        <w:rPr>
          <w:lang w:val="fr-CA"/>
        </w:rPr>
        <w:t>Malgré ces difficultés, l</w:t>
      </w:r>
      <w:r w:rsidR="004C0154" w:rsidRPr="004468AE">
        <w:rPr>
          <w:lang w:val="fr-CA"/>
        </w:rPr>
        <w:t xml:space="preserve">a mission a cependant pu constater les relations souvent chaleureuses qui se sont établies entre les divers membres du CGP et de la grande motivation qui semble animer la plupart d’entre eux. </w:t>
      </w:r>
    </w:p>
    <w:p w:rsidR="00460A91" w:rsidRDefault="004C0154" w:rsidP="004468AE">
      <w:pPr>
        <w:pStyle w:val="NoSpacing"/>
        <w:numPr>
          <w:ilvl w:val="0"/>
          <w:numId w:val="1"/>
        </w:numPr>
        <w:ind w:left="0" w:firstLine="0"/>
        <w:rPr>
          <w:lang w:val="fr-CA"/>
        </w:rPr>
      </w:pPr>
      <w:r>
        <w:rPr>
          <w:lang w:val="fr-CA"/>
        </w:rPr>
        <w:t xml:space="preserve">S’agissant du </w:t>
      </w:r>
      <w:r w:rsidRPr="004468AE">
        <w:rPr>
          <w:lang w:val="fr-FR"/>
        </w:rPr>
        <w:t>fonctionnement</w:t>
      </w:r>
      <w:r>
        <w:rPr>
          <w:lang w:val="fr-CA"/>
        </w:rPr>
        <w:t xml:space="preserve"> </w:t>
      </w:r>
      <w:r w:rsidR="001245DB">
        <w:rPr>
          <w:lang w:val="fr-CA"/>
        </w:rPr>
        <w:t xml:space="preserve">et de la configuration </w:t>
      </w:r>
      <w:r>
        <w:rPr>
          <w:lang w:val="fr-CA"/>
        </w:rPr>
        <w:t>du CGP, l</w:t>
      </w:r>
      <w:r w:rsidR="002261F5" w:rsidRPr="002261F5">
        <w:rPr>
          <w:lang w:val="fr-CA"/>
        </w:rPr>
        <w:t xml:space="preserve">a mission souhaite </w:t>
      </w:r>
      <w:r>
        <w:rPr>
          <w:lang w:val="fr-CA"/>
        </w:rPr>
        <w:t>faire les observations suivantes</w:t>
      </w:r>
      <w:r w:rsidR="00460A91">
        <w:rPr>
          <w:lang w:val="fr-CA"/>
        </w:rPr>
        <w:t>:</w:t>
      </w:r>
    </w:p>
    <w:p w:rsidR="00BE5AB3" w:rsidRPr="00BE5AB3" w:rsidRDefault="002261F5" w:rsidP="0038607C">
      <w:pPr>
        <w:pStyle w:val="NoSpacing"/>
        <w:numPr>
          <w:ilvl w:val="0"/>
          <w:numId w:val="19"/>
        </w:numPr>
        <w:rPr>
          <w:lang w:val="fr-CA"/>
        </w:rPr>
      </w:pPr>
      <w:r w:rsidRPr="002261F5">
        <w:rPr>
          <w:lang w:val="fr-CA"/>
        </w:rPr>
        <w:t xml:space="preserve">Premièrement, </w:t>
      </w:r>
      <w:r w:rsidR="00460A91">
        <w:rPr>
          <w:lang w:val="fr-CA"/>
        </w:rPr>
        <w:t xml:space="preserve">étant donné </w:t>
      </w:r>
      <w:r w:rsidRPr="002261F5">
        <w:rPr>
          <w:lang w:val="fr-CA"/>
        </w:rPr>
        <w:t>la configuration particulière du système des Nations Unies</w:t>
      </w:r>
      <w:r>
        <w:rPr>
          <w:lang w:val="fr-CA"/>
        </w:rPr>
        <w:t xml:space="preserve"> en Algéri</w:t>
      </w:r>
      <w:r w:rsidRPr="00047EF4">
        <w:rPr>
          <w:lang w:val="fr-CA"/>
        </w:rPr>
        <w:t>e</w:t>
      </w:r>
      <w:r w:rsidR="00047EF4" w:rsidRPr="00047EF4">
        <w:rPr>
          <w:rStyle w:val="FootnoteReference"/>
          <w:lang w:val="fr-FR"/>
        </w:rPr>
        <w:footnoteReference w:id="77"/>
      </w:r>
      <w:r w:rsidR="00047EF4" w:rsidRPr="00047EF4">
        <w:rPr>
          <w:lang w:val="fr-FR"/>
        </w:rPr>
        <w:t>,</w:t>
      </w:r>
      <w:r w:rsidR="00047EF4">
        <w:rPr>
          <w:lang w:val="fr-FR"/>
        </w:rPr>
        <w:t xml:space="preserve"> tous les membres du CGP n’</w:t>
      </w:r>
      <w:r w:rsidR="00BE5AB3">
        <w:rPr>
          <w:lang w:val="fr-FR"/>
        </w:rPr>
        <w:t>ont</w:t>
      </w:r>
      <w:r w:rsidR="00047EF4">
        <w:rPr>
          <w:lang w:val="fr-FR"/>
        </w:rPr>
        <w:t xml:space="preserve"> pas le pouvoir décisionne</w:t>
      </w:r>
      <w:r w:rsidR="00BE5AB3">
        <w:rPr>
          <w:lang w:val="fr-FR"/>
        </w:rPr>
        <w:t xml:space="preserve">l requis au sein de leur agence et doivent donc </w:t>
      </w:r>
      <w:r w:rsidR="004468AE">
        <w:rPr>
          <w:lang w:val="fr-FR"/>
        </w:rPr>
        <w:t xml:space="preserve">se </w:t>
      </w:r>
      <w:r w:rsidR="00BE5AB3">
        <w:rPr>
          <w:lang w:val="fr-FR"/>
        </w:rPr>
        <w:t xml:space="preserve">référer </w:t>
      </w:r>
      <w:r w:rsidR="004468AE">
        <w:rPr>
          <w:lang w:val="fr-FR"/>
        </w:rPr>
        <w:t>à leurs sièges pour certaines décisions.</w:t>
      </w:r>
    </w:p>
    <w:p w:rsidR="00BE5AB3" w:rsidRPr="00DF1269" w:rsidRDefault="00047EF4" w:rsidP="0038607C">
      <w:pPr>
        <w:pStyle w:val="NoSpacing"/>
        <w:numPr>
          <w:ilvl w:val="0"/>
          <w:numId w:val="19"/>
        </w:numPr>
        <w:rPr>
          <w:lang w:val="fr-CA"/>
        </w:rPr>
      </w:pPr>
      <w:r>
        <w:rPr>
          <w:lang w:val="fr-FR"/>
        </w:rPr>
        <w:t xml:space="preserve"> </w:t>
      </w:r>
      <w:r w:rsidR="00BE5AB3">
        <w:rPr>
          <w:lang w:val="fr-FR"/>
        </w:rPr>
        <w:t>Le même problème se constate avec encore plus d’acuité au niveau des P</w:t>
      </w:r>
      <w:r w:rsidR="00460A91">
        <w:rPr>
          <w:lang w:val="fr-FR"/>
        </w:rPr>
        <w:t>oints Focaux du programme</w:t>
      </w:r>
      <w:r w:rsidR="00BE5AB3">
        <w:rPr>
          <w:lang w:val="fr-FR"/>
        </w:rPr>
        <w:t xml:space="preserve">. Alors qu’ils sont nombreux à avoir le rang de Directeur/rice, ils/elles </w:t>
      </w:r>
      <w:r w:rsidR="00BE5AB3">
        <w:rPr>
          <w:lang w:val="fr-FR"/>
        </w:rPr>
        <w:lastRenderedPageBreak/>
        <w:t>proviennent le plus souvent d’une Direction ou d’un Département technique qui n’a pas de r</w:t>
      </w:r>
      <w:r w:rsidR="00BE5AB3">
        <w:rPr>
          <w:rFonts w:cs="Calibri"/>
          <w:lang w:val="fr-FR"/>
        </w:rPr>
        <w:t>ô</w:t>
      </w:r>
      <w:r w:rsidR="00BE5AB3">
        <w:rPr>
          <w:lang w:val="fr-FR"/>
        </w:rPr>
        <w:t>le suffisamment central, dans le fonctionnement du Ministère, pour pouvoir prétendre avoir une influence stratégique.</w:t>
      </w:r>
      <w:r w:rsidR="00460A91">
        <w:rPr>
          <w:lang w:val="fr-FR"/>
        </w:rPr>
        <w:t xml:space="preserve"> </w:t>
      </w:r>
    </w:p>
    <w:p w:rsidR="00DF1269" w:rsidRPr="00DF1269" w:rsidRDefault="00DF1269" w:rsidP="0038607C">
      <w:pPr>
        <w:pStyle w:val="NoSpacing"/>
        <w:numPr>
          <w:ilvl w:val="0"/>
          <w:numId w:val="19"/>
        </w:numPr>
        <w:rPr>
          <w:lang w:val="fr-CA"/>
        </w:rPr>
      </w:pPr>
      <w:r>
        <w:rPr>
          <w:lang w:val="fr-FR"/>
        </w:rPr>
        <w:t>Enfin, il n’y a pas de dichotomie entre l</w:t>
      </w:r>
      <w:r w:rsidR="00500747">
        <w:rPr>
          <w:lang w:val="fr-FR"/>
        </w:rPr>
        <w:t>a</w:t>
      </w:r>
      <w:r>
        <w:rPr>
          <w:lang w:val="fr-FR"/>
        </w:rPr>
        <w:t xml:space="preserve"> composition du CGP et celle </w:t>
      </w:r>
      <w:r w:rsidR="001245DB">
        <w:rPr>
          <w:lang w:val="fr-FR"/>
        </w:rPr>
        <w:t>de</w:t>
      </w:r>
      <w:r w:rsidR="00500747">
        <w:rPr>
          <w:lang w:val="fr-FR"/>
        </w:rPr>
        <w:t xml:space="preserve">s équipes opérationnelles et de </w:t>
      </w:r>
      <w:r w:rsidR="001245DB">
        <w:rPr>
          <w:lang w:val="fr-FR"/>
        </w:rPr>
        <w:t xml:space="preserve">mise en </w:t>
      </w:r>
      <w:r w:rsidR="00500747">
        <w:rPr>
          <w:lang w:val="fr-FR"/>
        </w:rPr>
        <w:t xml:space="preserve">œuvre </w:t>
      </w:r>
      <w:r w:rsidR="001245DB">
        <w:rPr>
          <w:lang w:val="fr-FR"/>
        </w:rPr>
        <w:t>: ainsi, les</w:t>
      </w:r>
      <w:r w:rsidR="001245DB" w:rsidRPr="001245DB">
        <w:rPr>
          <w:u w:val="single"/>
          <w:lang w:val="fr-FR"/>
        </w:rPr>
        <w:t xml:space="preserve"> mêmes</w:t>
      </w:r>
      <w:r w:rsidR="001245DB">
        <w:rPr>
          <w:lang w:val="fr-FR"/>
        </w:rPr>
        <w:t xml:space="preserve"> personnes se retrouvent directement impliquées dans la mise en œuvre </w:t>
      </w:r>
      <w:r w:rsidR="00500747">
        <w:rPr>
          <w:lang w:val="fr-FR"/>
        </w:rPr>
        <w:t>opérationnelle du programme</w:t>
      </w:r>
      <w:r w:rsidR="001245DB">
        <w:rPr>
          <w:lang w:val="fr-FR"/>
        </w:rPr>
        <w:t xml:space="preserve"> (c’est-à-dire </w:t>
      </w:r>
      <w:r w:rsidR="001245DB" w:rsidRPr="001245DB">
        <w:rPr>
          <w:u w:val="single"/>
          <w:lang w:val="fr-FR"/>
        </w:rPr>
        <w:t>sous</w:t>
      </w:r>
      <w:r w:rsidR="001245DB">
        <w:rPr>
          <w:lang w:val="fr-FR"/>
        </w:rPr>
        <w:t xml:space="preserve"> la supervision de l’EP) et d</w:t>
      </w:r>
      <w:r w:rsidR="00500747">
        <w:rPr>
          <w:lang w:val="fr-FR"/>
        </w:rPr>
        <w:t>ans sa s</w:t>
      </w:r>
      <w:r w:rsidR="001245DB">
        <w:rPr>
          <w:lang w:val="fr-FR"/>
        </w:rPr>
        <w:t xml:space="preserve">upervision </w:t>
      </w:r>
      <w:r w:rsidR="00500747">
        <w:rPr>
          <w:lang w:val="fr-FR"/>
        </w:rPr>
        <w:t xml:space="preserve">(l’EP étant placée sous l’autorité du CGP). </w:t>
      </w:r>
      <w:r w:rsidR="001245DB">
        <w:rPr>
          <w:lang w:val="fr-FR"/>
        </w:rPr>
        <w:t>Pour être encore plus clair, il semble que l’EP re</w:t>
      </w:r>
      <w:r w:rsidR="001245DB">
        <w:rPr>
          <w:rFonts w:cs="Calibri"/>
          <w:lang w:val="fr-FR"/>
        </w:rPr>
        <w:t>ç</w:t>
      </w:r>
      <w:r w:rsidR="001245DB">
        <w:rPr>
          <w:lang w:val="fr-FR"/>
        </w:rPr>
        <w:t>oive des directives des mêmes personnes qu’elle est sensée coordonner et gérer.</w:t>
      </w:r>
    </w:p>
    <w:p w:rsidR="00500747" w:rsidRPr="00B25DD5" w:rsidRDefault="00DF1269" w:rsidP="004468AE">
      <w:pPr>
        <w:pStyle w:val="NoSpacing"/>
        <w:numPr>
          <w:ilvl w:val="0"/>
          <w:numId w:val="1"/>
        </w:numPr>
        <w:ind w:left="0" w:firstLine="0"/>
        <w:rPr>
          <w:szCs w:val="22"/>
          <w:lang w:val="fr-CA"/>
        </w:rPr>
      </w:pPr>
      <w:r>
        <w:rPr>
          <w:lang w:val="fr-CA"/>
        </w:rPr>
        <w:t>En d’autres termes,</w:t>
      </w:r>
      <w:r w:rsidR="001245DB">
        <w:rPr>
          <w:lang w:val="fr-CA"/>
        </w:rPr>
        <w:t xml:space="preserve"> non seulement les membres du CGP n’ont pas tous le pouvoir décisionnel requis pour </w:t>
      </w:r>
      <w:r w:rsidR="001245DB" w:rsidRPr="00D8742E">
        <w:rPr>
          <w:lang w:val="fr-FR"/>
        </w:rPr>
        <w:t>appuyer</w:t>
      </w:r>
      <w:r w:rsidR="001245DB">
        <w:rPr>
          <w:lang w:val="fr-CA"/>
        </w:rPr>
        <w:t xml:space="preserve"> </w:t>
      </w:r>
      <w:r w:rsidR="001245DB" w:rsidRPr="004468AE">
        <w:rPr>
          <w:lang w:val="fr-FR"/>
        </w:rPr>
        <w:t>efficacement</w:t>
      </w:r>
      <w:r w:rsidR="001245DB">
        <w:rPr>
          <w:lang w:val="fr-CA"/>
        </w:rPr>
        <w:t xml:space="preserve"> la mise en œuvre et trouver une solution rapide aux questions d’ordre opérationnel et technique, mais </w:t>
      </w:r>
      <w:r w:rsidR="00500747">
        <w:rPr>
          <w:lang w:val="fr-CA"/>
        </w:rPr>
        <w:t>on leur demande en quelque sorte de « s’auto-superviser ».</w:t>
      </w:r>
      <w:r w:rsidR="00500747" w:rsidRPr="00500747">
        <w:rPr>
          <w:sz w:val="18"/>
          <w:szCs w:val="18"/>
          <w:lang w:val="fr-FR"/>
        </w:rPr>
        <w:t xml:space="preserve"> </w:t>
      </w:r>
    </w:p>
    <w:p w:rsidR="00C4091D" w:rsidRPr="00C4091D" w:rsidRDefault="00B25DD5" w:rsidP="004468AE">
      <w:pPr>
        <w:pStyle w:val="NoSpacing"/>
        <w:numPr>
          <w:ilvl w:val="0"/>
          <w:numId w:val="1"/>
        </w:numPr>
        <w:ind w:left="0" w:firstLine="0"/>
        <w:rPr>
          <w:szCs w:val="22"/>
          <w:lang w:val="fr-CA"/>
        </w:rPr>
      </w:pPr>
      <w:r w:rsidRPr="00C4091D">
        <w:rPr>
          <w:szCs w:val="22"/>
          <w:lang w:val="fr-FR"/>
        </w:rPr>
        <w:t xml:space="preserve">La mission est d’avis </w:t>
      </w:r>
      <w:r w:rsidRPr="00C4091D">
        <w:rPr>
          <w:szCs w:val="22"/>
          <w:lang w:val="fr-CA"/>
        </w:rPr>
        <w:t>que</w:t>
      </w:r>
      <w:r w:rsidRPr="00C4091D">
        <w:rPr>
          <w:szCs w:val="22"/>
          <w:lang w:val="fr-FR"/>
        </w:rPr>
        <w:t xml:space="preserve"> les concepteurs du programme auraient dû anticiper ce problème et y trouver une </w:t>
      </w:r>
      <w:r w:rsidRPr="00C4091D">
        <w:rPr>
          <w:lang w:val="fr-FR"/>
        </w:rPr>
        <w:t>solution, par exemple en prévoyant que les membres du CGP, en ce qui concerne la partie g</w:t>
      </w:r>
      <w:r w:rsidRPr="00C4091D">
        <w:rPr>
          <w:szCs w:val="22"/>
          <w:lang w:val="fr-FR"/>
        </w:rPr>
        <w:t xml:space="preserve">ouvernementale, </w:t>
      </w:r>
      <w:r w:rsidRPr="00C4091D">
        <w:rPr>
          <w:lang w:val="fr-FR"/>
        </w:rPr>
        <w:t>soient</w:t>
      </w:r>
      <w:r w:rsidRPr="00C4091D">
        <w:rPr>
          <w:szCs w:val="22"/>
          <w:lang w:val="fr-FR"/>
        </w:rPr>
        <w:t xml:space="preserve"> choisis au minimum au niveau </w:t>
      </w:r>
      <w:r w:rsidR="004468AE" w:rsidRPr="00C4091D">
        <w:rPr>
          <w:szCs w:val="22"/>
          <w:lang w:val="fr-FR"/>
        </w:rPr>
        <w:t>du Directeur/rice Général/e</w:t>
      </w:r>
      <w:r w:rsidRPr="00C4091D">
        <w:rPr>
          <w:szCs w:val="22"/>
          <w:lang w:val="fr-FR"/>
        </w:rPr>
        <w:t xml:space="preserve"> d’un </w:t>
      </w:r>
      <w:r w:rsidR="004468AE" w:rsidRPr="00C4091D">
        <w:rPr>
          <w:szCs w:val="22"/>
          <w:lang w:val="fr-FR"/>
        </w:rPr>
        <w:t>d</w:t>
      </w:r>
      <w:r w:rsidRPr="00C4091D">
        <w:rPr>
          <w:szCs w:val="22"/>
          <w:lang w:val="fr-FR"/>
        </w:rPr>
        <w:t xml:space="preserve">épartement central ou stratégique par rapport aux objectifs de changements institutionnels poursuivis par le programme (par exemple le Cabinet du Ministre, ou un département chargé de la planification, de l’élaboration des politiques sectorielles, etc.). </w:t>
      </w:r>
      <w:r w:rsidR="008D0F10" w:rsidRPr="00C4091D">
        <w:rPr>
          <w:szCs w:val="22"/>
          <w:lang w:val="fr-FR"/>
        </w:rPr>
        <w:t>Une recommandation sera fait en ce sens, même si la mission n’est pas capable d’apprécier si elle est réaliste</w:t>
      </w:r>
    </w:p>
    <w:p w:rsidR="007C64E7" w:rsidRPr="00C4091D" w:rsidRDefault="00503CD5" w:rsidP="004468AE">
      <w:pPr>
        <w:pStyle w:val="NoSpacing"/>
        <w:numPr>
          <w:ilvl w:val="0"/>
          <w:numId w:val="1"/>
        </w:numPr>
        <w:ind w:left="0" w:firstLine="0"/>
        <w:rPr>
          <w:szCs w:val="22"/>
          <w:lang w:val="fr-CA"/>
        </w:rPr>
      </w:pPr>
      <w:r w:rsidRPr="00C4091D">
        <w:rPr>
          <w:b/>
          <w:lang w:val="fr-CA"/>
        </w:rPr>
        <w:t>L’</w:t>
      </w:r>
      <w:r w:rsidR="009C07A8" w:rsidRPr="00C4091D">
        <w:rPr>
          <w:b/>
          <w:lang w:val="fr-CA"/>
        </w:rPr>
        <w:t>Équipe</w:t>
      </w:r>
      <w:r w:rsidRPr="00C4091D">
        <w:rPr>
          <w:b/>
          <w:lang w:val="fr-CA"/>
        </w:rPr>
        <w:t xml:space="preserve"> de</w:t>
      </w:r>
      <w:r w:rsidR="008D0F10" w:rsidRPr="00C4091D">
        <w:rPr>
          <w:b/>
          <w:lang w:val="fr-CA"/>
        </w:rPr>
        <w:t xml:space="preserve"> Gestion du</w:t>
      </w:r>
      <w:r w:rsidRPr="00C4091D">
        <w:rPr>
          <w:b/>
          <w:lang w:val="fr-CA"/>
        </w:rPr>
        <w:t xml:space="preserve"> programme</w:t>
      </w:r>
      <w:r w:rsidR="009C07A8" w:rsidRPr="00C4091D">
        <w:rPr>
          <w:b/>
          <w:lang w:val="fr-CA"/>
        </w:rPr>
        <w:t xml:space="preserve"> (EP)</w:t>
      </w:r>
      <w:r w:rsidRPr="00C4091D">
        <w:rPr>
          <w:b/>
          <w:lang w:val="fr-CA"/>
        </w:rPr>
        <w:t xml:space="preserve">. </w:t>
      </w:r>
      <w:r w:rsidR="009C07A8" w:rsidRPr="00C4091D">
        <w:rPr>
          <w:lang w:val="fr-CA"/>
        </w:rPr>
        <w:t xml:space="preserve">Établie au sein du MDCFCF, l’équipe de gestion du programme appelée « Équipe du Programme » (EP), est composée de la Directrice Nationale du Programme (DNP), également Chef de Cabinet de la Ministre du MDCFCF, d’un Coordonnateur (CP) en place depuis le mois </w:t>
      </w:r>
      <w:r w:rsidR="009C07A8" w:rsidRPr="00C4091D">
        <w:rPr>
          <w:lang w:val="fr-FR"/>
        </w:rPr>
        <w:t>d’août</w:t>
      </w:r>
      <w:r w:rsidR="009C07A8" w:rsidRPr="00C4091D">
        <w:rPr>
          <w:lang w:val="fr-CA"/>
        </w:rPr>
        <w:t xml:space="preserve"> 2010 et depuis peu (janvier 2012) d’un Assistant. L’EP telle qu’envisagée dans le document de projet n’est donc pas au complet puisque l’on prévoyait qu’un/e Expert/e Genre viendrait renforcer la capacité technique de l’EP. A noter, l’EP n’a pas non plus de Chargé de Suivi/Évaluation, fonction qui n’était pas envisagée dans le document de projet.</w:t>
      </w:r>
    </w:p>
    <w:p w:rsidR="00C608E7" w:rsidRPr="00C608E7" w:rsidRDefault="009C07A8" w:rsidP="004468AE">
      <w:pPr>
        <w:pStyle w:val="NoSpacing"/>
        <w:numPr>
          <w:ilvl w:val="0"/>
          <w:numId w:val="1"/>
        </w:numPr>
        <w:ind w:left="0" w:firstLine="0"/>
        <w:rPr>
          <w:szCs w:val="22"/>
          <w:lang w:val="fr-CA"/>
        </w:rPr>
      </w:pPr>
      <w:r>
        <w:rPr>
          <w:lang w:val="fr-CA"/>
        </w:rPr>
        <w:t>Au recrutement du CP, les premiers temps ont été occupés à trouver un espace physique, pour loger l’EP</w:t>
      </w:r>
      <w:r>
        <w:rPr>
          <w:rStyle w:val="FootnoteReference"/>
          <w:lang w:val="fr-CA"/>
        </w:rPr>
        <w:footnoteReference w:id="78"/>
      </w:r>
      <w:r w:rsidR="00C608E7">
        <w:rPr>
          <w:lang w:val="fr-CA"/>
        </w:rPr>
        <w:t xml:space="preserve"> puis à acquérir l’équipement. Jusqu’en janvier 2012, le CP ne disposait même pas d’un/e Assistant/e et il a dû accomplir seul toutes les tâches nécessaires à </w:t>
      </w:r>
      <w:r w:rsidR="00C608E7" w:rsidRPr="00D8742E">
        <w:rPr>
          <w:lang w:val="fr-FR"/>
        </w:rPr>
        <w:t>l’établissement</w:t>
      </w:r>
      <w:r w:rsidR="00C608E7">
        <w:rPr>
          <w:lang w:val="fr-CA"/>
        </w:rPr>
        <w:t xml:space="preserve"> de la plateforme opérationnelle du programme, puis à la coordination des activités. Ainsi que noté précédemment, un temps non négligeable a ainsi été consacré uniquement à l’organisation des réunions du CGP (un processus inutilement laborieux et très coûteux en temps).</w:t>
      </w:r>
    </w:p>
    <w:p w:rsidR="002D27F5" w:rsidRPr="002D27F5" w:rsidRDefault="00C608E7" w:rsidP="004468AE">
      <w:pPr>
        <w:pStyle w:val="NoSpacing"/>
        <w:numPr>
          <w:ilvl w:val="0"/>
          <w:numId w:val="1"/>
        </w:numPr>
        <w:ind w:left="0" w:firstLine="0"/>
        <w:rPr>
          <w:szCs w:val="22"/>
          <w:lang w:val="fr-CA"/>
        </w:rPr>
      </w:pPr>
      <w:r w:rsidRPr="00D8742E">
        <w:rPr>
          <w:lang w:val="fr-FR"/>
        </w:rPr>
        <w:t>Malgré</w:t>
      </w:r>
      <w:r>
        <w:rPr>
          <w:lang w:val="fr-CA"/>
        </w:rPr>
        <w:t xml:space="preserve"> les difficultés et la faiblesse de ses moyens, </w:t>
      </w:r>
      <w:r w:rsidR="00EA7131">
        <w:rPr>
          <w:lang w:val="fr-CA"/>
        </w:rPr>
        <w:t xml:space="preserve">le CP </w:t>
      </w:r>
      <w:r>
        <w:rPr>
          <w:lang w:val="fr-CA"/>
        </w:rPr>
        <w:t>a accompli la plupart des actions identifiées dans ses Termes de Référence, à savoir</w:t>
      </w:r>
      <w:r w:rsidR="002D27F5">
        <w:rPr>
          <w:lang w:val="fr-CA"/>
        </w:rPr>
        <w:t>, entre autres</w:t>
      </w:r>
      <w:r>
        <w:rPr>
          <w:lang w:val="fr-CA"/>
        </w:rPr>
        <w:t xml:space="preserve"> : </w:t>
      </w:r>
    </w:p>
    <w:p w:rsidR="002D27F5" w:rsidRPr="002D27F5" w:rsidRDefault="002D27F5" w:rsidP="00C4091D">
      <w:pPr>
        <w:pStyle w:val="NoSpacing"/>
        <w:numPr>
          <w:ilvl w:val="0"/>
          <w:numId w:val="22"/>
        </w:numPr>
        <w:spacing w:before="0" w:after="0"/>
        <w:rPr>
          <w:szCs w:val="22"/>
          <w:lang w:val="fr-CA"/>
        </w:rPr>
      </w:pPr>
      <w:r>
        <w:rPr>
          <w:lang w:val="fr-CA"/>
        </w:rPr>
        <w:t>L</w:t>
      </w:r>
      <w:r w:rsidR="00C608E7">
        <w:rPr>
          <w:lang w:val="fr-CA"/>
        </w:rPr>
        <w:t>a coordination de</w:t>
      </w:r>
      <w:r>
        <w:rPr>
          <w:lang w:val="fr-CA"/>
        </w:rPr>
        <w:t xml:space="preserve"> la préparation des</w:t>
      </w:r>
      <w:r w:rsidR="00C608E7">
        <w:rPr>
          <w:lang w:val="fr-CA"/>
        </w:rPr>
        <w:t xml:space="preserve"> Plans de Travail</w:t>
      </w:r>
      <w:r>
        <w:rPr>
          <w:lang w:val="fr-CA"/>
        </w:rPr>
        <w:t xml:space="preserve"> annuels des agences et la planification générale des activités du programme</w:t>
      </w:r>
      <w:r w:rsidR="00103585">
        <w:rPr>
          <w:lang w:val="fr-CA"/>
        </w:rPr>
        <w:t>,</w:t>
      </w:r>
    </w:p>
    <w:p w:rsidR="002D27F5" w:rsidRPr="002D27F5" w:rsidRDefault="002D27F5" w:rsidP="00C4091D">
      <w:pPr>
        <w:pStyle w:val="NoSpacing"/>
        <w:numPr>
          <w:ilvl w:val="0"/>
          <w:numId w:val="22"/>
        </w:numPr>
        <w:spacing w:before="0" w:after="0"/>
        <w:rPr>
          <w:szCs w:val="22"/>
          <w:lang w:val="fr-CA"/>
        </w:rPr>
      </w:pPr>
      <w:r>
        <w:rPr>
          <w:lang w:val="fr-CA"/>
        </w:rPr>
        <w:t>La préparation des rapports d’avancement semestriels et annuels du programme</w:t>
      </w:r>
      <w:r w:rsidR="00265536">
        <w:rPr>
          <w:lang w:val="fr-CA"/>
        </w:rPr>
        <w:t xml:space="preserve"> et le suivi du taux d’exécution budgétaire</w:t>
      </w:r>
      <w:r w:rsidR="00103585">
        <w:rPr>
          <w:lang w:val="fr-CA"/>
        </w:rPr>
        <w:t>,</w:t>
      </w:r>
    </w:p>
    <w:p w:rsidR="00C608E7" w:rsidRPr="002D27F5" w:rsidRDefault="002D27F5" w:rsidP="00C4091D">
      <w:pPr>
        <w:pStyle w:val="NoSpacing"/>
        <w:numPr>
          <w:ilvl w:val="0"/>
          <w:numId w:val="22"/>
        </w:numPr>
        <w:spacing w:before="0" w:after="0"/>
        <w:rPr>
          <w:szCs w:val="22"/>
          <w:lang w:val="fr-CA"/>
        </w:rPr>
      </w:pPr>
      <w:r>
        <w:rPr>
          <w:lang w:val="fr-CA"/>
        </w:rPr>
        <w:t>La liaison avec étroite entre tous les partenaires du programme au sein du SU et du gouvernement</w:t>
      </w:r>
      <w:r w:rsidR="00103585">
        <w:rPr>
          <w:lang w:val="fr-CA"/>
        </w:rPr>
        <w:t>,</w:t>
      </w:r>
    </w:p>
    <w:p w:rsidR="002D27F5" w:rsidRPr="00C608E7" w:rsidRDefault="002D27F5" w:rsidP="00C4091D">
      <w:pPr>
        <w:pStyle w:val="NoSpacing"/>
        <w:numPr>
          <w:ilvl w:val="0"/>
          <w:numId w:val="22"/>
        </w:numPr>
        <w:spacing w:before="0" w:after="0"/>
        <w:rPr>
          <w:szCs w:val="22"/>
          <w:lang w:val="fr-CA"/>
        </w:rPr>
      </w:pPr>
      <w:r>
        <w:rPr>
          <w:lang w:val="fr-CA"/>
        </w:rPr>
        <w:t>Le suivi de la mise en œuvre et du respect du calendrier</w:t>
      </w:r>
      <w:r w:rsidR="00103585">
        <w:rPr>
          <w:lang w:val="fr-CA"/>
        </w:rPr>
        <w:t>.</w:t>
      </w:r>
    </w:p>
    <w:p w:rsidR="00C608E7" w:rsidRPr="00265536" w:rsidRDefault="002D27F5" w:rsidP="004468AE">
      <w:pPr>
        <w:pStyle w:val="NoSpacing"/>
        <w:numPr>
          <w:ilvl w:val="0"/>
          <w:numId w:val="1"/>
        </w:numPr>
        <w:ind w:left="0" w:firstLine="0"/>
        <w:rPr>
          <w:lang w:val="fr-CA"/>
        </w:rPr>
      </w:pPr>
      <w:r w:rsidRPr="00265536">
        <w:rPr>
          <w:lang w:val="fr-CA"/>
        </w:rPr>
        <w:t xml:space="preserve">Dans d’autres cas, en revanche, il semble que la faiblesse de ses moyens humains, et/ou de ses prérogatives, l’aient empêché d’assumer toutes ses responsabilités </w:t>
      </w:r>
      <w:r w:rsidR="00265536" w:rsidRPr="00265536">
        <w:rPr>
          <w:lang w:val="fr-CA"/>
        </w:rPr>
        <w:t>ou de jouer pleinement son r</w:t>
      </w:r>
      <w:r w:rsidR="00265536" w:rsidRPr="00265536">
        <w:rPr>
          <w:rFonts w:cs="Calibri"/>
          <w:lang w:val="fr-CA"/>
        </w:rPr>
        <w:t>ô</w:t>
      </w:r>
      <w:r w:rsidR="00265536" w:rsidRPr="00265536">
        <w:rPr>
          <w:lang w:val="fr-CA"/>
        </w:rPr>
        <w:t xml:space="preserve">le, notamment </w:t>
      </w:r>
      <w:r w:rsidRPr="00265536">
        <w:rPr>
          <w:lang w:val="fr-CA"/>
        </w:rPr>
        <w:t xml:space="preserve">dans les domaines de la gestion </w:t>
      </w:r>
      <w:r w:rsidR="00265536" w:rsidRPr="00265536">
        <w:rPr>
          <w:lang w:val="fr-CA"/>
        </w:rPr>
        <w:t>financière</w:t>
      </w:r>
      <w:r w:rsidRPr="00265536">
        <w:rPr>
          <w:lang w:val="fr-CA"/>
        </w:rPr>
        <w:t xml:space="preserve">, du suivi/évaluation ou </w:t>
      </w:r>
      <w:r w:rsidR="00265536" w:rsidRPr="00265536">
        <w:rPr>
          <w:lang w:val="fr-CA"/>
        </w:rPr>
        <w:t xml:space="preserve">de </w:t>
      </w:r>
      <w:r w:rsidRPr="00265536">
        <w:rPr>
          <w:lang w:val="fr-CA"/>
        </w:rPr>
        <w:t>la communication</w:t>
      </w:r>
      <w:r w:rsidR="00265536" w:rsidRPr="00265536">
        <w:rPr>
          <w:lang w:val="fr-CA"/>
        </w:rPr>
        <w:t xml:space="preserve">. </w:t>
      </w:r>
      <w:r w:rsidR="00AF48B6">
        <w:rPr>
          <w:lang w:val="fr-CA"/>
        </w:rPr>
        <w:t xml:space="preserve">On notera </w:t>
      </w:r>
      <w:r w:rsidR="00AF48B6" w:rsidRPr="004468AE">
        <w:rPr>
          <w:lang w:val="fr-FR"/>
        </w:rPr>
        <w:t>également</w:t>
      </w:r>
      <w:r w:rsidR="00AF48B6">
        <w:rPr>
          <w:lang w:val="fr-CA"/>
        </w:rPr>
        <w:t xml:space="preserve"> qu’à ce jour, l’atelier officiel de lancement du programme </w:t>
      </w:r>
      <w:r w:rsidR="00AF48B6">
        <w:rPr>
          <w:lang w:val="fr-CA"/>
        </w:rPr>
        <w:lastRenderedPageBreak/>
        <w:t>conjoint et toutes les activités, très importantes, de sensibilisation des décideurs autour de</w:t>
      </w:r>
      <w:r w:rsidR="001117B1">
        <w:rPr>
          <w:lang w:val="fr-CA"/>
        </w:rPr>
        <w:t>s</w:t>
      </w:r>
      <w:r w:rsidR="00AF48B6">
        <w:rPr>
          <w:lang w:val="fr-CA"/>
        </w:rPr>
        <w:t xml:space="preserve"> </w:t>
      </w:r>
      <w:r w:rsidR="001117B1">
        <w:rPr>
          <w:lang w:val="fr-CA"/>
        </w:rPr>
        <w:t xml:space="preserve">objectifs </w:t>
      </w:r>
      <w:r w:rsidR="00AF48B6">
        <w:rPr>
          <w:lang w:val="fr-CA"/>
        </w:rPr>
        <w:t xml:space="preserve">du programme conjoint, n’ont toujours pas été réalisées. </w:t>
      </w:r>
      <w:r w:rsidR="00265536" w:rsidRPr="00265536">
        <w:rPr>
          <w:lang w:val="fr-CA"/>
        </w:rPr>
        <w:t xml:space="preserve">Plus gênant encore, et </w:t>
      </w:r>
      <w:r w:rsidR="00AF48B6">
        <w:rPr>
          <w:lang w:val="fr-CA"/>
        </w:rPr>
        <w:t xml:space="preserve">en </w:t>
      </w:r>
      <w:r w:rsidR="00265536" w:rsidRPr="00265536">
        <w:rPr>
          <w:lang w:val="fr-CA"/>
        </w:rPr>
        <w:t xml:space="preserve">l’absence de l’Expert Genre, l’EP n’a pas été capable d’apporter l’appui technique, programmatique et conceptuel requis aux partenaires du programme.  </w:t>
      </w:r>
    </w:p>
    <w:p w:rsidR="00ED02C0" w:rsidRPr="00ED02C0" w:rsidRDefault="00265536" w:rsidP="004468AE">
      <w:pPr>
        <w:pStyle w:val="NoSpacing"/>
        <w:numPr>
          <w:ilvl w:val="0"/>
          <w:numId w:val="1"/>
        </w:numPr>
        <w:ind w:left="0" w:firstLine="0"/>
        <w:rPr>
          <w:i/>
          <w:lang w:val="fr-FR"/>
        </w:rPr>
      </w:pPr>
      <w:r w:rsidRPr="00ED02C0">
        <w:rPr>
          <w:lang w:val="fr-CA"/>
        </w:rPr>
        <w:t xml:space="preserve">Il convient ici de noter que la faiblesse des capacités et des prérogatives de l’EP n’est en fait que le reflet de la situation du MDCFCF lui-même. Le statut de </w:t>
      </w:r>
      <w:r w:rsidRPr="00ED02C0">
        <w:rPr>
          <w:i/>
          <w:lang w:val="fr-CA"/>
        </w:rPr>
        <w:t>ministère délégué</w:t>
      </w:r>
      <w:r w:rsidRPr="00ED02C0">
        <w:rPr>
          <w:lang w:val="fr-CA"/>
        </w:rPr>
        <w:t xml:space="preserve"> privant </w:t>
      </w:r>
      <w:r w:rsidR="00AF48B6" w:rsidRPr="00ED02C0">
        <w:rPr>
          <w:lang w:val="fr-CA"/>
        </w:rPr>
        <w:t xml:space="preserve">le MDCFCF </w:t>
      </w:r>
      <w:r w:rsidRPr="00ED02C0">
        <w:rPr>
          <w:lang w:val="fr-CA"/>
        </w:rPr>
        <w:t xml:space="preserve">du droit d’ouvrir un compte en banque et de gérer un budget, </w:t>
      </w:r>
      <w:r w:rsidR="00AF48B6" w:rsidRPr="00ED02C0">
        <w:rPr>
          <w:lang w:val="fr-CA"/>
        </w:rPr>
        <w:t xml:space="preserve">ce ministère est dans l’incapacité de gérer le budget du programme au travers de </w:t>
      </w:r>
      <w:r w:rsidRPr="00ED02C0">
        <w:rPr>
          <w:lang w:val="fr-CA"/>
        </w:rPr>
        <w:t>l’EP</w:t>
      </w:r>
      <w:r w:rsidR="00AF48B6" w:rsidRPr="00ED02C0">
        <w:rPr>
          <w:lang w:val="fr-CA"/>
        </w:rPr>
        <w:t xml:space="preserve">. Ainsi, et alors que ce programme est identifié </w:t>
      </w:r>
      <w:r w:rsidR="00AF48B6" w:rsidRPr="00D8742E">
        <w:rPr>
          <w:lang w:val="fr-FR"/>
        </w:rPr>
        <w:t>comme</w:t>
      </w:r>
      <w:r w:rsidR="00AF48B6" w:rsidRPr="00ED02C0">
        <w:rPr>
          <w:lang w:val="fr-CA"/>
        </w:rPr>
        <w:t xml:space="preserve"> étant sous le régime d</w:t>
      </w:r>
      <w:r w:rsidR="00AF48B6" w:rsidRPr="00ED02C0">
        <w:rPr>
          <w:i/>
          <w:lang w:val="fr-CA"/>
        </w:rPr>
        <w:t>’Exécution Nationale</w:t>
      </w:r>
      <w:r w:rsidR="00AF48B6" w:rsidRPr="00ED02C0">
        <w:rPr>
          <w:lang w:val="fr-CA"/>
        </w:rPr>
        <w:t xml:space="preserve"> (NEX) au motif que les capacités du pays le permettent, la situation de fait (c’est-à-dire une gestion administrative et financière réalisée par les agences du système des NU et le budget de l’EP géré par le PNUD), correspond en fait à une situation d’</w:t>
      </w:r>
      <w:r w:rsidR="00AF48B6" w:rsidRPr="00ED02C0">
        <w:rPr>
          <w:i/>
          <w:lang w:val="fr-CA"/>
        </w:rPr>
        <w:t>Exécution Directe</w:t>
      </w:r>
      <w:r w:rsidR="00AF48B6" w:rsidRPr="00ED02C0">
        <w:rPr>
          <w:lang w:val="fr-CA"/>
        </w:rPr>
        <w:t xml:space="preserve"> (DEX)</w:t>
      </w:r>
      <w:r w:rsidR="00EA7131">
        <w:rPr>
          <w:lang w:val="fr-CA"/>
        </w:rPr>
        <w:t xml:space="preserve"> ou de « Paiement direct aux fournisseurs »</w:t>
      </w:r>
      <w:r w:rsidR="00EA7131">
        <w:rPr>
          <w:rStyle w:val="FootnoteReference"/>
          <w:lang w:val="fr-CA"/>
        </w:rPr>
        <w:footnoteReference w:id="79"/>
      </w:r>
      <w:r w:rsidR="00AF48B6" w:rsidRPr="00ED02C0">
        <w:rPr>
          <w:lang w:val="fr-CA"/>
        </w:rPr>
        <w:t xml:space="preserve">. </w:t>
      </w:r>
      <w:r w:rsidR="00ED02C0" w:rsidRPr="00ED02C0">
        <w:rPr>
          <w:lang w:val="fr-CA"/>
        </w:rPr>
        <w:t>En avril 2010, la revue à mi-parcours</w:t>
      </w:r>
      <w:r w:rsidR="00C4091D">
        <w:rPr>
          <w:lang w:val="fr-CA"/>
        </w:rPr>
        <w:t xml:space="preserve"> du programme de pays du PNUD (</w:t>
      </w:r>
      <w:r w:rsidR="00ED02C0" w:rsidRPr="00ED02C0">
        <w:rPr>
          <w:lang w:val="fr-CA"/>
        </w:rPr>
        <w:t xml:space="preserve">2007-2011) avait </w:t>
      </w:r>
      <w:r w:rsidR="00C4091D">
        <w:rPr>
          <w:lang w:val="fr-CA"/>
        </w:rPr>
        <w:t xml:space="preserve">déjà </w:t>
      </w:r>
      <w:r w:rsidR="00ED02C0" w:rsidRPr="00ED02C0">
        <w:rPr>
          <w:lang w:val="fr-CA"/>
        </w:rPr>
        <w:t>conclu que « </w:t>
      </w:r>
      <w:r w:rsidR="00ED02C0" w:rsidRPr="00ED02C0">
        <w:rPr>
          <w:i/>
          <w:lang w:val="fr-CA"/>
        </w:rPr>
        <w:t>l</w:t>
      </w:r>
      <w:r w:rsidR="00ED02C0" w:rsidRPr="00ED02C0">
        <w:rPr>
          <w:i/>
          <w:lang w:val="fr-FR"/>
        </w:rPr>
        <w:t>’utilisation qui est faite, dans la plupart des projets, de la modalité d’exécution nationale se traduit pour le personnel du PNUD par une charge excessive de tâches administratives et financières, au détriment des activités substantives requises pour contribuer et veiller à l’obtention des résultats prévus pour les projets individuels et le programme dans son ensemble.</w:t>
      </w:r>
      <w:r w:rsidR="00ED02C0">
        <w:rPr>
          <w:i/>
          <w:lang w:val="fr-FR"/>
        </w:rPr>
        <w:t> »</w:t>
      </w:r>
    </w:p>
    <w:p w:rsidR="00265536" w:rsidRDefault="00ED02C0" w:rsidP="004468AE">
      <w:pPr>
        <w:pStyle w:val="NoSpacing"/>
        <w:numPr>
          <w:ilvl w:val="0"/>
          <w:numId w:val="1"/>
        </w:numPr>
        <w:ind w:left="0" w:firstLine="0"/>
        <w:rPr>
          <w:lang w:val="fr-CA"/>
        </w:rPr>
      </w:pPr>
      <w:r>
        <w:rPr>
          <w:lang w:val="fr-CA"/>
        </w:rPr>
        <w:t xml:space="preserve">Étant donné les </w:t>
      </w:r>
      <w:r w:rsidRPr="004468AE">
        <w:rPr>
          <w:lang w:val="fr-FR"/>
        </w:rPr>
        <w:t>faiblesses</w:t>
      </w:r>
      <w:r>
        <w:rPr>
          <w:lang w:val="fr-CA"/>
        </w:rPr>
        <w:t xml:space="preserve"> de l’Agence gouvernementale d’exécution, l</w:t>
      </w:r>
      <w:r w:rsidR="00AF48B6">
        <w:rPr>
          <w:lang w:val="fr-CA"/>
        </w:rPr>
        <w:t>a mission recommande</w:t>
      </w:r>
      <w:r>
        <w:rPr>
          <w:lang w:val="fr-CA"/>
        </w:rPr>
        <w:t xml:space="preserve"> donc que la </w:t>
      </w:r>
      <w:r w:rsidR="00AF48B6">
        <w:rPr>
          <w:lang w:val="fr-CA"/>
        </w:rPr>
        <w:t xml:space="preserve">situation de fait soit formalisée, et que </w:t>
      </w:r>
      <w:r>
        <w:rPr>
          <w:lang w:val="fr-CA"/>
        </w:rPr>
        <w:t xml:space="preserve">le programme conjoint soit </w:t>
      </w:r>
      <w:r w:rsidR="00AF48B6">
        <w:rPr>
          <w:lang w:val="fr-CA"/>
        </w:rPr>
        <w:t>officiellement considéré comme</w:t>
      </w:r>
      <w:r>
        <w:rPr>
          <w:lang w:val="fr-CA"/>
        </w:rPr>
        <w:t xml:space="preserve"> étant placé sous un régime DEX</w:t>
      </w:r>
      <w:r w:rsidR="00EA7131">
        <w:rPr>
          <w:rStyle w:val="FootnoteReference"/>
          <w:lang w:val="fr-CA"/>
        </w:rPr>
        <w:footnoteReference w:id="80"/>
      </w:r>
      <w:r w:rsidR="00AF48B6">
        <w:rPr>
          <w:lang w:val="fr-CA"/>
        </w:rPr>
        <w:t>.</w:t>
      </w:r>
      <w:r w:rsidR="00BB478E">
        <w:rPr>
          <w:lang w:val="fr-CA"/>
        </w:rPr>
        <w:t xml:space="preserve"> La conséquence est qu’une Agence Chef de file</w:t>
      </w:r>
      <w:r w:rsidR="00BB478E" w:rsidRPr="00BB478E">
        <w:rPr>
          <w:lang w:val="fr-CA"/>
        </w:rPr>
        <w:t xml:space="preserve"> </w:t>
      </w:r>
      <w:r w:rsidR="00BB478E">
        <w:rPr>
          <w:lang w:val="fr-CA"/>
        </w:rPr>
        <w:t>devra être officiellement désignée, au sein des Nations Unies, et que cette même agence deviendra donc l’Agent d’Exécution du programme (le MDCFC conservant les désignations d’Agent de mise en œuvre et de Ministère Chef de file.</w:t>
      </w:r>
      <w:r w:rsidR="00AF48B6">
        <w:rPr>
          <w:lang w:val="fr-CA"/>
        </w:rPr>
        <w:t xml:space="preserve"> </w:t>
      </w:r>
    </w:p>
    <w:p w:rsidR="00B333CB" w:rsidRDefault="0000534A" w:rsidP="004468AE">
      <w:pPr>
        <w:pStyle w:val="NoSpacing"/>
        <w:numPr>
          <w:ilvl w:val="0"/>
          <w:numId w:val="1"/>
        </w:numPr>
        <w:ind w:left="0" w:firstLine="0"/>
        <w:rPr>
          <w:lang w:val="fr-CA"/>
        </w:rPr>
      </w:pPr>
      <w:r w:rsidRPr="00BB478E">
        <w:rPr>
          <w:b/>
          <w:lang w:val="fr-CA"/>
        </w:rPr>
        <w:t xml:space="preserve">Les Points </w:t>
      </w:r>
      <w:r w:rsidR="00BB478E">
        <w:rPr>
          <w:b/>
          <w:lang w:val="fr-CA"/>
        </w:rPr>
        <w:t>F</w:t>
      </w:r>
      <w:r w:rsidRPr="00BB478E">
        <w:rPr>
          <w:b/>
          <w:lang w:val="fr-CA"/>
        </w:rPr>
        <w:t>ocaux</w:t>
      </w:r>
      <w:r w:rsidR="00BB478E">
        <w:rPr>
          <w:b/>
          <w:lang w:val="fr-CA"/>
        </w:rPr>
        <w:t xml:space="preserve"> du programme</w:t>
      </w:r>
      <w:r w:rsidRPr="00BB478E">
        <w:rPr>
          <w:lang w:val="fr-CA"/>
        </w:rPr>
        <w:t xml:space="preserve">. </w:t>
      </w:r>
      <w:r w:rsidR="00BB478E">
        <w:rPr>
          <w:lang w:val="fr-CA"/>
        </w:rPr>
        <w:t>La mission souhaite faire un certain nombre de remarques concernant le r</w:t>
      </w:r>
      <w:r w:rsidR="00BB478E">
        <w:rPr>
          <w:rFonts w:cs="Calibri"/>
          <w:lang w:val="fr-CA"/>
        </w:rPr>
        <w:t>ô</w:t>
      </w:r>
      <w:r w:rsidR="00BB478E">
        <w:rPr>
          <w:lang w:val="fr-CA"/>
        </w:rPr>
        <w:t xml:space="preserve">le des Points Focaux du programme désignés au sein des 12 ministères concernés.  Tout d’abord, il convient de relever que cette désignation s’est faite au sein de chaque ministère sans que le MDCFCF </w:t>
      </w:r>
      <w:r w:rsidR="001D688D">
        <w:rPr>
          <w:lang w:val="fr-CA"/>
        </w:rPr>
        <w:t xml:space="preserve">ne </w:t>
      </w:r>
      <w:r w:rsidR="00BB478E">
        <w:rPr>
          <w:lang w:val="fr-CA"/>
        </w:rPr>
        <w:t xml:space="preserve">puisse influencer le </w:t>
      </w:r>
      <w:r w:rsidR="00BB478E" w:rsidRPr="004468AE">
        <w:rPr>
          <w:lang w:val="fr-FR"/>
        </w:rPr>
        <w:t>processus</w:t>
      </w:r>
      <w:r w:rsidR="00BB478E">
        <w:rPr>
          <w:lang w:val="fr-CA"/>
        </w:rPr>
        <w:t xml:space="preserve">, donc le choix </w:t>
      </w:r>
      <w:r w:rsidR="00B333CB">
        <w:rPr>
          <w:lang w:val="fr-CA"/>
        </w:rPr>
        <w:t xml:space="preserve">final </w:t>
      </w:r>
      <w:r w:rsidR="00BB478E">
        <w:rPr>
          <w:lang w:val="fr-CA"/>
        </w:rPr>
        <w:t>des Points Focaux</w:t>
      </w:r>
      <w:r w:rsidR="00B333CB">
        <w:rPr>
          <w:lang w:val="fr-CA"/>
        </w:rPr>
        <w:t xml:space="preserve"> (leur Département/Direction, leur grade)</w:t>
      </w:r>
      <w:r w:rsidR="00BB478E">
        <w:rPr>
          <w:lang w:val="fr-CA"/>
        </w:rPr>
        <w:t xml:space="preserve">. </w:t>
      </w:r>
      <w:r w:rsidR="00B333CB">
        <w:rPr>
          <w:lang w:val="fr-CA"/>
        </w:rPr>
        <w:t>Étant</w:t>
      </w:r>
      <w:r w:rsidR="00BB478E">
        <w:rPr>
          <w:lang w:val="fr-CA"/>
        </w:rPr>
        <w:t xml:space="preserve"> donné que ce processus de désignation s’est effectué </w:t>
      </w:r>
      <w:r w:rsidR="00B333CB">
        <w:rPr>
          <w:lang w:val="fr-CA"/>
        </w:rPr>
        <w:t>sans qu’un</w:t>
      </w:r>
      <w:r w:rsidR="00BB478E">
        <w:rPr>
          <w:lang w:val="fr-CA"/>
        </w:rPr>
        <w:t xml:space="preserve"> travail de sensibilisation et d’explication des objectifs du programme </w:t>
      </w:r>
      <w:r w:rsidR="00BB478E" w:rsidRPr="00D8742E">
        <w:rPr>
          <w:lang w:val="fr-FR"/>
        </w:rPr>
        <w:t>n’a</w:t>
      </w:r>
      <w:r w:rsidR="00B333CB" w:rsidRPr="00D8742E">
        <w:rPr>
          <w:lang w:val="fr-FR"/>
        </w:rPr>
        <w:t>it</w:t>
      </w:r>
      <w:r w:rsidR="00B333CB">
        <w:rPr>
          <w:lang w:val="fr-CA"/>
        </w:rPr>
        <w:t xml:space="preserve"> été réalisé</w:t>
      </w:r>
      <w:r w:rsidR="00B333CB" w:rsidRPr="00B333CB">
        <w:rPr>
          <w:lang w:val="fr-CA"/>
        </w:rPr>
        <w:t xml:space="preserve"> </w:t>
      </w:r>
      <w:r w:rsidR="00B333CB">
        <w:rPr>
          <w:lang w:val="fr-CA"/>
        </w:rPr>
        <w:t>au préalable, la fonction et le rôle des douze Points Focaux actuel au sein de leur ad</w:t>
      </w:r>
      <w:r w:rsidR="00EA60E3">
        <w:rPr>
          <w:lang w:val="fr-CA"/>
        </w:rPr>
        <w:t>ministration respective ne paraî</w:t>
      </w:r>
      <w:r w:rsidR="00B333CB">
        <w:rPr>
          <w:lang w:val="fr-CA"/>
        </w:rPr>
        <w:t>t pas toujours judicieuse pour faciliter réellement l’atteinte des objectifs d’intégration de l’approche genre dans les politiques et les stratégies sectorielles et d’amélioration de la production de données sur le genre.</w:t>
      </w:r>
    </w:p>
    <w:p w:rsidR="001D688D" w:rsidRPr="00564752" w:rsidRDefault="00B333CB" w:rsidP="004468AE">
      <w:pPr>
        <w:pStyle w:val="NoSpacing"/>
        <w:numPr>
          <w:ilvl w:val="0"/>
          <w:numId w:val="1"/>
        </w:numPr>
        <w:ind w:left="0" w:firstLine="0"/>
        <w:rPr>
          <w:lang w:val="fr-CA"/>
        </w:rPr>
      </w:pPr>
      <w:r w:rsidRPr="00564752">
        <w:rPr>
          <w:lang w:val="fr-CA"/>
        </w:rPr>
        <w:t xml:space="preserve">Un second problème concerne le rôle </w:t>
      </w:r>
      <w:r w:rsidR="00F803D9">
        <w:rPr>
          <w:lang w:val="fr-CA"/>
        </w:rPr>
        <w:t xml:space="preserve">et la place </w:t>
      </w:r>
      <w:r w:rsidRPr="00564752">
        <w:rPr>
          <w:lang w:val="fr-CA"/>
        </w:rPr>
        <w:t>des Points Focaux dans l</w:t>
      </w:r>
      <w:r w:rsidR="00EC5E40" w:rsidRPr="00564752">
        <w:rPr>
          <w:lang w:val="fr-CA"/>
        </w:rPr>
        <w:t>a mise en œuvre du</w:t>
      </w:r>
      <w:r w:rsidRPr="00564752">
        <w:rPr>
          <w:lang w:val="fr-CA"/>
        </w:rPr>
        <w:t xml:space="preserve"> programme</w:t>
      </w:r>
      <w:r w:rsidR="00EC5E40" w:rsidRPr="00564752">
        <w:rPr>
          <w:lang w:val="fr-CA"/>
        </w:rPr>
        <w:t xml:space="preserve"> en général, et au sein du CGP en </w:t>
      </w:r>
      <w:r w:rsidR="00EC5E40" w:rsidRPr="004468AE">
        <w:rPr>
          <w:lang w:val="fr-FR"/>
        </w:rPr>
        <w:t>particulier</w:t>
      </w:r>
      <w:r w:rsidRPr="00564752">
        <w:rPr>
          <w:lang w:val="fr-CA"/>
        </w:rPr>
        <w:t xml:space="preserve">. Jusqu’à présent, </w:t>
      </w:r>
      <w:r w:rsidR="00EC5E40" w:rsidRPr="00564752">
        <w:rPr>
          <w:lang w:val="fr-CA"/>
        </w:rPr>
        <w:t>les Points Focaux ont</w:t>
      </w:r>
      <w:r w:rsidRPr="00564752">
        <w:rPr>
          <w:lang w:val="fr-CA"/>
        </w:rPr>
        <w:t xml:space="preserve"> été </w:t>
      </w:r>
      <w:r w:rsidR="000A2175" w:rsidRPr="00564752">
        <w:rPr>
          <w:lang w:val="fr-CA"/>
        </w:rPr>
        <w:t xml:space="preserve">les </w:t>
      </w:r>
      <w:r w:rsidR="000A2175" w:rsidRPr="00D8742E">
        <w:rPr>
          <w:lang w:val="fr-FR"/>
        </w:rPr>
        <w:t>uniques</w:t>
      </w:r>
      <w:r w:rsidR="000A2175" w:rsidRPr="00564752">
        <w:rPr>
          <w:lang w:val="fr-CA"/>
        </w:rPr>
        <w:t xml:space="preserve"> représentants des ministères </w:t>
      </w:r>
      <w:r w:rsidRPr="00564752">
        <w:rPr>
          <w:lang w:val="fr-CA"/>
        </w:rPr>
        <w:t>« partenaires »</w:t>
      </w:r>
      <w:r w:rsidR="00564752">
        <w:rPr>
          <w:lang w:val="fr-CA"/>
        </w:rPr>
        <w:t xml:space="preserve">, ce qui </w:t>
      </w:r>
      <w:r w:rsidR="00284AFB">
        <w:rPr>
          <w:lang w:val="fr-CA"/>
        </w:rPr>
        <w:t xml:space="preserve">est </w:t>
      </w:r>
      <w:r w:rsidR="00564752">
        <w:rPr>
          <w:lang w:val="fr-CA"/>
        </w:rPr>
        <w:t>en soi</w:t>
      </w:r>
      <w:r w:rsidR="00564752" w:rsidRPr="00564752">
        <w:rPr>
          <w:lang w:val="fr-CA"/>
        </w:rPr>
        <w:t xml:space="preserve"> problématique</w:t>
      </w:r>
      <w:r w:rsidR="00F803D9">
        <w:rPr>
          <w:lang w:val="fr-CA"/>
        </w:rPr>
        <w:t xml:space="preserve"> et fragilise la relation entre le programme et les ministères</w:t>
      </w:r>
      <w:r w:rsidR="00F803D9">
        <w:rPr>
          <w:rStyle w:val="FootnoteReference"/>
          <w:lang w:val="fr-CA"/>
        </w:rPr>
        <w:footnoteReference w:id="81"/>
      </w:r>
      <w:r w:rsidR="00564752" w:rsidRPr="00564752">
        <w:rPr>
          <w:lang w:val="fr-CA"/>
        </w:rPr>
        <w:t xml:space="preserve">. </w:t>
      </w:r>
      <w:r w:rsidR="00564752">
        <w:rPr>
          <w:lang w:val="fr-CA"/>
        </w:rPr>
        <w:t>De surcroî</w:t>
      </w:r>
      <w:r w:rsidR="00564752" w:rsidRPr="00564752">
        <w:rPr>
          <w:lang w:val="fr-CA"/>
        </w:rPr>
        <w:t xml:space="preserve">t, selon que l’on considère telle ou telle activité du programme, </w:t>
      </w:r>
      <w:r w:rsidR="00564752">
        <w:rPr>
          <w:lang w:val="fr-CA"/>
        </w:rPr>
        <w:t xml:space="preserve">les ministères auxquels ils appartiennent peuvent jouer deux rôles foncièrement différents : </w:t>
      </w:r>
      <w:r w:rsidR="00EC5E40" w:rsidRPr="00564752">
        <w:rPr>
          <w:lang w:val="fr-CA"/>
        </w:rPr>
        <w:t xml:space="preserve"> </w:t>
      </w:r>
    </w:p>
    <w:p w:rsidR="00D67B8A" w:rsidRPr="00D67B8A" w:rsidRDefault="00564752" w:rsidP="0038607C">
      <w:pPr>
        <w:pStyle w:val="NoSpacing"/>
        <w:numPr>
          <w:ilvl w:val="0"/>
          <w:numId w:val="23"/>
        </w:numPr>
        <w:rPr>
          <w:lang w:val="fr-FR"/>
        </w:rPr>
      </w:pPr>
      <w:r>
        <w:rPr>
          <w:lang w:val="fr-CA"/>
        </w:rPr>
        <w:t>Le r</w:t>
      </w:r>
      <w:r>
        <w:rPr>
          <w:rFonts w:cs="Calibri"/>
          <w:lang w:val="fr-CA"/>
        </w:rPr>
        <w:t>ô</w:t>
      </w:r>
      <w:r>
        <w:rPr>
          <w:lang w:val="fr-CA"/>
        </w:rPr>
        <w:t>le de véritables</w:t>
      </w:r>
      <w:r w:rsidR="00D67B8A">
        <w:rPr>
          <w:lang w:val="fr-CA"/>
        </w:rPr>
        <w:t xml:space="preserve"> </w:t>
      </w:r>
      <w:r w:rsidR="00D67B8A" w:rsidRPr="00D67B8A">
        <w:rPr>
          <w:u w:val="single"/>
          <w:lang w:val="fr-CA"/>
        </w:rPr>
        <w:t>partenaire</w:t>
      </w:r>
      <w:r w:rsidR="00D67B8A">
        <w:rPr>
          <w:u w:val="single"/>
          <w:lang w:val="fr-CA"/>
        </w:rPr>
        <w:t>s</w:t>
      </w:r>
      <w:r w:rsidR="00D67B8A" w:rsidRPr="00D67B8A">
        <w:rPr>
          <w:u w:val="single"/>
          <w:lang w:val="fr-CA"/>
        </w:rPr>
        <w:t xml:space="preserve"> d’exécution</w:t>
      </w:r>
      <w:r w:rsidR="00EC5E40">
        <w:rPr>
          <w:lang w:val="fr-CA"/>
        </w:rPr>
        <w:t xml:space="preserve"> directement impliqués dans la mise en œuvre d’un</w:t>
      </w:r>
      <w:r w:rsidR="00D67B8A" w:rsidRPr="00D67B8A">
        <w:rPr>
          <w:lang w:val="fr-CA"/>
        </w:rPr>
        <w:t xml:space="preserve">e activité : </w:t>
      </w:r>
      <w:r w:rsidR="00EC5E40">
        <w:rPr>
          <w:lang w:val="fr-CA"/>
        </w:rPr>
        <w:t xml:space="preserve">c’est le cas lorsque les </w:t>
      </w:r>
      <w:r w:rsidR="00D67B8A" w:rsidRPr="00D67B8A">
        <w:rPr>
          <w:lang w:val="fr-CA"/>
        </w:rPr>
        <w:t>ministères</w:t>
      </w:r>
      <w:r w:rsidR="000264D8" w:rsidRPr="00D67B8A">
        <w:rPr>
          <w:lang w:val="fr-CA"/>
        </w:rPr>
        <w:t xml:space="preserve"> particip</w:t>
      </w:r>
      <w:r w:rsidR="00EC5E40">
        <w:rPr>
          <w:lang w:val="fr-CA"/>
        </w:rPr>
        <w:t>e</w:t>
      </w:r>
      <w:r w:rsidR="000264D8" w:rsidRPr="00D67B8A">
        <w:rPr>
          <w:lang w:val="fr-CA"/>
        </w:rPr>
        <w:t xml:space="preserve">nt à une enquête </w:t>
      </w:r>
      <w:r w:rsidR="00D67B8A" w:rsidRPr="00D67B8A">
        <w:rPr>
          <w:lang w:val="fr-CA"/>
        </w:rPr>
        <w:t>ou</w:t>
      </w:r>
      <w:r w:rsidR="00EC5E40">
        <w:rPr>
          <w:lang w:val="fr-CA"/>
        </w:rPr>
        <w:t xml:space="preserve"> a</w:t>
      </w:r>
      <w:r w:rsidR="000264D8" w:rsidRPr="00D67B8A">
        <w:rPr>
          <w:lang w:val="fr-CA"/>
        </w:rPr>
        <w:t>ppuie</w:t>
      </w:r>
      <w:r w:rsidR="00D67B8A" w:rsidRPr="00D67B8A">
        <w:rPr>
          <w:lang w:val="fr-CA"/>
        </w:rPr>
        <w:t>nt</w:t>
      </w:r>
      <w:r w:rsidR="00933A89" w:rsidRPr="00D67B8A">
        <w:rPr>
          <w:lang w:val="fr-CA"/>
        </w:rPr>
        <w:t xml:space="preserve"> la </w:t>
      </w:r>
      <w:r w:rsidR="000264D8" w:rsidRPr="00D67B8A">
        <w:rPr>
          <w:lang w:val="fr-CA"/>
        </w:rPr>
        <w:lastRenderedPageBreak/>
        <w:t>réalisation</w:t>
      </w:r>
      <w:r w:rsidR="00933A89" w:rsidRPr="00D67B8A">
        <w:rPr>
          <w:lang w:val="fr-CA"/>
        </w:rPr>
        <w:t xml:space="preserve"> d’</w:t>
      </w:r>
      <w:r w:rsidR="000264D8" w:rsidRPr="00D67B8A">
        <w:rPr>
          <w:lang w:val="fr-CA"/>
        </w:rPr>
        <w:t>une étude</w:t>
      </w:r>
      <w:r w:rsidR="00933A89" w:rsidRPr="00D67B8A">
        <w:rPr>
          <w:lang w:val="fr-CA"/>
        </w:rPr>
        <w:t xml:space="preserve"> (MADR A21; MESRS-A1</w:t>
      </w:r>
      <w:r w:rsidR="000264D8" w:rsidRPr="00D67B8A">
        <w:rPr>
          <w:lang w:val="fr-CA"/>
        </w:rPr>
        <w:t>; MTESS-A13/A16</w:t>
      </w:r>
      <w:r w:rsidR="00933A89" w:rsidRPr="00D67B8A">
        <w:rPr>
          <w:lang w:val="fr-CA"/>
        </w:rPr>
        <w:t>)</w:t>
      </w:r>
      <w:r w:rsidR="00D67B8A" w:rsidRPr="00D67B8A">
        <w:rPr>
          <w:lang w:val="fr-CA"/>
        </w:rPr>
        <w:t xml:space="preserve"> et </w:t>
      </w:r>
      <w:r w:rsidR="00EC5E40">
        <w:rPr>
          <w:lang w:val="fr-CA"/>
        </w:rPr>
        <w:t xml:space="preserve">lorsqu’ils participent à la </w:t>
      </w:r>
      <w:r w:rsidR="00D67B8A" w:rsidRPr="00D67B8A">
        <w:rPr>
          <w:lang w:val="fr-FR"/>
        </w:rPr>
        <w:t>mise en œuvre d’une activité pilote (MI</w:t>
      </w:r>
      <w:r w:rsidR="00E47150">
        <w:rPr>
          <w:lang w:val="fr-FR"/>
        </w:rPr>
        <w:t>PIPME</w:t>
      </w:r>
      <w:r w:rsidR="00D67B8A" w:rsidRPr="00D67B8A">
        <w:rPr>
          <w:lang w:val="fr-FR"/>
        </w:rPr>
        <w:t>-A20/A22; MTA-A19; MADR-A9 ; MPS-A3 ; MTA-A19)</w:t>
      </w:r>
    </w:p>
    <w:p w:rsidR="00933A89" w:rsidRPr="00EC5E40" w:rsidRDefault="00564752" w:rsidP="0038607C">
      <w:pPr>
        <w:pStyle w:val="NoSpacing"/>
        <w:numPr>
          <w:ilvl w:val="0"/>
          <w:numId w:val="23"/>
        </w:numPr>
        <w:rPr>
          <w:lang w:val="fr-CA"/>
        </w:rPr>
      </w:pPr>
      <w:r>
        <w:rPr>
          <w:lang w:val="fr-CA"/>
        </w:rPr>
        <w:t>Le r</w:t>
      </w:r>
      <w:r>
        <w:rPr>
          <w:rFonts w:cs="Calibri"/>
          <w:lang w:val="fr-CA"/>
        </w:rPr>
        <w:t>ô</w:t>
      </w:r>
      <w:r>
        <w:rPr>
          <w:lang w:val="fr-CA"/>
        </w:rPr>
        <w:t xml:space="preserve">le de </w:t>
      </w:r>
      <w:r w:rsidR="00D67B8A" w:rsidRPr="00EC5E40">
        <w:rPr>
          <w:u w:val="single"/>
          <w:lang w:val="fr-CA"/>
        </w:rPr>
        <w:t>bénéficiaires</w:t>
      </w:r>
      <w:r>
        <w:rPr>
          <w:u w:val="single"/>
          <w:lang w:val="fr-CA"/>
        </w:rPr>
        <w:t xml:space="preserve"> directs</w:t>
      </w:r>
      <w:r>
        <w:rPr>
          <w:rStyle w:val="FootnoteReference"/>
          <w:u w:val="single"/>
          <w:lang w:val="fr-CA"/>
        </w:rPr>
        <w:footnoteReference w:id="82"/>
      </w:r>
      <w:r w:rsidR="00D67B8A" w:rsidRPr="00EC5E40">
        <w:rPr>
          <w:lang w:val="fr-CA"/>
        </w:rPr>
        <w:t xml:space="preserve"> du programme : </w:t>
      </w:r>
      <w:r w:rsidR="00EC5E40" w:rsidRPr="00EC5E40">
        <w:rPr>
          <w:lang w:val="fr-CA"/>
        </w:rPr>
        <w:t>c’est le cas lorsque les</w:t>
      </w:r>
      <w:r w:rsidR="00D67B8A" w:rsidRPr="00EC5E40">
        <w:rPr>
          <w:lang w:val="fr-CA"/>
        </w:rPr>
        <w:t xml:space="preserve"> ministère </w:t>
      </w:r>
      <w:r w:rsidR="000264D8" w:rsidRPr="00EC5E40">
        <w:rPr>
          <w:lang w:val="fr-CA"/>
        </w:rPr>
        <w:t>bénéfici</w:t>
      </w:r>
      <w:r w:rsidR="00EC5E40" w:rsidRPr="00EC5E40">
        <w:rPr>
          <w:lang w:val="fr-CA"/>
        </w:rPr>
        <w:t xml:space="preserve">ent </w:t>
      </w:r>
      <w:r w:rsidR="00933A89" w:rsidRPr="00EC5E40">
        <w:rPr>
          <w:lang w:val="fr-CA"/>
        </w:rPr>
        <w:t>d’un appui technique</w:t>
      </w:r>
      <w:r w:rsidR="000264D8" w:rsidRPr="00EC5E40">
        <w:rPr>
          <w:lang w:val="fr-CA"/>
        </w:rPr>
        <w:t xml:space="preserve"> ou de formation</w:t>
      </w:r>
      <w:r w:rsidR="00EC5E40" w:rsidRPr="00EC5E40">
        <w:rPr>
          <w:lang w:val="fr-CA"/>
        </w:rPr>
        <w:t>s</w:t>
      </w:r>
      <w:r w:rsidR="000264D8" w:rsidRPr="00EC5E40">
        <w:rPr>
          <w:lang w:val="fr-CA"/>
        </w:rPr>
        <w:t xml:space="preserve"> pour </w:t>
      </w:r>
      <w:r w:rsidR="00D67B8A" w:rsidRPr="00EC5E40">
        <w:rPr>
          <w:lang w:val="fr-CA"/>
        </w:rPr>
        <w:t xml:space="preserve">le renforcement de </w:t>
      </w:r>
      <w:r w:rsidR="00EC5E40" w:rsidRPr="00EC5E40">
        <w:rPr>
          <w:lang w:val="fr-CA"/>
        </w:rPr>
        <w:t>leurs</w:t>
      </w:r>
      <w:r w:rsidR="000264D8" w:rsidRPr="00EC5E40">
        <w:rPr>
          <w:lang w:val="fr-CA"/>
        </w:rPr>
        <w:t xml:space="preserve"> capacités</w:t>
      </w:r>
      <w:r w:rsidR="00933A89" w:rsidRPr="00EC5E40">
        <w:rPr>
          <w:lang w:val="fr-CA"/>
        </w:rPr>
        <w:t xml:space="preserve"> (MESRS A14; MFEP-A15; MADR/A9</w:t>
      </w:r>
      <w:r w:rsidR="000264D8" w:rsidRPr="00EC5E40">
        <w:rPr>
          <w:lang w:val="fr-CA"/>
        </w:rPr>
        <w:t>; MFEP-A15; MPS-A5; MTESS-A18</w:t>
      </w:r>
      <w:r w:rsidR="00933A89" w:rsidRPr="00EC5E40">
        <w:rPr>
          <w:lang w:val="fr-CA"/>
        </w:rPr>
        <w:t>)</w:t>
      </w:r>
      <w:r w:rsidR="00EC5E40" w:rsidRPr="00EC5E40">
        <w:rPr>
          <w:lang w:val="fr-CA"/>
        </w:rPr>
        <w:t>; ou l</w:t>
      </w:r>
      <w:r w:rsidR="00EC5E40">
        <w:rPr>
          <w:lang w:val="fr-CA"/>
        </w:rPr>
        <w:t>orsque les activités visent à influencer et am</w:t>
      </w:r>
      <w:r w:rsidR="000264D8" w:rsidRPr="00EC5E40">
        <w:rPr>
          <w:lang w:val="fr-CA"/>
        </w:rPr>
        <w:t>éliorer</w:t>
      </w:r>
      <w:r w:rsidR="00933A89" w:rsidRPr="00EC5E40">
        <w:rPr>
          <w:lang w:val="fr-CA"/>
        </w:rPr>
        <w:t xml:space="preserve"> les </w:t>
      </w:r>
      <w:r w:rsidR="000264D8" w:rsidRPr="00EC5E40">
        <w:rPr>
          <w:lang w:val="fr-CA"/>
        </w:rPr>
        <w:t>systèmes</w:t>
      </w:r>
      <w:r w:rsidR="00EC5E40">
        <w:rPr>
          <w:lang w:val="fr-CA"/>
        </w:rPr>
        <w:t xml:space="preserve"> ou les </w:t>
      </w:r>
      <w:r w:rsidR="00933A89" w:rsidRPr="00EC5E40">
        <w:rPr>
          <w:lang w:val="fr-CA"/>
        </w:rPr>
        <w:t>approches</w:t>
      </w:r>
      <w:r w:rsidR="00EC5E40">
        <w:rPr>
          <w:lang w:val="fr-CA"/>
        </w:rPr>
        <w:t xml:space="preserve"> de certains ministères</w:t>
      </w:r>
      <w:r w:rsidR="00933A89" w:rsidRPr="00EC5E40">
        <w:rPr>
          <w:lang w:val="fr-CA"/>
        </w:rPr>
        <w:t> </w:t>
      </w:r>
      <w:r w:rsidR="00B1250D">
        <w:rPr>
          <w:lang w:val="fr-CA"/>
        </w:rPr>
        <w:t>(</w:t>
      </w:r>
      <w:r w:rsidR="00933A89" w:rsidRPr="00EC5E40">
        <w:rPr>
          <w:lang w:val="fr-CA"/>
        </w:rPr>
        <w:t>MF-A7</w:t>
      </w:r>
      <w:r w:rsidR="000264D8" w:rsidRPr="00EC5E40">
        <w:rPr>
          <w:lang w:val="fr-CA"/>
        </w:rPr>
        <w:t>/A8</w:t>
      </w:r>
      <w:r w:rsidR="000264D8" w:rsidRPr="00EC5E40">
        <w:rPr>
          <w:lang w:val="fr-FR"/>
        </w:rPr>
        <w:t xml:space="preserve"> ; MFEP-A15 ; A5 : ONS/MPS-A5,</w:t>
      </w:r>
      <w:r w:rsidR="00D67B8A" w:rsidRPr="00EC5E40">
        <w:rPr>
          <w:lang w:val="fr-FR"/>
        </w:rPr>
        <w:t xml:space="preserve"> P3 : MADR/MFEP/MPS/MTESS/MTA</w:t>
      </w:r>
      <w:r w:rsidR="00B1250D">
        <w:rPr>
          <w:lang w:val="fr-FR"/>
        </w:rPr>
        <w:t>)</w:t>
      </w:r>
      <w:r w:rsidR="00EC5E40">
        <w:rPr>
          <w:lang w:val="fr-FR"/>
        </w:rPr>
        <w:t>.</w:t>
      </w:r>
    </w:p>
    <w:p w:rsidR="00B333CB" w:rsidRDefault="000A2175" w:rsidP="004468AE">
      <w:pPr>
        <w:pStyle w:val="NoSpacing"/>
        <w:numPr>
          <w:ilvl w:val="0"/>
          <w:numId w:val="1"/>
        </w:numPr>
        <w:ind w:left="0" w:firstLine="0"/>
        <w:rPr>
          <w:lang w:val="fr-CA"/>
        </w:rPr>
      </w:pPr>
      <w:r>
        <w:rPr>
          <w:lang w:val="fr-CA"/>
        </w:rPr>
        <w:t xml:space="preserve">Pour ajouter à la confusion, le rôle du Point Focal </w:t>
      </w:r>
      <w:r w:rsidR="00284AFB">
        <w:rPr>
          <w:lang w:val="fr-CA"/>
        </w:rPr>
        <w:t xml:space="preserve">lui-même </w:t>
      </w:r>
      <w:r>
        <w:rPr>
          <w:lang w:val="fr-CA"/>
        </w:rPr>
        <w:t xml:space="preserve">varie également selon les activités : ainsi les Points focaux </w:t>
      </w:r>
      <w:r w:rsidR="00284AFB">
        <w:rPr>
          <w:lang w:val="fr-CA"/>
        </w:rPr>
        <w:t>doiven</w:t>
      </w:r>
      <w:r>
        <w:rPr>
          <w:lang w:val="fr-CA"/>
        </w:rPr>
        <w:t xml:space="preserve">t </w:t>
      </w:r>
      <w:r w:rsidRPr="004468AE">
        <w:rPr>
          <w:lang w:val="fr-FR"/>
        </w:rPr>
        <w:t>tant</w:t>
      </w:r>
      <w:r w:rsidRPr="004468AE">
        <w:rPr>
          <w:rFonts w:cs="Calibri"/>
          <w:lang w:val="fr-FR"/>
        </w:rPr>
        <w:t>ô</w:t>
      </w:r>
      <w:r w:rsidRPr="004468AE">
        <w:rPr>
          <w:lang w:val="fr-FR"/>
        </w:rPr>
        <w:t>t</w:t>
      </w:r>
      <w:r>
        <w:rPr>
          <w:lang w:val="fr-CA"/>
        </w:rPr>
        <w:t xml:space="preserve"> </w:t>
      </w:r>
      <w:r w:rsidR="00284AFB">
        <w:rPr>
          <w:lang w:val="fr-CA"/>
        </w:rPr>
        <w:t>jouer le r</w:t>
      </w:r>
      <w:r w:rsidR="00284AFB">
        <w:rPr>
          <w:rFonts w:cs="Calibri"/>
          <w:lang w:val="fr-CA"/>
        </w:rPr>
        <w:t>ô</w:t>
      </w:r>
      <w:r w:rsidR="00284AFB">
        <w:rPr>
          <w:lang w:val="fr-CA"/>
        </w:rPr>
        <w:t xml:space="preserve">le de </w:t>
      </w:r>
      <w:r>
        <w:rPr>
          <w:lang w:val="fr-CA"/>
        </w:rPr>
        <w:t>relais du programme au sein du ministère, tant</w:t>
      </w:r>
      <w:r>
        <w:rPr>
          <w:rFonts w:cs="Calibri"/>
          <w:lang w:val="fr-CA"/>
        </w:rPr>
        <w:t>ô</w:t>
      </w:r>
      <w:r>
        <w:rPr>
          <w:lang w:val="fr-CA"/>
        </w:rPr>
        <w:t xml:space="preserve">t </w:t>
      </w:r>
      <w:r w:rsidR="00284AFB">
        <w:rPr>
          <w:lang w:val="fr-CA"/>
        </w:rPr>
        <w:t xml:space="preserve">celui de </w:t>
      </w:r>
      <w:r>
        <w:rPr>
          <w:lang w:val="fr-CA"/>
        </w:rPr>
        <w:t xml:space="preserve">responsable du suivi d’une activité, parfois </w:t>
      </w:r>
      <w:r w:rsidR="00284AFB">
        <w:rPr>
          <w:lang w:val="fr-CA"/>
        </w:rPr>
        <w:t xml:space="preserve">encore de </w:t>
      </w:r>
      <w:r>
        <w:rPr>
          <w:lang w:val="fr-CA"/>
        </w:rPr>
        <w:t xml:space="preserve">concepteur d’une intervention ou </w:t>
      </w:r>
      <w:r w:rsidR="00284AFB">
        <w:rPr>
          <w:lang w:val="fr-CA"/>
        </w:rPr>
        <w:t xml:space="preserve">alors celui de simple </w:t>
      </w:r>
      <w:r>
        <w:rPr>
          <w:lang w:val="fr-CA"/>
        </w:rPr>
        <w:t xml:space="preserve">bénéficiaire </w:t>
      </w:r>
      <w:r w:rsidR="00284AFB">
        <w:rPr>
          <w:lang w:val="fr-CA"/>
        </w:rPr>
        <w:t>d’une intervention (par exemple une</w:t>
      </w:r>
      <w:r>
        <w:rPr>
          <w:lang w:val="fr-CA"/>
        </w:rPr>
        <w:t xml:space="preserve"> formation</w:t>
      </w:r>
      <w:r w:rsidR="00284AFB">
        <w:rPr>
          <w:lang w:val="fr-CA"/>
        </w:rPr>
        <w:t>)</w:t>
      </w:r>
      <w:r>
        <w:rPr>
          <w:lang w:val="fr-CA"/>
        </w:rPr>
        <w:t xml:space="preserve">. </w:t>
      </w:r>
      <w:r w:rsidR="00B1250D">
        <w:rPr>
          <w:lang w:val="fr-CA"/>
        </w:rPr>
        <w:t>De l’avis de la mission, la seule solution pour résoudre ce</w:t>
      </w:r>
      <w:r>
        <w:rPr>
          <w:lang w:val="fr-CA"/>
        </w:rPr>
        <w:t>s</w:t>
      </w:r>
      <w:r w:rsidR="00B1250D">
        <w:rPr>
          <w:lang w:val="fr-CA"/>
        </w:rPr>
        <w:t xml:space="preserve"> problème</w:t>
      </w:r>
      <w:r>
        <w:rPr>
          <w:lang w:val="fr-CA"/>
        </w:rPr>
        <w:t>s</w:t>
      </w:r>
      <w:r w:rsidR="00B1250D">
        <w:rPr>
          <w:lang w:val="fr-CA"/>
        </w:rPr>
        <w:t xml:space="preserve"> source</w:t>
      </w:r>
      <w:r>
        <w:rPr>
          <w:lang w:val="fr-CA"/>
        </w:rPr>
        <w:t>s</w:t>
      </w:r>
      <w:r w:rsidR="00B1250D">
        <w:rPr>
          <w:lang w:val="fr-CA"/>
        </w:rPr>
        <w:t xml:space="preserve"> de grande confusion</w:t>
      </w:r>
      <w:r w:rsidR="00ED02C0">
        <w:rPr>
          <w:lang w:val="fr-CA"/>
        </w:rPr>
        <w:t xml:space="preserve"> </w:t>
      </w:r>
      <w:r w:rsidR="00B1250D">
        <w:rPr>
          <w:lang w:val="fr-CA"/>
        </w:rPr>
        <w:t xml:space="preserve">est de modifier </w:t>
      </w:r>
      <w:r w:rsidR="00284AFB">
        <w:rPr>
          <w:lang w:val="fr-CA"/>
        </w:rPr>
        <w:t xml:space="preserve">radicalement </w:t>
      </w:r>
      <w:r w:rsidR="00EA60E3">
        <w:rPr>
          <w:lang w:val="fr-CA"/>
        </w:rPr>
        <w:t>la composition du CGP.</w:t>
      </w:r>
    </w:p>
    <w:p w:rsidR="00B1250D" w:rsidRDefault="00B1250D" w:rsidP="004468AE">
      <w:pPr>
        <w:pStyle w:val="NoSpacing"/>
        <w:numPr>
          <w:ilvl w:val="0"/>
          <w:numId w:val="1"/>
        </w:numPr>
        <w:ind w:left="0" w:firstLine="0"/>
        <w:rPr>
          <w:lang w:val="fr-CA"/>
        </w:rPr>
      </w:pPr>
      <w:r>
        <w:rPr>
          <w:lang w:val="fr-CA"/>
        </w:rPr>
        <w:t xml:space="preserve">Une </w:t>
      </w:r>
      <w:r w:rsidR="00953E06">
        <w:rPr>
          <w:lang w:val="fr-CA"/>
        </w:rPr>
        <w:t>autre</w:t>
      </w:r>
      <w:r>
        <w:rPr>
          <w:lang w:val="fr-CA"/>
        </w:rPr>
        <w:t xml:space="preserve"> remarque, concernant les Points Focaux du programme</w:t>
      </w:r>
      <w:r w:rsidR="00655776">
        <w:rPr>
          <w:lang w:val="fr-CA"/>
        </w:rPr>
        <w:t>,</w:t>
      </w:r>
      <w:r>
        <w:rPr>
          <w:lang w:val="fr-CA"/>
        </w:rPr>
        <w:t xml:space="preserve"> est la suivante : il semble que dans le cadre d’un autre programme financé par le gouvernement Belge, le MDCFCF avait appelé</w:t>
      </w:r>
      <w:r w:rsidR="00D60B1C">
        <w:rPr>
          <w:lang w:val="fr-CA"/>
        </w:rPr>
        <w:t xml:space="preserve"> à la désignation </w:t>
      </w:r>
      <w:r w:rsidR="00655776">
        <w:rPr>
          <w:lang w:val="fr-CA"/>
        </w:rPr>
        <w:t xml:space="preserve">d’un Point Focal Genre </w:t>
      </w:r>
      <w:r w:rsidR="00D60B1C">
        <w:rPr>
          <w:lang w:val="fr-CA"/>
        </w:rPr>
        <w:t xml:space="preserve">au sein de chaque ministère du </w:t>
      </w:r>
      <w:r w:rsidR="00D60B1C" w:rsidRPr="00D8742E">
        <w:rPr>
          <w:lang w:val="fr-FR"/>
        </w:rPr>
        <w:t>gouvernement</w:t>
      </w:r>
      <w:r w:rsidR="00655776">
        <w:rPr>
          <w:lang w:val="fr-CA"/>
        </w:rPr>
        <w:t>.</w:t>
      </w:r>
      <w:r w:rsidR="00D60B1C">
        <w:rPr>
          <w:lang w:val="fr-CA"/>
        </w:rPr>
        <w:t xml:space="preserve"> Cette personne devait notamment servir de relais pour les actions du MDCFCF. Or, selon les observations de la mission, le</w:t>
      </w:r>
      <w:r w:rsidR="00655776">
        <w:rPr>
          <w:lang w:val="fr-CA"/>
        </w:rPr>
        <w:t>s personnes précédemment désignées « Point Focal Genre » ne sont pas nécessairement celles que l’o</w:t>
      </w:r>
      <w:r w:rsidR="00EA60E3">
        <w:rPr>
          <w:lang w:val="fr-CA"/>
        </w:rPr>
        <w:t>n</w:t>
      </w:r>
      <w:r w:rsidR="00655776">
        <w:rPr>
          <w:lang w:val="fr-CA"/>
        </w:rPr>
        <w:t xml:space="preserve"> a choisi</w:t>
      </w:r>
      <w:r w:rsidR="00EA60E3">
        <w:rPr>
          <w:lang w:val="fr-CA"/>
        </w:rPr>
        <w:t xml:space="preserve">es </w:t>
      </w:r>
      <w:r w:rsidR="00655776">
        <w:rPr>
          <w:lang w:val="fr-CA"/>
        </w:rPr>
        <w:t>pour désigner un « </w:t>
      </w:r>
      <w:r w:rsidR="00D60B1C">
        <w:rPr>
          <w:lang w:val="fr-CA"/>
        </w:rPr>
        <w:t xml:space="preserve"> Points Foca</w:t>
      </w:r>
      <w:r w:rsidR="00655776">
        <w:rPr>
          <w:lang w:val="fr-CA"/>
        </w:rPr>
        <w:t xml:space="preserve">l </w:t>
      </w:r>
      <w:r w:rsidR="00D60B1C">
        <w:rPr>
          <w:lang w:val="fr-CA"/>
        </w:rPr>
        <w:t>du programme</w:t>
      </w:r>
      <w:r w:rsidR="00655776">
        <w:rPr>
          <w:lang w:val="fr-CA"/>
        </w:rPr>
        <w:t> ».</w:t>
      </w:r>
      <w:r w:rsidR="00D60B1C">
        <w:rPr>
          <w:lang w:val="fr-CA"/>
        </w:rPr>
        <w:t xml:space="preserve"> Il se peut qu’il y ait de bonnes raisons </w:t>
      </w:r>
      <w:r w:rsidR="00655776">
        <w:rPr>
          <w:lang w:val="fr-CA"/>
        </w:rPr>
        <w:t xml:space="preserve">à </w:t>
      </w:r>
      <w:r w:rsidR="00D60B1C">
        <w:rPr>
          <w:lang w:val="fr-CA"/>
        </w:rPr>
        <w:t>cela (</w:t>
      </w:r>
      <w:r w:rsidR="00D60B1C" w:rsidRPr="00655776">
        <w:rPr>
          <w:i/>
          <w:lang w:val="fr-CA"/>
        </w:rPr>
        <w:t>par exemple, le Point Focal Genre précédemment désigné n’appartient pas à un département stratégique par rapport aux objectifs du programme</w:t>
      </w:r>
      <w:r w:rsidR="00D60B1C">
        <w:rPr>
          <w:lang w:val="fr-CA"/>
        </w:rPr>
        <w:t xml:space="preserve">). La mission regrette seulement que lorsque c’est le cas, il semble qu’il n’y ait aucun contact particulier entre le </w:t>
      </w:r>
      <w:r w:rsidR="009A3444">
        <w:rPr>
          <w:lang w:val="fr-CA"/>
        </w:rPr>
        <w:t>« </w:t>
      </w:r>
      <w:r w:rsidR="00D60B1C">
        <w:rPr>
          <w:lang w:val="fr-CA"/>
        </w:rPr>
        <w:t>Point Focal du Programme</w:t>
      </w:r>
      <w:r w:rsidR="009A3444">
        <w:rPr>
          <w:lang w:val="fr-CA"/>
        </w:rPr>
        <w:t> »</w:t>
      </w:r>
      <w:r w:rsidR="00D60B1C">
        <w:rPr>
          <w:lang w:val="fr-CA"/>
        </w:rPr>
        <w:t xml:space="preserve"> et le </w:t>
      </w:r>
      <w:r w:rsidR="009A3444">
        <w:rPr>
          <w:lang w:val="fr-CA"/>
        </w:rPr>
        <w:t>« </w:t>
      </w:r>
      <w:r w:rsidR="00D60B1C">
        <w:rPr>
          <w:lang w:val="fr-CA"/>
        </w:rPr>
        <w:t>Point Focal Genre</w:t>
      </w:r>
      <w:r w:rsidR="009A3444">
        <w:rPr>
          <w:lang w:val="fr-CA"/>
        </w:rPr>
        <w:t> »</w:t>
      </w:r>
      <w:r w:rsidR="00D60B1C">
        <w:rPr>
          <w:lang w:val="fr-CA"/>
        </w:rPr>
        <w:t xml:space="preserve"> du même ministère. Il s’agit-là d’une occasion manquée </w:t>
      </w:r>
      <w:r w:rsidR="00655776">
        <w:rPr>
          <w:lang w:val="fr-CA"/>
        </w:rPr>
        <w:t xml:space="preserve">car les </w:t>
      </w:r>
      <w:r w:rsidR="00D60B1C">
        <w:rPr>
          <w:lang w:val="fr-CA"/>
        </w:rPr>
        <w:t>deux personnes</w:t>
      </w:r>
      <w:r w:rsidR="00655776">
        <w:rPr>
          <w:lang w:val="fr-CA"/>
        </w:rPr>
        <w:t xml:space="preserve"> pourraient conjuguer leurs efforts et </w:t>
      </w:r>
      <w:r w:rsidR="00655776" w:rsidRPr="00655776">
        <w:rPr>
          <w:lang w:val="fr-CA"/>
        </w:rPr>
        <w:t xml:space="preserve"> </w:t>
      </w:r>
      <w:r w:rsidR="00655776">
        <w:rPr>
          <w:lang w:val="fr-CA"/>
        </w:rPr>
        <w:t xml:space="preserve">s’apportent un appui mutuel. </w:t>
      </w:r>
      <w:r w:rsidR="00D60B1C">
        <w:rPr>
          <w:lang w:val="fr-CA"/>
        </w:rPr>
        <w:t xml:space="preserve">En outre, si personne ne sait ce qu’il adviendra de la fonction de </w:t>
      </w:r>
      <w:r w:rsidR="009A3444">
        <w:rPr>
          <w:lang w:val="fr-CA"/>
        </w:rPr>
        <w:t>« </w:t>
      </w:r>
      <w:r w:rsidR="00D60B1C">
        <w:rPr>
          <w:lang w:val="fr-CA"/>
        </w:rPr>
        <w:t>Point Focal du programme</w:t>
      </w:r>
      <w:r w:rsidR="009A3444">
        <w:rPr>
          <w:lang w:val="fr-CA"/>
        </w:rPr>
        <w:t> »</w:t>
      </w:r>
      <w:r w:rsidR="00D60B1C">
        <w:rPr>
          <w:lang w:val="fr-CA"/>
        </w:rPr>
        <w:t xml:space="preserve"> à la clôture de celui-ci, il se peut que seuls les </w:t>
      </w:r>
      <w:r w:rsidR="009A3444">
        <w:rPr>
          <w:lang w:val="fr-CA"/>
        </w:rPr>
        <w:t>« </w:t>
      </w:r>
      <w:r w:rsidR="00D60B1C">
        <w:rPr>
          <w:lang w:val="fr-CA"/>
        </w:rPr>
        <w:t>Point Focaux Genre</w:t>
      </w:r>
      <w:r w:rsidR="009A3444">
        <w:rPr>
          <w:lang w:val="fr-CA"/>
        </w:rPr>
        <w:t> »</w:t>
      </w:r>
      <w:r w:rsidR="00D60B1C">
        <w:rPr>
          <w:lang w:val="fr-CA"/>
        </w:rPr>
        <w:t xml:space="preserve"> continuent à conserver un r</w:t>
      </w:r>
      <w:r w:rsidR="00D60B1C">
        <w:rPr>
          <w:rFonts w:cs="Calibri"/>
          <w:lang w:val="fr-CA"/>
        </w:rPr>
        <w:t>ô</w:t>
      </w:r>
      <w:r w:rsidR="00D60B1C">
        <w:rPr>
          <w:lang w:val="fr-CA"/>
        </w:rPr>
        <w:t>le officiel au sein du ministère. La mission recommande donc que tous les Points Focaux Genre des 11 ministères partenaires, soient davantage associés aux travaux du programme</w:t>
      </w:r>
      <w:r w:rsidR="009A3444">
        <w:rPr>
          <w:lang w:val="fr-CA"/>
        </w:rPr>
        <w:t xml:space="preserve"> conjoint</w:t>
      </w:r>
      <w:r w:rsidR="00EA60E3">
        <w:rPr>
          <w:lang w:val="fr-CA"/>
        </w:rPr>
        <w:t>.</w:t>
      </w:r>
    </w:p>
    <w:p w:rsidR="006A6B85" w:rsidRDefault="006A6B85" w:rsidP="004468AE">
      <w:pPr>
        <w:pStyle w:val="NoSpacing"/>
        <w:numPr>
          <w:ilvl w:val="0"/>
          <w:numId w:val="1"/>
        </w:numPr>
        <w:ind w:left="0" w:firstLine="0"/>
        <w:rPr>
          <w:lang w:val="fr-CA"/>
        </w:rPr>
      </w:pPr>
      <w:r>
        <w:rPr>
          <w:lang w:val="fr-CA"/>
        </w:rPr>
        <w:t xml:space="preserve">Pour terminer, la mission souhaite tout de même apporter une note plus positive. Tout au long de ses travaux, la mission a en effet noté chez la plupart des partenaires rencontrés une très grande motivation. Malgré les lourdeurs et les difficultés, la plupart semble très </w:t>
      </w:r>
      <w:r w:rsidRPr="00D8742E">
        <w:rPr>
          <w:lang w:val="fr-FR"/>
        </w:rPr>
        <w:t>investis</w:t>
      </w:r>
      <w:r>
        <w:rPr>
          <w:lang w:val="fr-CA"/>
        </w:rPr>
        <w:t xml:space="preserve"> dans leur rôle et les objectifs du programme semblent leur tenir à cœur. En outre, leur participation au programme leur apporte la satisfaction personnelle de travailler avec des institutions extérieures à la </w:t>
      </w:r>
      <w:r w:rsidR="00B62C7A">
        <w:rPr>
          <w:lang w:val="fr-CA"/>
        </w:rPr>
        <w:t>leur et avec des agences des NU</w:t>
      </w:r>
      <w:r>
        <w:rPr>
          <w:lang w:val="fr-CA"/>
        </w:rPr>
        <w:t xml:space="preserve"> dont ils connaissaient mal, auparavant, le fonctionnement. Tous ces aspects sont donc des atouts </w:t>
      </w:r>
      <w:r w:rsidR="00CE4084">
        <w:rPr>
          <w:lang w:val="fr-CA"/>
        </w:rPr>
        <w:t xml:space="preserve">précieux qu’on ne saurait sous-estimer et </w:t>
      </w:r>
      <w:r>
        <w:rPr>
          <w:lang w:val="fr-CA"/>
        </w:rPr>
        <w:t>sur lesquels le programme p</w:t>
      </w:r>
      <w:r w:rsidR="00CE4084">
        <w:rPr>
          <w:lang w:val="fr-CA"/>
        </w:rPr>
        <w:t>ourra continuer à</w:t>
      </w:r>
      <w:r>
        <w:rPr>
          <w:lang w:val="fr-CA"/>
        </w:rPr>
        <w:t xml:space="preserve"> s’appuyer.</w:t>
      </w:r>
    </w:p>
    <w:p w:rsidR="00F803D9" w:rsidRDefault="00F803D9" w:rsidP="0038607C">
      <w:pPr>
        <w:pStyle w:val="UNDPTitle1"/>
        <w:numPr>
          <w:ilvl w:val="1"/>
          <w:numId w:val="6"/>
        </w:numPr>
        <w:outlineLvl w:val="2"/>
        <w:rPr>
          <w:color w:val="auto"/>
        </w:rPr>
      </w:pPr>
      <w:bookmarkStart w:id="29" w:name="_Toc322342019"/>
      <w:r>
        <w:rPr>
          <w:color w:val="auto"/>
        </w:rPr>
        <w:t>La mise en œuvre</w:t>
      </w:r>
      <w:bookmarkEnd w:id="29"/>
    </w:p>
    <w:p w:rsidR="00F803D9" w:rsidRPr="00F803D9" w:rsidRDefault="00F803D9" w:rsidP="004468AE">
      <w:pPr>
        <w:pStyle w:val="NoSpacing"/>
        <w:numPr>
          <w:ilvl w:val="0"/>
          <w:numId w:val="1"/>
        </w:numPr>
        <w:ind w:left="0" w:firstLine="0"/>
        <w:rPr>
          <w:lang w:val="fr-FR"/>
        </w:rPr>
      </w:pPr>
      <w:r>
        <w:rPr>
          <w:lang w:val="fr-CA"/>
        </w:rPr>
        <w:t xml:space="preserve">Pour la plupart </w:t>
      </w:r>
      <w:r w:rsidRPr="004468AE">
        <w:rPr>
          <w:lang w:val="fr-FR"/>
        </w:rPr>
        <w:t>des</w:t>
      </w:r>
      <w:r>
        <w:rPr>
          <w:lang w:val="fr-CA"/>
        </w:rPr>
        <w:t xml:space="preserve"> activités, deux principaux modes de mise en œuvre ont été retenu</w:t>
      </w:r>
      <w:r w:rsidR="00C928F5">
        <w:rPr>
          <w:lang w:val="fr-CA"/>
        </w:rPr>
        <w:t>s</w:t>
      </w:r>
      <w:r>
        <w:rPr>
          <w:lang w:val="fr-CA"/>
        </w:rPr>
        <w:t>:</w:t>
      </w:r>
    </w:p>
    <w:p w:rsidR="00F803D9" w:rsidRPr="00F803D9" w:rsidRDefault="00F803D9" w:rsidP="0038607C">
      <w:pPr>
        <w:pStyle w:val="NoSpacing"/>
        <w:numPr>
          <w:ilvl w:val="0"/>
          <w:numId w:val="24"/>
        </w:numPr>
        <w:rPr>
          <w:lang w:val="fr-FR"/>
        </w:rPr>
      </w:pPr>
      <w:r>
        <w:rPr>
          <w:lang w:val="fr-CA"/>
        </w:rPr>
        <w:lastRenderedPageBreak/>
        <w:t>La mise en œuvre par des consultants ou experts indépendants (comme dans le cas des études</w:t>
      </w:r>
      <w:r w:rsidR="00C928F5">
        <w:rPr>
          <w:lang w:val="fr-CA"/>
        </w:rPr>
        <w:t>, des formations, des actions de sensibilisation</w:t>
      </w:r>
      <w:r>
        <w:rPr>
          <w:lang w:val="fr-CA"/>
        </w:rPr>
        <w:t>) recruté</w:t>
      </w:r>
      <w:r w:rsidR="00C928F5">
        <w:rPr>
          <w:lang w:val="fr-CA"/>
        </w:rPr>
        <w:t>s</w:t>
      </w:r>
      <w:r>
        <w:rPr>
          <w:lang w:val="fr-CA"/>
        </w:rPr>
        <w:t xml:space="preserve"> par les agences des NU sur la base de TdR définis conjointement, ou non, avec le ministère partenaire.</w:t>
      </w:r>
      <w:r w:rsidR="00C928F5">
        <w:rPr>
          <w:lang w:val="fr-CA"/>
        </w:rPr>
        <w:t xml:space="preserve"> C’est le mode de mise en œuvre le plus </w:t>
      </w:r>
      <w:r w:rsidR="00B4137E">
        <w:rPr>
          <w:lang w:val="fr-CA"/>
        </w:rPr>
        <w:t xml:space="preserve">largement </w:t>
      </w:r>
      <w:r w:rsidR="00C928F5">
        <w:rPr>
          <w:lang w:val="fr-CA"/>
        </w:rPr>
        <w:t xml:space="preserve">répandu </w:t>
      </w:r>
      <w:r w:rsidR="00B4137E">
        <w:rPr>
          <w:lang w:val="fr-CA"/>
        </w:rPr>
        <w:t>(</w:t>
      </w:r>
      <w:r w:rsidR="00C928F5">
        <w:rPr>
          <w:lang w:val="fr-CA"/>
        </w:rPr>
        <w:t>environ 80% des activités</w:t>
      </w:r>
      <w:r w:rsidR="00B4137E">
        <w:rPr>
          <w:lang w:val="fr-CA"/>
        </w:rPr>
        <w:t>)</w:t>
      </w:r>
      <w:r w:rsidR="00C928F5">
        <w:rPr>
          <w:lang w:val="fr-CA"/>
        </w:rPr>
        <w:t>.</w:t>
      </w:r>
    </w:p>
    <w:p w:rsidR="00C928F5" w:rsidRPr="00C928F5" w:rsidRDefault="00C928F5" w:rsidP="0038607C">
      <w:pPr>
        <w:pStyle w:val="NoSpacing"/>
        <w:numPr>
          <w:ilvl w:val="0"/>
          <w:numId w:val="24"/>
        </w:numPr>
        <w:rPr>
          <w:lang w:val="fr-FR"/>
        </w:rPr>
      </w:pPr>
      <w:r>
        <w:rPr>
          <w:lang w:val="fr-FR"/>
        </w:rPr>
        <w:t xml:space="preserve">La mise en œuvre conjointe par </w:t>
      </w:r>
      <w:r w:rsidR="00D060D6">
        <w:rPr>
          <w:lang w:val="fr-FR"/>
        </w:rPr>
        <w:t>le personnel des</w:t>
      </w:r>
      <w:r>
        <w:rPr>
          <w:lang w:val="fr-FR"/>
        </w:rPr>
        <w:t xml:space="preserve"> institutions locales</w:t>
      </w:r>
      <w:r w:rsidR="00D060D6">
        <w:rPr>
          <w:lang w:val="fr-FR"/>
        </w:rPr>
        <w:t xml:space="preserve"> </w:t>
      </w:r>
      <w:r>
        <w:rPr>
          <w:lang w:val="fr-FR"/>
        </w:rPr>
        <w:t xml:space="preserve">et </w:t>
      </w:r>
      <w:r w:rsidR="00D060D6">
        <w:rPr>
          <w:lang w:val="fr-FR"/>
        </w:rPr>
        <w:t>d</w:t>
      </w:r>
      <w:r>
        <w:rPr>
          <w:lang w:val="fr-FR"/>
        </w:rPr>
        <w:t xml:space="preserve">es directions techniques de </w:t>
      </w:r>
      <w:r w:rsidRPr="0026574F">
        <w:rPr>
          <w:i/>
          <w:lang w:val="fr-FR"/>
        </w:rPr>
        <w:t>wilaya</w:t>
      </w:r>
      <w:r>
        <w:rPr>
          <w:lang w:val="fr-FR"/>
        </w:rPr>
        <w:t xml:space="preserve">, </w:t>
      </w:r>
      <w:r w:rsidR="00B4137E">
        <w:rPr>
          <w:lang w:val="fr-FR"/>
        </w:rPr>
        <w:t>avec</w:t>
      </w:r>
      <w:r w:rsidR="00D060D6">
        <w:rPr>
          <w:lang w:val="fr-FR"/>
        </w:rPr>
        <w:t xml:space="preserve"> parfois des organisations de la société civile</w:t>
      </w:r>
      <w:r w:rsidR="00B4137E">
        <w:rPr>
          <w:lang w:val="fr-FR"/>
        </w:rPr>
        <w:t>,</w:t>
      </w:r>
      <w:r w:rsidR="00D060D6">
        <w:rPr>
          <w:lang w:val="fr-FR"/>
        </w:rPr>
        <w:t xml:space="preserve"> </w:t>
      </w:r>
      <w:r>
        <w:rPr>
          <w:lang w:val="fr-FR"/>
        </w:rPr>
        <w:t>sous la responsabilité</w:t>
      </w:r>
      <w:r w:rsidR="00D060D6">
        <w:rPr>
          <w:lang w:val="fr-FR"/>
        </w:rPr>
        <w:t xml:space="preserve"> des Points Focaux de leurs ministères de tutelles et la supervision ou l’appui de l’agence des NU partenaires. Il semble que ce soit le mode de mise en œuvre le plus souvent retenu pour les actions pilotes.</w:t>
      </w:r>
    </w:p>
    <w:p w:rsidR="009479C6" w:rsidRDefault="00B4137E" w:rsidP="004468AE">
      <w:pPr>
        <w:pStyle w:val="NoSpacing"/>
        <w:numPr>
          <w:ilvl w:val="0"/>
          <w:numId w:val="1"/>
        </w:numPr>
        <w:ind w:left="0" w:firstLine="0"/>
        <w:rPr>
          <w:lang w:val="fr-FR"/>
        </w:rPr>
      </w:pPr>
      <w:r w:rsidRPr="009479C6">
        <w:rPr>
          <w:lang w:val="fr-FR"/>
        </w:rPr>
        <w:t>Dans ce contexte, le r</w:t>
      </w:r>
      <w:r w:rsidRPr="009479C6">
        <w:rPr>
          <w:rFonts w:cs="Calibri"/>
          <w:lang w:val="fr-FR"/>
        </w:rPr>
        <w:t>ô</w:t>
      </w:r>
      <w:r w:rsidR="00B62C7A">
        <w:rPr>
          <w:lang w:val="fr-FR"/>
        </w:rPr>
        <w:t>le des agences des NU</w:t>
      </w:r>
      <w:r w:rsidRPr="009479C6">
        <w:rPr>
          <w:lang w:val="fr-FR"/>
        </w:rPr>
        <w:t xml:space="preserve"> a été de préparer les TdR pour le recrutement des consultants, puis de lancer le</w:t>
      </w:r>
      <w:r w:rsidR="009479C6">
        <w:rPr>
          <w:lang w:val="fr-FR"/>
        </w:rPr>
        <w:t>s</w:t>
      </w:r>
      <w:r w:rsidRPr="009479C6">
        <w:rPr>
          <w:lang w:val="fr-FR"/>
        </w:rPr>
        <w:t xml:space="preserve"> processus de recrutement. Parfois aussi, l’expertise </w:t>
      </w:r>
      <w:r w:rsidRPr="00123C70">
        <w:rPr>
          <w:lang w:val="fr-FR"/>
        </w:rPr>
        <w:t>requise</w:t>
      </w:r>
      <w:r w:rsidRPr="009479C6">
        <w:rPr>
          <w:lang w:val="fr-FR"/>
        </w:rPr>
        <w:t xml:space="preserve"> a été recherchée auprès du siège des agences ou de leurs bureaux régionaux. </w:t>
      </w:r>
      <w:r w:rsidR="005D0E0C" w:rsidRPr="009479C6">
        <w:rPr>
          <w:lang w:val="fr-FR"/>
        </w:rPr>
        <w:t>Au sein de toutes les agences</w:t>
      </w:r>
      <w:r w:rsidR="009479C6" w:rsidRPr="009479C6">
        <w:rPr>
          <w:lang w:val="fr-FR"/>
        </w:rPr>
        <w:t xml:space="preserve"> des NU</w:t>
      </w:r>
      <w:r w:rsidR="005D0E0C" w:rsidRPr="009479C6">
        <w:rPr>
          <w:lang w:val="fr-FR"/>
        </w:rPr>
        <w:t xml:space="preserve">, cependant, ce processus a été lent, laborieux et souvent inefficace. </w:t>
      </w:r>
    </w:p>
    <w:p w:rsidR="009479C6" w:rsidRDefault="009479C6" w:rsidP="004468AE">
      <w:pPr>
        <w:pStyle w:val="NoSpacing"/>
        <w:numPr>
          <w:ilvl w:val="0"/>
          <w:numId w:val="1"/>
        </w:numPr>
        <w:ind w:left="0" w:firstLine="0"/>
        <w:rPr>
          <w:lang w:val="fr-FR"/>
        </w:rPr>
      </w:pPr>
      <w:r>
        <w:rPr>
          <w:lang w:val="fr-FR"/>
        </w:rPr>
        <w:t xml:space="preserve">Les seules activités qui ont le plus avancé ou sont le plus prometteuses, sont : (a) celles pour lesquelles l’agence a </w:t>
      </w:r>
      <w:r w:rsidR="00B05713">
        <w:rPr>
          <w:lang w:val="fr-FR"/>
        </w:rPr>
        <w:t xml:space="preserve">pu </w:t>
      </w:r>
      <w:r>
        <w:rPr>
          <w:lang w:val="fr-FR"/>
        </w:rPr>
        <w:t>effectivement mobiliser l’expertise requise en temps voulu (</w:t>
      </w:r>
      <w:r w:rsidRPr="009479C6">
        <w:rPr>
          <w:i/>
          <w:lang w:val="fr-FR"/>
        </w:rPr>
        <w:t>A7-Etude de faisabilité de la BSG</w:t>
      </w:r>
      <w:r>
        <w:rPr>
          <w:lang w:val="fr-FR"/>
        </w:rPr>
        <w:t xml:space="preserve">) ; (b) celles exécutées par une agence qui possédait elle-même </w:t>
      </w:r>
      <w:r w:rsidRPr="00123C70">
        <w:rPr>
          <w:lang w:val="fr-FR"/>
        </w:rPr>
        <w:t>l’expertise</w:t>
      </w:r>
      <w:r>
        <w:rPr>
          <w:lang w:val="fr-FR"/>
        </w:rPr>
        <w:t xml:space="preserve"> requise et qui a su fédérer un fort engouement au niveau des partenaires ministériels et utiliser des liens déjà établis avec une OSC dynamique (</w:t>
      </w:r>
      <w:r w:rsidRPr="00B05713">
        <w:rPr>
          <w:i/>
          <w:lang w:val="fr-FR"/>
        </w:rPr>
        <w:t xml:space="preserve">A23 – Pilote </w:t>
      </w:r>
      <w:r w:rsidR="00B05713" w:rsidRPr="00B05713">
        <w:rPr>
          <w:i/>
          <w:lang w:val="fr-FR"/>
        </w:rPr>
        <w:t xml:space="preserve">ONUSIDA </w:t>
      </w:r>
      <w:r w:rsidRPr="00B05713">
        <w:rPr>
          <w:i/>
          <w:lang w:val="fr-FR"/>
        </w:rPr>
        <w:t>Tamanrasset</w:t>
      </w:r>
      <w:r w:rsidR="00B05713" w:rsidRPr="00B05713">
        <w:rPr>
          <w:i/>
          <w:lang w:val="fr-FR"/>
        </w:rPr>
        <w:t>)</w:t>
      </w:r>
      <w:r w:rsidRPr="00B05713">
        <w:rPr>
          <w:i/>
          <w:lang w:val="fr-FR"/>
        </w:rPr>
        <w:t>;</w:t>
      </w:r>
      <w:r>
        <w:rPr>
          <w:lang w:val="fr-FR"/>
        </w:rPr>
        <w:t xml:space="preserve"> et enfin (c) celles dont les agences, ou un ministère partenaire, se sont emparées avec une forte motivation et la volonté d’initier un processus fort (</w:t>
      </w:r>
      <w:r w:rsidR="00B05713" w:rsidRPr="00B05713">
        <w:rPr>
          <w:i/>
          <w:lang w:val="fr-FR"/>
        </w:rPr>
        <w:t>UNICEF, MADR, MPS</w:t>
      </w:r>
      <w:r w:rsidR="00B05713">
        <w:rPr>
          <w:lang w:val="fr-FR"/>
        </w:rPr>
        <w:t>),</w:t>
      </w:r>
    </w:p>
    <w:p w:rsidR="0026574F" w:rsidRPr="009479C6" w:rsidRDefault="00B05713" w:rsidP="004468AE">
      <w:pPr>
        <w:pStyle w:val="NoSpacing"/>
        <w:numPr>
          <w:ilvl w:val="0"/>
          <w:numId w:val="1"/>
        </w:numPr>
        <w:ind w:left="0" w:firstLine="0"/>
        <w:rPr>
          <w:lang w:val="fr-FR"/>
        </w:rPr>
      </w:pPr>
      <w:r>
        <w:rPr>
          <w:lang w:val="fr-FR"/>
        </w:rPr>
        <w:t xml:space="preserve">Dans tous les autres cas, </w:t>
      </w:r>
      <w:r w:rsidR="00CE4084">
        <w:rPr>
          <w:lang w:val="fr-FR"/>
        </w:rPr>
        <w:t xml:space="preserve">la mise en œuvre a été difficile et laborieuse. Les principales cause de ses difficultés, telles que </w:t>
      </w:r>
      <w:r w:rsidR="0026574F" w:rsidRPr="009479C6">
        <w:rPr>
          <w:lang w:val="fr-FR"/>
        </w:rPr>
        <w:t xml:space="preserve">décrites dans les rapports d’avancement du programme </w:t>
      </w:r>
      <w:r>
        <w:rPr>
          <w:lang w:val="fr-FR"/>
        </w:rPr>
        <w:t>ou</w:t>
      </w:r>
      <w:r w:rsidR="0026574F" w:rsidRPr="009479C6">
        <w:rPr>
          <w:lang w:val="fr-FR"/>
        </w:rPr>
        <w:t xml:space="preserve"> les rapports de mission du Secrétariat du Fonds-</w:t>
      </w:r>
      <w:r w:rsidR="001C4C3C" w:rsidRPr="009479C6">
        <w:rPr>
          <w:lang w:val="fr-FR"/>
        </w:rPr>
        <w:t>OMD</w:t>
      </w:r>
      <w:r w:rsidR="00CE4084">
        <w:rPr>
          <w:lang w:val="fr-FR"/>
        </w:rPr>
        <w:t xml:space="preserve"> et que confirmées par la mission, </w:t>
      </w:r>
      <w:r w:rsidR="001C4C3C" w:rsidRPr="009479C6">
        <w:rPr>
          <w:lang w:val="fr-FR"/>
        </w:rPr>
        <w:t xml:space="preserve"> </w:t>
      </w:r>
      <w:r w:rsidR="00CE4084">
        <w:rPr>
          <w:lang w:val="fr-FR"/>
        </w:rPr>
        <w:t>sont les suivantes</w:t>
      </w:r>
      <w:r w:rsidR="001C4C3C" w:rsidRPr="009479C6">
        <w:rPr>
          <w:lang w:val="fr-FR"/>
        </w:rPr>
        <w:t xml:space="preserve"> : </w:t>
      </w:r>
    </w:p>
    <w:p w:rsidR="00CE4084" w:rsidRDefault="0026574F" w:rsidP="00CE4084">
      <w:pPr>
        <w:pStyle w:val="ListParagraph"/>
        <w:numPr>
          <w:ilvl w:val="0"/>
          <w:numId w:val="25"/>
        </w:numPr>
        <w:jc w:val="both"/>
        <w:rPr>
          <w:rFonts w:ascii="Calibri" w:hAnsi="Calibri" w:cs="Calibri"/>
          <w:sz w:val="22"/>
          <w:szCs w:val="22"/>
          <w:lang w:val="fr-FR"/>
        </w:rPr>
      </w:pPr>
      <w:r w:rsidRPr="001C4C3C">
        <w:rPr>
          <w:rFonts w:ascii="Calibri" w:hAnsi="Calibri" w:cs="Calibri"/>
          <w:sz w:val="22"/>
          <w:szCs w:val="22"/>
          <w:u w:val="single"/>
          <w:lang w:val="fr-FR"/>
        </w:rPr>
        <w:t>Faibles capacités des agences des NU</w:t>
      </w:r>
      <w:r w:rsidR="001C4C3C">
        <w:rPr>
          <w:rFonts w:ascii="Calibri" w:hAnsi="Calibri" w:cs="Calibri"/>
          <w:sz w:val="22"/>
          <w:szCs w:val="22"/>
          <w:lang w:val="fr-FR"/>
        </w:rPr>
        <w:t> :</w:t>
      </w:r>
      <w:r w:rsidRPr="001C4C3C">
        <w:rPr>
          <w:rFonts w:ascii="Calibri" w:hAnsi="Calibri" w:cs="Calibri"/>
          <w:sz w:val="22"/>
          <w:szCs w:val="22"/>
          <w:lang w:val="fr-FR"/>
        </w:rPr>
        <w:t xml:space="preserve"> L’exécution des activités repose depuis le démarrage sur un nombre réduit de personnel (un seul Chargé de programme affecté par chaque agence qui partage son temps avec plusieurs programmes et activités). </w:t>
      </w:r>
      <w:r w:rsidR="00CE4084">
        <w:rPr>
          <w:rFonts w:ascii="Calibri" w:hAnsi="Calibri" w:cs="Calibri"/>
          <w:sz w:val="22"/>
          <w:szCs w:val="22"/>
          <w:lang w:val="fr-FR"/>
        </w:rPr>
        <w:t xml:space="preserve">Comme expliqué précédemment, trois des sept Chargé/es de programme impliqués sont les uniques représentants de leur agence dans le pays (sans toutefois en être les Directeurs/rices) et des responsabilités multiples leurs incombent à ce titre. Dans le cas d’une autre agence, le Bureau d’Alger fait aussi office de Bureau Sous-régional et la Directrice et ses deux Assistantes ont donc également à assurer le suivi de projets dans d’autres pays. </w:t>
      </w:r>
    </w:p>
    <w:p w:rsidR="00CE4084" w:rsidRDefault="00CE4084" w:rsidP="00CE4084">
      <w:pPr>
        <w:ind w:left="1080"/>
        <w:jc w:val="both"/>
        <w:rPr>
          <w:rFonts w:ascii="Calibri" w:hAnsi="Calibri" w:cs="Calibri"/>
          <w:sz w:val="22"/>
          <w:szCs w:val="22"/>
          <w:lang w:val="fr-FR"/>
        </w:rPr>
      </w:pPr>
    </w:p>
    <w:p w:rsidR="0026574F" w:rsidRPr="00CE4084" w:rsidRDefault="001C4C3C" w:rsidP="00CE4084">
      <w:pPr>
        <w:ind w:left="1080"/>
        <w:jc w:val="both"/>
        <w:rPr>
          <w:rFonts w:ascii="Calibri" w:hAnsi="Calibri" w:cs="Calibri"/>
          <w:sz w:val="22"/>
          <w:szCs w:val="22"/>
          <w:lang w:val="fr-FR"/>
        </w:rPr>
      </w:pPr>
      <w:r w:rsidRPr="00CE4084">
        <w:rPr>
          <w:rFonts w:ascii="Calibri" w:hAnsi="Calibri" w:cs="Calibri"/>
          <w:sz w:val="22"/>
          <w:szCs w:val="22"/>
          <w:lang w:val="fr-FR"/>
        </w:rPr>
        <w:t>En outre, il est estimé qu’au moins 30% du temps que chaque Chargé de programme consacre au programme conjoint est en fait passé à des questions purement administrative</w:t>
      </w:r>
      <w:r w:rsidR="00731CE2" w:rsidRPr="00CE4084">
        <w:rPr>
          <w:rFonts w:ascii="Calibri" w:hAnsi="Calibri" w:cs="Calibri"/>
          <w:sz w:val="22"/>
          <w:szCs w:val="22"/>
          <w:lang w:val="fr-FR"/>
        </w:rPr>
        <w:t>s</w:t>
      </w:r>
      <w:r w:rsidRPr="00CE4084">
        <w:rPr>
          <w:rFonts w:ascii="Calibri" w:hAnsi="Calibri" w:cs="Calibri"/>
          <w:sz w:val="22"/>
          <w:szCs w:val="22"/>
          <w:lang w:val="fr-FR"/>
        </w:rPr>
        <w:t xml:space="preserve"> et bureaucratique</w:t>
      </w:r>
      <w:r w:rsidR="00731CE2" w:rsidRPr="00CE4084">
        <w:rPr>
          <w:rFonts w:ascii="Calibri" w:hAnsi="Calibri" w:cs="Calibri"/>
          <w:sz w:val="22"/>
          <w:szCs w:val="22"/>
          <w:lang w:val="fr-FR"/>
        </w:rPr>
        <w:t>s</w:t>
      </w:r>
      <w:r w:rsidRPr="00CE4084">
        <w:rPr>
          <w:rFonts w:ascii="Calibri" w:hAnsi="Calibri" w:cs="Calibri"/>
          <w:sz w:val="22"/>
          <w:szCs w:val="22"/>
          <w:lang w:val="fr-FR"/>
        </w:rPr>
        <w:t xml:space="preserve">, sans véritable valeur ajoutée. </w:t>
      </w:r>
    </w:p>
    <w:p w:rsidR="00731CE2" w:rsidRDefault="00731CE2" w:rsidP="00731CE2">
      <w:pPr>
        <w:ind w:left="1080"/>
        <w:jc w:val="both"/>
        <w:rPr>
          <w:rFonts w:ascii="Calibri" w:hAnsi="Calibri" w:cs="Calibri"/>
          <w:sz w:val="22"/>
          <w:szCs w:val="22"/>
          <w:lang w:val="fr-FR"/>
        </w:rPr>
      </w:pPr>
    </w:p>
    <w:p w:rsidR="00731CE2" w:rsidRDefault="00731CE2" w:rsidP="00731CE2">
      <w:pPr>
        <w:ind w:left="1080"/>
        <w:jc w:val="both"/>
        <w:rPr>
          <w:rFonts w:ascii="Calibri" w:hAnsi="Calibri" w:cs="Calibri"/>
          <w:sz w:val="22"/>
          <w:szCs w:val="22"/>
          <w:lang w:val="fr-FR"/>
        </w:rPr>
      </w:pPr>
      <w:r>
        <w:rPr>
          <w:rFonts w:ascii="Calibri" w:hAnsi="Calibri" w:cs="Calibri"/>
          <w:sz w:val="22"/>
          <w:szCs w:val="22"/>
          <w:lang w:val="fr-FR"/>
        </w:rPr>
        <w:t xml:space="preserve">Alors que ces capacités étaient, dès le départ, très limitées et malgré l’existence d’un budget pour ce faire, les agences ont de surcroît été incapables de renforcer leurs capacités en recrutant des </w:t>
      </w:r>
      <w:r w:rsidR="00CE4084">
        <w:rPr>
          <w:rFonts w:ascii="Calibri" w:hAnsi="Calibri" w:cs="Calibri"/>
          <w:sz w:val="22"/>
          <w:szCs w:val="22"/>
          <w:lang w:val="fr-FR"/>
        </w:rPr>
        <w:t xml:space="preserve">appuis ponctuels ou sur le </w:t>
      </w:r>
      <w:r w:rsidR="00B05713">
        <w:rPr>
          <w:rFonts w:ascii="Calibri" w:hAnsi="Calibri" w:cs="Calibri"/>
          <w:sz w:val="22"/>
          <w:szCs w:val="22"/>
          <w:lang w:val="fr-FR"/>
        </w:rPr>
        <w:t>moyen</w:t>
      </w:r>
      <w:r>
        <w:rPr>
          <w:rFonts w:ascii="Calibri" w:hAnsi="Calibri" w:cs="Calibri"/>
          <w:sz w:val="22"/>
          <w:szCs w:val="22"/>
          <w:lang w:val="fr-FR"/>
        </w:rPr>
        <w:t>-terme, et ce, alors que cette recommandation a été formulée lors des deux visites du Fonds-OMD et dans tous les rapports d’avancement</w:t>
      </w:r>
      <w:r w:rsidR="00B05713">
        <w:rPr>
          <w:rFonts w:ascii="Calibri" w:hAnsi="Calibri" w:cs="Calibri"/>
          <w:sz w:val="22"/>
          <w:szCs w:val="22"/>
          <w:lang w:val="fr-FR"/>
        </w:rPr>
        <w:t xml:space="preserve"> de l’EP</w:t>
      </w:r>
      <w:r>
        <w:rPr>
          <w:rFonts w:ascii="Calibri" w:hAnsi="Calibri" w:cs="Calibri"/>
          <w:sz w:val="22"/>
          <w:szCs w:val="22"/>
          <w:lang w:val="fr-FR"/>
        </w:rPr>
        <w:t>. La mission ne s’explique toujours pas la véritable raison de cette situation. Il n’en reste pas moins qu’il aurait été d’autant plus important que le SNU renforce ses capacités</w:t>
      </w:r>
      <w:r w:rsidR="00B05713">
        <w:rPr>
          <w:rFonts w:ascii="Calibri" w:hAnsi="Calibri" w:cs="Calibri"/>
          <w:sz w:val="22"/>
          <w:szCs w:val="22"/>
          <w:lang w:val="fr-FR"/>
        </w:rPr>
        <w:t>,</w:t>
      </w:r>
      <w:r>
        <w:rPr>
          <w:rFonts w:ascii="Calibri" w:hAnsi="Calibri" w:cs="Calibri"/>
          <w:sz w:val="22"/>
          <w:szCs w:val="22"/>
          <w:lang w:val="fr-FR"/>
        </w:rPr>
        <w:t xml:space="preserve"> que l’exécution du programme n’a pu se faire selon le principe de l’exécution nationale (NEX), comme prévu</w:t>
      </w:r>
      <w:r w:rsidR="00B05713">
        <w:rPr>
          <w:rFonts w:ascii="Calibri" w:hAnsi="Calibri" w:cs="Calibri"/>
          <w:sz w:val="22"/>
          <w:szCs w:val="22"/>
          <w:lang w:val="fr-FR"/>
        </w:rPr>
        <w:t>,</w:t>
      </w:r>
      <w:r>
        <w:rPr>
          <w:rFonts w:ascii="Calibri" w:hAnsi="Calibri" w:cs="Calibri"/>
          <w:sz w:val="22"/>
          <w:szCs w:val="22"/>
          <w:lang w:val="fr-FR"/>
        </w:rPr>
        <w:t xml:space="preserve"> et que</w:t>
      </w:r>
      <w:r w:rsidRPr="00731CE2">
        <w:rPr>
          <w:rFonts w:ascii="Calibri" w:hAnsi="Calibri" w:cs="Calibri"/>
          <w:i/>
          <w:sz w:val="22"/>
          <w:szCs w:val="22"/>
          <w:lang w:val="fr-FR"/>
        </w:rPr>
        <w:t xml:space="preserve"> de facto</w:t>
      </w:r>
      <w:r>
        <w:rPr>
          <w:rFonts w:ascii="Calibri" w:hAnsi="Calibri" w:cs="Calibri"/>
          <w:sz w:val="22"/>
          <w:szCs w:val="22"/>
          <w:lang w:val="fr-FR"/>
        </w:rPr>
        <w:t xml:space="preserve"> le programme a fonctionné sous le régime DEX, ce qui a drainé davantage </w:t>
      </w:r>
      <w:r w:rsidR="00B05713">
        <w:rPr>
          <w:rFonts w:ascii="Calibri" w:hAnsi="Calibri" w:cs="Calibri"/>
          <w:sz w:val="22"/>
          <w:szCs w:val="22"/>
          <w:lang w:val="fr-FR"/>
        </w:rPr>
        <w:t xml:space="preserve">encore </w:t>
      </w:r>
      <w:r>
        <w:rPr>
          <w:rFonts w:ascii="Calibri" w:hAnsi="Calibri" w:cs="Calibri"/>
          <w:sz w:val="22"/>
          <w:szCs w:val="22"/>
          <w:lang w:val="fr-FR"/>
        </w:rPr>
        <w:t>les capacités du SNU.</w:t>
      </w:r>
    </w:p>
    <w:p w:rsidR="00731CE2" w:rsidRPr="00731CE2" w:rsidRDefault="00731CE2" w:rsidP="00731CE2">
      <w:pPr>
        <w:ind w:left="1080"/>
        <w:jc w:val="both"/>
        <w:rPr>
          <w:rFonts w:ascii="Calibri" w:hAnsi="Calibri" w:cs="Calibri"/>
          <w:sz w:val="22"/>
          <w:szCs w:val="22"/>
          <w:lang w:val="fr-FR"/>
        </w:rPr>
      </w:pPr>
      <w:r>
        <w:rPr>
          <w:rFonts w:ascii="Calibri" w:hAnsi="Calibri" w:cs="Calibri"/>
          <w:sz w:val="22"/>
          <w:szCs w:val="22"/>
          <w:lang w:val="fr-FR"/>
        </w:rPr>
        <w:t xml:space="preserve"> </w:t>
      </w:r>
    </w:p>
    <w:p w:rsidR="0026574F" w:rsidRDefault="0026574F" w:rsidP="0038607C">
      <w:pPr>
        <w:pStyle w:val="ListParagraph"/>
        <w:numPr>
          <w:ilvl w:val="0"/>
          <w:numId w:val="25"/>
        </w:numPr>
        <w:jc w:val="both"/>
        <w:rPr>
          <w:rFonts w:ascii="Calibri" w:hAnsi="Calibri" w:cs="Calibri"/>
          <w:sz w:val="22"/>
          <w:szCs w:val="22"/>
          <w:lang w:val="fr-FR"/>
        </w:rPr>
      </w:pPr>
      <w:r w:rsidRPr="00731CE2">
        <w:rPr>
          <w:rFonts w:ascii="Calibri" w:hAnsi="Calibri" w:cs="Calibri"/>
          <w:sz w:val="22"/>
          <w:szCs w:val="22"/>
          <w:u w:val="single"/>
          <w:lang w:val="fr-FR"/>
        </w:rPr>
        <w:t>Processus décisionnel :</w:t>
      </w:r>
      <w:r w:rsidRPr="001C4C3C">
        <w:rPr>
          <w:rFonts w:ascii="Calibri" w:hAnsi="Calibri" w:cs="Calibri"/>
          <w:sz w:val="22"/>
          <w:szCs w:val="22"/>
          <w:lang w:val="fr-FR"/>
        </w:rPr>
        <w:t xml:space="preserve"> </w:t>
      </w:r>
      <w:r w:rsidR="00731CE2">
        <w:rPr>
          <w:rFonts w:ascii="Calibri" w:hAnsi="Calibri" w:cs="Calibri"/>
          <w:sz w:val="22"/>
          <w:szCs w:val="22"/>
          <w:lang w:val="fr-FR"/>
        </w:rPr>
        <w:t>Comme on l’a vu, l</w:t>
      </w:r>
      <w:r w:rsidRPr="001C4C3C">
        <w:rPr>
          <w:rFonts w:ascii="Calibri" w:hAnsi="Calibri" w:cs="Calibri"/>
          <w:sz w:val="22"/>
          <w:szCs w:val="22"/>
          <w:lang w:val="fr-FR"/>
        </w:rPr>
        <w:t xml:space="preserve">e pouvoir décisionnel de la plupart des Points Focaux </w:t>
      </w:r>
      <w:r w:rsidR="00731CE2">
        <w:rPr>
          <w:rFonts w:ascii="Calibri" w:hAnsi="Calibri" w:cs="Calibri"/>
          <w:sz w:val="22"/>
          <w:szCs w:val="22"/>
          <w:lang w:val="fr-FR"/>
        </w:rPr>
        <w:t xml:space="preserve">des ministères </w:t>
      </w:r>
      <w:r w:rsidRPr="001C4C3C">
        <w:rPr>
          <w:rFonts w:ascii="Calibri" w:hAnsi="Calibri" w:cs="Calibri"/>
          <w:sz w:val="22"/>
          <w:szCs w:val="22"/>
          <w:lang w:val="fr-FR"/>
        </w:rPr>
        <w:t>reste limité</w:t>
      </w:r>
      <w:r w:rsidR="00731CE2">
        <w:rPr>
          <w:rFonts w:ascii="Calibri" w:hAnsi="Calibri" w:cs="Calibri"/>
          <w:sz w:val="22"/>
          <w:szCs w:val="22"/>
          <w:lang w:val="fr-FR"/>
        </w:rPr>
        <w:t xml:space="preserve"> dans un contexte où les efforts préliminaires de </w:t>
      </w:r>
      <w:r w:rsidR="00731CE2">
        <w:rPr>
          <w:rFonts w:ascii="Calibri" w:hAnsi="Calibri" w:cs="Calibri"/>
          <w:sz w:val="22"/>
          <w:szCs w:val="22"/>
          <w:lang w:val="fr-FR"/>
        </w:rPr>
        <w:lastRenderedPageBreak/>
        <w:t>sensibilisation n’ont pas encore été menés à bien auprès des décideurs de ces institutions. Tout ceci</w:t>
      </w:r>
      <w:r w:rsidRPr="001C4C3C">
        <w:rPr>
          <w:rFonts w:ascii="Calibri" w:hAnsi="Calibri" w:cs="Calibri"/>
          <w:sz w:val="22"/>
          <w:szCs w:val="22"/>
          <w:lang w:val="fr-FR"/>
        </w:rPr>
        <w:t xml:space="preserve"> </w:t>
      </w:r>
      <w:r w:rsidR="00731CE2">
        <w:rPr>
          <w:rFonts w:ascii="Calibri" w:hAnsi="Calibri" w:cs="Calibri"/>
          <w:sz w:val="22"/>
          <w:szCs w:val="22"/>
          <w:lang w:val="fr-FR"/>
        </w:rPr>
        <w:t xml:space="preserve">a </w:t>
      </w:r>
      <w:r w:rsidR="00731CE2" w:rsidRPr="001C4C3C">
        <w:rPr>
          <w:rFonts w:ascii="Calibri" w:hAnsi="Calibri" w:cs="Calibri"/>
          <w:sz w:val="22"/>
          <w:szCs w:val="22"/>
          <w:lang w:val="fr-FR"/>
        </w:rPr>
        <w:t xml:space="preserve">souvent </w:t>
      </w:r>
      <w:r w:rsidR="00731CE2">
        <w:rPr>
          <w:rFonts w:ascii="Calibri" w:hAnsi="Calibri" w:cs="Calibri"/>
          <w:sz w:val="22"/>
          <w:szCs w:val="22"/>
          <w:lang w:val="fr-FR"/>
        </w:rPr>
        <w:t>retardé les processus de</w:t>
      </w:r>
      <w:r w:rsidRPr="001C4C3C">
        <w:rPr>
          <w:rFonts w:ascii="Calibri" w:hAnsi="Calibri" w:cs="Calibri"/>
          <w:sz w:val="22"/>
          <w:szCs w:val="22"/>
          <w:lang w:val="fr-FR"/>
        </w:rPr>
        <w:t xml:space="preserve"> prise de décisions.</w:t>
      </w:r>
    </w:p>
    <w:p w:rsidR="00731CE2" w:rsidRPr="001C4C3C" w:rsidRDefault="00731CE2" w:rsidP="00731CE2">
      <w:pPr>
        <w:pStyle w:val="ListParagraph"/>
        <w:ind w:left="1080"/>
        <w:jc w:val="both"/>
        <w:rPr>
          <w:rFonts w:ascii="Calibri" w:hAnsi="Calibri" w:cs="Calibri"/>
          <w:sz w:val="22"/>
          <w:szCs w:val="22"/>
          <w:lang w:val="fr-FR"/>
        </w:rPr>
      </w:pPr>
    </w:p>
    <w:p w:rsidR="001C4C3C" w:rsidRDefault="0026574F" w:rsidP="0038607C">
      <w:pPr>
        <w:pStyle w:val="ListParagraph"/>
        <w:numPr>
          <w:ilvl w:val="0"/>
          <w:numId w:val="25"/>
        </w:numPr>
        <w:jc w:val="both"/>
        <w:rPr>
          <w:rFonts w:ascii="Calibri" w:hAnsi="Calibri" w:cs="Calibri"/>
          <w:sz w:val="22"/>
          <w:szCs w:val="22"/>
          <w:lang w:val="fr-FR"/>
        </w:rPr>
      </w:pPr>
      <w:r w:rsidRPr="001C4C3C">
        <w:rPr>
          <w:rFonts w:ascii="Calibri" w:hAnsi="Calibri" w:cs="Calibri"/>
          <w:sz w:val="22"/>
          <w:szCs w:val="22"/>
          <w:u w:val="single"/>
          <w:lang w:val="fr-FR"/>
        </w:rPr>
        <w:t>Bureaucrati</w:t>
      </w:r>
      <w:r w:rsidR="001C4C3C">
        <w:rPr>
          <w:rFonts w:ascii="Calibri" w:hAnsi="Calibri" w:cs="Calibri"/>
          <w:sz w:val="22"/>
          <w:szCs w:val="22"/>
          <w:u w:val="single"/>
          <w:lang w:val="fr-FR"/>
        </w:rPr>
        <w:t>e excessive :</w:t>
      </w:r>
      <w:r w:rsidRPr="001C4C3C">
        <w:rPr>
          <w:rFonts w:ascii="Calibri" w:hAnsi="Calibri" w:cs="Calibri"/>
          <w:sz w:val="22"/>
          <w:szCs w:val="22"/>
          <w:lang w:val="fr-FR"/>
        </w:rPr>
        <w:t xml:space="preserve"> </w:t>
      </w:r>
      <w:r w:rsidR="001C4C3C">
        <w:rPr>
          <w:rFonts w:ascii="Calibri" w:hAnsi="Calibri" w:cs="Calibri"/>
          <w:sz w:val="22"/>
          <w:szCs w:val="22"/>
          <w:lang w:val="fr-FR"/>
        </w:rPr>
        <w:t>En plus des procédures propres au fonctionnement du F-OMD</w:t>
      </w:r>
      <w:r w:rsidR="00CE4084">
        <w:rPr>
          <w:rFonts w:ascii="Calibri" w:hAnsi="Calibri" w:cs="Calibri"/>
          <w:sz w:val="22"/>
          <w:szCs w:val="22"/>
          <w:lang w:val="fr-FR"/>
        </w:rPr>
        <w:t xml:space="preserve"> et</w:t>
      </w:r>
      <w:r w:rsidR="00731CE2">
        <w:rPr>
          <w:rFonts w:ascii="Calibri" w:hAnsi="Calibri" w:cs="Calibri"/>
          <w:sz w:val="22"/>
          <w:szCs w:val="22"/>
          <w:lang w:val="fr-FR"/>
        </w:rPr>
        <w:t xml:space="preserve"> des règles et procédures propres de chaque agence, s’est ajoutée la bureaucratie de chaque ministère. </w:t>
      </w:r>
      <w:r w:rsidR="00684BCA">
        <w:rPr>
          <w:rFonts w:ascii="Calibri" w:hAnsi="Calibri" w:cs="Calibri"/>
          <w:sz w:val="22"/>
          <w:szCs w:val="22"/>
          <w:lang w:val="fr-FR"/>
        </w:rPr>
        <w:t>Le</w:t>
      </w:r>
      <w:r w:rsidRPr="001C4C3C">
        <w:rPr>
          <w:rFonts w:ascii="Calibri" w:hAnsi="Calibri" w:cs="Calibri"/>
          <w:sz w:val="22"/>
          <w:szCs w:val="22"/>
          <w:lang w:val="fr-FR"/>
        </w:rPr>
        <w:t xml:space="preserve"> besoin systématique d’une lettre de la DNP adr</w:t>
      </w:r>
      <w:r w:rsidR="00684BCA">
        <w:rPr>
          <w:rFonts w:ascii="Calibri" w:hAnsi="Calibri" w:cs="Calibri"/>
          <w:sz w:val="22"/>
          <w:szCs w:val="22"/>
          <w:lang w:val="fr-FR"/>
        </w:rPr>
        <w:t>essée au Secrétaire Général ou C</w:t>
      </w:r>
      <w:r w:rsidRPr="001C4C3C">
        <w:rPr>
          <w:rFonts w:ascii="Calibri" w:hAnsi="Calibri" w:cs="Calibri"/>
          <w:sz w:val="22"/>
          <w:szCs w:val="22"/>
          <w:lang w:val="fr-FR"/>
        </w:rPr>
        <w:t xml:space="preserve">hef de cabinet du </w:t>
      </w:r>
      <w:r w:rsidR="00684BCA">
        <w:rPr>
          <w:rFonts w:ascii="Calibri" w:hAnsi="Calibri" w:cs="Calibri"/>
          <w:sz w:val="22"/>
          <w:szCs w:val="22"/>
          <w:lang w:val="fr-FR"/>
        </w:rPr>
        <w:t>ministère concerné</w:t>
      </w:r>
      <w:r w:rsidRPr="001C4C3C">
        <w:rPr>
          <w:rFonts w:ascii="Calibri" w:hAnsi="Calibri" w:cs="Calibri"/>
          <w:sz w:val="22"/>
          <w:szCs w:val="22"/>
          <w:lang w:val="fr-FR"/>
        </w:rPr>
        <w:t>, y compris pour des rencontres techniques ou</w:t>
      </w:r>
      <w:r w:rsidR="00684BCA">
        <w:rPr>
          <w:rFonts w:ascii="Calibri" w:hAnsi="Calibri" w:cs="Calibri"/>
          <w:sz w:val="22"/>
          <w:szCs w:val="22"/>
          <w:lang w:val="fr-FR"/>
        </w:rPr>
        <w:t xml:space="preserve"> le suivi technique de l’action, ne se comprend pas dans le contexte d’une administration moderne.</w:t>
      </w:r>
    </w:p>
    <w:p w:rsidR="00AB2B1C" w:rsidRPr="00AB2B1C" w:rsidRDefault="00AB2B1C" w:rsidP="00AB2B1C">
      <w:pPr>
        <w:pStyle w:val="ListParagraph"/>
        <w:rPr>
          <w:rFonts w:ascii="Calibri" w:hAnsi="Calibri" w:cs="Calibri"/>
          <w:sz w:val="22"/>
          <w:szCs w:val="22"/>
          <w:lang w:val="fr-FR"/>
        </w:rPr>
      </w:pPr>
    </w:p>
    <w:p w:rsidR="00AB2B1C" w:rsidRPr="001C4C3C" w:rsidRDefault="00AB2B1C" w:rsidP="0038607C">
      <w:pPr>
        <w:pStyle w:val="ListParagraph"/>
        <w:numPr>
          <w:ilvl w:val="0"/>
          <w:numId w:val="25"/>
        </w:numPr>
        <w:jc w:val="both"/>
        <w:rPr>
          <w:rFonts w:ascii="Calibri" w:hAnsi="Calibri" w:cs="Calibri"/>
          <w:sz w:val="22"/>
          <w:szCs w:val="22"/>
          <w:lang w:val="fr-FR"/>
        </w:rPr>
      </w:pPr>
      <w:r>
        <w:rPr>
          <w:rFonts w:ascii="Calibri" w:hAnsi="Calibri" w:cs="Calibri"/>
          <w:sz w:val="22"/>
          <w:szCs w:val="22"/>
          <w:lang w:val="fr-FR"/>
        </w:rPr>
        <w:t>Pression pour le recrutement exclusif d’experts nationaux.</w:t>
      </w:r>
    </w:p>
    <w:p w:rsidR="00684BCA" w:rsidRPr="00684BCA" w:rsidRDefault="00684BCA" w:rsidP="00684BCA">
      <w:pPr>
        <w:pStyle w:val="ListParagraph"/>
        <w:ind w:left="1080"/>
        <w:jc w:val="both"/>
        <w:rPr>
          <w:rFonts w:ascii="Calibri" w:hAnsi="Calibri" w:cs="Calibri"/>
          <w:sz w:val="22"/>
          <w:szCs w:val="22"/>
          <w:lang w:val="fr-FR"/>
        </w:rPr>
      </w:pPr>
    </w:p>
    <w:p w:rsidR="0026574F" w:rsidRPr="001C4C3C" w:rsidRDefault="00684BCA" w:rsidP="0038607C">
      <w:pPr>
        <w:pStyle w:val="ListParagraph"/>
        <w:numPr>
          <w:ilvl w:val="0"/>
          <w:numId w:val="25"/>
        </w:numPr>
        <w:jc w:val="both"/>
        <w:rPr>
          <w:rFonts w:ascii="Calibri" w:hAnsi="Calibri" w:cs="Calibri"/>
          <w:sz w:val="22"/>
          <w:szCs w:val="22"/>
          <w:lang w:val="fr-FR"/>
        </w:rPr>
      </w:pPr>
      <w:r>
        <w:rPr>
          <w:rFonts w:ascii="Calibri" w:hAnsi="Calibri" w:cs="Calibri"/>
          <w:sz w:val="22"/>
          <w:szCs w:val="22"/>
          <w:u w:val="single"/>
          <w:lang w:val="fr-FR"/>
        </w:rPr>
        <w:t xml:space="preserve">Blocage pour le démarrage des </w:t>
      </w:r>
      <w:r w:rsidR="0026574F" w:rsidRPr="00684BCA">
        <w:rPr>
          <w:rFonts w:ascii="Calibri" w:hAnsi="Calibri" w:cs="Calibri"/>
          <w:sz w:val="22"/>
          <w:szCs w:val="22"/>
          <w:u w:val="single"/>
          <w:lang w:val="fr-FR"/>
        </w:rPr>
        <w:t xml:space="preserve">activités </w:t>
      </w:r>
      <w:r>
        <w:rPr>
          <w:rFonts w:ascii="Calibri" w:hAnsi="Calibri" w:cs="Calibri"/>
          <w:sz w:val="22"/>
          <w:szCs w:val="22"/>
          <w:u w:val="single"/>
          <w:lang w:val="fr-FR"/>
        </w:rPr>
        <w:t>de l’année 2 </w:t>
      </w:r>
      <w:r w:rsidRPr="00684BCA">
        <w:rPr>
          <w:rFonts w:ascii="Calibri" w:hAnsi="Calibri" w:cs="Calibri"/>
          <w:sz w:val="22"/>
          <w:szCs w:val="22"/>
          <w:lang w:val="fr-FR"/>
        </w:rPr>
        <w:t>: L</w:t>
      </w:r>
      <w:r w:rsidR="0026574F" w:rsidRPr="00684BCA">
        <w:rPr>
          <w:rFonts w:ascii="Calibri" w:hAnsi="Calibri" w:cs="Calibri"/>
          <w:sz w:val="22"/>
          <w:szCs w:val="22"/>
          <w:lang w:val="fr-FR"/>
        </w:rPr>
        <w:t>es agences</w:t>
      </w:r>
      <w:r w:rsidR="0026574F" w:rsidRPr="001C4C3C">
        <w:rPr>
          <w:rFonts w:ascii="Calibri" w:hAnsi="Calibri" w:cs="Calibri"/>
          <w:sz w:val="22"/>
          <w:szCs w:val="22"/>
          <w:lang w:val="fr-FR"/>
        </w:rPr>
        <w:t xml:space="preserve"> dont les actions </w:t>
      </w:r>
      <w:r>
        <w:rPr>
          <w:rFonts w:ascii="Calibri" w:hAnsi="Calibri" w:cs="Calibri"/>
          <w:sz w:val="22"/>
          <w:szCs w:val="22"/>
          <w:lang w:val="fr-FR"/>
        </w:rPr>
        <w:t>étaient</w:t>
      </w:r>
      <w:r w:rsidR="0026574F" w:rsidRPr="001C4C3C">
        <w:rPr>
          <w:rFonts w:ascii="Calibri" w:hAnsi="Calibri" w:cs="Calibri"/>
          <w:sz w:val="22"/>
          <w:szCs w:val="22"/>
          <w:lang w:val="fr-FR"/>
        </w:rPr>
        <w:t xml:space="preserve"> prévues pour </w:t>
      </w:r>
      <w:r>
        <w:rPr>
          <w:rFonts w:ascii="Calibri" w:hAnsi="Calibri" w:cs="Calibri"/>
          <w:sz w:val="22"/>
          <w:szCs w:val="22"/>
          <w:lang w:val="fr-FR"/>
        </w:rPr>
        <w:t>l’Année 2 du programme</w:t>
      </w:r>
      <w:r w:rsidR="0026574F" w:rsidRPr="001C4C3C">
        <w:rPr>
          <w:rFonts w:ascii="Calibri" w:hAnsi="Calibri" w:cs="Calibri"/>
          <w:sz w:val="22"/>
          <w:szCs w:val="22"/>
          <w:lang w:val="fr-FR"/>
        </w:rPr>
        <w:t xml:space="preserve"> (2011) et n’ayant pas encore reçu de fonds</w:t>
      </w:r>
      <w:r>
        <w:rPr>
          <w:rFonts w:ascii="Calibri" w:hAnsi="Calibri" w:cs="Calibri"/>
          <w:sz w:val="22"/>
          <w:szCs w:val="22"/>
          <w:lang w:val="fr-FR"/>
        </w:rPr>
        <w:t xml:space="preserve"> (comme l’UNICEF) ou ayant épuisé leur première allocation (comme l’ONUSIDA) sont dans l’incapacité de lancer, ou poursuivre, </w:t>
      </w:r>
      <w:r w:rsidR="0026574F" w:rsidRPr="001C4C3C">
        <w:rPr>
          <w:rFonts w:ascii="Calibri" w:hAnsi="Calibri" w:cs="Calibri"/>
          <w:sz w:val="22"/>
          <w:szCs w:val="22"/>
          <w:lang w:val="fr-FR"/>
        </w:rPr>
        <w:t xml:space="preserve"> </w:t>
      </w:r>
      <w:r>
        <w:rPr>
          <w:rFonts w:ascii="Calibri" w:hAnsi="Calibri" w:cs="Calibri"/>
          <w:sz w:val="22"/>
          <w:szCs w:val="22"/>
          <w:lang w:val="fr-FR"/>
        </w:rPr>
        <w:t xml:space="preserve">leurs activités. </w:t>
      </w:r>
      <w:r w:rsidR="0026574F" w:rsidRPr="001C4C3C">
        <w:rPr>
          <w:rFonts w:ascii="Calibri" w:hAnsi="Calibri" w:cs="Calibri"/>
          <w:sz w:val="22"/>
          <w:szCs w:val="22"/>
          <w:lang w:val="fr-FR"/>
        </w:rPr>
        <w:t xml:space="preserve"> </w:t>
      </w:r>
      <w:r w:rsidR="005C1512">
        <w:rPr>
          <w:rFonts w:ascii="Calibri" w:hAnsi="Calibri" w:cs="Calibri"/>
          <w:sz w:val="22"/>
          <w:szCs w:val="22"/>
          <w:lang w:val="fr-FR"/>
        </w:rPr>
        <w:t>En vertu</w:t>
      </w:r>
      <w:r w:rsidR="0026574F" w:rsidRPr="001C4C3C">
        <w:rPr>
          <w:rFonts w:ascii="Calibri" w:hAnsi="Calibri" w:cs="Calibri"/>
          <w:sz w:val="22"/>
          <w:szCs w:val="22"/>
          <w:lang w:val="fr-FR"/>
        </w:rPr>
        <w:t xml:space="preserve"> </w:t>
      </w:r>
      <w:r w:rsidR="005C1512">
        <w:rPr>
          <w:rFonts w:ascii="Calibri" w:hAnsi="Calibri" w:cs="Calibri"/>
          <w:sz w:val="22"/>
          <w:szCs w:val="22"/>
          <w:lang w:val="fr-FR"/>
        </w:rPr>
        <w:t xml:space="preserve">des dispositions </w:t>
      </w:r>
      <w:r w:rsidR="0026574F" w:rsidRPr="001C4C3C">
        <w:rPr>
          <w:rFonts w:ascii="Calibri" w:hAnsi="Calibri" w:cs="Calibri"/>
          <w:sz w:val="22"/>
          <w:szCs w:val="22"/>
          <w:lang w:val="fr-FR"/>
        </w:rPr>
        <w:t>du F</w:t>
      </w:r>
      <w:r>
        <w:rPr>
          <w:rFonts w:ascii="Calibri" w:hAnsi="Calibri" w:cs="Calibri"/>
          <w:sz w:val="22"/>
          <w:szCs w:val="22"/>
          <w:lang w:val="fr-FR"/>
        </w:rPr>
        <w:t>onds</w:t>
      </w:r>
      <w:r w:rsidR="0026574F" w:rsidRPr="001C4C3C">
        <w:rPr>
          <w:rFonts w:ascii="Calibri" w:hAnsi="Calibri" w:cs="Calibri"/>
          <w:sz w:val="22"/>
          <w:szCs w:val="22"/>
          <w:lang w:val="fr-FR"/>
        </w:rPr>
        <w:t xml:space="preserve">-OMD, ces </w:t>
      </w:r>
      <w:r>
        <w:rPr>
          <w:rFonts w:ascii="Calibri" w:hAnsi="Calibri" w:cs="Calibri"/>
          <w:sz w:val="22"/>
          <w:szCs w:val="22"/>
          <w:lang w:val="fr-FR"/>
        </w:rPr>
        <w:t>agences doivent attendre que</w:t>
      </w:r>
      <w:r w:rsidR="0026574F" w:rsidRPr="001C4C3C">
        <w:rPr>
          <w:rFonts w:ascii="Calibri" w:hAnsi="Calibri" w:cs="Calibri"/>
          <w:sz w:val="22"/>
          <w:szCs w:val="22"/>
          <w:lang w:val="fr-FR"/>
        </w:rPr>
        <w:t xml:space="preserve"> 70% </w:t>
      </w:r>
      <w:r>
        <w:rPr>
          <w:rFonts w:ascii="Calibri" w:hAnsi="Calibri" w:cs="Calibri"/>
          <w:sz w:val="22"/>
          <w:szCs w:val="22"/>
          <w:lang w:val="fr-FR"/>
        </w:rPr>
        <w:t xml:space="preserve">du montant </w:t>
      </w:r>
      <w:r w:rsidR="005C1512">
        <w:rPr>
          <w:rFonts w:ascii="Calibri" w:hAnsi="Calibri" w:cs="Calibri"/>
          <w:sz w:val="22"/>
          <w:szCs w:val="22"/>
          <w:lang w:val="fr-FR"/>
        </w:rPr>
        <w:t xml:space="preserve">total </w:t>
      </w:r>
      <w:r w:rsidR="0026574F" w:rsidRPr="001C4C3C">
        <w:rPr>
          <w:rFonts w:ascii="Calibri" w:hAnsi="Calibri" w:cs="Calibri"/>
          <w:sz w:val="22"/>
          <w:szCs w:val="22"/>
          <w:lang w:val="fr-FR"/>
        </w:rPr>
        <w:t>transféré</w:t>
      </w:r>
      <w:r>
        <w:rPr>
          <w:rFonts w:ascii="Calibri" w:hAnsi="Calibri" w:cs="Calibri"/>
          <w:sz w:val="22"/>
          <w:szCs w:val="22"/>
          <w:lang w:val="fr-FR"/>
        </w:rPr>
        <w:t xml:space="preserve"> au titre de la première tranche soit engagé</w:t>
      </w:r>
      <w:r w:rsidR="005C1512">
        <w:rPr>
          <w:rFonts w:ascii="Calibri" w:hAnsi="Calibri" w:cs="Calibri"/>
          <w:sz w:val="22"/>
          <w:szCs w:val="22"/>
          <w:lang w:val="fr-FR"/>
        </w:rPr>
        <w:t xml:space="preserve"> pour qu’une deuxième tranche </w:t>
      </w:r>
      <w:r w:rsidR="009C6463">
        <w:rPr>
          <w:rFonts w:ascii="Calibri" w:hAnsi="Calibri" w:cs="Calibri"/>
          <w:sz w:val="22"/>
          <w:szCs w:val="22"/>
          <w:lang w:val="fr-FR"/>
        </w:rPr>
        <w:t xml:space="preserve">leur </w:t>
      </w:r>
      <w:r w:rsidR="005C1512">
        <w:rPr>
          <w:rFonts w:ascii="Calibri" w:hAnsi="Calibri" w:cs="Calibri"/>
          <w:sz w:val="22"/>
          <w:szCs w:val="22"/>
          <w:lang w:val="fr-FR"/>
        </w:rPr>
        <w:t>soit versée</w:t>
      </w:r>
      <w:r>
        <w:rPr>
          <w:rFonts w:ascii="Calibri" w:hAnsi="Calibri" w:cs="Calibri"/>
          <w:sz w:val="22"/>
          <w:szCs w:val="22"/>
          <w:lang w:val="fr-FR"/>
        </w:rPr>
        <w:t xml:space="preserve">. </w:t>
      </w:r>
      <w:r w:rsidR="009C6463">
        <w:rPr>
          <w:rFonts w:ascii="Calibri" w:hAnsi="Calibri" w:cs="Calibri"/>
          <w:sz w:val="22"/>
          <w:szCs w:val="22"/>
          <w:lang w:val="fr-FR"/>
        </w:rPr>
        <w:t>Compte tenu</w:t>
      </w:r>
      <w:r w:rsidR="005C1512">
        <w:rPr>
          <w:rFonts w:ascii="Calibri" w:hAnsi="Calibri" w:cs="Calibri"/>
          <w:sz w:val="22"/>
          <w:szCs w:val="22"/>
          <w:lang w:val="fr-FR"/>
        </w:rPr>
        <w:t xml:space="preserve"> du</w:t>
      </w:r>
      <w:r w:rsidR="00CE4084">
        <w:rPr>
          <w:rFonts w:ascii="Calibri" w:hAnsi="Calibri" w:cs="Calibri"/>
          <w:sz w:val="22"/>
          <w:szCs w:val="22"/>
          <w:lang w:val="fr-FR"/>
        </w:rPr>
        <w:t xml:space="preserve"> grand retard enregistré</w:t>
      </w:r>
      <w:r>
        <w:rPr>
          <w:rFonts w:ascii="Calibri" w:hAnsi="Calibri" w:cs="Calibri"/>
          <w:sz w:val="22"/>
          <w:szCs w:val="22"/>
          <w:lang w:val="fr-FR"/>
        </w:rPr>
        <w:t xml:space="preserve"> et du fait que certaines agences ont reçu de larges montants qu’elles n’ont pas encore utilisés (notamment le BIT et le PNUD), </w:t>
      </w:r>
      <w:r w:rsidR="005C1512">
        <w:rPr>
          <w:rFonts w:ascii="Calibri" w:hAnsi="Calibri" w:cs="Calibri"/>
          <w:sz w:val="22"/>
          <w:szCs w:val="22"/>
          <w:lang w:val="fr-FR"/>
        </w:rPr>
        <w:t xml:space="preserve">et même si le PNUD s’est porté volontaire pour transférer une partie des fonds déjà reçus, </w:t>
      </w:r>
      <w:r>
        <w:rPr>
          <w:rFonts w:ascii="Calibri" w:hAnsi="Calibri" w:cs="Calibri"/>
          <w:sz w:val="22"/>
          <w:szCs w:val="22"/>
          <w:lang w:val="fr-FR"/>
        </w:rPr>
        <w:t>les perspectives que les fonds nécessaires à la poursuite de certaines activités soient disponibles rapidement sont faibles</w:t>
      </w:r>
      <w:r w:rsidR="0026574F" w:rsidRPr="001C4C3C">
        <w:rPr>
          <w:rFonts w:ascii="Calibri" w:hAnsi="Calibri" w:cs="Calibri"/>
          <w:sz w:val="22"/>
          <w:szCs w:val="22"/>
          <w:lang w:val="fr-FR"/>
        </w:rPr>
        <w:t xml:space="preserve">. </w:t>
      </w:r>
      <w:r>
        <w:rPr>
          <w:rFonts w:ascii="Calibri" w:hAnsi="Calibri" w:cs="Calibri"/>
          <w:sz w:val="22"/>
          <w:szCs w:val="22"/>
          <w:lang w:val="fr-FR"/>
        </w:rPr>
        <w:t xml:space="preserve">Le </w:t>
      </w:r>
      <w:r w:rsidR="0026574F" w:rsidRPr="001C4C3C">
        <w:rPr>
          <w:rFonts w:ascii="Calibri" w:hAnsi="Calibri" w:cs="Calibri"/>
          <w:sz w:val="22"/>
          <w:szCs w:val="22"/>
          <w:lang w:val="fr-FR"/>
        </w:rPr>
        <w:t xml:space="preserve">transfert inter-agences </w:t>
      </w:r>
      <w:r>
        <w:rPr>
          <w:rFonts w:ascii="Calibri" w:hAnsi="Calibri" w:cs="Calibri"/>
          <w:sz w:val="22"/>
          <w:szCs w:val="22"/>
          <w:lang w:val="fr-FR"/>
        </w:rPr>
        <w:t>prévu</w:t>
      </w:r>
      <w:r w:rsidR="005C1512">
        <w:rPr>
          <w:rFonts w:ascii="Calibri" w:hAnsi="Calibri" w:cs="Calibri"/>
          <w:sz w:val="22"/>
          <w:szCs w:val="22"/>
          <w:lang w:val="fr-FR"/>
        </w:rPr>
        <w:t xml:space="preserve"> et proposé à la demande du PNUD</w:t>
      </w:r>
      <w:r>
        <w:rPr>
          <w:rFonts w:ascii="Calibri" w:hAnsi="Calibri" w:cs="Calibri"/>
          <w:sz w:val="22"/>
          <w:szCs w:val="22"/>
          <w:lang w:val="fr-FR"/>
        </w:rPr>
        <w:t xml:space="preserve">, s’il est enfin réalisé, ne fera que résoudre momentanément ce grave problème et une solution </w:t>
      </w:r>
      <w:r w:rsidR="00CE4084">
        <w:rPr>
          <w:rFonts w:ascii="Calibri" w:hAnsi="Calibri" w:cs="Calibri"/>
          <w:sz w:val="22"/>
          <w:szCs w:val="22"/>
          <w:lang w:val="fr-FR"/>
        </w:rPr>
        <w:t xml:space="preserve">durable </w:t>
      </w:r>
      <w:r>
        <w:rPr>
          <w:rFonts w:ascii="Calibri" w:hAnsi="Calibri" w:cs="Calibri"/>
          <w:sz w:val="22"/>
          <w:szCs w:val="22"/>
          <w:lang w:val="fr-FR"/>
        </w:rPr>
        <w:t>s’impose</w:t>
      </w:r>
      <w:r w:rsidR="00CE4084" w:rsidRPr="00CE4084">
        <w:rPr>
          <w:rFonts w:ascii="Calibri" w:hAnsi="Calibri" w:cs="Calibri"/>
          <w:sz w:val="22"/>
          <w:szCs w:val="22"/>
          <w:lang w:val="fr-FR"/>
        </w:rPr>
        <w:t xml:space="preserve"> </w:t>
      </w:r>
      <w:r w:rsidR="00CE4084">
        <w:rPr>
          <w:rFonts w:ascii="Calibri" w:hAnsi="Calibri" w:cs="Calibri"/>
          <w:sz w:val="22"/>
          <w:szCs w:val="22"/>
          <w:lang w:val="fr-FR"/>
        </w:rPr>
        <w:t>rapidement</w:t>
      </w:r>
      <w:r>
        <w:rPr>
          <w:rFonts w:ascii="Calibri" w:hAnsi="Calibri" w:cs="Calibri"/>
          <w:sz w:val="22"/>
          <w:szCs w:val="22"/>
          <w:lang w:val="fr-FR"/>
        </w:rPr>
        <w:t>.</w:t>
      </w:r>
      <w:r w:rsidR="0026574F" w:rsidRPr="001C4C3C">
        <w:rPr>
          <w:rFonts w:ascii="Calibri" w:hAnsi="Calibri" w:cs="Calibri"/>
          <w:sz w:val="22"/>
          <w:szCs w:val="22"/>
          <w:lang w:val="fr-FR"/>
        </w:rPr>
        <w:t xml:space="preserve"> </w:t>
      </w:r>
    </w:p>
    <w:p w:rsidR="0026574F" w:rsidRPr="0026574F" w:rsidRDefault="0026574F" w:rsidP="0026574F">
      <w:pPr>
        <w:pStyle w:val="NoSpacing"/>
        <w:rPr>
          <w:lang w:val="fr-FR"/>
        </w:rPr>
      </w:pPr>
    </w:p>
    <w:p w:rsidR="00F803D9" w:rsidRPr="00F803D9" w:rsidRDefault="00F803D9" w:rsidP="0038607C">
      <w:pPr>
        <w:pStyle w:val="UNDPTitle1"/>
        <w:numPr>
          <w:ilvl w:val="1"/>
          <w:numId w:val="6"/>
        </w:numPr>
        <w:outlineLvl w:val="2"/>
        <w:rPr>
          <w:color w:val="auto"/>
        </w:rPr>
      </w:pPr>
      <w:bookmarkStart w:id="30" w:name="_Toc322342020"/>
      <w:r w:rsidRPr="00F803D9">
        <w:rPr>
          <w:color w:val="auto"/>
        </w:rPr>
        <w:t>La coordination</w:t>
      </w:r>
      <w:bookmarkEnd w:id="30"/>
    </w:p>
    <w:p w:rsidR="00ED02C0" w:rsidRDefault="00C97A9F" w:rsidP="004468AE">
      <w:pPr>
        <w:pStyle w:val="NoSpacing"/>
        <w:numPr>
          <w:ilvl w:val="0"/>
          <w:numId w:val="1"/>
        </w:numPr>
        <w:ind w:left="0" w:firstLine="0"/>
        <w:rPr>
          <w:lang w:val="fr-CA"/>
        </w:rPr>
      </w:pPr>
      <w:r w:rsidRPr="00C97A9F">
        <w:rPr>
          <w:b/>
          <w:lang w:val="fr-CA"/>
        </w:rPr>
        <w:t>Coordination inter-agences</w:t>
      </w:r>
      <w:r>
        <w:rPr>
          <w:lang w:val="fr-CA"/>
        </w:rPr>
        <w:t xml:space="preserve">. </w:t>
      </w:r>
      <w:r w:rsidR="00ED02C0" w:rsidRPr="00ED02C0">
        <w:rPr>
          <w:lang w:val="fr-CA"/>
        </w:rPr>
        <w:t xml:space="preserve">Concernant la coordination inter-agences, le seul exemple </w:t>
      </w:r>
      <w:r w:rsidR="00ED02C0">
        <w:rPr>
          <w:lang w:val="fr-CA"/>
        </w:rPr>
        <w:t xml:space="preserve">formel </w:t>
      </w:r>
      <w:r w:rsidR="00ED02C0" w:rsidRPr="00ED02C0">
        <w:rPr>
          <w:lang w:val="fr-CA"/>
        </w:rPr>
        <w:t xml:space="preserve">connu de la mission concerne la </w:t>
      </w:r>
      <w:r w:rsidR="00ED02C0" w:rsidRPr="00D8742E">
        <w:rPr>
          <w:lang w:val="fr-FR"/>
        </w:rPr>
        <w:t>collaboration</w:t>
      </w:r>
      <w:r w:rsidR="00ED02C0" w:rsidRPr="00ED02C0">
        <w:rPr>
          <w:lang w:val="fr-CA"/>
        </w:rPr>
        <w:t xml:space="preserve"> entre </w:t>
      </w:r>
      <w:r w:rsidR="00ED02C0" w:rsidRPr="004468AE">
        <w:rPr>
          <w:lang w:val="fr-FR"/>
        </w:rPr>
        <w:t>l’UNICEF</w:t>
      </w:r>
      <w:r w:rsidR="00CF3A17">
        <w:rPr>
          <w:lang w:val="fr-FR"/>
        </w:rPr>
        <w:t>, l’UNFPA</w:t>
      </w:r>
      <w:r w:rsidR="00ED02C0" w:rsidRPr="00ED02C0">
        <w:rPr>
          <w:lang w:val="fr-CA"/>
        </w:rPr>
        <w:t xml:space="preserve"> et le PNUD pour la préparation des deux ateliers de l’A22/A22bis et pour la réalisation de deux études préliminaires. </w:t>
      </w:r>
    </w:p>
    <w:p w:rsidR="00ED02C0" w:rsidRDefault="00ED02C0" w:rsidP="004468AE">
      <w:pPr>
        <w:pStyle w:val="NoSpacing"/>
        <w:numPr>
          <w:ilvl w:val="0"/>
          <w:numId w:val="1"/>
        </w:numPr>
        <w:ind w:left="0" w:firstLine="0"/>
        <w:rPr>
          <w:lang w:val="fr-CA"/>
        </w:rPr>
      </w:pPr>
      <w:r>
        <w:rPr>
          <w:lang w:val="fr-CA"/>
        </w:rPr>
        <w:t xml:space="preserve">La coordination apparemment exemplaire </w:t>
      </w:r>
      <w:r w:rsidR="00AB2B1C">
        <w:rPr>
          <w:lang w:val="fr-CA"/>
        </w:rPr>
        <w:t xml:space="preserve">et spontanée </w:t>
      </w:r>
      <w:r>
        <w:rPr>
          <w:lang w:val="fr-CA"/>
        </w:rPr>
        <w:t>entre l’</w:t>
      </w:r>
      <w:r w:rsidR="00840C3E">
        <w:rPr>
          <w:lang w:val="fr-CA"/>
        </w:rPr>
        <w:t xml:space="preserve">ONUSIDA, le </w:t>
      </w:r>
      <w:r w:rsidR="00467C9E">
        <w:rPr>
          <w:lang w:val="fr-CA"/>
        </w:rPr>
        <w:t>MFEP</w:t>
      </w:r>
      <w:r w:rsidR="00840C3E">
        <w:rPr>
          <w:lang w:val="fr-CA"/>
        </w:rPr>
        <w:t>,</w:t>
      </w:r>
      <w:r>
        <w:rPr>
          <w:lang w:val="fr-CA"/>
        </w:rPr>
        <w:t xml:space="preserve"> le MSN </w:t>
      </w:r>
      <w:r w:rsidR="00840C3E">
        <w:rPr>
          <w:lang w:val="fr-CA"/>
        </w:rPr>
        <w:t xml:space="preserve">et l’Association El Hayet </w:t>
      </w:r>
      <w:r>
        <w:rPr>
          <w:lang w:val="fr-CA"/>
        </w:rPr>
        <w:t xml:space="preserve">dans le cadre de l’activité A23 mise en œuvre à Tamanrasset est également à </w:t>
      </w:r>
      <w:r w:rsidRPr="00123C70">
        <w:rPr>
          <w:lang w:val="fr-FR"/>
        </w:rPr>
        <w:t>souligner</w:t>
      </w:r>
      <w:r>
        <w:rPr>
          <w:lang w:val="fr-CA"/>
        </w:rPr>
        <w:t xml:space="preserve"> car elle a permis </w:t>
      </w:r>
      <w:r w:rsidR="00840C3E">
        <w:rPr>
          <w:lang w:val="fr-CA"/>
        </w:rPr>
        <w:t xml:space="preserve">de corriger </w:t>
      </w:r>
      <w:r>
        <w:rPr>
          <w:lang w:val="fr-CA"/>
        </w:rPr>
        <w:t>une intervention mal définie et sous-budgétisée</w:t>
      </w:r>
      <w:r w:rsidR="00840C3E">
        <w:rPr>
          <w:lang w:val="fr-CA"/>
        </w:rPr>
        <w:t xml:space="preserve"> et d’apporter une réponse concrète aux femmes visées. Même s’il s’agit d’une intervention pilote de faible portée, l’expérience n’en demeure pas moins, semble-t-il, un exemple rare de collaboration tripartite gouvernement/Nations Unies/société civile réussie dans le pays.</w:t>
      </w:r>
    </w:p>
    <w:p w:rsidR="00840C3E" w:rsidRDefault="00840C3E" w:rsidP="004468AE">
      <w:pPr>
        <w:pStyle w:val="NoSpacing"/>
        <w:numPr>
          <w:ilvl w:val="0"/>
          <w:numId w:val="1"/>
        </w:numPr>
        <w:ind w:left="0" w:firstLine="0"/>
        <w:rPr>
          <w:lang w:val="fr-CA"/>
        </w:rPr>
      </w:pPr>
      <w:r w:rsidRPr="00840C3E">
        <w:rPr>
          <w:lang w:val="fr-CA"/>
        </w:rPr>
        <w:t xml:space="preserve">Il </w:t>
      </w:r>
      <w:r w:rsidRPr="00123C70">
        <w:rPr>
          <w:lang w:val="fr-FR"/>
        </w:rPr>
        <w:t>semble</w:t>
      </w:r>
      <w:r w:rsidRPr="00840C3E">
        <w:rPr>
          <w:lang w:val="fr-CA"/>
        </w:rPr>
        <w:t xml:space="preserve"> aussi que les </w:t>
      </w:r>
      <w:r w:rsidRPr="004468AE">
        <w:rPr>
          <w:lang w:val="fr-FR"/>
        </w:rPr>
        <w:t>exemples</w:t>
      </w:r>
      <w:r w:rsidRPr="00840C3E">
        <w:rPr>
          <w:lang w:val="fr-CA"/>
        </w:rPr>
        <w:t xml:space="preserve"> et de la </w:t>
      </w:r>
      <w:r>
        <w:rPr>
          <w:lang w:val="fr-CA"/>
        </w:rPr>
        <w:t xml:space="preserve">coordination ou de collaboration informelle soient nombreux, par exemple lors de la préparation des TdR de certaines activités ou du recrutement de consultants. </w:t>
      </w:r>
    </w:p>
    <w:p w:rsidR="00840C3E" w:rsidRDefault="00840C3E" w:rsidP="004468AE">
      <w:pPr>
        <w:pStyle w:val="NoSpacing"/>
        <w:numPr>
          <w:ilvl w:val="0"/>
          <w:numId w:val="1"/>
        </w:numPr>
        <w:ind w:left="0" w:firstLine="0"/>
        <w:rPr>
          <w:lang w:val="fr-CA"/>
        </w:rPr>
      </w:pPr>
      <w:r>
        <w:rPr>
          <w:lang w:val="fr-CA"/>
        </w:rPr>
        <w:t xml:space="preserve">S’agissant des mécanismes de coordination formels utilisés par le programme, </w:t>
      </w:r>
      <w:r w:rsidR="00B07B4E">
        <w:rPr>
          <w:lang w:val="fr-CA"/>
        </w:rPr>
        <w:t>chaque agence des NUs a formé un Groupe Technique regroupant tous les Points Focaux des ministères impliqués dans la mise en œuvre commune d’une activité donnée. Si ce mécanisme a certainement permis d’accélérer le démarrage de certaines activités, la mission est cependant d’avis qu’il a certainement représenté un frein à la création de synergies entre différentes activités mises en œuvre par différentes agences, donc à la coordination inter-agences.</w:t>
      </w:r>
      <w:r w:rsidR="007C62AF">
        <w:rPr>
          <w:lang w:val="fr-CA"/>
        </w:rPr>
        <w:t xml:space="preserve"> Ainsi que l’ont maintenant compris </w:t>
      </w:r>
      <w:r w:rsidR="00491E09">
        <w:rPr>
          <w:lang w:val="fr-CA"/>
        </w:rPr>
        <w:t xml:space="preserve">et décidés </w:t>
      </w:r>
      <w:r w:rsidR="007C62AF">
        <w:rPr>
          <w:lang w:val="fr-CA"/>
        </w:rPr>
        <w:t>les partenaires, les Groupes Techniques doivent maintenant être organisés par</w:t>
      </w:r>
      <w:r w:rsidR="00CF3A17">
        <w:rPr>
          <w:lang w:val="fr-CA"/>
        </w:rPr>
        <w:t xml:space="preserve"> Effet, et non plus par Agence.</w:t>
      </w:r>
    </w:p>
    <w:p w:rsidR="00AB2B1C" w:rsidRDefault="00B07B4E" w:rsidP="004468AE">
      <w:pPr>
        <w:pStyle w:val="NoSpacing"/>
        <w:numPr>
          <w:ilvl w:val="0"/>
          <w:numId w:val="1"/>
        </w:numPr>
        <w:ind w:left="0" w:firstLine="0"/>
        <w:rPr>
          <w:lang w:val="fr-CA"/>
        </w:rPr>
      </w:pPr>
      <w:r>
        <w:rPr>
          <w:lang w:val="fr-CA"/>
        </w:rPr>
        <w:lastRenderedPageBreak/>
        <w:t>L’autre mécanisme de coordination formel utilisé est celui des réunions du CGP qui ont réuni tous les mois le</w:t>
      </w:r>
      <w:r w:rsidRPr="00D8742E">
        <w:rPr>
          <w:lang w:val="fr-FR"/>
        </w:rPr>
        <w:t>s</w:t>
      </w:r>
      <w:r>
        <w:rPr>
          <w:lang w:val="fr-CA"/>
        </w:rPr>
        <w:t xml:space="preserve"> 7 agences et 12 </w:t>
      </w:r>
      <w:r w:rsidRPr="000C666A">
        <w:rPr>
          <w:lang w:val="fr-FR"/>
        </w:rPr>
        <w:t>mi</w:t>
      </w:r>
      <w:r w:rsidR="00C97A9F" w:rsidRPr="000C666A">
        <w:rPr>
          <w:lang w:val="fr-FR"/>
        </w:rPr>
        <w:t>nistères</w:t>
      </w:r>
      <w:r w:rsidR="00C97A9F">
        <w:rPr>
          <w:lang w:val="fr-CA"/>
        </w:rPr>
        <w:t xml:space="preserve"> partenaires et ont permis à tous les acteurs de se tenir informés des progrès ou des difficultés de mise en œuvre.</w:t>
      </w:r>
      <w:r>
        <w:rPr>
          <w:lang w:val="fr-CA"/>
        </w:rPr>
        <w:t xml:space="preserve"> Selon l’opinion de nombreuses personnes interrogées par la mission, il </w:t>
      </w:r>
      <w:r w:rsidRPr="004468AE">
        <w:rPr>
          <w:lang w:val="fr-FR"/>
        </w:rPr>
        <w:t>faudra</w:t>
      </w:r>
      <w:r>
        <w:rPr>
          <w:lang w:val="fr-CA"/>
        </w:rPr>
        <w:t xml:space="preserve"> cependant attendre le mois de décembre 2011 et la tenue de la revue annuelle pour que l’ensemble des partenaires réalisent l’ampleur réelle du programme</w:t>
      </w:r>
      <w:r>
        <w:rPr>
          <w:rStyle w:val="FootnoteReference"/>
          <w:lang w:val="fr-CA"/>
        </w:rPr>
        <w:footnoteReference w:id="83"/>
      </w:r>
      <w:r>
        <w:rPr>
          <w:lang w:val="fr-CA"/>
        </w:rPr>
        <w:t xml:space="preserve"> et les possibilités encore inexploitées de synergies qui existent entre diverses activités. </w:t>
      </w:r>
    </w:p>
    <w:p w:rsidR="00DD2C54" w:rsidRDefault="00DD2C54" w:rsidP="004468AE">
      <w:pPr>
        <w:pStyle w:val="NoSpacing"/>
        <w:numPr>
          <w:ilvl w:val="0"/>
          <w:numId w:val="1"/>
        </w:numPr>
        <w:ind w:left="0" w:firstLine="0"/>
        <w:rPr>
          <w:lang w:val="fr-CA"/>
        </w:rPr>
      </w:pPr>
      <w:r>
        <w:rPr>
          <w:lang w:val="fr-CA"/>
        </w:rPr>
        <w:t xml:space="preserve">Pour conclure, la mission tient à faire remarquer qu’on ne saurait apprécier justement  la qualité des processus de coordination du programme conjoint sans apporter un éclairage </w:t>
      </w:r>
      <w:r w:rsidR="00AF4FB3">
        <w:rPr>
          <w:lang w:val="fr-CA"/>
        </w:rPr>
        <w:t xml:space="preserve">supplémentaire </w:t>
      </w:r>
      <w:r>
        <w:rPr>
          <w:lang w:val="fr-CA"/>
        </w:rPr>
        <w:t>sur la situation pré-programme. Selon les nombreux témoignages recueillis par la mission, le simple fait qu’un aussi grand</w:t>
      </w:r>
      <w:r w:rsidRPr="00D8742E">
        <w:rPr>
          <w:lang w:val="fr-FR"/>
        </w:rPr>
        <w:t xml:space="preserve"> </w:t>
      </w:r>
      <w:r>
        <w:rPr>
          <w:lang w:val="fr-CA"/>
        </w:rPr>
        <w:t xml:space="preserve">nombre </w:t>
      </w:r>
      <w:r w:rsidR="00CF3A17">
        <w:rPr>
          <w:lang w:val="fr-CA"/>
        </w:rPr>
        <w:t xml:space="preserve">d’agences des NU </w:t>
      </w:r>
      <w:r>
        <w:rPr>
          <w:lang w:val="fr-CA"/>
        </w:rPr>
        <w:t xml:space="preserve">s’assoient régulièrement </w:t>
      </w:r>
      <w:r w:rsidR="00AF4FB3">
        <w:rPr>
          <w:lang w:val="fr-CA"/>
        </w:rPr>
        <w:t>autour de la</w:t>
      </w:r>
      <w:r>
        <w:rPr>
          <w:lang w:val="fr-CA"/>
        </w:rPr>
        <w:t xml:space="preserve"> même table qu’un aussi grand nombre de partenaires </w:t>
      </w:r>
      <w:r w:rsidR="00CF3A17">
        <w:rPr>
          <w:lang w:val="fr-CA"/>
        </w:rPr>
        <w:t xml:space="preserve">du gouvernement, tous </w:t>
      </w:r>
      <w:r>
        <w:rPr>
          <w:lang w:val="fr-CA"/>
        </w:rPr>
        <w:t>issus de différents ministères</w:t>
      </w:r>
      <w:r w:rsidR="00CF3A17">
        <w:rPr>
          <w:lang w:val="fr-CA"/>
        </w:rPr>
        <w:t>,</w:t>
      </w:r>
      <w:r>
        <w:rPr>
          <w:lang w:val="fr-CA"/>
        </w:rPr>
        <w:t xml:space="preserve"> pour discuter</w:t>
      </w:r>
      <w:r w:rsidR="00AF4FB3">
        <w:rPr>
          <w:lang w:val="fr-CA"/>
        </w:rPr>
        <w:t xml:space="preserve"> </w:t>
      </w:r>
      <w:r>
        <w:rPr>
          <w:lang w:val="fr-CA"/>
        </w:rPr>
        <w:t xml:space="preserve">d’activités </w:t>
      </w:r>
      <w:r w:rsidR="00CF3A17">
        <w:rPr>
          <w:lang w:val="fr-CA"/>
        </w:rPr>
        <w:t>ou d’objectifs communs</w:t>
      </w:r>
      <w:r>
        <w:rPr>
          <w:lang w:val="fr-CA"/>
        </w:rPr>
        <w:t>, est une première dans le pays. Rappelons aussi qu’à l’époque de la conception du programme, les relations entre le gouvernement Algérien et le système des Nations Unies étaient pour le moins frileuses</w:t>
      </w:r>
      <w:r>
        <w:rPr>
          <w:rStyle w:val="FootnoteReference"/>
          <w:lang w:val="fr-CA"/>
        </w:rPr>
        <w:footnoteReference w:id="84"/>
      </w:r>
      <w:r w:rsidR="00AF4FB3">
        <w:rPr>
          <w:lang w:val="fr-CA"/>
        </w:rPr>
        <w:t xml:space="preserve"> et ont été, pendant un temps, encore davantage abîmées après l’attentat de 2007. Quant aux agences elles-mêmes, les quelques cas de projets communs semblaient limités, au mieux, à une collaboration entre deux agences.</w:t>
      </w:r>
    </w:p>
    <w:p w:rsidR="00AF4FB3" w:rsidRDefault="00AF4FB3" w:rsidP="004468AE">
      <w:pPr>
        <w:pStyle w:val="NoSpacing"/>
        <w:numPr>
          <w:ilvl w:val="0"/>
          <w:numId w:val="1"/>
        </w:numPr>
        <w:ind w:left="0" w:firstLine="0"/>
        <w:rPr>
          <w:lang w:val="fr-CA"/>
        </w:rPr>
      </w:pPr>
      <w:r>
        <w:rPr>
          <w:lang w:val="fr-CA"/>
        </w:rPr>
        <w:t xml:space="preserve">De ce </w:t>
      </w:r>
      <w:r w:rsidRPr="00D8742E">
        <w:rPr>
          <w:lang w:val="fr-FR"/>
        </w:rPr>
        <w:t>point</w:t>
      </w:r>
      <w:r>
        <w:rPr>
          <w:lang w:val="fr-CA"/>
        </w:rPr>
        <w:t xml:space="preserve"> de vue, donc, l’objectif du Fonds-OMD visant à améliorer la coordination inter-agences et </w:t>
      </w:r>
      <w:r w:rsidRPr="00123C70">
        <w:rPr>
          <w:lang w:val="fr-FR"/>
        </w:rPr>
        <w:t>de</w:t>
      </w:r>
      <w:r>
        <w:rPr>
          <w:lang w:val="fr-CA"/>
        </w:rPr>
        <w:t xml:space="preserve"> renforcer le rôle du Coordonnateur Résident, a été atteint. On ne saurait, cependant, s’en contenter et il est temps que le programme conjoint </w:t>
      </w:r>
      <w:r w:rsidRPr="00AF4FB3">
        <w:rPr>
          <w:i/>
          <w:lang w:val="fr-CA"/>
        </w:rPr>
        <w:t>« transforme l’essai</w:t>
      </w:r>
      <w:r>
        <w:rPr>
          <w:lang w:val="fr-CA"/>
        </w:rPr>
        <w:t> ».</w:t>
      </w:r>
    </w:p>
    <w:p w:rsidR="00AB2B1C" w:rsidRDefault="00EE58AF" w:rsidP="004468AE">
      <w:pPr>
        <w:pStyle w:val="NoSpacing"/>
        <w:numPr>
          <w:ilvl w:val="0"/>
          <w:numId w:val="1"/>
        </w:numPr>
        <w:ind w:left="0" w:firstLine="0"/>
        <w:rPr>
          <w:lang w:val="fr-CA"/>
        </w:rPr>
      </w:pPr>
      <w:r w:rsidRPr="00AB2B1C">
        <w:rPr>
          <w:b/>
          <w:lang w:val="fr-CA"/>
        </w:rPr>
        <w:t>Coordination avec la coopération espagnole.</w:t>
      </w:r>
      <w:r w:rsidRPr="00AB2B1C">
        <w:rPr>
          <w:lang w:val="fr-CA"/>
        </w:rPr>
        <w:t xml:space="preserve"> </w:t>
      </w:r>
      <w:r w:rsidR="00AB2B1C" w:rsidRPr="00AB2B1C">
        <w:rPr>
          <w:lang w:val="fr-CA"/>
        </w:rPr>
        <w:t>L’</w:t>
      </w:r>
      <w:r w:rsidR="00260312" w:rsidRPr="00AB2B1C">
        <w:rPr>
          <w:lang w:val="fr-CA"/>
        </w:rPr>
        <w:t>Agence Espagnole de Coopération Internationale pour le Développement (AECID</w:t>
      </w:r>
      <w:r w:rsidR="00956E7D" w:rsidRPr="00AB2B1C">
        <w:rPr>
          <w:lang w:val="fr-CA"/>
        </w:rPr>
        <w:t xml:space="preserve">) </w:t>
      </w:r>
      <w:r w:rsidR="00E1452C" w:rsidRPr="00AB2B1C">
        <w:rPr>
          <w:lang w:val="fr-CA"/>
        </w:rPr>
        <w:t xml:space="preserve">finance </w:t>
      </w:r>
      <w:r w:rsidR="00CF3A17">
        <w:rPr>
          <w:lang w:val="fr-CA"/>
        </w:rPr>
        <w:t xml:space="preserve">en Algérie </w:t>
      </w:r>
      <w:r w:rsidR="00E1452C" w:rsidRPr="00AB2B1C">
        <w:rPr>
          <w:lang w:val="fr-CA"/>
        </w:rPr>
        <w:t xml:space="preserve">des </w:t>
      </w:r>
      <w:r w:rsidR="00AB2B1C" w:rsidRPr="00AB2B1C">
        <w:rPr>
          <w:lang w:val="fr-CA"/>
        </w:rPr>
        <w:t xml:space="preserve">actions visant à appuyer les processus de réformes </w:t>
      </w:r>
      <w:r w:rsidR="00AB2B1C" w:rsidRPr="004468AE">
        <w:rPr>
          <w:lang w:val="fr-FR"/>
        </w:rPr>
        <w:t>économiques</w:t>
      </w:r>
      <w:r w:rsidR="00AB2B1C" w:rsidRPr="00AB2B1C">
        <w:rPr>
          <w:lang w:val="fr-CA"/>
        </w:rPr>
        <w:t xml:space="preserve">, sociales et institutionnelles, avec comme finalité la réduction de la </w:t>
      </w:r>
      <w:r w:rsidR="00AB2B1C" w:rsidRPr="00123C70">
        <w:rPr>
          <w:lang w:val="fr-FR"/>
        </w:rPr>
        <w:t>pauvreté</w:t>
      </w:r>
      <w:r w:rsidR="00AB2B1C" w:rsidRPr="00AB2B1C">
        <w:rPr>
          <w:lang w:val="fr-CA"/>
        </w:rPr>
        <w:t xml:space="preserve"> et l’encouragement à la création d’emplois. </w:t>
      </w:r>
      <w:r w:rsidR="00956E7D" w:rsidRPr="00AB2B1C">
        <w:rPr>
          <w:lang w:val="fr-CA"/>
        </w:rPr>
        <w:t>Parmi ses domaines d’action prioritaires, on peut citer la gouvern</w:t>
      </w:r>
      <w:r w:rsidR="00D55950" w:rsidRPr="00AB2B1C">
        <w:rPr>
          <w:lang w:val="fr-CA"/>
        </w:rPr>
        <w:t xml:space="preserve">ance démocratique, les </w:t>
      </w:r>
      <w:r w:rsidR="00AB2B1C" w:rsidRPr="00AB2B1C">
        <w:rPr>
          <w:lang w:val="fr-CA"/>
        </w:rPr>
        <w:t>femmes et le développement, l’éducation, la culture,</w:t>
      </w:r>
      <w:r w:rsidR="00D55950" w:rsidRPr="00AB2B1C">
        <w:rPr>
          <w:lang w:val="fr-CA"/>
        </w:rPr>
        <w:t xml:space="preserve"> </w:t>
      </w:r>
      <w:r w:rsidR="00AB2B1C" w:rsidRPr="00AB2B1C">
        <w:rPr>
          <w:lang w:val="fr-CA"/>
        </w:rPr>
        <w:t xml:space="preserve">l’activité économique, l’agriculture, la pêche, et l’appui aux PME/PMI. </w:t>
      </w:r>
    </w:p>
    <w:p w:rsidR="00E733C1" w:rsidRPr="00AB2B1C" w:rsidRDefault="00485D77" w:rsidP="004468AE">
      <w:pPr>
        <w:pStyle w:val="NoSpacing"/>
        <w:numPr>
          <w:ilvl w:val="0"/>
          <w:numId w:val="1"/>
        </w:numPr>
        <w:ind w:left="0" w:firstLine="0"/>
        <w:rPr>
          <w:lang w:val="fr-CA"/>
        </w:rPr>
      </w:pPr>
      <w:r w:rsidRPr="00AB2B1C">
        <w:rPr>
          <w:lang w:val="fr-CA"/>
        </w:rPr>
        <w:t>L</w:t>
      </w:r>
      <w:r w:rsidR="00AB2B1C">
        <w:rPr>
          <w:lang w:val="fr-CA"/>
        </w:rPr>
        <w:t>es objectifs du programme conjoint cadrent donc bien avec ceux de l’</w:t>
      </w:r>
      <w:r w:rsidRPr="00AB2B1C">
        <w:rPr>
          <w:lang w:val="fr-CA"/>
        </w:rPr>
        <w:t>AECID</w:t>
      </w:r>
      <w:r w:rsidR="00AB2B1C">
        <w:rPr>
          <w:lang w:val="fr-CA"/>
        </w:rPr>
        <w:t>. L’agence</w:t>
      </w:r>
      <w:r w:rsidRPr="00AB2B1C">
        <w:rPr>
          <w:lang w:val="fr-CA"/>
        </w:rPr>
        <w:t xml:space="preserve"> a </w:t>
      </w:r>
      <w:r w:rsidR="00AB2B1C" w:rsidRPr="00D8742E">
        <w:rPr>
          <w:lang w:val="fr-FR"/>
        </w:rPr>
        <w:t>d’ailleurs</w:t>
      </w:r>
      <w:r w:rsidR="00AB2B1C">
        <w:rPr>
          <w:lang w:val="fr-CA"/>
        </w:rPr>
        <w:t xml:space="preserve"> </w:t>
      </w:r>
      <w:r w:rsidR="00D55950" w:rsidRPr="00AB2B1C">
        <w:rPr>
          <w:lang w:val="fr-CA"/>
        </w:rPr>
        <w:t xml:space="preserve">été consultée lors de la conception du </w:t>
      </w:r>
      <w:r w:rsidR="00AB2B1C">
        <w:rPr>
          <w:lang w:val="fr-CA"/>
        </w:rPr>
        <w:t xml:space="preserve">programme. </w:t>
      </w:r>
      <w:r w:rsidR="00AB2B1C" w:rsidRPr="004468AE">
        <w:rPr>
          <w:lang w:val="fr-FR"/>
        </w:rPr>
        <w:t>Plusieurs</w:t>
      </w:r>
      <w:r w:rsidR="00AB2B1C">
        <w:rPr>
          <w:lang w:val="fr-CA"/>
        </w:rPr>
        <w:t xml:space="preserve"> membres du bureau d’Alger ont suivi de près la mise en œuvre du programme et ont notamment assisté aux réunions mensuelles du CGP. L</w:t>
      </w:r>
      <w:r w:rsidR="005E67B1">
        <w:rPr>
          <w:lang w:val="fr-CA"/>
        </w:rPr>
        <w:t>e Coordonnateur Général de l’agence a en outre assisté à toutes les réunions du CNP et à une visite de terrain (</w:t>
      </w:r>
      <w:r w:rsidR="00585D09">
        <w:rPr>
          <w:lang w:val="fr-CA"/>
        </w:rPr>
        <w:t xml:space="preserve">atelier de Djelfa). De l’avis de la mission, l’AECID s’est intéressée de très près à la mise en  </w:t>
      </w:r>
      <w:r w:rsidR="00CF3A17">
        <w:rPr>
          <w:lang w:val="fr-CA"/>
        </w:rPr>
        <w:t xml:space="preserve">œuvre </w:t>
      </w:r>
      <w:r w:rsidR="00585D09">
        <w:rPr>
          <w:lang w:val="fr-CA"/>
        </w:rPr>
        <w:t>du programme et l’agence est bien informée des problèmes comme des avancées.</w:t>
      </w:r>
    </w:p>
    <w:p w:rsidR="00E60606" w:rsidRPr="0031650C" w:rsidRDefault="00E60606" w:rsidP="00E60606">
      <w:pPr>
        <w:pStyle w:val="NoSpacing"/>
        <w:rPr>
          <w:color w:val="FF0000"/>
          <w:lang w:val="fr-CA"/>
        </w:rPr>
      </w:pPr>
    </w:p>
    <w:p w:rsidR="007C62AF" w:rsidRDefault="00590FC0" w:rsidP="0038607C">
      <w:pPr>
        <w:pStyle w:val="UNDPTitle1"/>
        <w:numPr>
          <w:ilvl w:val="1"/>
          <w:numId w:val="6"/>
        </w:numPr>
        <w:outlineLvl w:val="2"/>
        <w:rPr>
          <w:color w:val="auto"/>
        </w:rPr>
      </w:pPr>
      <w:bookmarkStart w:id="31" w:name="_Toc322342021"/>
      <w:r w:rsidRPr="00585D09">
        <w:rPr>
          <w:color w:val="auto"/>
        </w:rPr>
        <w:t>La planificatio</w:t>
      </w:r>
      <w:r w:rsidR="007C62AF">
        <w:rPr>
          <w:color w:val="auto"/>
        </w:rPr>
        <w:t>n</w:t>
      </w:r>
      <w:bookmarkEnd w:id="31"/>
    </w:p>
    <w:p w:rsidR="007C62AF" w:rsidRDefault="007C62AF" w:rsidP="004468AE">
      <w:pPr>
        <w:pStyle w:val="NoSpacing"/>
        <w:numPr>
          <w:ilvl w:val="0"/>
          <w:numId w:val="1"/>
        </w:numPr>
        <w:ind w:left="0" w:firstLine="0"/>
        <w:rPr>
          <w:lang w:val="fr-FR"/>
        </w:rPr>
      </w:pPr>
      <w:r w:rsidRPr="007C62AF">
        <w:rPr>
          <w:lang w:val="fr-FR"/>
        </w:rPr>
        <w:t xml:space="preserve">L’EP ne semble pas </w:t>
      </w:r>
      <w:r w:rsidR="00CF3A17">
        <w:rPr>
          <w:lang w:val="fr-FR"/>
        </w:rPr>
        <w:t xml:space="preserve">s’être dotée </w:t>
      </w:r>
      <w:r w:rsidR="00CE79C6">
        <w:rPr>
          <w:lang w:val="fr-FR"/>
        </w:rPr>
        <w:t>des outils de planification nécessaires. Ainsi, la mission n’a pas trouvé la trace d’un</w:t>
      </w:r>
      <w:r w:rsidRPr="007C62AF">
        <w:rPr>
          <w:lang w:val="fr-FR"/>
        </w:rPr>
        <w:t xml:space="preserve"> Plan de Travail et Budget</w:t>
      </w:r>
      <w:r>
        <w:rPr>
          <w:lang w:val="fr-FR"/>
        </w:rPr>
        <w:t xml:space="preserve"> Annuel (PTBA)</w:t>
      </w:r>
      <w:r w:rsidRPr="007C62AF">
        <w:rPr>
          <w:lang w:val="fr-FR"/>
        </w:rPr>
        <w:t xml:space="preserve"> consolidé</w:t>
      </w:r>
      <w:r w:rsidR="00CE79C6">
        <w:rPr>
          <w:lang w:val="fr-FR"/>
        </w:rPr>
        <w:t>, ni d’un PTB pluriannuel</w:t>
      </w:r>
      <w:r w:rsidRPr="007C62AF">
        <w:rPr>
          <w:lang w:val="fr-FR"/>
        </w:rPr>
        <w:t xml:space="preserve">. </w:t>
      </w:r>
      <w:r>
        <w:rPr>
          <w:lang w:val="fr-FR"/>
        </w:rPr>
        <w:t xml:space="preserve">A la place, il semble que </w:t>
      </w:r>
      <w:r w:rsidR="00CE79C6">
        <w:rPr>
          <w:lang w:val="fr-FR"/>
        </w:rPr>
        <w:t xml:space="preserve">le processus de planification a été laissé à la responsabilité de </w:t>
      </w:r>
      <w:r>
        <w:rPr>
          <w:lang w:val="fr-FR"/>
        </w:rPr>
        <w:t xml:space="preserve">chaque agence </w:t>
      </w:r>
      <w:r w:rsidR="00B62C7A">
        <w:rPr>
          <w:lang w:val="fr-FR"/>
        </w:rPr>
        <w:t>des NU</w:t>
      </w:r>
      <w:r w:rsidR="00CE79C6">
        <w:rPr>
          <w:lang w:val="fr-FR"/>
        </w:rPr>
        <w:t xml:space="preserve"> qui ont</w:t>
      </w:r>
      <w:r>
        <w:rPr>
          <w:lang w:val="fr-FR"/>
        </w:rPr>
        <w:t xml:space="preserve"> préparé un PTBA individuel sur la base des indications de budget pluriannuel suggéré dans le cadre logique détaillé du document de projet.</w:t>
      </w:r>
      <w:r w:rsidR="00CE79C6">
        <w:rPr>
          <w:lang w:val="fr-FR"/>
        </w:rPr>
        <w:t xml:space="preserve"> Pour la </w:t>
      </w:r>
      <w:r w:rsidR="00CE79C6" w:rsidRPr="00123C70">
        <w:rPr>
          <w:lang w:val="fr-FR"/>
        </w:rPr>
        <w:t>défense</w:t>
      </w:r>
      <w:r w:rsidR="00CE79C6">
        <w:rPr>
          <w:lang w:val="fr-FR"/>
        </w:rPr>
        <w:t xml:space="preserve"> de l’EP, le fait que cette dernière ne contr</w:t>
      </w:r>
      <w:r w:rsidR="00CE79C6">
        <w:rPr>
          <w:rFonts w:cs="Calibri"/>
          <w:lang w:val="fr-FR"/>
        </w:rPr>
        <w:t>ô</w:t>
      </w:r>
      <w:r w:rsidR="00CE79C6">
        <w:rPr>
          <w:lang w:val="fr-FR"/>
        </w:rPr>
        <w:t>le aucun budget, y compris celui qui a été attribué à son fonctionnement et qui est géré par le PNUD, a très certainement été une forte contrainte.</w:t>
      </w:r>
    </w:p>
    <w:p w:rsidR="005D0E0C" w:rsidRDefault="00CE79C6" w:rsidP="004468AE">
      <w:pPr>
        <w:pStyle w:val="NoSpacing"/>
        <w:numPr>
          <w:ilvl w:val="0"/>
          <w:numId w:val="1"/>
        </w:numPr>
        <w:ind w:left="0" w:firstLine="0"/>
        <w:rPr>
          <w:lang w:val="fr-FR"/>
        </w:rPr>
      </w:pPr>
      <w:r w:rsidRPr="005D0E0C">
        <w:rPr>
          <w:lang w:val="fr-FR"/>
        </w:rPr>
        <w:lastRenderedPageBreak/>
        <w:t>La mission n’est pas en mesure d’apprécier la qualité des processus de planification co</w:t>
      </w:r>
      <w:r w:rsidR="00B62C7A">
        <w:rPr>
          <w:lang w:val="fr-FR"/>
        </w:rPr>
        <w:t>nduits par chaque agence des NU</w:t>
      </w:r>
      <w:r w:rsidRPr="005D0E0C">
        <w:rPr>
          <w:lang w:val="fr-FR"/>
        </w:rPr>
        <w:t xml:space="preserve">. Cependant, </w:t>
      </w:r>
      <w:r w:rsidR="005D0E0C" w:rsidRPr="005D0E0C">
        <w:rPr>
          <w:lang w:val="fr-FR"/>
        </w:rPr>
        <w:t xml:space="preserve">du </w:t>
      </w:r>
      <w:r w:rsidRPr="005D0E0C">
        <w:rPr>
          <w:lang w:val="fr-FR"/>
        </w:rPr>
        <w:t>fait que les PTBA individuels ont été préparé</w:t>
      </w:r>
      <w:r w:rsidR="005D0E0C" w:rsidRPr="005D0E0C">
        <w:rPr>
          <w:lang w:val="fr-FR"/>
        </w:rPr>
        <w:t>s</w:t>
      </w:r>
      <w:r w:rsidRPr="005D0E0C">
        <w:rPr>
          <w:lang w:val="fr-FR"/>
        </w:rPr>
        <w:t xml:space="preserve"> sur la base des activités identifiées</w:t>
      </w:r>
      <w:r w:rsidR="005D0E0C" w:rsidRPr="005D0E0C">
        <w:rPr>
          <w:lang w:val="fr-FR"/>
        </w:rPr>
        <w:t xml:space="preserve"> au titre de la première année de mise en œuvre</w:t>
      </w:r>
      <w:r w:rsidR="00CF3A17">
        <w:rPr>
          <w:lang w:val="fr-FR"/>
        </w:rPr>
        <w:t xml:space="preserve"> </w:t>
      </w:r>
      <w:r w:rsidRPr="005D0E0C">
        <w:rPr>
          <w:lang w:val="fr-FR"/>
        </w:rPr>
        <w:t>dans le document de projet, le budget demandé au titre de la première tranche n’incluait pas les activités prévues pour la deuxième année.</w:t>
      </w:r>
      <w:r w:rsidR="005D0E0C" w:rsidRPr="005D0E0C">
        <w:rPr>
          <w:lang w:val="fr-FR"/>
        </w:rPr>
        <w:t xml:space="preserve"> Le taux global d’exécution très bas ne permettant pas de débloquer la deuxième tranche, cette situation bloque le démarrage de toutes les activités de la 2</w:t>
      </w:r>
      <w:r w:rsidR="005D0E0C" w:rsidRPr="005D0E0C">
        <w:rPr>
          <w:vertAlign w:val="superscript"/>
          <w:lang w:val="fr-FR"/>
        </w:rPr>
        <w:t>ème</w:t>
      </w:r>
      <w:r w:rsidR="005D0E0C" w:rsidRPr="005D0E0C">
        <w:rPr>
          <w:lang w:val="fr-FR"/>
        </w:rPr>
        <w:t xml:space="preserve"> année pour les agences qui ont déboursé tous leurs fonds et pour celles qui </w:t>
      </w:r>
      <w:r w:rsidR="005D0E0C" w:rsidRPr="00123C70">
        <w:rPr>
          <w:lang w:val="fr-FR"/>
        </w:rPr>
        <w:t>n’ont</w:t>
      </w:r>
      <w:r w:rsidR="005D0E0C" w:rsidRPr="005D0E0C">
        <w:rPr>
          <w:lang w:val="fr-FR"/>
        </w:rPr>
        <w:t xml:space="preserve"> encore re</w:t>
      </w:r>
      <w:r w:rsidR="005D0E0C" w:rsidRPr="005D0E0C">
        <w:rPr>
          <w:rFonts w:cs="Calibri"/>
          <w:lang w:val="fr-FR"/>
        </w:rPr>
        <w:t>ç</w:t>
      </w:r>
      <w:r w:rsidR="005D0E0C" w:rsidRPr="005D0E0C">
        <w:rPr>
          <w:lang w:val="fr-FR"/>
        </w:rPr>
        <w:t xml:space="preserve">u aucun transfert. </w:t>
      </w:r>
      <w:r w:rsidRPr="005D0E0C">
        <w:rPr>
          <w:lang w:val="fr-FR"/>
        </w:rPr>
        <w:t xml:space="preserve"> </w:t>
      </w:r>
    </w:p>
    <w:p w:rsidR="00491E09" w:rsidRPr="005D0E0C" w:rsidRDefault="00315C97" w:rsidP="004468AE">
      <w:pPr>
        <w:pStyle w:val="NoSpacing"/>
        <w:numPr>
          <w:ilvl w:val="0"/>
          <w:numId w:val="1"/>
        </w:numPr>
        <w:ind w:left="0" w:firstLine="0"/>
        <w:rPr>
          <w:lang w:val="fr-FR"/>
        </w:rPr>
      </w:pPr>
      <w:r>
        <w:rPr>
          <w:lang w:val="fr-FR"/>
        </w:rPr>
        <w:t xml:space="preserve">En l’état actuel des choses, il est grandement préoccupant que personne n’ait une idée précise du montant du budget que le programme aura la capacité d’absorber d’ici à sa </w:t>
      </w:r>
      <w:r w:rsidR="00B27FE1">
        <w:rPr>
          <w:lang w:val="fr-FR"/>
        </w:rPr>
        <w:t>clôture</w:t>
      </w:r>
      <w:r>
        <w:rPr>
          <w:lang w:val="fr-FR"/>
        </w:rPr>
        <w:t xml:space="preserve">. </w:t>
      </w:r>
      <w:r w:rsidR="00491E09" w:rsidRPr="005D0E0C">
        <w:rPr>
          <w:lang w:val="fr-FR"/>
        </w:rPr>
        <w:t xml:space="preserve">Pour la préparation du prochain PTBA, la mission recommande qu’un PTBA très détaillé et </w:t>
      </w:r>
      <w:r w:rsidR="00491E09" w:rsidRPr="00123C70">
        <w:rPr>
          <w:lang w:val="fr-FR"/>
        </w:rPr>
        <w:t>opérationnel</w:t>
      </w:r>
      <w:r w:rsidR="00491E09" w:rsidRPr="005D0E0C">
        <w:rPr>
          <w:lang w:val="fr-FR"/>
        </w:rPr>
        <w:t xml:space="preserve"> consolidé (c’est-à-dire préparé en suivant le cadre logique) soit préparé</w:t>
      </w:r>
      <w:r w:rsidR="005D0E0C">
        <w:rPr>
          <w:lang w:val="fr-FR"/>
        </w:rPr>
        <w:t xml:space="preserve"> par tous les partenaires réuni</w:t>
      </w:r>
      <w:r w:rsidR="00491E09" w:rsidRPr="005D0E0C">
        <w:rPr>
          <w:lang w:val="fr-FR"/>
        </w:rPr>
        <w:t>s en atelier de travail</w:t>
      </w:r>
      <w:r w:rsidR="005D0E0C">
        <w:rPr>
          <w:lang w:val="fr-FR"/>
        </w:rPr>
        <w:t xml:space="preserve"> et que cet atelier soit animé par la consultante qui avait animé celui de décembre 2011.</w:t>
      </w:r>
      <w:r w:rsidR="00491E09" w:rsidRPr="005D0E0C">
        <w:rPr>
          <w:lang w:val="fr-FR"/>
        </w:rPr>
        <w:t xml:space="preserve"> </w:t>
      </w:r>
    </w:p>
    <w:p w:rsidR="00491E09" w:rsidRDefault="00491E09">
      <w:pPr>
        <w:rPr>
          <w:rFonts w:ascii="Calibri" w:hAnsi="Calibri"/>
          <w:b/>
          <w:sz w:val="22"/>
          <w:szCs w:val="22"/>
          <w:lang w:val="fr-CA"/>
        </w:rPr>
      </w:pPr>
    </w:p>
    <w:p w:rsidR="001B2065" w:rsidRPr="00EB0D96" w:rsidRDefault="001B2065" w:rsidP="0038607C">
      <w:pPr>
        <w:pStyle w:val="UNDPTitle1"/>
        <w:numPr>
          <w:ilvl w:val="1"/>
          <w:numId w:val="6"/>
        </w:numPr>
        <w:outlineLvl w:val="2"/>
        <w:rPr>
          <w:color w:val="auto"/>
        </w:rPr>
      </w:pPr>
      <w:bookmarkStart w:id="32" w:name="_Toc322342022"/>
      <w:r w:rsidRPr="00EB0D96">
        <w:rPr>
          <w:color w:val="auto"/>
        </w:rPr>
        <w:t>Le suivi et l’évaluation</w:t>
      </w:r>
      <w:bookmarkEnd w:id="32"/>
      <w:r w:rsidR="009F55B6" w:rsidRPr="00EB0D96">
        <w:rPr>
          <w:color w:val="auto"/>
        </w:rPr>
        <w:t xml:space="preserve"> </w:t>
      </w:r>
    </w:p>
    <w:p w:rsidR="00DC3F3A" w:rsidRDefault="001B2065" w:rsidP="004468AE">
      <w:pPr>
        <w:pStyle w:val="NoSpacing"/>
        <w:numPr>
          <w:ilvl w:val="0"/>
          <w:numId w:val="1"/>
        </w:numPr>
        <w:ind w:left="0" w:firstLine="0"/>
        <w:rPr>
          <w:lang w:val="fr-CA"/>
        </w:rPr>
      </w:pPr>
      <w:r w:rsidRPr="00DC3F3A">
        <w:rPr>
          <w:lang w:val="fr-CA"/>
        </w:rPr>
        <w:t>Le document de pro</w:t>
      </w:r>
      <w:r w:rsidR="00CA67A0">
        <w:rPr>
          <w:lang w:val="fr-CA"/>
        </w:rPr>
        <w:t>jet, qui ne prévoyait pas qu’un Chargé de S</w:t>
      </w:r>
      <w:r w:rsidR="00491E09">
        <w:rPr>
          <w:lang w:val="fr-CA"/>
        </w:rPr>
        <w:t>uivi/évaluation (S</w:t>
      </w:r>
      <w:r w:rsidR="00CA67A0">
        <w:rPr>
          <w:lang w:val="fr-CA"/>
        </w:rPr>
        <w:t>/E</w:t>
      </w:r>
      <w:r w:rsidR="00491E09">
        <w:rPr>
          <w:lang w:val="fr-CA"/>
        </w:rPr>
        <w:t>)</w:t>
      </w:r>
      <w:r w:rsidR="00CA67A0">
        <w:rPr>
          <w:lang w:val="fr-CA"/>
        </w:rPr>
        <w:t xml:space="preserve"> soit recruté au sein de l’EP, </w:t>
      </w:r>
      <w:r w:rsidRPr="00455D81">
        <w:rPr>
          <w:lang w:val="fr-FR"/>
        </w:rPr>
        <w:t>incluait</w:t>
      </w:r>
      <w:r w:rsidRPr="00DC3F3A">
        <w:rPr>
          <w:lang w:val="fr-CA"/>
        </w:rPr>
        <w:t xml:space="preserve"> </w:t>
      </w:r>
      <w:r w:rsidR="00455D81">
        <w:rPr>
          <w:lang w:val="fr-CA"/>
        </w:rPr>
        <w:t>un c</w:t>
      </w:r>
      <w:r w:rsidR="00491E09">
        <w:rPr>
          <w:lang w:val="fr-CA"/>
        </w:rPr>
        <w:t>adre de rés</w:t>
      </w:r>
      <w:r w:rsidR="00455D81">
        <w:rPr>
          <w:lang w:val="fr-CA"/>
        </w:rPr>
        <w:t>ultats (</w:t>
      </w:r>
      <w:r w:rsidR="00455D81" w:rsidRPr="00455D81">
        <w:rPr>
          <w:i/>
          <w:lang w:val="fr-CA"/>
        </w:rPr>
        <w:t>c</w:t>
      </w:r>
      <w:r w:rsidR="00491E09" w:rsidRPr="00455D81">
        <w:rPr>
          <w:i/>
          <w:lang w:val="fr-CA"/>
        </w:rPr>
        <w:t>adre logique</w:t>
      </w:r>
      <w:r w:rsidR="00491E09">
        <w:rPr>
          <w:lang w:val="fr-CA"/>
        </w:rPr>
        <w:t>) assez clair, ainsi qu’un Plan de suivi très sommaire</w:t>
      </w:r>
      <w:r w:rsidRPr="00DC3F3A">
        <w:rPr>
          <w:lang w:val="fr-CA"/>
        </w:rPr>
        <w:t xml:space="preserve">. </w:t>
      </w:r>
      <w:r w:rsidR="00491E09">
        <w:rPr>
          <w:lang w:val="fr-CA"/>
        </w:rPr>
        <w:t>L</w:t>
      </w:r>
      <w:r w:rsidR="00455D81">
        <w:rPr>
          <w:lang w:val="fr-CA"/>
        </w:rPr>
        <w:t xml:space="preserve">e </w:t>
      </w:r>
      <w:r w:rsidR="00455D81" w:rsidRPr="00455D81">
        <w:rPr>
          <w:i/>
          <w:lang w:val="fr-CA"/>
        </w:rPr>
        <w:t>c</w:t>
      </w:r>
      <w:r w:rsidR="00491E09" w:rsidRPr="00455D81">
        <w:rPr>
          <w:i/>
          <w:lang w:val="fr-CA"/>
        </w:rPr>
        <w:t>adre logique</w:t>
      </w:r>
      <w:r w:rsidR="00DC3F3A" w:rsidRPr="00455D81">
        <w:rPr>
          <w:i/>
          <w:lang w:val="fr-CA"/>
        </w:rPr>
        <w:t>,</w:t>
      </w:r>
      <w:r w:rsidR="00DC3F3A">
        <w:rPr>
          <w:lang w:val="fr-CA"/>
        </w:rPr>
        <w:t xml:space="preserve"> qui </w:t>
      </w:r>
      <w:r w:rsidR="00DC3F3A" w:rsidRPr="00D8742E">
        <w:rPr>
          <w:lang w:val="fr-FR"/>
        </w:rPr>
        <w:t>incluait</w:t>
      </w:r>
      <w:r w:rsidR="00DC3F3A">
        <w:rPr>
          <w:lang w:val="fr-CA"/>
        </w:rPr>
        <w:t xml:space="preserve"> un cer</w:t>
      </w:r>
      <w:r w:rsidR="00491E09">
        <w:rPr>
          <w:lang w:val="fr-CA"/>
        </w:rPr>
        <w:t>tain nombre de cibles chiffrées et identifiait, pour chaque activité, une agence de</w:t>
      </w:r>
      <w:r w:rsidR="00455D81">
        <w:rPr>
          <w:lang w:val="fr-CA"/>
        </w:rPr>
        <w:t>s</w:t>
      </w:r>
      <w:r w:rsidR="00491E09">
        <w:rPr>
          <w:lang w:val="fr-CA"/>
        </w:rPr>
        <w:t xml:space="preserve"> N</w:t>
      </w:r>
      <w:r w:rsidR="00455D81">
        <w:rPr>
          <w:lang w:val="fr-CA"/>
        </w:rPr>
        <w:t>U</w:t>
      </w:r>
      <w:r w:rsidR="00491E09">
        <w:rPr>
          <w:lang w:val="fr-CA"/>
        </w:rPr>
        <w:t xml:space="preserve"> et </w:t>
      </w:r>
      <w:r w:rsidR="00455D81">
        <w:rPr>
          <w:lang w:val="fr-CA"/>
        </w:rPr>
        <w:t>un ministère</w:t>
      </w:r>
      <w:r w:rsidR="00491E09">
        <w:rPr>
          <w:lang w:val="fr-CA"/>
        </w:rPr>
        <w:t xml:space="preserve"> </w:t>
      </w:r>
      <w:r w:rsidR="00491E09" w:rsidRPr="004468AE">
        <w:rPr>
          <w:lang w:val="fr-FR"/>
        </w:rPr>
        <w:t>partenaires</w:t>
      </w:r>
      <w:r w:rsidR="00455D81">
        <w:rPr>
          <w:lang w:val="fr-CA"/>
        </w:rPr>
        <w:t>,</w:t>
      </w:r>
      <w:r w:rsidR="00DC3F3A">
        <w:rPr>
          <w:lang w:val="fr-CA"/>
        </w:rPr>
        <w:t xml:space="preserve"> </w:t>
      </w:r>
      <w:r w:rsidR="00DC3F3A" w:rsidRPr="00DC3F3A">
        <w:rPr>
          <w:lang w:val="fr-CA"/>
        </w:rPr>
        <w:t xml:space="preserve">a </w:t>
      </w:r>
      <w:r w:rsidR="00455D81">
        <w:rPr>
          <w:lang w:val="fr-CA"/>
        </w:rPr>
        <w:t xml:space="preserve">bien </w:t>
      </w:r>
      <w:r w:rsidR="00DC3F3A">
        <w:rPr>
          <w:lang w:val="fr-CA"/>
        </w:rPr>
        <w:t>été</w:t>
      </w:r>
      <w:r w:rsidR="00CA67A0">
        <w:rPr>
          <w:lang w:val="fr-CA"/>
        </w:rPr>
        <w:t xml:space="preserve"> par la </w:t>
      </w:r>
      <w:r w:rsidR="00CA67A0" w:rsidRPr="00123C70">
        <w:rPr>
          <w:lang w:val="fr-FR"/>
        </w:rPr>
        <w:t>suite</w:t>
      </w:r>
      <w:r w:rsidR="00CA67A0">
        <w:rPr>
          <w:lang w:val="fr-CA"/>
        </w:rPr>
        <w:t xml:space="preserve"> </w:t>
      </w:r>
      <w:r w:rsidR="00DC3F3A">
        <w:rPr>
          <w:lang w:val="fr-CA"/>
        </w:rPr>
        <w:t xml:space="preserve">utilisé pour la préparation des </w:t>
      </w:r>
      <w:r w:rsidR="00455D81">
        <w:rPr>
          <w:lang w:val="fr-CA"/>
        </w:rPr>
        <w:t>PTBA</w:t>
      </w:r>
      <w:r w:rsidR="00DC3F3A">
        <w:rPr>
          <w:lang w:val="fr-CA"/>
        </w:rPr>
        <w:t xml:space="preserve"> de chaque agence, pour le suivi des activités et pour la préparation des rapports d’avancement transmis au Secrétariat du F-OMD.</w:t>
      </w:r>
    </w:p>
    <w:p w:rsidR="00190820" w:rsidRPr="009C6463" w:rsidRDefault="009C6463" w:rsidP="004468AE">
      <w:pPr>
        <w:pStyle w:val="NoSpacing"/>
        <w:numPr>
          <w:ilvl w:val="0"/>
          <w:numId w:val="1"/>
        </w:numPr>
        <w:ind w:left="0" w:firstLine="0"/>
        <w:rPr>
          <w:lang w:val="fr-CA"/>
        </w:rPr>
      </w:pPr>
      <w:r w:rsidRPr="009C6463">
        <w:rPr>
          <w:lang w:val="fr-CA"/>
        </w:rPr>
        <w:t xml:space="preserve">En décembre 2011, lors de la revue annuelle organisée à la demande du CNP, des efforts ont été déployés pour passer en revue le cadre de suivi et d’évaluation du document de programme et revoir la pertinence des indicateurs. </w:t>
      </w:r>
      <w:r w:rsidR="00DC3F3A" w:rsidRPr="009C6463">
        <w:rPr>
          <w:lang w:val="fr-CA"/>
        </w:rPr>
        <w:t xml:space="preserve">La mission </w:t>
      </w:r>
      <w:r w:rsidR="001E3770" w:rsidRPr="009C6463">
        <w:rPr>
          <w:lang w:val="fr-CA"/>
        </w:rPr>
        <w:t>regrette</w:t>
      </w:r>
      <w:r w:rsidR="00DC3F3A" w:rsidRPr="009C6463">
        <w:rPr>
          <w:lang w:val="fr-CA"/>
        </w:rPr>
        <w:t xml:space="preserve"> cependant qu’aucun véritable système de </w:t>
      </w:r>
      <w:r w:rsidR="00455D81" w:rsidRPr="009C6463">
        <w:rPr>
          <w:lang w:val="fr-CA"/>
        </w:rPr>
        <w:t>S/E</w:t>
      </w:r>
      <w:r w:rsidR="00DC3F3A" w:rsidRPr="009C6463">
        <w:rPr>
          <w:lang w:val="fr-CA"/>
        </w:rPr>
        <w:t xml:space="preserve"> n’ait été mis en place</w:t>
      </w:r>
      <w:r w:rsidR="00CA67A0" w:rsidRPr="009C6463">
        <w:rPr>
          <w:lang w:val="fr-CA"/>
        </w:rPr>
        <w:t xml:space="preserve"> à ce jour, malgré les recommandations répétées adressées en ce sens aux partenaires par le </w:t>
      </w:r>
      <w:r w:rsidR="00CA67A0" w:rsidRPr="009C6463">
        <w:rPr>
          <w:lang w:val="fr-FR"/>
        </w:rPr>
        <w:t>Secrétariat</w:t>
      </w:r>
      <w:r w:rsidR="00CA67A0" w:rsidRPr="009C6463">
        <w:rPr>
          <w:lang w:val="fr-CA"/>
        </w:rPr>
        <w:t xml:space="preserve"> du</w:t>
      </w:r>
      <w:r w:rsidR="00CA67A0" w:rsidRPr="009C6463">
        <w:rPr>
          <w:lang w:val="fr-FR"/>
        </w:rPr>
        <w:t xml:space="preserve"> Fonds</w:t>
      </w:r>
      <w:r w:rsidR="00455D81" w:rsidRPr="009C6463">
        <w:rPr>
          <w:lang w:val="fr-FR"/>
        </w:rPr>
        <w:t>-OMD</w:t>
      </w:r>
      <w:r w:rsidR="00CA67A0" w:rsidRPr="009C6463">
        <w:rPr>
          <w:lang w:val="fr-FR"/>
        </w:rPr>
        <w:t>. Ainsi, aucune démarche n’a été entreprise pour recruter</w:t>
      </w:r>
      <w:r w:rsidR="00DC3F3A" w:rsidRPr="009C6463">
        <w:rPr>
          <w:lang w:val="fr-FR"/>
        </w:rPr>
        <w:t xml:space="preserve"> </w:t>
      </w:r>
      <w:r w:rsidR="00CA67A0" w:rsidRPr="009C6463">
        <w:rPr>
          <w:lang w:val="fr-FR"/>
        </w:rPr>
        <w:t>un appui, même ponctuel</w:t>
      </w:r>
      <w:r w:rsidR="00CA67A0" w:rsidRPr="009C6463">
        <w:rPr>
          <w:lang w:val="fr-CA"/>
        </w:rPr>
        <w:t xml:space="preserve">, pour la définition d’un Plan de Suivi plus adapté et plus complet qui aurait pu servir de base, notamment, au bon suivi des </w:t>
      </w:r>
      <w:r w:rsidR="00455D81" w:rsidRPr="009C6463">
        <w:rPr>
          <w:lang w:val="fr-CA"/>
        </w:rPr>
        <w:t>nombreux</w:t>
      </w:r>
      <w:r w:rsidR="00CA67A0" w:rsidRPr="009C6463">
        <w:rPr>
          <w:lang w:val="fr-CA"/>
        </w:rPr>
        <w:t xml:space="preserve"> processus initiés </w:t>
      </w:r>
      <w:r w:rsidR="00455D81" w:rsidRPr="009C6463">
        <w:rPr>
          <w:lang w:val="fr-CA"/>
        </w:rPr>
        <w:t>ou</w:t>
      </w:r>
      <w:r w:rsidR="00CA67A0" w:rsidRPr="009C6463">
        <w:rPr>
          <w:lang w:val="fr-CA"/>
        </w:rPr>
        <w:t xml:space="preserve"> mis en œuvre par les partenaires. </w:t>
      </w:r>
    </w:p>
    <w:p w:rsidR="00CA67A0" w:rsidRPr="00455D81" w:rsidRDefault="00CA67A0" w:rsidP="004468AE">
      <w:pPr>
        <w:pStyle w:val="NoSpacing"/>
        <w:numPr>
          <w:ilvl w:val="0"/>
          <w:numId w:val="1"/>
        </w:numPr>
        <w:ind w:left="0" w:firstLine="0"/>
        <w:rPr>
          <w:lang w:val="fr-CA"/>
        </w:rPr>
      </w:pPr>
      <w:r w:rsidRPr="00455D81">
        <w:rPr>
          <w:lang w:val="fr-CA"/>
        </w:rPr>
        <w:t xml:space="preserve">Sans </w:t>
      </w:r>
      <w:r w:rsidRPr="00123C70">
        <w:rPr>
          <w:lang w:val="fr-FR"/>
        </w:rPr>
        <w:t>système</w:t>
      </w:r>
      <w:r w:rsidRPr="00455D81">
        <w:rPr>
          <w:lang w:val="fr-CA"/>
        </w:rPr>
        <w:t xml:space="preserve"> de S/E, </w:t>
      </w:r>
      <w:r w:rsidR="00455D81">
        <w:rPr>
          <w:lang w:val="fr-CA"/>
        </w:rPr>
        <w:t>et les partenaires de mise en œuv</w:t>
      </w:r>
      <w:r w:rsidR="00CF3A17">
        <w:rPr>
          <w:lang w:val="fr-CA"/>
        </w:rPr>
        <w:t>re manquant du temps nécessaire</w:t>
      </w:r>
      <w:r w:rsidR="00455D81">
        <w:rPr>
          <w:lang w:val="fr-CA"/>
        </w:rPr>
        <w:t xml:space="preserve"> pour le faire, </w:t>
      </w:r>
      <w:r w:rsidRPr="00455D81">
        <w:rPr>
          <w:lang w:val="fr-CA"/>
        </w:rPr>
        <w:t xml:space="preserve">les activités du programme </w:t>
      </w:r>
      <w:r w:rsidR="00455D81">
        <w:rPr>
          <w:lang w:val="fr-CA"/>
        </w:rPr>
        <w:t>n’ont pas été</w:t>
      </w:r>
      <w:r w:rsidRPr="00455D81">
        <w:rPr>
          <w:lang w:val="fr-CA"/>
        </w:rPr>
        <w:t>, ou peu, documentées</w:t>
      </w:r>
      <w:r w:rsidR="00455D81" w:rsidRPr="00455D81">
        <w:rPr>
          <w:lang w:val="fr-CA"/>
        </w:rPr>
        <w:t>.</w:t>
      </w:r>
      <w:r w:rsidR="00455D81">
        <w:rPr>
          <w:lang w:val="fr-CA"/>
        </w:rPr>
        <w:t xml:space="preserve"> Les quelques exceptions concernent la documentation des ateliers de Djelfa et celle de la restitution de l’étude de faisabilité sur la BSG. </w:t>
      </w:r>
      <w:r w:rsidRPr="00455D81">
        <w:rPr>
          <w:lang w:val="fr-CA"/>
        </w:rPr>
        <w:t>De fait, sans la préparation du rapport de l’atelier de revue annuelle de décembre 2011, la mission d’évaluation n’aurait disposé que d’une base extrêmement limitée pour conduire ses travaux.</w:t>
      </w:r>
      <w:r w:rsidR="00455D81">
        <w:rPr>
          <w:lang w:val="fr-CA"/>
        </w:rPr>
        <w:t xml:space="preserve"> </w:t>
      </w:r>
    </w:p>
    <w:p w:rsidR="00190820" w:rsidRPr="00190820" w:rsidRDefault="00455D81" w:rsidP="004468AE">
      <w:pPr>
        <w:pStyle w:val="NoSpacing"/>
        <w:numPr>
          <w:ilvl w:val="0"/>
          <w:numId w:val="1"/>
        </w:numPr>
        <w:ind w:left="0" w:firstLine="0"/>
        <w:rPr>
          <w:lang w:val="fr-CA"/>
        </w:rPr>
      </w:pPr>
      <w:r>
        <w:rPr>
          <w:lang w:val="fr-CA"/>
        </w:rPr>
        <w:t xml:space="preserve">Trois </w:t>
      </w:r>
      <w:r w:rsidR="009F55B6" w:rsidRPr="00CA67A0">
        <w:rPr>
          <w:lang w:val="fr-CA"/>
        </w:rPr>
        <w:t>rapports détaillés d’avancement (2</w:t>
      </w:r>
      <w:r w:rsidR="009F55B6" w:rsidRPr="00455D81">
        <w:rPr>
          <w:vertAlign w:val="superscript"/>
          <w:lang w:val="fr-CA"/>
        </w:rPr>
        <w:t>ème</w:t>
      </w:r>
      <w:r>
        <w:rPr>
          <w:lang w:val="fr-CA"/>
        </w:rPr>
        <w:t xml:space="preserve"> semestre 2010; </w:t>
      </w:r>
      <w:r w:rsidR="009F55B6" w:rsidRPr="00CA67A0">
        <w:rPr>
          <w:lang w:val="fr-CA"/>
        </w:rPr>
        <w:t>1</w:t>
      </w:r>
      <w:r w:rsidR="009F55B6" w:rsidRPr="00455D81">
        <w:rPr>
          <w:vertAlign w:val="superscript"/>
          <w:lang w:val="fr-CA"/>
        </w:rPr>
        <w:t>er</w:t>
      </w:r>
      <w:r w:rsidR="009F55B6" w:rsidRPr="00CA67A0">
        <w:rPr>
          <w:lang w:val="fr-CA"/>
        </w:rPr>
        <w:t xml:space="preserve"> </w:t>
      </w:r>
      <w:r>
        <w:rPr>
          <w:lang w:val="fr-CA"/>
        </w:rPr>
        <w:t>et 2</w:t>
      </w:r>
      <w:r w:rsidRPr="00455D81">
        <w:rPr>
          <w:vertAlign w:val="superscript"/>
          <w:lang w:val="fr-CA"/>
        </w:rPr>
        <w:t>ème</w:t>
      </w:r>
      <w:r>
        <w:rPr>
          <w:lang w:val="fr-CA"/>
        </w:rPr>
        <w:t xml:space="preserve"> </w:t>
      </w:r>
      <w:r w:rsidR="009F55B6" w:rsidRPr="00CA67A0">
        <w:rPr>
          <w:lang w:val="fr-CA"/>
        </w:rPr>
        <w:t xml:space="preserve">semestre 2011) ont été </w:t>
      </w:r>
      <w:r w:rsidR="009F55B6" w:rsidRPr="004468AE">
        <w:rPr>
          <w:lang w:val="fr-FR"/>
        </w:rPr>
        <w:t>préparés</w:t>
      </w:r>
      <w:r w:rsidR="009F55B6" w:rsidRPr="00CA67A0">
        <w:rPr>
          <w:lang w:val="fr-CA"/>
        </w:rPr>
        <w:t xml:space="preserve"> par </w:t>
      </w:r>
      <w:r w:rsidR="009F55B6" w:rsidRPr="00123C70">
        <w:rPr>
          <w:lang w:val="fr-FR"/>
        </w:rPr>
        <w:t>l’</w:t>
      </w:r>
      <w:r w:rsidR="00CA67A0" w:rsidRPr="00123C70">
        <w:rPr>
          <w:lang w:val="fr-FR"/>
        </w:rPr>
        <w:t>EP</w:t>
      </w:r>
      <w:r w:rsidR="009F55B6" w:rsidRPr="00CA67A0">
        <w:rPr>
          <w:lang w:val="fr-CA"/>
        </w:rPr>
        <w:t xml:space="preserve"> sur la base du modèle transmis par le Secrétariat du Fonds-OMD. </w:t>
      </w:r>
      <w:r w:rsidR="0058361C" w:rsidRPr="00CA67A0">
        <w:rPr>
          <w:lang w:val="fr-CA"/>
        </w:rPr>
        <w:t>La mission regrette</w:t>
      </w:r>
      <w:r>
        <w:rPr>
          <w:lang w:val="fr-CA"/>
        </w:rPr>
        <w:t xml:space="preserve"> cependant</w:t>
      </w:r>
      <w:r w:rsidR="0058361C" w:rsidRPr="00CA67A0">
        <w:rPr>
          <w:lang w:val="fr-CA"/>
        </w:rPr>
        <w:t xml:space="preserve"> que la rigidité du</w:t>
      </w:r>
      <w:r w:rsidR="009F55B6" w:rsidRPr="00CA67A0">
        <w:rPr>
          <w:lang w:val="fr-CA"/>
        </w:rPr>
        <w:t xml:space="preserve"> modèle</w:t>
      </w:r>
      <w:r w:rsidR="0058361C" w:rsidRPr="00CA67A0">
        <w:rPr>
          <w:lang w:val="fr-CA"/>
        </w:rPr>
        <w:t xml:space="preserve"> de ce document </w:t>
      </w:r>
      <w:r w:rsidR="009F55B6" w:rsidRPr="00CA67A0">
        <w:rPr>
          <w:lang w:val="fr-CA"/>
        </w:rPr>
        <w:t>et le fait que le nombre de mots soit limité</w:t>
      </w:r>
      <w:r w:rsidR="006510D1" w:rsidRPr="00CA67A0">
        <w:rPr>
          <w:lang w:val="fr-CA"/>
        </w:rPr>
        <w:t xml:space="preserve">, </w:t>
      </w:r>
      <w:r w:rsidR="0058361C" w:rsidRPr="00CA67A0">
        <w:rPr>
          <w:lang w:val="fr-CA"/>
        </w:rPr>
        <w:t>ne permette</w:t>
      </w:r>
      <w:r w:rsidR="006510D1" w:rsidRPr="00CA67A0">
        <w:rPr>
          <w:lang w:val="fr-CA"/>
        </w:rPr>
        <w:t>nt</w:t>
      </w:r>
      <w:r w:rsidR="0058361C" w:rsidRPr="00CA67A0">
        <w:rPr>
          <w:lang w:val="fr-CA"/>
        </w:rPr>
        <w:t xml:space="preserve"> pas</w:t>
      </w:r>
      <w:r w:rsidR="009F55B6" w:rsidRPr="00CA67A0">
        <w:rPr>
          <w:lang w:val="fr-CA"/>
        </w:rPr>
        <w:t xml:space="preserve"> de </w:t>
      </w:r>
      <w:r w:rsidR="00190820">
        <w:rPr>
          <w:lang w:val="fr-CA"/>
        </w:rPr>
        <w:t>rendre correctement compte des processus initiés</w:t>
      </w:r>
      <w:r w:rsidR="00CA67A0" w:rsidRPr="00EB0D96">
        <w:rPr>
          <w:lang w:val="fr-CA"/>
        </w:rPr>
        <w:t xml:space="preserve"> </w:t>
      </w:r>
      <w:r w:rsidR="00190820">
        <w:rPr>
          <w:lang w:val="fr-CA"/>
        </w:rPr>
        <w:t xml:space="preserve">ni d’élaborer sur les difficultés rencontrées. </w:t>
      </w:r>
      <w:r w:rsidRPr="00455D81">
        <w:rPr>
          <w:lang w:val="fr-CA"/>
        </w:rPr>
        <w:t xml:space="preserve"> </w:t>
      </w:r>
    </w:p>
    <w:p w:rsidR="00EB0D96" w:rsidRPr="00EB0D96" w:rsidRDefault="00EB0D96" w:rsidP="0038607C">
      <w:pPr>
        <w:pStyle w:val="UNDPTitle1"/>
        <w:numPr>
          <w:ilvl w:val="1"/>
          <w:numId w:val="6"/>
        </w:numPr>
        <w:outlineLvl w:val="2"/>
        <w:rPr>
          <w:color w:val="auto"/>
        </w:rPr>
      </w:pPr>
      <w:bookmarkStart w:id="33" w:name="_Toc322342023"/>
      <w:r>
        <w:rPr>
          <w:color w:val="auto"/>
        </w:rPr>
        <w:t>L</w:t>
      </w:r>
      <w:r w:rsidRPr="00EB0D96">
        <w:rPr>
          <w:color w:val="auto"/>
        </w:rPr>
        <w:t>a communication</w:t>
      </w:r>
      <w:bookmarkEnd w:id="33"/>
    </w:p>
    <w:p w:rsidR="00CD2D8A" w:rsidRDefault="00190820" w:rsidP="004468AE">
      <w:pPr>
        <w:pStyle w:val="NoSpacing"/>
        <w:numPr>
          <w:ilvl w:val="0"/>
          <w:numId w:val="1"/>
        </w:numPr>
        <w:ind w:left="0" w:firstLine="0"/>
        <w:rPr>
          <w:lang w:val="fr-CA"/>
        </w:rPr>
      </w:pPr>
      <w:r w:rsidRPr="00D8742E">
        <w:rPr>
          <w:lang w:val="fr-FR"/>
        </w:rPr>
        <w:t>Dans</w:t>
      </w:r>
      <w:r>
        <w:rPr>
          <w:rFonts w:eastAsia="Calibri"/>
          <w:lang w:val="fr-FR"/>
        </w:rPr>
        <w:t xml:space="preserve"> son diagnostic sur la fonction « communication »</w:t>
      </w:r>
      <w:r>
        <w:rPr>
          <w:rStyle w:val="FootnoteReference"/>
          <w:rFonts w:eastAsia="Calibri"/>
          <w:lang w:val="fr-FR"/>
        </w:rPr>
        <w:footnoteReference w:id="85"/>
      </w:r>
      <w:r>
        <w:rPr>
          <w:rFonts w:eastAsia="Calibri"/>
          <w:lang w:val="fr-FR"/>
        </w:rPr>
        <w:t xml:space="preserve">, le Groupe de Communication du SNU mentionne </w:t>
      </w:r>
      <w:r w:rsidR="00CF3A17">
        <w:rPr>
          <w:rFonts w:eastAsia="Calibri"/>
          <w:lang w:val="fr-FR"/>
        </w:rPr>
        <w:t>que</w:t>
      </w:r>
      <w:r>
        <w:rPr>
          <w:rFonts w:eastAsia="Calibri"/>
          <w:lang w:val="fr-FR"/>
        </w:rPr>
        <w:t xml:space="preserve"> « </w:t>
      </w:r>
      <w:r w:rsidR="00953E06" w:rsidRPr="00190820">
        <w:rPr>
          <w:i/>
          <w:lang w:val="fr-CA"/>
        </w:rPr>
        <w:t>quelques problèmes récurrents</w:t>
      </w:r>
      <w:r w:rsidR="00953E06" w:rsidRPr="00190820">
        <w:rPr>
          <w:lang w:val="fr-CA"/>
        </w:rPr>
        <w:t xml:space="preserve"> </w:t>
      </w:r>
      <w:r>
        <w:rPr>
          <w:lang w:val="fr-CA"/>
        </w:rPr>
        <w:t xml:space="preserve">[au niveau de la communication interne] </w:t>
      </w:r>
      <w:r w:rsidR="00953E06" w:rsidRPr="00190820">
        <w:rPr>
          <w:i/>
          <w:lang w:val="fr-CA"/>
        </w:rPr>
        <w:t>semblent se poser entre les parties prenantes du Programme</w:t>
      </w:r>
      <w:r>
        <w:rPr>
          <w:i/>
          <w:lang w:val="fr-CA"/>
        </w:rPr>
        <w:t> »</w:t>
      </w:r>
      <w:r w:rsidR="00953E06" w:rsidRPr="00190820">
        <w:rPr>
          <w:lang w:val="fr-CA"/>
        </w:rPr>
        <w:t xml:space="preserve">. </w:t>
      </w:r>
      <w:r>
        <w:rPr>
          <w:lang w:val="fr-CA"/>
        </w:rPr>
        <w:t xml:space="preserve">Le groupe a constaté la </w:t>
      </w:r>
      <w:r w:rsidR="00953E06" w:rsidRPr="00190820">
        <w:rPr>
          <w:lang w:val="fr-CA"/>
        </w:rPr>
        <w:t xml:space="preserve">faiblesse dans </w:t>
      </w:r>
      <w:r w:rsidR="00953E06" w:rsidRPr="00190820">
        <w:rPr>
          <w:lang w:val="fr-CA"/>
        </w:rPr>
        <w:lastRenderedPageBreak/>
        <w:t xml:space="preserve">les méthodes adoptées par les 12 institutions et les 7 agences dans la circulation </w:t>
      </w:r>
      <w:r>
        <w:rPr>
          <w:lang w:val="fr-CA"/>
        </w:rPr>
        <w:t xml:space="preserve">et le partage de </w:t>
      </w:r>
      <w:r w:rsidRPr="004468AE">
        <w:rPr>
          <w:lang w:val="fr-FR"/>
        </w:rPr>
        <w:t>l’information</w:t>
      </w:r>
      <w:r>
        <w:rPr>
          <w:lang w:val="fr-CA"/>
        </w:rPr>
        <w:t xml:space="preserve"> et conclut que « </w:t>
      </w:r>
      <w:r w:rsidRPr="00190820">
        <w:rPr>
          <w:i/>
          <w:lang w:val="fr-CA"/>
        </w:rPr>
        <w:t>l</w:t>
      </w:r>
      <w:r w:rsidR="00953E06" w:rsidRPr="00190820">
        <w:rPr>
          <w:i/>
          <w:lang w:val="fr-CA"/>
        </w:rPr>
        <w:t>es intervenants étant nombreux et venus de secteurs différents</w:t>
      </w:r>
      <w:r>
        <w:rPr>
          <w:i/>
          <w:lang w:val="fr-CA"/>
        </w:rPr>
        <w:t>,</w:t>
      </w:r>
      <w:r w:rsidR="00953E06" w:rsidRPr="00190820">
        <w:rPr>
          <w:i/>
          <w:lang w:val="fr-CA"/>
        </w:rPr>
        <w:t xml:space="preserve"> il est évident que l’absence d’une organisation (cellule communication</w:t>
      </w:r>
      <w:r>
        <w:rPr>
          <w:i/>
          <w:lang w:val="fr-CA"/>
        </w:rPr>
        <w:t xml:space="preserve">) </w:t>
      </w:r>
      <w:r w:rsidRPr="00123C70">
        <w:rPr>
          <w:lang w:val="fr-FR"/>
        </w:rPr>
        <w:t>permettant</w:t>
      </w:r>
      <w:r>
        <w:rPr>
          <w:i/>
          <w:lang w:val="fr-CA"/>
        </w:rPr>
        <w:t xml:space="preserve"> une mise en commun </w:t>
      </w:r>
      <w:r w:rsidR="00953E06" w:rsidRPr="00190820">
        <w:rPr>
          <w:i/>
          <w:lang w:val="fr-CA"/>
        </w:rPr>
        <w:t xml:space="preserve"> pour partager l’information et mettre </w:t>
      </w:r>
      <w:r>
        <w:rPr>
          <w:i/>
          <w:lang w:val="fr-CA"/>
        </w:rPr>
        <w:t xml:space="preserve">à </w:t>
      </w:r>
      <w:r w:rsidR="00953E06" w:rsidRPr="00190820">
        <w:rPr>
          <w:i/>
          <w:lang w:val="fr-CA"/>
        </w:rPr>
        <w:t xml:space="preserve">niveau </w:t>
      </w:r>
      <w:r>
        <w:rPr>
          <w:i/>
          <w:lang w:val="fr-CA"/>
        </w:rPr>
        <w:t xml:space="preserve">les </w:t>
      </w:r>
      <w:r w:rsidR="00953E06" w:rsidRPr="00190820">
        <w:rPr>
          <w:i/>
          <w:lang w:val="fr-CA"/>
        </w:rPr>
        <w:t>connaissanc</w:t>
      </w:r>
      <w:r>
        <w:rPr>
          <w:i/>
          <w:lang w:val="fr-CA"/>
        </w:rPr>
        <w:t>es</w:t>
      </w:r>
      <w:r w:rsidR="00953E06" w:rsidRPr="00190820">
        <w:rPr>
          <w:i/>
          <w:lang w:val="fr-CA"/>
        </w:rPr>
        <w:t xml:space="preserve"> de tous les </w:t>
      </w:r>
      <w:r>
        <w:rPr>
          <w:i/>
          <w:lang w:val="fr-CA"/>
        </w:rPr>
        <w:t>act</w:t>
      </w:r>
      <w:r w:rsidR="00953E06" w:rsidRPr="00190820">
        <w:rPr>
          <w:i/>
          <w:lang w:val="fr-CA"/>
        </w:rPr>
        <w:t>eurs, est une entrave majeure à la c</w:t>
      </w:r>
      <w:r w:rsidRPr="00190820">
        <w:rPr>
          <w:i/>
          <w:lang w:val="fr-CA"/>
        </w:rPr>
        <w:t>ommunication et à la visibilité ».</w:t>
      </w:r>
      <w:r>
        <w:rPr>
          <w:lang w:val="fr-CA"/>
        </w:rPr>
        <w:t xml:space="preserve"> </w:t>
      </w:r>
      <w:r w:rsidR="00CD2D8A">
        <w:rPr>
          <w:lang w:val="fr-CA"/>
        </w:rPr>
        <w:t>Le Groupe</w:t>
      </w:r>
      <w:r>
        <w:rPr>
          <w:lang w:val="fr-CA"/>
        </w:rPr>
        <w:t xml:space="preserve"> mentionne également des cas de rétention de l’information</w:t>
      </w:r>
      <w:r w:rsidR="00CD2D8A">
        <w:rPr>
          <w:lang w:val="fr-CA"/>
        </w:rPr>
        <w:t xml:space="preserve"> de la part de certains acteurs, soit par résistance, soit par manque de temps.</w:t>
      </w:r>
    </w:p>
    <w:p w:rsidR="00635713" w:rsidRPr="00612C93" w:rsidRDefault="00CD2D8A" w:rsidP="004468AE">
      <w:pPr>
        <w:pStyle w:val="NoSpacing"/>
        <w:numPr>
          <w:ilvl w:val="0"/>
          <w:numId w:val="1"/>
        </w:numPr>
        <w:ind w:left="0" w:firstLine="0"/>
        <w:rPr>
          <w:rFonts w:eastAsia="Calibri"/>
          <w:i/>
          <w:u w:val="single"/>
          <w:lang w:val="fr-FR"/>
        </w:rPr>
      </w:pPr>
      <w:r w:rsidRPr="00612C93">
        <w:rPr>
          <w:lang w:val="fr-CA"/>
        </w:rPr>
        <w:t>S’agissant de la communication externe, il semble que les activités aient été réduite</w:t>
      </w:r>
      <w:r w:rsidR="00612C93" w:rsidRPr="00612C93">
        <w:rPr>
          <w:lang w:val="fr-CA"/>
        </w:rPr>
        <w:t>s</w:t>
      </w:r>
      <w:r w:rsidRPr="00612C93">
        <w:rPr>
          <w:lang w:val="fr-CA"/>
        </w:rPr>
        <w:t xml:space="preserve"> à la réalisation d’un</w:t>
      </w:r>
      <w:r w:rsidR="000421CE">
        <w:rPr>
          <w:lang w:val="fr-CA"/>
        </w:rPr>
        <w:t>e</w:t>
      </w:r>
      <w:r w:rsidRPr="00612C93">
        <w:rPr>
          <w:lang w:val="fr-CA"/>
        </w:rPr>
        <w:t xml:space="preserve"> plaquette informative sur les objectifs du programme, laquelle, de l’avis du Groupe de Communication </w:t>
      </w:r>
      <w:r w:rsidRPr="00123C70">
        <w:rPr>
          <w:lang w:val="fr-FR"/>
        </w:rPr>
        <w:t>des</w:t>
      </w:r>
      <w:r w:rsidRPr="00612C93">
        <w:rPr>
          <w:lang w:val="fr-CA"/>
        </w:rPr>
        <w:t xml:space="preserve"> SNU, utilise un </w:t>
      </w:r>
      <w:r w:rsidR="00612C93" w:rsidRPr="00612C93">
        <w:rPr>
          <w:lang w:val="fr-CA"/>
        </w:rPr>
        <w:t>« </w:t>
      </w:r>
      <w:r w:rsidRPr="00612C93">
        <w:rPr>
          <w:rFonts w:eastAsia="Calibri"/>
          <w:i/>
          <w:lang w:val="fr-FR"/>
        </w:rPr>
        <w:t xml:space="preserve">jargon dédié à la « consommation interne » et non à un public </w:t>
      </w:r>
      <w:r w:rsidRPr="004468AE">
        <w:rPr>
          <w:lang w:val="fr-FR"/>
        </w:rPr>
        <w:t>non</w:t>
      </w:r>
      <w:r w:rsidRPr="00612C93">
        <w:rPr>
          <w:rFonts w:eastAsia="Calibri"/>
          <w:i/>
          <w:lang w:val="fr-FR"/>
        </w:rPr>
        <w:t xml:space="preserve"> averti »</w:t>
      </w:r>
      <w:r w:rsidRPr="00612C93">
        <w:rPr>
          <w:lang w:val="fr-CA"/>
        </w:rPr>
        <w:t xml:space="preserve">. </w:t>
      </w:r>
      <w:r w:rsidR="00D75A3B" w:rsidRPr="00612C93">
        <w:rPr>
          <w:lang w:val="fr-CA"/>
        </w:rPr>
        <w:t xml:space="preserve">Rappelons que le programme n’a même pas encore fait l’objet d’un </w:t>
      </w:r>
      <w:r w:rsidR="00D75A3B" w:rsidRPr="00D8742E">
        <w:rPr>
          <w:lang w:val="fr-FR"/>
        </w:rPr>
        <w:t>lancement</w:t>
      </w:r>
      <w:r w:rsidR="00D75A3B" w:rsidRPr="00612C93">
        <w:rPr>
          <w:lang w:val="fr-CA"/>
        </w:rPr>
        <w:t xml:space="preserve"> officiel, de sorte qu’il est tout à fait probable qu’en dehors du cercle immédiat des partenaires de mise en œuvre et de leur hiérarchie directe, peu de personnes ou d’institutions connaissent l’existence du programme. </w:t>
      </w:r>
      <w:r w:rsidR="00EB0D96" w:rsidRPr="00612C93">
        <w:rPr>
          <w:lang w:val="fr-CA"/>
        </w:rPr>
        <w:t>Le programme est néanmoins référencé sur les sites Internet de la plupart des agences des NU partenaires, même si cela se fait le plus au travers d’une simple fiche descriptive des objectifs sans présentation actualisée des résultats.</w:t>
      </w:r>
    </w:p>
    <w:p w:rsidR="00612C93" w:rsidRDefault="00EB0D96" w:rsidP="004468AE">
      <w:pPr>
        <w:pStyle w:val="NoSpacing"/>
        <w:numPr>
          <w:ilvl w:val="0"/>
          <w:numId w:val="1"/>
        </w:numPr>
        <w:ind w:left="0" w:firstLine="0"/>
        <w:rPr>
          <w:lang w:val="fr-CA"/>
        </w:rPr>
      </w:pPr>
      <w:r w:rsidRPr="00635713">
        <w:rPr>
          <w:lang w:val="fr-CA"/>
        </w:rPr>
        <w:t xml:space="preserve">Sur la demande insistante du Secrétariat du Fonds-OMD, </w:t>
      </w:r>
      <w:r w:rsidR="00635713">
        <w:rPr>
          <w:lang w:val="fr-CA"/>
        </w:rPr>
        <w:t xml:space="preserve">semble-t-il, </w:t>
      </w:r>
      <w:r w:rsidR="00A24901" w:rsidRPr="00635713">
        <w:rPr>
          <w:lang w:val="fr-CA"/>
        </w:rPr>
        <w:t xml:space="preserve">une ébauche de stratégie de </w:t>
      </w:r>
      <w:r w:rsidRPr="00635713">
        <w:rPr>
          <w:lang w:val="fr-CA"/>
        </w:rPr>
        <w:t xml:space="preserve">communication </w:t>
      </w:r>
      <w:r w:rsidRPr="00123C70">
        <w:rPr>
          <w:lang w:val="fr-FR"/>
        </w:rPr>
        <w:t>et</w:t>
      </w:r>
      <w:r w:rsidRPr="00635713">
        <w:rPr>
          <w:lang w:val="fr-CA"/>
        </w:rPr>
        <w:t xml:space="preserve"> de </w:t>
      </w:r>
      <w:r w:rsidR="00A24901" w:rsidRPr="00635713">
        <w:rPr>
          <w:lang w:val="fr-CA"/>
        </w:rPr>
        <w:t xml:space="preserve">plaidoyer </w:t>
      </w:r>
      <w:r w:rsidRPr="00635713">
        <w:rPr>
          <w:lang w:val="fr-CA"/>
        </w:rPr>
        <w:t xml:space="preserve">a récemment été produite (janvier 2012) avec l’appui du groupe communication des Nations Unies. Ce document </w:t>
      </w:r>
      <w:r w:rsidR="00A24901" w:rsidRPr="00635713">
        <w:rPr>
          <w:lang w:val="fr-CA"/>
        </w:rPr>
        <w:t xml:space="preserve">doit être </w:t>
      </w:r>
      <w:r w:rsidRPr="00635713">
        <w:rPr>
          <w:lang w:val="fr-CA"/>
        </w:rPr>
        <w:t>encore validé, puis mis en œuvre.</w:t>
      </w:r>
    </w:p>
    <w:p w:rsidR="00635713" w:rsidRPr="00612C93" w:rsidRDefault="00635713" w:rsidP="004468AE">
      <w:pPr>
        <w:pStyle w:val="NoSpacing"/>
        <w:numPr>
          <w:ilvl w:val="0"/>
          <w:numId w:val="1"/>
        </w:numPr>
        <w:ind w:left="0" w:firstLine="0"/>
        <w:rPr>
          <w:lang w:val="fr-CA"/>
        </w:rPr>
      </w:pPr>
      <w:r w:rsidRPr="00612C93">
        <w:rPr>
          <w:lang w:val="fr-FR"/>
        </w:rPr>
        <w:t xml:space="preserve">Tels que mentionnés dans sa version préliminaire, les principaux objectifs du Plan de communication sont les </w:t>
      </w:r>
      <w:r w:rsidRPr="00123C70">
        <w:rPr>
          <w:lang w:val="fr-FR"/>
        </w:rPr>
        <w:t>suivants</w:t>
      </w:r>
      <w:r w:rsidRPr="00612C93">
        <w:rPr>
          <w:lang w:val="fr-FR"/>
        </w:rPr>
        <w:t xml:space="preserve"> : </w:t>
      </w:r>
    </w:p>
    <w:p w:rsidR="00635713" w:rsidRPr="00635713" w:rsidRDefault="00635713" w:rsidP="00635713">
      <w:pPr>
        <w:pStyle w:val="NoSpacing"/>
        <w:ind w:left="708"/>
        <w:rPr>
          <w:szCs w:val="22"/>
          <w:lang w:val="fr-FR"/>
        </w:rPr>
      </w:pPr>
      <w:r w:rsidRPr="00635713">
        <w:rPr>
          <w:szCs w:val="22"/>
          <w:lang w:val="fr-FR"/>
        </w:rPr>
        <w:t>-Faire le plaidoyer et la promotion du programme de manière à réussir la mobilisation de ressources et des appuis politiques.</w:t>
      </w:r>
    </w:p>
    <w:p w:rsidR="00635713" w:rsidRPr="00635713" w:rsidRDefault="00635713" w:rsidP="00635713">
      <w:pPr>
        <w:pStyle w:val="NoSpacing"/>
        <w:ind w:left="708"/>
        <w:rPr>
          <w:szCs w:val="22"/>
          <w:lang w:val="fr-FR"/>
        </w:rPr>
      </w:pPr>
      <w:r w:rsidRPr="00635713">
        <w:rPr>
          <w:szCs w:val="22"/>
          <w:lang w:val="fr-FR"/>
        </w:rPr>
        <w:t>- Faire adhérer l’ensemble des cibles institutionnelles et bénéficiaires à la réalisation des effets attendus et les tenir informés les différentes parties prenantes de l’état d’avancement du programme</w:t>
      </w:r>
    </w:p>
    <w:p w:rsidR="00635713" w:rsidRPr="00635713" w:rsidRDefault="00635713" w:rsidP="00635713">
      <w:pPr>
        <w:pStyle w:val="NoSpacing"/>
        <w:ind w:left="708"/>
        <w:rPr>
          <w:szCs w:val="22"/>
          <w:lang w:val="fr-FR"/>
        </w:rPr>
      </w:pPr>
      <w:r w:rsidRPr="00635713">
        <w:rPr>
          <w:szCs w:val="22"/>
          <w:lang w:val="fr-FR"/>
        </w:rPr>
        <w:t xml:space="preserve">- S’assurer que les outils de communication utilisés sont adaptés aux cibles visées </w:t>
      </w:r>
    </w:p>
    <w:p w:rsidR="00635713" w:rsidRPr="00612C93" w:rsidRDefault="00635713" w:rsidP="004468AE">
      <w:pPr>
        <w:pStyle w:val="NoSpacing"/>
        <w:numPr>
          <w:ilvl w:val="0"/>
          <w:numId w:val="1"/>
        </w:numPr>
        <w:ind w:left="0" w:firstLine="0"/>
        <w:rPr>
          <w:lang w:val="fr-FR"/>
        </w:rPr>
      </w:pPr>
      <w:r w:rsidRPr="00612C93">
        <w:rPr>
          <w:lang w:val="fr-FR"/>
        </w:rPr>
        <w:t xml:space="preserve">Les </w:t>
      </w:r>
      <w:r w:rsidRPr="00612C93">
        <w:rPr>
          <w:lang w:val="fr-CA"/>
        </w:rPr>
        <w:t>partenaires</w:t>
      </w:r>
      <w:r w:rsidRPr="00612C93">
        <w:rPr>
          <w:lang w:val="fr-FR"/>
        </w:rPr>
        <w:t xml:space="preserve"> semblent </w:t>
      </w:r>
      <w:r w:rsidR="001100FA">
        <w:rPr>
          <w:lang w:val="fr-FR"/>
        </w:rPr>
        <w:t xml:space="preserve">actuellement </w:t>
      </w:r>
      <w:r w:rsidRPr="00612C93">
        <w:rPr>
          <w:lang w:val="fr-FR"/>
        </w:rPr>
        <w:t>es</w:t>
      </w:r>
      <w:r w:rsidR="001100FA">
        <w:rPr>
          <w:lang w:val="fr-FR"/>
        </w:rPr>
        <w:t>compter</w:t>
      </w:r>
      <w:r w:rsidRPr="00612C93">
        <w:rPr>
          <w:lang w:val="fr-FR"/>
        </w:rPr>
        <w:t xml:space="preserve"> que la mise en œuvre de toutes les activités de l’Effet 3 se fera à travers la mise en œuvre  de ce P</w:t>
      </w:r>
      <w:r w:rsidR="00612C93">
        <w:rPr>
          <w:lang w:val="fr-FR"/>
        </w:rPr>
        <w:t>lan de communication dont le coû</w:t>
      </w:r>
      <w:r w:rsidRPr="00612C93">
        <w:rPr>
          <w:lang w:val="fr-FR"/>
        </w:rPr>
        <w:t>t est esti</w:t>
      </w:r>
      <w:r w:rsidR="00612C93">
        <w:rPr>
          <w:lang w:val="fr-FR"/>
        </w:rPr>
        <w:t xml:space="preserve">mé à 70.000 </w:t>
      </w:r>
      <w:r w:rsidR="00612C93" w:rsidRPr="00123C70">
        <w:rPr>
          <w:lang w:val="fr-FR"/>
        </w:rPr>
        <w:t>dollars</w:t>
      </w:r>
      <w:r w:rsidR="00612C93">
        <w:rPr>
          <w:lang w:val="fr-FR"/>
        </w:rPr>
        <w:t xml:space="preserve"> environ. </w:t>
      </w:r>
      <w:r w:rsidRPr="00612C93">
        <w:rPr>
          <w:lang w:val="fr-FR"/>
        </w:rPr>
        <w:t xml:space="preserve">Si </w:t>
      </w:r>
      <w:r w:rsidR="00612C93">
        <w:rPr>
          <w:lang w:val="fr-FR"/>
        </w:rPr>
        <w:t xml:space="preserve">de nombreuses </w:t>
      </w:r>
      <w:r w:rsidRPr="00612C93">
        <w:rPr>
          <w:lang w:val="fr-FR"/>
        </w:rPr>
        <w:t xml:space="preserve">activités de l’Effet 3 </w:t>
      </w:r>
      <w:r w:rsidR="00612C93">
        <w:rPr>
          <w:lang w:val="fr-FR"/>
        </w:rPr>
        <w:t xml:space="preserve">(qui dispose d’un budget de 700.000 dollars) </w:t>
      </w:r>
      <w:r w:rsidRPr="00612C93">
        <w:rPr>
          <w:lang w:val="fr-FR"/>
        </w:rPr>
        <w:t>sont</w:t>
      </w:r>
      <w:r w:rsidR="00612C93">
        <w:rPr>
          <w:lang w:val="fr-FR"/>
        </w:rPr>
        <w:t xml:space="preserve"> en effet</w:t>
      </w:r>
      <w:r w:rsidRPr="00612C93">
        <w:rPr>
          <w:lang w:val="fr-FR"/>
        </w:rPr>
        <w:t xml:space="preserve"> reprises dans les activités </w:t>
      </w:r>
      <w:r w:rsidR="001100FA">
        <w:rPr>
          <w:lang w:val="fr-FR"/>
        </w:rPr>
        <w:t>détaillées envisagées</w:t>
      </w:r>
      <w:r w:rsidRPr="00612C93">
        <w:rPr>
          <w:lang w:val="fr-FR"/>
        </w:rPr>
        <w:t xml:space="preserve"> dans </w:t>
      </w:r>
      <w:r w:rsidR="001100FA">
        <w:rPr>
          <w:lang w:val="fr-FR"/>
        </w:rPr>
        <w:t>ce plan, toutes</w:t>
      </w:r>
      <w:r w:rsidR="00612C93">
        <w:rPr>
          <w:lang w:val="fr-FR"/>
        </w:rPr>
        <w:t xml:space="preserve"> ne le so</w:t>
      </w:r>
      <w:r w:rsidRPr="00612C93">
        <w:rPr>
          <w:lang w:val="fr-FR"/>
        </w:rPr>
        <w:t>nt pas</w:t>
      </w:r>
      <w:r w:rsidR="00612C93">
        <w:rPr>
          <w:lang w:val="fr-FR"/>
        </w:rPr>
        <w:t>. De surcroît, la question</w:t>
      </w:r>
      <w:r w:rsidR="001100FA">
        <w:rPr>
          <w:lang w:val="fr-FR"/>
        </w:rPr>
        <w:t xml:space="preserve"> demeure de la capacité du programme à mettre en œuvre ce Plan de </w:t>
      </w:r>
      <w:r w:rsidR="001100FA" w:rsidRPr="001100FA">
        <w:rPr>
          <w:lang w:val="fr-FR"/>
        </w:rPr>
        <w:t>communication</w:t>
      </w:r>
      <w:r w:rsidR="001100FA">
        <w:rPr>
          <w:lang w:val="fr-FR"/>
        </w:rPr>
        <w:t xml:space="preserve"> en plus de toutes les activités devant être lancées, et suivies, d’ici à la date de clôture prévue</w:t>
      </w:r>
      <w:r w:rsidR="001100FA" w:rsidRPr="001100FA">
        <w:rPr>
          <w:lang w:val="fr-FR"/>
        </w:rPr>
        <w:t xml:space="preserve">. </w:t>
      </w:r>
      <w:r w:rsidR="001100FA">
        <w:rPr>
          <w:lang w:val="fr-FR"/>
        </w:rPr>
        <w:t>En l’état actuel des choses, n</w:t>
      </w:r>
      <w:r w:rsidR="001100FA" w:rsidRPr="001100FA">
        <w:rPr>
          <w:lang w:val="fr-FR"/>
        </w:rPr>
        <w:t xml:space="preserve">i l’EP, ni le Groupe de Communication du SNU, ni les agences partenaires n’en </w:t>
      </w:r>
      <w:r w:rsidR="001100FA">
        <w:rPr>
          <w:lang w:val="fr-FR"/>
        </w:rPr>
        <w:t>ont individuellement, ou collectivement, la capacité.</w:t>
      </w:r>
    </w:p>
    <w:p w:rsidR="001100FA" w:rsidRDefault="001100FA">
      <w:pPr>
        <w:rPr>
          <w:rFonts w:ascii="Calibri" w:hAnsi="Calibri"/>
          <w:b/>
          <w:sz w:val="22"/>
          <w:szCs w:val="22"/>
          <w:lang w:val="fr-CA"/>
        </w:rPr>
      </w:pPr>
      <w:r w:rsidRPr="0049243E">
        <w:rPr>
          <w:lang w:val="fr-FR"/>
        </w:rPr>
        <w:br w:type="page"/>
      </w:r>
    </w:p>
    <w:p w:rsidR="00AD52B1" w:rsidRPr="001B00D8" w:rsidRDefault="00AD52B1" w:rsidP="0038607C">
      <w:pPr>
        <w:pStyle w:val="UNDPTitle1"/>
        <w:numPr>
          <w:ilvl w:val="0"/>
          <w:numId w:val="11"/>
        </w:numPr>
        <w:spacing w:before="360"/>
        <w:outlineLvl w:val="1"/>
        <w:rPr>
          <w:color w:val="auto"/>
        </w:rPr>
      </w:pPr>
      <w:bookmarkStart w:id="34" w:name="_Toc322342024"/>
      <w:r w:rsidRPr="001B00D8">
        <w:rPr>
          <w:color w:val="auto"/>
        </w:rPr>
        <w:lastRenderedPageBreak/>
        <w:t>Conclusions générales</w:t>
      </w:r>
      <w:bookmarkEnd w:id="34"/>
    </w:p>
    <w:p w:rsidR="001B00D8" w:rsidRDefault="00382468" w:rsidP="004468AE">
      <w:pPr>
        <w:pStyle w:val="NoSpacing"/>
        <w:numPr>
          <w:ilvl w:val="0"/>
          <w:numId w:val="1"/>
        </w:numPr>
        <w:ind w:left="0" w:firstLine="0"/>
        <w:rPr>
          <w:lang w:val="fr-FR"/>
        </w:rPr>
      </w:pPr>
      <w:r w:rsidRPr="00382468">
        <w:rPr>
          <w:b/>
          <w:lang w:val="fr-FR"/>
        </w:rPr>
        <w:t>Un très grand retard</w:t>
      </w:r>
      <w:r>
        <w:rPr>
          <w:lang w:val="fr-FR"/>
        </w:rPr>
        <w:t xml:space="preserve">. </w:t>
      </w:r>
      <w:r w:rsidR="001B00D8">
        <w:rPr>
          <w:lang w:val="fr-FR"/>
        </w:rPr>
        <w:t xml:space="preserve">Les conditions extrêmement difficiles qui prévalaient au moment de la conception du programme conjoint et lors de son démarrage, </w:t>
      </w:r>
      <w:r w:rsidR="001100FA">
        <w:rPr>
          <w:lang w:val="fr-FR"/>
        </w:rPr>
        <w:t>une</w:t>
      </w:r>
      <w:r w:rsidR="001B00D8">
        <w:rPr>
          <w:lang w:val="fr-FR"/>
        </w:rPr>
        <w:t xml:space="preserve"> conception </w:t>
      </w:r>
      <w:r w:rsidR="001100FA">
        <w:rPr>
          <w:lang w:val="fr-FR"/>
        </w:rPr>
        <w:t xml:space="preserve">complexe et </w:t>
      </w:r>
      <w:r w:rsidR="001E3770">
        <w:rPr>
          <w:lang w:val="fr-FR"/>
        </w:rPr>
        <w:t>trop ambitieuse</w:t>
      </w:r>
      <w:r w:rsidR="001100FA">
        <w:rPr>
          <w:lang w:val="fr-FR"/>
        </w:rPr>
        <w:t>, le trop grand nombre de partenaires</w:t>
      </w:r>
      <w:r w:rsidR="001B00D8">
        <w:rPr>
          <w:lang w:val="fr-FR"/>
        </w:rPr>
        <w:t xml:space="preserve"> et l</w:t>
      </w:r>
      <w:r w:rsidR="001100FA">
        <w:rPr>
          <w:lang w:val="fr-FR"/>
        </w:rPr>
        <w:t>a</w:t>
      </w:r>
      <w:r w:rsidR="001B00D8">
        <w:rPr>
          <w:lang w:val="fr-FR"/>
        </w:rPr>
        <w:t xml:space="preserve"> </w:t>
      </w:r>
      <w:r w:rsidR="001100FA">
        <w:rPr>
          <w:lang w:val="fr-FR"/>
        </w:rPr>
        <w:t>faiblesse des</w:t>
      </w:r>
      <w:r w:rsidR="001B00D8">
        <w:rPr>
          <w:lang w:val="fr-FR"/>
        </w:rPr>
        <w:t xml:space="preserve"> </w:t>
      </w:r>
      <w:r w:rsidR="001B00D8" w:rsidRPr="004E01D2">
        <w:rPr>
          <w:lang w:val="fr-CA"/>
        </w:rPr>
        <w:t>capacités</w:t>
      </w:r>
      <w:r w:rsidR="001B00D8">
        <w:rPr>
          <w:lang w:val="fr-FR"/>
        </w:rPr>
        <w:t xml:space="preserve"> en </w:t>
      </w:r>
      <w:r w:rsidR="001B00D8" w:rsidRPr="001100FA">
        <w:rPr>
          <w:lang w:val="fr-CA"/>
        </w:rPr>
        <w:t>ressources</w:t>
      </w:r>
      <w:r w:rsidR="001B00D8">
        <w:rPr>
          <w:lang w:val="fr-FR"/>
        </w:rPr>
        <w:t xml:space="preserve"> humaines des </w:t>
      </w:r>
      <w:r w:rsidR="001B00D8" w:rsidRPr="00123C70">
        <w:rPr>
          <w:lang w:val="fr-FR"/>
        </w:rPr>
        <w:t>agences</w:t>
      </w:r>
      <w:r w:rsidR="001B00D8">
        <w:rPr>
          <w:lang w:val="fr-FR"/>
        </w:rPr>
        <w:t xml:space="preserve"> des Nations Unies en Algérie, sont les principaux facteurs </w:t>
      </w:r>
      <w:r w:rsidR="001B00D8" w:rsidRPr="00455D81">
        <w:rPr>
          <w:lang w:val="fr-CA"/>
        </w:rPr>
        <w:t>qui</w:t>
      </w:r>
      <w:r w:rsidR="001B00D8">
        <w:rPr>
          <w:lang w:val="fr-FR"/>
        </w:rPr>
        <w:t xml:space="preserve"> expliquent le très grand retard accumulé dans la mise en œuvre de la plus grande partie des activités</w:t>
      </w:r>
      <w:r w:rsidR="001100FA">
        <w:rPr>
          <w:lang w:val="fr-FR"/>
        </w:rPr>
        <w:t xml:space="preserve"> du programme conjoint depuis son démarrage </w:t>
      </w:r>
      <w:r w:rsidR="000421CE">
        <w:rPr>
          <w:lang w:val="fr-FR"/>
        </w:rPr>
        <w:t>officiel</w:t>
      </w:r>
      <w:r w:rsidR="001100FA">
        <w:rPr>
          <w:lang w:val="fr-FR"/>
        </w:rPr>
        <w:t xml:space="preserve"> en septembre 2010</w:t>
      </w:r>
      <w:r w:rsidR="001B00D8">
        <w:rPr>
          <w:lang w:val="fr-FR"/>
        </w:rPr>
        <w:t>. Au moment de l’évaluation à mi-parcours</w:t>
      </w:r>
      <w:r w:rsidR="00FD405E">
        <w:rPr>
          <w:lang w:val="fr-FR"/>
        </w:rPr>
        <w:t xml:space="preserve"> et alors que la date de </w:t>
      </w:r>
      <w:r w:rsidR="003F4AFB">
        <w:rPr>
          <w:lang w:val="fr-FR"/>
        </w:rPr>
        <w:t>clôture</w:t>
      </w:r>
      <w:r w:rsidR="00FD405E">
        <w:rPr>
          <w:lang w:val="fr-FR"/>
        </w:rPr>
        <w:t xml:space="preserve"> prévue est </w:t>
      </w:r>
      <w:r>
        <w:rPr>
          <w:lang w:val="fr-FR"/>
        </w:rPr>
        <w:t xml:space="preserve">pour l’instant </w:t>
      </w:r>
      <w:r w:rsidR="00FD405E">
        <w:rPr>
          <w:lang w:val="fr-FR"/>
        </w:rPr>
        <w:t>fixée à février 2013, seul</w:t>
      </w:r>
      <w:r w:rsidR="001B00D8">
        <w:rPr>
          <w:lang w:val="fr-FR"/>
        </w:rPr>
        <w:t xml:space="preserve">s deux </w:t>
      </w:r>
      <w:r w:rsidR="00FD405E">
        <w:rPr>
          <w:lang w:val="fr-FR"/>
        </w:rPr>
        <w:t xml:space="preserve">des </w:t>
      </w:r>
      <w:r w:rsidR="003F4AFB">
        <w:rPr>
          <w:lang w:val="fr-FR"/>
        </w:rPr>
        <w:t xml:space="preserve">quelques 35 </w:t>
      </w:r>
      <w:r w:rsidR="001B00D8">
        <w:rPr>
          <w:lang w:val="fr-FR"/>
        </w:rPr>
        <w:t xml:space="preserve">produits attendus avaient été réalisés et </w:t>
      </w:r>
      <w:r w:rsidR="00FD405E">
        <w:rPr>
          <w:lang w:val="fr-FR"/>
        </w:rPr>
        <w:t xml:space="preserve">le taux d’exécution budgétaire </w:t>
      </w:r>
      <w:r w:rsidR="001E16AB">
        <w:rPr>
          <w:lang w:val="fr-FR"/>
        </w:rPr>
        <w:t xml:space="preserve">ne </w:t>
      </w:r>
      <w:r w:rsidR="00FD405E">
        <w:rPr>
          <w:lang w:val="fr-FR"/>
        </w:rPr>
        <w:t>s’élevait</w:t>
      </w:r>
      <w:r w:rsidR="001E16AB">
        <w:rPr>
          <w:lang w:val="fr-FR"/>
        </w:rPr>
        <w:t xml:space="preserve"> qu’</w:t>
      </w:r>
      <w:r w:rsidR="00FD405E">
        <w:rPr>
          <w:lang w:val="fr-FR"/>
        </w:rPr>
        <w:t>à 30% du montant de la première tranche (1.2 millions de dollars) et 10% du montant total du budget.</w:t>
      </w:r>
    </w:p>
    <w:p w:rsidR="00117C3B" w:rsidRDefault="00117C3B" w:rsidP="00117C3B">
      <w:pPr>
        <w:pStyle w:val="NoSpacing"/>
        <w:numPr>
          <w:ilvl w:val="0"/>
          <w:numId w:val="1"/>
        </w:numPr>
        <w:ind w:left="0" w:firstLine="0"/>
        <w:rPr>
          <w:lang w:val="fr-FR"/>
        </w:rPr>
      </w:pPr>
      <w:r>
        <w:rPr>
          <w:lang w:val="fr-FR"/>
        </w:rPr>
        <w:t xml:space="preserve">Le taux d’exécution budgétaire n’est </w:t>
      </w:r>
      <w:r w:rsidR="007704A6">
        <w:rPr>
          <w:lang w:val="fr-FR"/>
        </w:rPr>
        <w:t xml:space="preserve">certes </w:t>
      </w:r>
      <w:r>
        <w:rPr>
          <w:lang w:val="fr-FR"/>
        </w:rPr>
        <w:t>qu’un indicateur imparfait du niveau réel d’avancement</w:t>
      </w:r>
      <w:r w:rsidR="007704A6">
        <w:rPr>
          <w:lang w:val="fr-FR"/>
        </w:rPr>
        <w:t xml:space="preserve">. Dans le cas du programme conjoint, </w:t>
      </w:r>
      <w:r w:rsidR="00A15A94">
        <w:rPr>
          <w:lang w:val="fr-FR"/>
        </w:rPr>
        <w:t>de nombreuses activités (</w:t>
      </w:r>
      <w:r>
        <w:rPr>
          <w:lang w:val="fr-FR"/>
        </w:rPr>
        <w:t>telles la plupart des activités préparatoires</w:t>
      </w:r>
      <w:r w:rsidR="00A15A94">
        <w:rPr>
          <w:lang w:val="fr-FR"/>
        </w:rPr>
        <w:t>)</w:t>
      </w:r>
      <w:r>
        <w:rPr>
          <w:lang w:val="fr-FR"/>
        </w:rPr>
        <w:t xml:space="preserve">, n’ont pas occasionné de dépenses budgétaires. </w:t>
      </w:r>
      <w:r w:rsidR="007704A6">
        <w:rPr>
          <w:lang w:val="fr-FR"/>
        </w:rPr>
        <w:t>Les incontestables retards dans</w:t>
      </w:r>
      <w:r>
        <w:rPr>
          <w:lang w:val="fr-FR"/>
        </w:rPr>
        <w:t xml:space="preserve"> le calendrier initial </w:t>
      </w:r>
      <w:r w:rsidR="007704A6">
        <w:rPr>
          <w:lang w:val="fr-FR"/>
        </w:rPr>
        <w:t>de mise en œuvre sont cependant pour la plupart irrattrapables dans un contexte où le programme ne pourra bénéficier d’une extension au-delà du mois de juin 2013. Ainsi, s</w:t>
      </w:r>
      <w:r w:rsidR="001B00D8">
        <w:rPr>
          <w:lang w:val="fr-FR"/>
        </w:rPr>
        <w:t xml:space="preserve">i le rythme d’exécution ne s’accélère pas au cours des derniers </w:t>
      </w:r>
      <w:r>
        <w:rPr>
          <w:lang w:val="fr-FR"/>
        </w:rPr>
        <w:t>douze</w:t>
      </w:r>
      <w:r w:rsidR="001B00D8">
        <w:rPr>
          <w:lang w:val="fr-FR"/>
        </w:rPr>
        <w:t xml:space="preserve"> mois de mise en œuvre</w:t>
      </w:r>
      <w:r w:rsidR="003F4AFB">
        <w:rPr>
          <w:lang w:val="fr-FR"/>
        </w:rPr>
        <w:t xml:space="preserve"> autour d’un </w:t>
      </w:r>
      <w:r w:rsidR="003F4AFB" w:rsidRPr="004E01D2">
        <w:rPr>
          <w:lang w:val="fr-CA"/>
        </w:rPr>
        <w:t>n</w:t>
      </w:r>
      <w:r w:rsidR="003F4AFB">
        <w:rPr>
          <w:lang w:val="fr-FR"/>
        </w:rPr>
        <w:t>ombre plus réaliste d’interventions stratégiques,</w:t>
      </w:r>
      <w:r>
        <w:rPr>
          <w:lang w:val="fr-FR"/>
        </w:rPr>
        <w:t xml:space="preserve"> </w:t>
      </w:r>
      <w:r w:rsidR="007704A6">
        <w:rPr>
          <w:lang w:val="fr-FR"/>
        </w:rPr>
        <w:t>on peut s’attendre à ce</w:t>
      </w:r>
      <w:r>
        <w:rPr>
          <w:lang w:val="fr-FR"/>
        </w:rPr>
        <w:t xml:space="preserve"> le programme n’atteigne qu’une partie réduite de ses objectifs spécifiques et</w:t>
      </w:r>
      <w:r w:rsidR="003F4AFB">
        <w:rPr>
          <w:lang w:val="fr-FR"/>
        </w:rPr>
        <w:t xml:space="preserve"> </w:t>
      </w:r>
      <w:r>
        <w:rPr>
          <w:lang w:val="fr-FR"/>
        </w:rPr>
        <w:t xml:space="preserve">un </w:t>
      </w:r>
      <w:r w:rsidR="00965365">
        <w:rPr>
          <w:lang w:val="fr-FR"/>
        </w:rPr>
        <w:t>reliquat budgétaire</w:t>
      </w:r>
      <w:r w:rsidR="001B00D8">
        <w:rPr>
          <w:lang w:val="fr-FR"/>
        </w:rPr>
        <w:t xml:space="preserve"> </w:t>
      </w:r>
      <w:r w:rsidR="00965365">
        <w:rPr>
          <w:lang w:val="fr-FR"/>
        </w:rPr>
        <w:t>significatif</w:t>
      </w:r>
      <w:r w:rsidR="001B00D8">
        <w:rPr>
          <w:lang w:val="fr-FR"/>
        </w:rPr>
        <w:t xml:space="preserve">, de l’ordre de plus de </w:t>
      </w:r>
      <w:r w:rsidR="003F4AFB">
        <w:rPr>
          <w:lang w:val="fr-FR"/>
        </w:rPr>
        <w:t>60% du</w:t>
      </w:r>
      <w:r w:rsidR="001B00D8">
        <w:rPr>
          <w:lang w:val="fr-FR"/>
        </w:rPr>
        <w:t xml:space="preserve"> budget </w:t>
      </w:r>
      <w:r w:rsidR="00382468">
        <w:rPr>
          <w:lang w:val="fr-FR"/>
        </w:rPr>
        <w:t>initial</w:t>
      </w:r>
      <w:r w:rsidR="001B00D8">
        <w:rPr>
          <w:lang w:val="fr-FR"/>
        </w:rPr>
        <w:t xml:space="preserve">, </w:t>
      </w:r>
      <w:r w:rsidR="00965365">
        <w:rPr>
          <w:lang w:val="fr-FR"/>
        </w:rPr>
        <w:t xml:space="preserve">est à </w:t>
      </w:r>
      <w:r w:rsidR="007704A6">
        <w:rPr>
          <w:lang w:val="fr-FR"/>
        </w:rPr>
        <w:t>craindre</w:t>
      </w:r>
      <w:r w:rsidR="00965365">
        <w:rPr>
          <w:lang w:val="fr-FR"/>
        </w:rPr>
        <w:t>.</w:t>
      </w:r>
      <w:r w:rsidR="0049243E">
        <w:rPr>
          <w:lang w:val="fr-FR"/>
        </w:rPr>
        <w:t xml:space="preserve"> </w:t>
      </w:r>
      <w:r w:rsidR="001D2A5F">
        <w:rPr>
          <w:lang w:val="fr-FR"/>
        </w:rPr>
        <w:t>Pour les bailleurs de fonds du programme, l</w:t>
      </w:r>
      <w:r w:rsidR="0049243E">
        <w:rPr>
          <w:lang w:val="fr-FR"/>
        </w:rPr>
        <w:t xml:space="preserve">a situation est donc </w:t>
      </w:r>
      <w:r>
        <w:rPr>
          <w:lang w:val="fr-FR"/>
        </w:rPr>
        <w:t>préoccupante</w:t>
      </w:r>
      <w:r w:rsidR="0049243E">
        <w:rPr>
          <w:lang w:val="fr-FR"/>
        </w:rPr>
        <w:t>, ma</w:t>
      </w:r>
      <w:r w:rsidR="001E16AB">
        <w:rPr>
          <w:lang w:val="fr-FR"/>
        </w:rPr>
        <w:t>i</w:t>
      </w:r>
      <w:r w:rsidR="0049243E">
        <w:rPr>
          <w:lang w:val="fr-FR"/>
        </w:rPr>
        <w:t>s la mission est d’avis que les possibilités de la redresser existent, à un certain nombre de conditions.</w:t>
      </w:r>
    </w:p>
    <w:p w:rsidR="00CF4FE0" w:rsidRDefault="00382468" w:rsidP="00CF4FE0">
      <w:pPr>
        <w:pStyle w:val="NoSpacing"/>
        <w:numPr>
          <w:ilvl w:val="0"/>
          <w:numId w:val="1"/>
        </w:numPr>
        <w:ind w:left="0" w:firstLine="0"/>
        <w:rPr>
          <w:lang w:val="fr-FR"/>
        </w:rPr>
      </w:pPr>
      <w:r w:rsidRPr="00117C3B">
        <w:rPr>
          <w:b/>
          <w:lang w:val="fr-FR"/>
        </w:rPr>
        <w:t>Une pertinence indéniable</w:t>
      </w:r>
      <w:r w:rsidRPr="00117C3B">
        <w:rPr>
          <w:lang w:val="fr-FR"/>
        </w:rPr>
        <w:t xml:space="preserve">. </w:t>
      </w:r>
      <w:r w:rsidR="00CD04C7" w:rsidRPr="00117C3B">
        <w:rPr>
          <w:lang w:val="fr-FR"/>
        </w:rPr>
        <w:t xml:space="preserve">Ainsi que l’avait noté en </w:t>
      </w:r>
      <w:r w:rsidR="00DD2C54" w:rsidRPr="00117C3B">
        <w:rPr>
          <w:lang w:val="fr-FR"/>
        </w:rPr>
        <w:t>avril 2010</w:t>
      </w:r>
      <w:r w:rsidR="00CD04C7" w:rsidRPr="00117C3B">
        <w:rPr>
          <w:lang w:val="fr-FR"/>
        </w:rPr>
        <w:t xml:space="preserve"> l’évaluation à mi-parcours du Programme de Pays du PNUD, </w:t>
      </w:r>
      <w:r w:rsidR="0049243E" w:rsidRPr="00117C3B">
        <w:rPr>
          <w:lang w:val="fr-FR"/>
        </w:rPr>
        <w:t>les faibles avancées</w:t>
      </w:r>
      <w:r w:rsidR="001100FA" w:rsidRPr="00117C3B">
        <w:rPr>
          <w:lang w:val="fr-FR"/>
        </w:rPr>
        <w:t xml:space="preserve"> </w:t>
      </w:r>
      <w:r w:rsidR="0049243E" w:rsidRPr="00117C3B">
        <w:rPr>
          <w:lang w:val="fr-FR"/>
        </w:rPr>
        <w:t xml:space="preserve">à ce jour </w:t>
      </w:r>
      <w:r w:rsidR="001100FA" w:rsidRPr="00117C3B">
        <w:rPr>
          <w:lang w:val="fr-FR"/>
        </w:rPr>
        <w:t xml:space="preserve">du programme conjoint </w:t>
      </w:r>
      <w:r w:rsidR="0049243E" w:rsidRPr="00117C3B">
        <w:rPr>
          <w:lang w:val="fr-FR"/>
        </w:rPr>
        <w:t>sont</w:t>
      </w:r>
      <w:r w:rsidR="001100FA" w:rsidRPr="00117C3B">
        <w:rPr>
          <w:lang w:val="fr-FR"/>
        </w:rPr>
        <w:t xml:space="preserve"> d’autant plus regrettable</w:t>
      </w:r>
      <w:r w:rsidR="0049243E" w:rsidRPr="00117C3B">
        <w:rPr>
          <w:lang w:val="fr-FR"/>
        </w:rPr>
        <w:t>s</w:t>
      </w:r>
      <w:r w:rsidR="001100FA" w:rsidRPr="00117C3B">
        <w:rPr>
          <w:lang w:val="fr-FR"/>
        </w:rPr>
        <w:t xml:space="preserve"> que le programme</w:t>
      </w:r>
      <w:r w:rsidR="00DD2C54" w:rsidRPr="00117C3B">
        <w:rPr>
          <w:lang w:val="fr-FR"/>
        </w:rPr>
        <w:t xml:space="preserve"> porte « </w:t>
      </w:r>
      <w:r w:rsidR="00CD04C7" w:rsidRPr="00117C3B">
        <w:rPr>
          <w:i/>
          <w:lang w:val="fr-FR"/>
        </w:rPr>
        <w:t>sur une thématique qui fait depuis longtemps l’objet d’un plaidoy</w:t>
      </w:r>
      <w:r w:rsidR="00CD04C7" w:rsidRPr="00117C3B">
        <w:rPr>
          <w:i/>
          <w:lang w:val="fr-CA"/>
        </w:rPr>
        <w:t>er important de la part du SNU</w:t>
      </w:r>
      <w:r w:rsidR="00DD2C54" w:rsidRPr="00117C3B">
        <w:rPr>
          <w:i/>
          <w:lang w:val="fr-CA"/>
        </w:rPr>
        <w:t xml:space="preserve"> et que […] </w:t>
      </w:r>
      <w:r w:rsidR="00CD04C7" w:rsidRPr="00117C3B">
        <w:rPr>
          <w:i/>
          <w:lang w:val="fr-CA"/>
        </w:rPr>
        <w:t>le financement du Fonds OMD pour le programme commun sur l’égalité entre les genres (dont l’approbation constitue également un succès collectif pour le SNU) apporte un volume de ressources très nettement supérieur à celui dont disposent habituellement les agences des Nations Unies pour appuyer les efforts nationaux dans ce domaine. »</w:t>
      </w:r>
      <w:r w:rsidR="00DD2C54" w:rsidRPr="00117C3B">
        <w:rPr>
          <w:lang w:val="fr-CA"/>
        </w:rPr>
        <w:t xml:space="preserve"> En d’autres termes, la</w:t>
      </w:r>
      <w:r w:rsidR="003F4AFB" w:rsidRPr="00117C3B">
        <w:rPr>
          <w:lang w:val="fr-FR"/>
        </w:rPr>
        <w:t xml:space="preserve"> pertinence des objectifs poursuivis par le programme conjoint n’est pas à remettre en question : il </w:t>
      </w:r>
      <w:r w:rsidR="003F4AFB" w:rsidRPr="00117C3B">
        <w:rPr>
          <w:lang w:val="fr-CA"/>
        </w:rPr>
        <w:t>s’attaque</w:t>
      </w:r>
      <w:r w:rsidR="003F4AFB" w:rsidRPr="00117C3B">
        <w:rPr>
          <w:lang w:val="fr-FR"/>
        </w:rPr>
        <w:t xml:space="preserve"> à un problème réel et toujours d’</w:t>
      </w:r>
      <w:r w:rsidR="006C6985" w:rsidRPr="00117C3B">
        <w:rPr>
          <w:lang w:val="fr-FR"/>
        </w:rPr>
        <w:t>actualité</w:t>
      </w:r>
      <w:r w:rsidR="00DD2C54" w:rsidRPr="00117C3B">
        <w:rPr>
          <w:lang w:val="fr-FR"/>
        </w:rPr>
        <w:t xml:space="preserve">, </w:t>
      </w:r>
      <w:r w:rsidR="003F4AFB" w:rsidRPr="00117C3B">
        <w:rPr>
          <w:lang w:val="fr-FR"/>
        </w:rPr>
        <w:t>celui de l’inégalité entre les</w:t>
      </w:r>
      <w:r w:rsidR="00117C3B">
        <w:rPr>
          <w:lang w:val="fr-FR"/>
        </w:rPr>
        <w:t xml:space="preserve"> </w:t>
      </w:r>
      <w:r w:rsidR="003F4AFB" w:rsidRPr="00117C3B">
        <w:rPr>
          <w:lang w:val="fr-FR"/>
        </w:rPr>
        <w:t xml:space="preserve">genres en général, et de l’inégal accès des femmes algériennes au marché du travail et aux dispositifs d’appui de l’Etat dans divers domaines </w:t>
      </w:r>
      <w:r w:rsidR="006C6985" w:rsidRPr="00117C3B">
        <w:rPr>
          <w:lang w:val="fr-FR"/>
        </w:rPr>
        <w:t xml:space="preserve">en particulier. </w:t>
      </w:r>
    </w:p>
    <w:p w:rsidR="00CF4FE0" w:rsidRDefault="00CF4FE0" w:rsidP="00CF4FE0">
      <w:pPr>
        <w:pStyle w:val="NoSpacing"/>
        <w:numPr>
          <w:ilvl w:val="0"/>
          <w:numId w:val="1"/>
        </w:numPr>
        <w:ind w:left="0" w:firstLine="0"/>
        <w:rPr>
          <w:lang w:val="fr-FR"/>
        </w:rPr>
      </w:pPr>
      <w:r w:rsidRPr="00CF4FE0">
        <w:rPr>
          <w:b/>
          <w:lang w:val="fr-FR"/>
        </w:rPr>
        <w:t>Quelques avancées et un certain potentiel.</w:t>
      </w:r>
      <w:r w:rsidRPr="00CF4FE0">
        <w:rPr>
          <w:lang w:val="fr-FR"/>
        </w:rPr>
        <w:t xml:space="preserve"> Malgré </w:t>
      </w:r>
      <w:r>
        <w:rPr>
          <w:lang w:val="fr-FR"/>
        </w:rPr>
        <w:t>les</w:t>
      </w:r>
      <w:r w:rsidRPr="00CF4FE0">
        <w:rPr>
          <w:lang w:val="fr-FR"/>
        </w:rPr>
        <w:t xml:space="preserve"> difficultés </w:t>
      </w:r>
      <w:r>
        <w:rPr>
          <w:lang w:val="fr-FR"/>
        </w:rPr>
        <w:t>d’exécution et les retards</w:t>
      </w:r>
      <w:r w:rsidRPr="00CF4FE0">
        <w:rPr>
          <w:lang w:val="fr-FR"/>
        </w:rPr>
        <w:t>, le programme a réussi à lancer un certain nombre d’activités, dont certaines, si elles sont terminées dans les délais, ont le potentiel de jeter des jalons intéressants pour l’avancement de l’approche genre dans le pays et la meilleure prise en compte des besoins des femmes, notamment les plus vulnérables, auprès des décideurs.</w:t>
      </w:r>
    </w:p>
    <w:p w:rsidR="00CF4FE0" w:rsidRDefault="00CF4FE0" w:rsidP="00CF4FE0">
      <w:pPr>
        <w:pStyle w:val="NoSpacing"/>
        <w:numPr>
          <w:ilvl w:val="0"/>
          <w:numId w:val="1"/>
        </w:numPr>
        <w:ind w:left="0" w:firstLine="0"/>
        <w:rPr>
          <w:lang w:val="fr-FR"/>
        </w:rPr>
      </w:pPr>
      <w:r w:rsidRPr="00CF4FE0">
        <w:rPr>
          <w:lang w:val="fr-FR"/>
        </w:rPr>
        <w:t xml:space="preserve">Pour commencer on pourra remarquer que le simple fait que, pour la première fois dans le pays, un programme amène un </w:t>
      </w:r>
      <w:r w:rsidRPr="00CF4FE0">
        <w:rPr>
          <w:lang w:val="fr-CA"/>
        </w:rPr>
        <w:t>aussi</w:t>
      </w:r>
      <w:r w:rsidRPr="00CF4FE0">
        <w:rPr>
          <w:lang w:val="fr-FR"/>
        </w:rPr>
        <w:t xml:space="preserve"> grand nombre de partenaires du gouvernement et du SNU à rompre les barrières institutionnelles afin de poursuivre, tous ensemble, un objectif commun représente en soi un résultat important et conforme à l’esprit du Fonds-OMD. L’impact du programme conjoint semble particulièrement important au regard de la situation pré-programme, caractérisée par l’absence de liens et de dialogue entre le SNU et le gouvernement. </w:t>
      </w:r>
    </w:p>
    <w:p w:rsidR="008D3A10" w:rsidRDefault="008D3A10" w:rsidP="00CF4FE0">
      <w:pPr>
        <w:pStyle w:val="NoSpacing"/>
        <w:numPr>
          <w:ilvl w:val="0"/>
          <w:numId w:val="1"/>
        </w:numPr>
        <w:ind w:left="0" w:firstLine="0"/>
        <w:rPr>
          <w:lang w:val="fr-FR"/>
        </w:rPr>
      </w:pPr>
      <w:r>
        <w:rPr>
          <w:lang w:val="fr-FR"/>
        </w:rPr>
        <w:t>La bonne appropriation nationale du programme et de ses objectifs est le fruit du travail de fonds commun du SNU et du MDCFCF pour établir de solides bases institutionnelles à la poursuite d’un « agenda » qui sera nécessairement long à réaliser. Il s’agit bien, collectivement, de changer les attitudes et les pratiques au niveau politique, économique et social dans la poursuite de l’OMD</w:t>
      </w:r>
      <w:r w:rsidR="00471479">
        <w:rPr>
          <w:lang w:val="fr-FR"/>
        </w:rPr>
        <w:t xml:space="preserve"> </w:t>
      </w:r>
      <w:r>
        <w:rPr>
          <w:lang w:val="fr-FR"/>
        </w:rPr>
        <w:t xml:space="preserve">3 et il est donc important d’évaluer les avancées du programme dans une perspective à plus long terme que </w:t>
      </w:r>
      <w:r>
        <w:rPr>
          <w:lang w:val="fr-FR"/>
        </w:rPr>
        <w:lastRenderedPageBreak/>
        <w:t xml:space="preserve">le seul horizon des bailleurs. Dans cette perspective, la mission est d’avis que </w:t>
      </w:r>
      <w:r w:rsidR="00A15A94">
        <w:rPr>
          <w:lang w:val="fr-FR"/>
        </w:rPr>
        <w:t>le programme a jeté des jalons intéssant.</w:t>
      </w:r>
    </w:p>
    <w:p w:rsidR="00CF4FE0" w:rsidRDefault="00CF4FE0" w:rsidP="00CF4FE0">
      <w:pPr>
        <w:pStyle w:val="NoSpacing"/>
        <w:numPr>
          <w:ilvl w:val="0"/>
          <w:numId w:val="1"/>
        </w:numPr>
        <w:ind w:left="0" w:firstLine="0"/>
        <w:rPr>
          <w:lang w:val="fr-FR"/>
        </w:rPr>
      </w:pPr>
      <w:r w:rsidRPr="00CF4FE0">
        <w:rPr>
          <w:lang w:val="fr-FR"/>
        </w:rPr>
        <w:t>On notera ensuite que l’existence du programme renforce indéniablement</w:t>
      </w:r>
      <w:r w:rsidR="008D3A10">
        <w:rPr>
          <w:lang w:val="fr-FR"/>
        </w:rPr>
        <w:t>, et</w:t>
      </w:r>
      <w:r w:rsidRPr="00CF4FE0">
        <w:rPr>
          <w:lang w:val="fr-FR"/>
        </w:rPr>
        <w:t xml:space="preserve"> considérablement</w:t>
      </w:r>
      <w:r w:rsidR="008D3A10">
        <w:rPr>
          <w:lang w:val="fr-FR"/>
        </w:rPr>
        <w:t>,</w:t>
      </w:r>
      <w:r w:rsidRPr="00CF4FE0">
        <w:rPr>
          <w:lang w:val="fr-FR"/>
        </w:rPr>
        <w:t xml:space="preserve"> la force opérationnelle du MDCFCF, un ministère en sous-effectif et sans véritables moyens de fonctionnement. Il est </w:t>
      </w:r>
      <w:r w:rsidR="008D3A10">
        <w:rPr>
          <w:lang w:val="fr-FR"/>
        </w:rPr>
        <w:t xml:space="preserve">ainsi </w:t>
      </w:r>
      <w:r w:rsidRPr="00CF4FE0">
        <w:rPr>
          <w:lang w:val="fr-FR"/>
        </w:rPr>
        <w:t>probable que le renforcement des capacités de ce ministère, dans un avenir proche, demandera un appui soutenu de la part du système des Nations Unies</w:t>
      </w:r>
      <w:r w:rsidR="008D3A10">
        <w:rPr>
          <w:lang w:val="fr-FR"/>
        </w:rPr>
        <w:t xml:space="preserve"> comme du gouvernement Algérien</w:t>
      </w:r>
      <w:r w:rsidRPr="00CF4FE0">
        <w:rPr>
          <w:lang w:val="fr-FR"/>
        </w:rPr>
        <w:t xml:space="preserve">. </w:t>
      </w:r>
    </w:p>
    <w:p w:rsidR="00CF4FE0" w:rsidRDefault="00CF4FE0" w:rsidP="00CF4FE0">
      <w:pPr>
        <w:pStyle w:val="NoSpacing"/>
        <w:numPr>
          <w:ilvl w:val="0"/>
          <w:numId w:val="1"/>
        </w:numPr>
        <w:ind w:left="0" w:firstLine="0"/>
        <w:rPr>
          <w:lang w:val="fr-FR"/>
        </w:rPr>
      </w:pPr>
      <w:r w:rsidRPr="00CF4FE0">
        <w:rPr>
          <w:lang w:val="fr-FR"/>
        </w:rPr>
        <w:t xml:space="preserve">Les activités les plus prometteuses sont celles qui visent à la conduite d’un certain nombre d’études, d’enquêtes et de diagnostics qui permettront d’apporter un éclairage utile sur certains aspects particuliers de la situation de la femme algérienne et armeront le MDCFCF d’arguments quantifiés. De même, les actions pilotes qui visent à tester de nouveaux dispositifs pour appuyer les femmes rurales vulnérables, analphabètes ou désireuses de se lancer dans une </w:t>
      </w:r>
      <w:r w:rsidR="005121C5">
        <w:rPr>
          <w:lang w:val="fr-FR"/>
        </w:rPr>
        <w:t>activité génératrice de revenus</w:t>
      </w:r>
      <w:r w:rsidRPr="00CF4FE0">
        <w:rPr>
          <w:lang w:val="fr-FR"/>
        </w:rPr>
        <w:t>, ou encore à piloter l’application concrète de l’intégration de la dimension genre aux processus locaux de planification, semblent avoir un bon potentiel d’impact si elles sont correctement documentées. La mission est d’avis que le restant de la mise en œuvre devra en priorité ses concentrer sur ce type d’activités.</w:t>
      </w:r>
    </w:p>
    <w:p w:rsidR="00CF4FE0" w:rsidRDefault="00CF4FE0" w:rsidP="00CF4FE0">
      <w:pPr>
        <w:pStyle w:val="NoSpacing"/>
        <w:numPr>
          <w:ilvl w:val="0"/>
          <w:numId w:val="1"/>
        </w:numPr>
        <w:ind w:left="0" w:firstLine="0"/>
        <w:rPr>
          <w:lang w:val="fr-FR"/>
        </w:rPr>
      </w:pPr>
      <w:r w:rsidRPr="00CF4FE0">
        <w:rPr>
          <w:lang w:val="fr-FR"/>
        </w:rPr>
        <w:t>Plus généralement, le programme a le potentiel de jouer en Algérie le r</w:t>
      </w:r>
      <w:r w:rsidRPr="00CF4FE0">
        <w:rPr>
          <w:rFonts w:cs="Calibri"/>
          <w:lang w:val="fr-FR"/>
        </w:rPr>
        <w:t>ô</w:t>
      </w:r>
      <w:r w:rsidRPr="00CF4FE0">
        <w:rPr>
          <w:lang w:val="fr-FR"/>
        </w:rPr>
        <w:t>le de précurseur dans l’introduction d’un certain nombre de thématiques nouvelles (genre et développement, BSG), à charge pour le gouvernement algérien et le SNU de continuer et d’approfondir ces grands chantiers</w:t>
      </w:r>
      <w:r w:rsidR="008D3A10">
        <w:rPr>
          <w:lang w:val="fr-FR"/>
        </w:rPr>
        <w:t xml:space="preserve"> dans le court et moyen terme</w:t>
      </w:r>
      <w:r w:rsidRPr="00CF4FE0">
        <w:rPr>
          <w:lang w:val="fr-FR"/>
        </w:rPr>
        <w:t xml:space="preserve">. </w:t>
      </w:r>
      <w:r w:rsidR="008D3A10" w:rsidRPr="00CF4FE0">
        <w:rPr>
          <w:lang w:val="fr-FR"/>
        </w:rPr>
        <w:t>A cet égard et dans une perspective de pérennisation des acquis, l’attitude très positive du SNU et de son Coordonnateur Résident, comme celle d’autres bailleurs de fonds, sont très encourageantes.</w:t>
      </w:r>
      <w:r w:rsidR="008D3A10">
        <w:rPr>
          <w:lang w:val="fr-FR"/>
        </w:rPr>
        <w:t xml:space="preserve"> </w:t>
      </w:r>
    </w:p>
    <w:p w:rsidR="00CF4FE0" w:rsidRDefault="00382468" w:rsidP="00CF4FE0">
      <w:pPr>
        <w:pStyle w:val="NoSpacing"/>
        <w:numPr>
          <w:ilvl w:val="0"/>
          <w:numId w:val="1"/>
        </w:numPr>
        <w:ind w:left="0" w:firstLine="0"/>
        <w:rPr>
          <w:lang w:val="fr-FR"/>
        </w:rPr>
      </w:pPr>
      <w:r w:rsidRPr="00CF4FE0">
        <w:rPr>
          <w:b/>
          <w:lang w:val="fr-FR"/>
        </w:rPr>
        <w:t>Des difficultés aux causes multiples</w:t>
      </w:r>
      <w:r w:rsidRPr="00CF4FE0">
        <w:rPr>
          <w:lang w:val="fr-FR"/>
        </w:rPr>
        <w:t xml:space="preserve">. </w:t>
      </w:r>
      <w:r w:rsidR="00CF4FE0">
        <w:rPr>
          <w:lang w:val="fr-FR"/>
        </w:rPr>
        <w:t xml:space="preserve">De l’avis de la mission, </w:t>
      </w:r>
      <w:r w:rsidR="0049243E" w:rsidRPr="00CF4FE0">
        <w:rPr>
          <w:lang w:val="fr-FR"/>
        </w:rPr>
        <w:t xml:space="preserve">les objectifs assignés au programme étaient bien trop ambitieux, voire </w:t>
      </w:r>
      <w:r w:rsidR="008D3A10">
        <w:rPr>
          <w:lang w:val="fr-FR"/>
        </w:rPr>
        <w:t>parfois</w:t>
      </w:r>
      <w:r w:rsidR="0049243E" w:rsidRPr="00CF4FE0">
        <w:rPr>
          <w:lang w:val="fr-FR"/>
        </w:rPr>
        <w:t xml:space="preserve"> irréalistes</w:t>
      </w:r>
      <w:r w:rsidR="008D3A10">
        <w:rPr>
          <w:lang w:val="fr-FR"/>
        </w:rPr>
        <w:t xml:space="preserve"> au regard de la courte durée de vie du programme</w:t>
      </w:r>
      <w:r w:rsidR="0049243E" w:rsidRPr="00CF4FE0">
        <w:rPr>
          <w:lang w:val="fr-FR"/>
        </w:rPr>
        <w:t xml:space="preserve">, ce qui est la source d’une partie des difficultés rencontrées dans la </w:t>
      </w:r>
      <w:r w:rsidR="003F4AFB" w:rsidRPr="00CF4FE0">
        <w:rPr>
          <w:lang w:val="fr-FR"/>
        </w:rPr>
        <w:t>bonne mise en œuvre</w:t>
      </w:r>
      <w:r w:rsidR="0049243E" w:rsidRPr="00CF4FE0">
        <w:rPr>
          <w:lang w:val="fr-FR"/>
        </w:rPr>
        <w:t xml:space="preserve">. </w:t>
      </w:r>
    </w:p>
    <w:p w:rsidR="00CF4FE0" w:rsidRDefault="00707498" w:rsidP="00CF4FE0">
      <w:pPr>
        <w:pStyle w:val="NoSpacing"/>
        <w:numPr>
          <w:ilvl w:val="0"/>
          <w:numId w:val="1"/>
        </w:numPr>
        <w:ind w:left="0" w:firstLine="0"/>
        <w:rPr>
          <w:lang w:val="fr-FR"/>
        </w:rPr>
      </w:pPr>
      <w:r w:rsidRPr="00CF4FE0">
        <w:rPr>
          <w:lang w:val="fr-FR"/>
        </w:rPr>
        <w:t xml:space="preserve">Dans un contexte normal, les défaillances ou lacunes de la conception d’un programme peuvent se corriger au moment du démarrage des activités ou en cours de route.  Dans le cas du programme conjoint, la version finale du document de projet a été </w:t>
      </w:r>
      <w:r w:rsidR="00734D1F" w:rsidRPr="00CF4FE0">
        <w:rPr>
          <w:lang w:val="fr-FR"/>
        </w:rPr>
        <w:t>approuvée</w:t>
      </w:r>
      <w:r w:rsidRPr="00CF4FE0">
        <w:rPr>
          <w:lang w:val="fr-FR"/>
        </w:rPr>
        <w:t xml:space="preserve"> par la contrepartie algérienne en janvier 2008, </w:t>
      </w:r>
      <w:r w:rsidR="00734D1F" w:rsidRPr="00CF4FE0">
        <w:rPr>
          <w:lang w:val="fr-FR"/>
        </w:rPr>
        <w:t>soit quelques semaines après l’attentat tragique de décembre 2007. Tout au long de l’année 2008, le système des Nations Unies n’a pu opérer normalement, occupé à reconstituer ses forces opérationnelles</w:t>
      </w:r>
      <w:r w:rsidR="005B0EAB">
        <w:rPr>
          <w:rStyle w:val="FootnoteReference"/>
          <w:lang w:val="fr-FR"/>
        </w:rPr>
        <w:footnoteReference w:id="86"/>
      </w:r>
      <w:r w:rsidR="005B0EAB" w:rsidRPr="00CF4FE0">
        <w:rPr>
          <w:lang w:val="fr-FR"/>
        </w:rPr>
        <w:t> ;</w:t>
      </w:r>
      <w:r w:rsidR="00734D1F" w:rsidRPr="00CF4FE0">
        <w:rPr>
          <w:lang w:val="fr-FR"/>
        </w:rPr>
        <w:t xml:space="preserve"> à la suite de quoi de nouveaux acteurs, au sein de la plupart des agences, ont dû s’approprier le programme avant de se décider à accepter la responsabilité de sa mise en œuvre.</w:t>
      </w:r>
    </w:p>
    <w:p w:rsidR="009F5D7D" w:rsidRPr="00CF4FE0" w:rsidRDefault="00734D1F" w:rsidP="00CF4FE0">
      <w:pPr>
        <w:pStyle w:val="NoSpacing"/>
        <w:numPr>
          <w:ilvl w:val="0"/>
          <w:numId w:val="1"/>
        </w:numPr>
        <w:ind w:left="0" w:firstLine="0"/>
        <w:rPr>
          <w:lang w:val="fr-FR"/>
        </w:rPr>
      </w:pPr>
      <w:r w:rsidRPr="00CF4FE0">
        <w:rPr>
          <w:lang w:val="fr-FR"/>
        </w:rPr>
        <w:t xml:space="preserve">Le contexte extérieur particulièrement difficile qui a marqué la période de finalisation de la conception </w:t>
      </w:r>
      <w:r w:rsidR="009F5D7D" w:rsidRPr="00CF4FE0">
        <w:rPr>
          <w:lang w:val="fr-FR"/>
        </w:rPr>
        <w:t xml:space="preserve">du programme </w:t>
      </w:r>
      <w:r w:rsidRPr="00CF4FE0">
        <w:rPr>
          <w:lang w:val="fr-FR"/>
        </w:rPr>
        <w:t xml:space="preserve">et de </w:t>
      </w:r>
      <w:r w:rsidR="009F5D7D" w:rsidRPr="00CF4FE0">
        <w:rPr>
          <w:lang w:val="fr-FR"/>
        </w:rPr>
        <w:t xml:space="preserve">son </w:t>
      </w:r>
      <w:r w:rsidRPr="00CF4FE0">
        <w:rPr>
          <w:lang w:val="fr-FR"/>
        </w:rPr>
        <w:t xml:space="preserve">démarrage explique donc une partie du retard dans le calendrier d’exécution initialement prévu par les concepteurs (un démarrage en 2009 et une </w:t>
      </w:r>
      <w:r w:rsidR="00283036" w:rsidRPr="00CF4FE0">
        <w:rPr>
          <w:lang w:val="fr-FR"/>
        </w:rPr>
        <w:t>clôture fin 2011)</w:t>
      </w:r>
      <w:r w:rsidR="009F5D7D" w:rsidRPr="00CF4FE0">
        <w:rPr>
          <w:lang w:val="fr-FR"/>
        </w:rPr>
        <w:t>. Pour autant, ces difficultés n’expliquent pas tout et les problèmes rencontrés dans la mise en œuvre trouvent aussi leur source ailleurs, dans une série de dysfonctionnements qu’il est difficile de classer par ordre d’importan</w:t>
      </w:r>
      <w:r w:rsidR="0079493D" w:rsidRPr="00CF4FE0">
        <w:rPr>
          <w:lang w:val="fr-FR"/>
        </w:rPr>
        <w:t>c</w:t>
      </w:r>
      <w:r w:rsidR="009F5D7D" w:rsidRPr="00CF4FE0">
        <w:rPr>
          <w:lang w:val="fr-FR"/>
        </w:rPr>
        <w:t>e :</w:t>
      </w:r>
    </w:p>
    <w:p w:rsidR="009F5D7D" w:rsidRDefault="009F5D7D" w:rsidP="0038607C">
      <w:pPr>
        <w:pStyle w:val="NoSpacing"/>
        <w:numPr>
          <w:ilvl w:val="0"/>
          <w:numId w:val="26"/>
        </w:numPr>
        <w:rPr>
          <w:lang w:val="fr-FR"/>
        </w:rPr>
      </w:pPr>
      <w:r>
        <w:rPr>
          <w:lang w:val="fr-FR"/>
        </w:rPr>
        <w:t>Ainsi, et tout d’abord, la décision des partenaires</w:t>
      </w:r>
      <w:r w:rsidR="0079493D">
        <w:rPr>
          <w:lang w:val="fr-FR"/>
        </w:rPr>
        <w:t xml:space="preserve">, au démarrage du programme, </w:t>
      </w:r>
      <w:r>
        <w:rPr>
          <w:lang w:val="fr-FR"/>
        </w:rPr>
        <w:t>de ne pas se lancer dans un exercice de revue stratégique de la conception</w:t>
      </w:r>
      <w:r w:rsidR="0079493D">
        <w:rPr>
          <w:lang w:val="fr-FR"/>
        </w:rPr>
        <w:t xml:space="preserve"> (un exercice</w:t>
      </w:r>
      <w:r>
        <w:rPr>
          <w:lang w:val="fr-FR"/>
        </w:rPr>
        <w:t xml:space="preserve"> qui aurait permis d’identifier les lacunes ou les problèmes de pertinence des interventions</w:t>
      </w:r>
      <w:r w:rsidR="0079493D">
        <w:rPr>
          <w:lang w:val="fr-FR"/>
        </w:rPr>
        <w:t>), puis l’adhérence rigide au document de projet, ont eu pour conséquences de priver les</w:t>
      </w:r>
      <w:r>
        <w:rPr>
          <w:lang w:val="fr-FR"/>
        </w:rPr>
        <w:t xml:space="preserve"> partenaires </w:t>
      </w:r>
      <w:r w:rsidR="0079493D">
        <w:rPr>
          <w:lang w:val="fr-FR"/>
        </w:rPr>
        <w:t xml:space="preserve">d’une occasion de corriger les lacunes de ce document (s’agissant notamment du flou conceptuel de nombreuses </w:t>
      </w:r>
      <w:r w:rsidR="0079493D">
        <w:rPr>
          <w:lang w:val="fr-FR"/>
        </w:rPr>
        <w:lastRenderedPageBreak/>
        <w:t xml:space="preserve">interventions et des aspects de gestion opérationnelle et de pilotage), </w:t>
      </w:r>
      <w:r>
        <w:rPr>
          <w:lang w:val="fr-FR"/>
        </w:rPr>
        <w:t>de bien s’</w:t>
      </w:r>
      <w:r w:rsidR="0079493D">
        <w:rPr>
          <w:lang w:val="fr-FR"/>
        </w:rPr>
        <w:t>approprier la conception et de préparer un programme et calendrier de mise en œuvre pluriannuel consolidé qui soit réaliste.</w:t>
      </w:r>
    </w:p>
    <w:p w:rsidR="0079493D" w:rsidRDefault="0079493D" w:rsidP="0038607C">
      <w:pPr>
        <w:pStyle w:val="NoSpacing"/>
        <w:numPr>
          <w:ilvl w:val="0"/>
          <w:numId w:val="26"/>
        </w:numPr>
        <w:rPr>
          <w:lang w:val="fr-FR"/>
        </w:rPr>
      </w:pPr>
      <w:r>
        <w:rPr>
          <w:lang w:val="fr-FR"/>
        </w:rPr>
        <w:t>Ensuite,</w:t>
      </w:r>
      <w:r w:rsidR="00EA1437">
        <w:rPr>
          <w:lang w:val="fr-FR"/>
        </w:rPr>
        <w:t xml:space="preserve"> </w:t>
      </w:r>
      <w:r w:rsidR="00361363" w:rsidRPr="006807AE">
        <w:rPr>
          <w:lang w:val="fr-FR"/>
        </w:rPr>
        <w:t xml:space="preserve">et pour des raisons que la mission d’évaluation n’est pas parvenue à </w:t>
      </w:r>
      <w:r w:rsidR="009D58DB">
        <w:rPr>
          <w:lang w:val="fr-FR"/>
        </w:rPr>
        <w:t>entièrement</w:t>
      </w:r>
      <w:r w:rsidR="00361363" w:rsidRPr="006807AE">
        <w:rPr>
          <w:lang w:val="fr-FR"/>
        </w:rPr>
        <w:t xml:space="preserve"> éclaircir, les agences des Nations Unies n’ont pas su renforcer leurs capacités de mise en œuvre</w:t>
      </w:r>
      <w:r>
        <w:rPr>
          <w:lang w:val="fr-FR"/>
        </w:rPr>
        <w:t>, notoirement insuffisante</w:t>
      </w:r>
      <w:r w:rsidR="007704A6">
        <w:rPr>
          <w:lang w:val="fr-FR"/>
        </w:rPr>
        <w:t>s</w:t>
      </w:r>
      <w:r>
        <w:rPr>
          <w:lang w:val="fr-FR"/>
        </w:rPr>
        <w:t>,</w:t>
      </w:r>
      <w:r w:rsidR="00361363">
        <w:rPr>
          <w:lang w:val="fr-FR"/>
        </w:rPr>
        <w:t xml:space="preserve"> (</w:t>
      </w:r>
      <w:r w:rsidR="00361363" w:rsidRPr="0079493D">
        <w:rPr>
          <w:i/>
          <w:lang w:val="fr-FR"/>
        </w:rPr>
        <w:t>par exemple en recrutant l’appui ponctuel ou plus continu nécessaire</w:t>
      </w:r>
      <w:r w:rsidR="00361363">
        <w:rPr>
          <w:lang w:val="fr-FR"/>
        </w:rPr>
        <w:t>)</w:t>
      </w:r>
      <w:r w:rsidR="00361363" w:rsidRPr="006807AE">
        <w:rPr>
          <w:lang w:val="fr-FR"/>
        </w:rPr>
        <w:t>, et ce malgré les recommandations répétées formulées en ce sens par le Secrétariat du F-OMD</w:t>
      </w:r>
      <w:r w:rsidR="00783F40">
        <w:rPr>
          <w:lang w:val="fr-FR"/>
        </w:rPr>
        <w:t>.</w:t>
      </w:r>
      <w:r w:rsidR="00361363" w:rsidRPr="006807AE">
        <w:rPr>
          <w:lang w:val="fr-FR"/>
        </w:rPr>
        <w:t xml:space="preserve"> Les agences des Nations Unies ne sont également pas parvenues à </w:t>
      </w:r>
      <w:r w:rsidR="00361363" w:rsidRPr="004E01D2">
        <w:rPr>
          <w:lang w:val="fr-CA"/>
        </w:rPr>
        <w:t>mieux</w:t>
      </w:r>
      <w:r w:rsidR="00361363" w:rsidRPr="006807AE">
        <w:rPr>
          <w:lang w:val="fr-FR"/>
        </w:rPr>
        <w:t xml:space="preserve"> s’organiser entre elles (</w:t>
      </w:r>
      <w:r w:rsidR="00361363" w:rsidRPr="0049243E">
        <w:rPr>
          <w:i/>
          <w:lang w:val="fr-FR"/>
        </w:rPr>
        <w:t xml:space="preserve">par exemple en nommant une agence </w:t>
      </w:r>
      <w:r>
        <w:rPr>
          <w:i/>
          <w:lang w:val="fr-FR"/>
        </w:rPr>
        <w:t>Chef de file</w:t>
      </w:r>
      <w:r w:rsidR="007704A6">
        <w:rPr>
          <w:lang w:val="fr-FR"/>
        </w:rPr>
        <w:t xml:space="preserve">) </w:t>
      </w:r>
      <w:r w:rsidR="00361363" w:rsidRPr="006807AE">
        <w:rPr>
          <w:lang w:val="fr-FR"/>
        </w:rPr>
        <w:t>ou à améliorer l’efficacité des processus (</w:t>
      </w:r>
      <w:r w:rsidR="00361363" w:rsidRPr="0049243E">
        <w:rPr>
          <w:i/>
          <w:lang w:val="fr-FR"/>
        </w:rPr>
        <w:t>par exemple en décidant de gérer centralement tous les processus de recrutement</w:t>
      </w:r>
      <w:r w:rsidR="0049243E">
        <w:rPr>
          <w:i/>
          <w:lang w:val="fr-FR"/>
        </w:rPr>
        <w:t xml:space="preserve"> ou les fonds du programme</w:t>
      </w:r>
      <w:r w:rsidR="00361363" w:rsidRPr="006807AE">
        <w:rPr>
          <w:lang w:val="fr-FR"/>
        </w:rPr>
        <w:t xml:space="preserve">). </w:t>
      </w:r>
      <w:r w:rsidR="00361363">
        <w:rPr>
          <w:lang w:val="fr-FR"/>
        </w:rPr>
        <w:t xml:space="preserve">Pour leur défense, il convient toutefois de </w:t>
      </w:r>
      <w:r w:rsidR="0049243E">
        <w:rPr>
          <w:lang w:val="fr-FR"/>
        </w:rPr>
        <w:t>reconnaî</w:t>
      </w:r>
      <w:r w:rsidR="00361363">
        <w:rPr>
          <w:lang w:val="fr-FR"/>
        </w:rPr>
        <w:t xml:space="preserve">tre que la </w:t>
      </w:r>
      <w:r w:rsidR="005B0EAB">
        <w:rPr>
          <w:lang w:val="fr-FR"/>
        </w:rPr>
        <w:t>contrainte pour les partenaires des NUs de n’avoir recours</w:t>
      </w:r>
      <w:r w:rsidR="00361363">
        <w:rPr>
          <w:lang w:val="fr-FR"/>
        </w:rPr>
        <w:t xml:space="preserve"> qu’à une expertise nationale a représenté</w:t>
      </w:r>
      <w:r w:rsidR="007704A6">
        <w:rPr>
          <w:lang w:val="fr-FR"/>
        </w:rPr>
        <w:t xml:space="preserve"> </w:t>
      </w:r>
      <w:r w:rsidR="005B0EAB">
        <w:rPr>
          <w:lang w:val="fr-FR"/>
        </w:rPr>
        <w:t xml:space="preserve">un obstacle majeur, </w:t>
      </w:r>
      <w:r w:rsidR="00361363">
        <w:rPr>
          <w:lang w:val="fr-FR"/>
        </w:rPr>
        <w:t>occasionn</w:t>
      </w:r>
      <w:r w:rsidR="005B0EAB">
        <w:rPr>
          <w:lang w:val="fr-FR"/>
        </w:rPr>
        <w:t>ant</w:t>
      </w:r>
      <w:r w:rsidR="00361363">
        <w:rPr>
          <w:lang w:val="fr-FR"/>
        </w:rPr>
        <w:t xml:space="preserve"> une perte de temps considérable pour la plupart des exercices de recrutement ou d’appels d’offre. </w:t>
      </w:r>
    </w:p>
    <w:p w:rsidR="0079493D" w:rsidRDefault="0049243E" w:rsidP="0038607C">
      <w:pPr>
        <w:pStyle w:val="NoSpacing"/>
        <w:numPr>
          <w:ilvl w:val="0"/>
          <w:numId w:val="26"/>
        </w:numPr>
        <w:rPr>
          <w:lang w:val="fr-FR"/>
        </w:rPr>
      </w:pPr>
      <w:r w:rsidRPr="0079493D">
        <w:rPr>
          <w:lang w:val="fr-FR"/>
        </w:rPr>
        <w:t>D’un autre</w:t>
      </w:r>
      <w:r w:rsidR="009D58DB" w:rsidRPr="0079493D">
        <w:rPr>
          <w:lang w:val="fr-FR"/>
        </w:rPr>
        <w:t xml:space="preserve"> côté, </w:t>
      </w:r>
      <w:r w:rsidRPr="0079493D">
        <w:rPr>
          <w:lang w:val="fr-FR"/>
        </w:rPr>
        <w:t xml:space="preserve">on a tardé à établir </w:t>
      </w:r>
      <w:r w:rsidR="009265CA" w:rsidRPr="0079493D">
        <w:rPr>
          <w:lang w:val="fr-FR"/>
        </w:rPr>
        <w:t xml:space="preserve">l’Equipe de Programme </w:t>
      </w:r>
      <w:r w:rsidR="009D58DB" w:rsidRPr="0079493D">
        <w:rPr>
          <w:lang w:val="fr-FR"/>
        </w:rPr>
        <w:t>et</w:t>
      </w:r>
      <w:r w:rsidRPr="0079493D">
        <w:rPr>
          <w:lang w:val="fr-FR"/>
        </w:rPr>
        <w:t xml:space="preserve"> celle-ci</w:t>
      </w:r>
      <w:r w:rsidR="009D58DB" w:rsidRPr="0079493D">
        <w:rPr>
          <w:lang w:val="fr-FR"/>
        </w:rPr>
        <w:t xml:space="preserve"> n’est toujours pas pleinement fonc</w:t>
      </w:r>
      <w:r w:rsidR="00382468" w:rsidRPr="0079493D">
        <w:rPr>
          <w:lang w:val="fr-CA"/>
        </w:rPr>
        <w:t>tionnelle en l’absence d’un Expert Genre</w:t>
      </w:r>
      <w:r w:rsidR="00434F1D" w:rsidRPr="0079493D">
        <w:rPr>
          <w:lang w:val="fr-CA"/>
        </w:rPr>
        <w:t xml:space="preserve"> (dont le recrutement était</w:t>
      </w:r>
      <w:r w:rsidRPr="0079493D">
        <w:rPr>
          <w:lang w:val="fr-CA"/>
        </w:rPr>
        <w:t xml:space="preserve"> pourtant prévu</w:t>
      </w:r>
      <w:r w:rsidR="00434F1D" w:rsidRPr="0079493D">
        <w:rPr>
          <w:lang w:val="fr-CA"/>
        </w:rPr>
        <w:t xml:space="preserve"> dans le document de projet</w:t>
      </w:r>
      <w:r w:rsidR="007704A6">
        <w:rPr>
          <w:lang w:val="fr-CA"/>
        </w:rPr>
        <w:t>,</w:t>
      </w:r>
      <w:r w:rsidR="00434F1D" w:rsidRPr="0079493D">
        <w:rPr>
          <w:lang w:val="fr-CA"/>
        </w:rPr>
        <w:t xml:space="preserve"> quoique sous-budgétisé), d’un Chargé de S</w:t>
      </w:r>
      <w:r w:rsidR="00F53384" w:rsidRPr="0079493D">
        <w:rPr>
          <w:lang w:val="fr-CA"/>
        </w:rPr>
        <w:t>uivi/é</w:t>
      </w:r>
      <w:r w:rsidR="00434F1D" w:rsidRPr="0079493D">
        <w:rPr>
          <w:lang w:val="fr-CA"/>
        </w:rPr>
        <w:t>valuation</w:t>
      </w:r>
      <w:r w:rsidR="00F53384" w:rsidRPr="0079493D">
        <w:rPr>
          <w:lang w:val="fr-CA"/>
        </w:rPr>
        <w:t xml:space="preserve"> et/ou d’un Chargé de Communication (fonctions qui n’étaient pas prévues</w:t>
      </w:r>
      <w:r w:rsidR="007704A6">
        <w:rPr>
          <w:lang w:val="fr-CA"/>
        </w:rPr>
        <w:t xml:space="preserve"> mais auraient été utiles</w:t>
      </w:r>
      <w:r w:rsidR="00F53384" w:rsidRPr="0079493D">
        <w:rPr>
          <w:lang w:val="fr-CA"/>
        </w:rPr>
        <w:t>). Jusqu’au mois de janvier 2011, le Coordonnateur du Programme a en fait opéré seul, sans même l’appui d’un/e Assistant/e et il a été la seule personne dont 100% du temps est consacré au programme. En outre, le MDCFCF n’étant pas habilité à recevoir ou gérer un budget, la procédure d’Exécution Nationale (NEX) n’a pu être suivie, ce qui outre la surcharge de trava</w:t>
      </w:r>
      <w:r w:rsidR="001E16AB">
        <w:rPr>
          <w:lang w:val="fr-CA"/>
        </w:rPr>
        <w:t>il que cela a occasionné du c</w:t>
      </w:r>
      <w:r w:rsidR="001E16AB">
        <w:rPr>
          <w:rFonts w:cs="Calibri"/>
          <w:lang w:val="fr-CA"/>
        </w:rPr>
        <w:t>ô</w:t>
      </w:r>
      <w:r w:rsidR="001E16AB">
        <w:rPr>
          <w:lang w:val="fr-CA"/>
        </w:rPr>
        <w:t>té</w:t>
      </w:r>
      <w:r w:rsidR="00F53384" w:rsidRPr="0079493D">
        <w:rPr>
          <w:lang w:val="fr-CA"/>
        </w:rPr>
        <w:t xml:space="preserve"> des NU,</w:t>
      </w:r>
      <w:r w:rsidR="001E16AB">
        <w:rPr>
          <w:lang w:val="fr-CA"/>
        </w:rPr>
        <w:t xml:space="preserve"> a privé la possibilité pour</w:t>
      </w:r>
      <w:r w:rsidR="00F53384" w:rsidRPr="0079493D">
        <w:rPr>
          <w:lang w:val="fr-CA"/>
        </w:rPr>
        <w:t xml:space="preserve"> l’EP </w:t>
      </w:r>
      <w:r w:rsidR="001E16AB">
        <w:rPr>
          <w:lang w:val="fr-CA"/>
        </w:rPr>
        <w:t>de gérer le</w:t>
      </w:r>
      <w:r w:rsidR="00F53384" w:rsidRPr="0079493D">
        <w:rPr>
          <w:lang w:val="fr-CA"/>
        </w:rPr>
        <w:t xml:space="preserve"> budget du programme et même son propre budget de fonctionnement (responsabilité assumée par le PNUD). L’EP n’a donc jamais eu les moyens humains et l’autonomie financière nécessaires pour </w:t>
      </w:r>
      <w:r w:rsidR="009265CA" w:rsidRPr="0079493D">
        <w:rPr>
          <w:lang w:val="fr-CA"/>
        </w:rPr>
        <w:t>pleinement</w:t>
      </w:r>
      <w:r w:rsidR="00F53384" w:rsidRPr="0079493D">
        <w:rPr>
          <w:lang w:val="fr-CA"/>
        </w:rPr>
        <w:t xml:space="preserve"> jouer son rôle</w:t>
      </w:r>
      <w:r w:rsidR="007704A6">
        <w:rPr>
          <w:lang w:val="fr-CA"/>
        </w:rPr>
        <w:t>. Au-delà des</w:t>
      </w:r>
      <w:r w:rsidR="00F53384" w:rsidRPr="0079493D">
        <w:rPr>
          <w:lang w:val="fr-CA"/>
        </w:rPr>
        <w:t xml:space="preserve"> activités de gestion </w:t>
      </w:r>
      <w:r w:rsidR="007704A6">
        <w:rPr>
          <w:lang w:val="fr-CA"/>
        </w:rPr>
        <w:t>et de coordination, qu’elle a convenablement assumé, l’EP n’a pu</w:t>
      </w:r>
      <w:r w:rsidR="00F53384" w:rsidRPr="0079493D">
        <w:rPr>
          <w:lang w:val="fr-CA"/>
        </w:rPr>
        <w:t xml:space="preserve"> appuyer la mise en œuvre en apportant </w:t>
      </w:r>
      <w:r w:rsidR="007704A6">
        <w:rPr>
          <w:lang w:val="fr-CA"/>
        </w:rPr>
        <w:t>l’</w:t>
      </w:r>
      <w:r w:rsidR="00F53384" w:rsidRPr="0079493D">
        <w:rPr>
          <w:lang w:val="fr-CA"/>
        </w:rPr>
        <w:t xml:space="preserve">appui conceptuel, technique et opérationnel </w:t>
      </w:r>
      <w:r w:rsidR="007704A6">
        <w:rPr>
          <w:lang w:val="fr-CA"/>
        </w:rPr>
        <w:t xml:space="preserve">nécessaire </w:t>
      </w:r>
      <w:r w:rsidR="00F53384" w:rsidRPr="0079493D">
        <w:rPr>
          <w:lang w:val="fr-CA"/>
        </w:rPr>
        <w:t>et s’imposer comme</w:t>
      </w:r>
      <w:r w:rsidR="00F53384" w:rsidRPr="0079493D">
        <w:rPr>
          <w:lang w:val="fr-FR"/>
        </w:rPr>
        <w:t xml:space="preserve"> le véritable moteur du programme et comme son centre névralgique</w:t>
      </w:r>
      <w:r w:rsidR="00F53384" w:rsidRPr="0079493D">
        <w:rPr>
          <w:lang w:val="fr-CA"/>
        </w:rPr>
        <w:t xml:space="preserve">. La mission tient cependant à noter que l’établissement même de la plateforme opérationnelle du programme représente, en soi, un résultat méritoire </w:t>
      </w:r>
      <w:r w:rsidR="00405DEF" w:rsidRPr="0079493D">
        <w:rPr>
          <w:lang w:val="fr-CA"/>
        </w:rPr>
        <w:t xml:space="preserve">et grandement imputable à la </w:t>
      </w:r>
      <w:r w:rsidR="00F53384" w:rsidRPr="0079493D">
        <w:rPr>
          <w:lang w:val="fr-CA"/>
        </w:rPr>
        <w:t>ténacité de l’EP</w:t>
      </w:r>
      <w:r w:rsidR="00B05713">
        <w:rPr>
          <w:lang w:val="fr-CA"/>
        </w:rPr>
        <w:t xml:space="preserve">, notamment au regard du nombre particulièrement élevé </w:t>
      </w:r>
      <w:r w:rsidR="00344D11">
        <w:rPr>
          <w:lang w:val="fr-CA"/>
        </w:rPr>
        <w:t>de partenaires de mise en œuvre.</w:t>
      </w:r>
      <w:r w:rsidR="00B05713">
        <w:rPr>
          <w:lang w:val="fr-CA"/>
        </w:rPr>
        <w:t xml:space="preserve"> </w:t>
      </w:r>
      <w:r w:rsidR="007704A6">
        <w:rPr>
          <w:lang w:val="fr-CA"/>
        </w:rPr>
        <w:t>Il s’agit aussi d’un atout très important pour la période après-programme.</w:t>
      </w:r>
    </w:p>
    <w:p w:rsidR="00D37DB6" w:rsidRDefault="00E1399B" w:rsidP="0038607C">
      <w:pPr>
        <w:pStyle w:val="NoSpacing"/>
        <w:numPr>
          <w:ilvl w:val="0"/>
          <w:numId w:val="26"/>
        </w:numPr>
        <w:rPr>
          <w:lang w:val="fr-FR"/>
        </w:rPr>
      </w:pPr>
      <w:r>
        <w:rPr>
          <w:lang w:val="fr-CA"/>
        </w:rPr>
        <w:t xml:space="preserve">Par ailleurs, </w:t>
      </w:r>
      <w:r w:rsidR="00A15A94">
        <w:rPr>
          <w:lang w:val="fr-CA"/>
        </w:rPr>
        <w:t>certians</w:t>
      </w:r>
      <w:r w:rsidR="00707498" w:rsidRPr="0079493D">
        <w:rPr>
          <w:lang w:val="fr-CA"/>
        </w:rPr>
        <w:t xml:space="preserve"> organes de pilotage</w:t>
      </w:r>
      <w:r w:rsidR="0045107E">
        <w:rPr>
          <w:lang w:val="fr-CA"/>
        </w:rPr>
        <w:t>,</w:t>
      </w:r>
      <w:r>
        <w:rPr>
          <w:lang w:val="fr-CA"/>
        </w:rPr>
        <w:t xml:space="preserve"> de</w:t>
      </w:r>
      <w:r w:rsidR="00707498" w:rsidRPr="0079493D">
        <w:rPr>
          <w:lang w:val="fr-CA"/>
        </w:rPr>
        <w:t xml:space="preserve"> supervision et gestion stratégique du programme</w:t>
      </w:r>
      <w:r>
        <w:rPr>
          <w:lang w:val="fr-CA"/>
        </w:rPr>
        <w:t xml:space="preserve"> </w:t>
      </w:r>
      <w:r w:rsidR="0079493D">
        <w:rPr>
          <w:lang w:val="fr-CA"/>
        </w:rPr>
        <w:t>ne semblent pas avoir</w:t>
      </w:r>
      <w:r w:rsidR="00707498" w:rsidRPr="0079493D">
        <w:rPr>
          <w:lang w:val="fr-CA"/>
        </w:rPr>
        <w:t xml:space="preserve"> joué pleinement leur r</w:t>
      </w:r>
      <w:r w:rsidR="00707498" w:rsidRPr="0079493D">
        <w:rPr>
          <w:rFonts w:cs="Calibri"/>
          <w:lang w:val="fr-CA"/>
        </w:rPr>
        <w:t>ô</w:t>
      </w:r>
      <w:r w:rsidR="00707498" w:rsidRPr="0079493D">
        <w:rPr>
          <w:lang w:val="fr-CA"/>
        </w:rPr>
        <w:t>le. D’</w:t>
      </w:r>
      <w:r w:rsidR="0079493D">
        <w:rPr>
          <w:lang w:val="fr-CA"/>
        </w:rPr>
        <w:t xml:space="preserve">une part, il semble que la constitution du Comité de Gestion </w:t>
      </w:r>
      <w:r>
        <w:rPr>
          <w:lang w:val="fr-CA"/>
        </w:rPr>
        <w:t>est</w:t>
      </w:r>
      <w:r w:rsidR="0079493D">
        <w:rPr>
          <w:lang w:val="fr-CA"/>
        </w:rPr>
        <w:t xml:space="preserve"> inadaptée, car comportant un trop grand nombre de partenaires</w:t>
      </w:r>
      <w:r>
        <w:rPr>
          <w:lang w:val="fr-CA"/>
        </w:rPr>
        <w:t xml:space="preserve"> sans pouvoir décisionnel et dont la plupart sont à la fois juge et partie, puisque les mêmes individus doivent, en siégeant au CGP, superviser et guider un processus dont ils sont les principaux acteur</w:t>
      </w:r>
      <w:r w:rsidRPr="004468AE">
        <w:rPr>
          <w:lang w:val="fr-FR"/>
        </w:rPr>
        <w:t>s</w:t>
      </w:r>
      <w:r>
        <w:rPr>
          <w:lang w:val="fr-CA"/>
        </w:rPr>
        <w:t xml:space="preserve"> et maîtres d’œuvre. Une grande confusion règne ainsi s’agissant du r</w:t>
      </w:r>
      <w:r>
        <w:rPr>
          <w:rFonts w:cs="Calibri"/>
          <w:lang w:val="fr-CA"/>
        </w:rPr>
        <w:t>ô</w:t>
      </w:r>
      <w:r>
        <w:rPr>
          <w:lang w:val="fr-CA"/>
        </w:rPr>
        <w:t>le des Points Focaux du programme au sein des 12 ministères partenaires : leur r</w:t>
      </w:r>
      <w:r>
        <w:rPr>
          <w:rFonts w:cs="Calibri"/>
          <w:lang w:val="fr-CA"/>
        </w:rPr>
        <w:t>ô</w:t>
      </w:r>
      <w:r>
        <w:rPr>
          <w:lang w:val="fr-CA"/>
        </w:rPr>
        <w:t>le de relais, à l’intérieur de chaque ministère, ou parfois leur implication personnelle dans la réalisation de certaines activités</w:t>
      </w:r>
      <w:r w:rsidR="00D37DB6">
        <w:rPr>
          <w:lang w:val="fr-CA"/>
        </w:rPr>
        <w:t>,</w:t>
      </w:r>
      <w:r>
        <w:rPr>
          <w:lang w:val="fr-CA"/>
        </w:rPr>
        <w:t xml:space="preserve"> sont essentiels; pour autant, le fait qu’ils constituent pour le programme un interlocuteur unique</w:t>
      </w:r>
      <w:r>
        <w:rPr>
          <w:rStyle w:val="FootnoteReference"/>
          <w:lang w:val="fr-CA"/>
        </w:rPr>
        <w:footnoteReference w:id="87"/>
      </w:r>
      <w:r>
        <w:rPr>
          <w:lang w:val="fr-CA"/>
        </w:rPr>
        <w:t xml:space="preserve"> au sein des ministères partenaires représente un risque. </w:t>
      </w:r>
      <w:r w:rsidR="00D37DB6">
        <w:rPr>
          <w:lang w:val="fr-CA"/>
        </w:rPr>
        <w:t>Il est donc urgent que des décideurs situés dans des départements stratégiques</w:t>
      </w:r>
      <w:r w:rsidR="00D37DB6">
        <w:rPr>
          <w:rStyle w:val="FootnoteReference"/>
          <w:lang w:val="fr-CA"/>
        </w:rPr>
        <w:footnoteReference w:id="88"/>
      </w:r>
      <w:r w:rsidR="00D37DB6">
        <w:rPr>
          <w:lang w:val="fr-CA"/>
        </w:rPr>
        <w:t>, par rapport aux ambitions du programme d’intégration de la thématique genre dans les approches, les stratégies et les politiques soient associés au suivi de la mise en œuvre du programme, de sorte qu’ils soient à même, à leur niveau, de l’appuyer.</w:t>
      </w:r>
    </w:p>
    <w:p w:rsidR="00D37DB6" w:rsidRPr="00D37DB6" w:rsidRDefault="00D37DB6" w:rsidP="0038607C">
      <w:pPr>
        <w:pStyle w:val="NoSpacing"/>
        <w:numPr>
          <w:ilvl w:val="0"/>
          <w:numId w:val="26"/>
        </w:numPr>
        <w:rPr>
          <w:lang w:val="fr-FR"/>
        </w:rPr>
      </w:pPr>
      <w:r w:rsidRPr="00D37DB6">
        <w:rPr>
          <w:lang w:val="fr-FR"/>
        </w:rPr>
        <w:lastRenderedPageBreak/>
        <w:t xml:space="preserve">Il semble ainsi que le programme ne </w:t>
      </w:r>
      <w:r w:rsidR="005B0EAB">
        <w:rPr>
          <w:lang w:val="fr-FR"/>
        </w:rPr>
        <w:t>dispose pas encore d’un</w:t>
      </w:r>
      <w:r w:rsidRPr="00D37DB6">
        <w:rPr>
          <w:lang w:val="fr-FR"/>
        </w:rPr>
        <w:t xml:space="preserve"> appui politique </w:t>
      </w:r>
      <w:r w:rsidR="005B0EAB">
        <w:rPr>
          <w:lang w:val="fr-FR"/>
        </w:rPr>
        <w:t>d</w:t>
      </w:r>
      <w:r w:rsidR="00CF4FE0">
        <w:rPr>
          <w:lang w:val="fr-FR"/>
        </w:rPr>
        <w:t>e</w:t>
      </w:r>
      <w:r w:rsidR="005B0EAB">
        <w:rPr>
          <w:lang w:val="fr-FR"/>
        </w:rPr>
        <w:t xml:space="preserve"> haut niveau</w:t>
      </w:r>
      <w:r w:rsidRPr="00D37DB6">
        <w:rPr>
          <w:lang w:val="fr-FR"/>
        </w:rPr>
        <w:t xml:space="preserve">, alors que </w:t>
      </w:r>
      <w:r w:rsidRPr="00D37DB6">
        <w:rPr>
          <w:lang w:val="fr-CA"/>
        </w:rPr>
        <w:t>ce</w:t>
      </w:r>
      <w:r w:rsidRPr="00D37DB6">
        <w:rPr>
          <w:lang w:val="fr-FR"/>
        </w:rPr>
        <w:t xml:space="preserve"> type d’appui est en général un facteur de succès clé pour un </w:t>
      </w:r>
      <w:r w:rsidRPr="00D37DB6">
        <w:rPr>
          <w:lang w:val="fr-CA"/>
        </w:rPr>
        <w:t>programme visant à des changements institutionnels</w:t>
      </w:r>
      <w:r w:rsidRPr="00D37DB6">
        <w:rPr>
          <w:lang w:val="fr-FR"/>
        </w:rPr>
        <w:t xml:space="preserve">. Nul doute que le fait que l’atelier officiel de lancement du programme n’ait pas encore été organisé n’a pas aidé à faire connaître ses objectifs, au moins au niveau des décideurs des ministères partenaires. </w:t>
      </w:r>
    </w:p>
    <w:p w:rsidR="006A2461" w:rsidRDefault="006A2461" w:rsidP="00CF4FE0">
      <w:pPr>
        <w:pStyle w:val="NoSpacing"/>
        <w:numPr>
          <w:ilvl w:val="0"/>
          <w:numId w:val="1"/>
        </w:numPr>
        <w:ind w:left="0" w:firstLine="0"/>
        <w:rPr>
          <w:lang w:val="fr-FR"/>
        </w:rPr>
      </w:pPr>
      <w:r w:rsidRPr="00CF4FE0">
        <w:rPr>
          <w:b/>
          <w:lang w:val="fr-FR"/>
        </w:rPr>
        <w:t>Conclusions générales</w:t>
      </w:r>
      <w:r w:rsidRPr="006A2461">
        <w:rPr>
          <w:lang w:val="fr-FR"/>
        </w:rPr>
        <w:t>. Devant le retard accumulé e</w:t>
      </w:r>
      <w:r>
        <w:rPr>
          <w:lang w:val="fr-FR"/>
        </w:rPr>
        <w:t xml:space="preserve">t qui n’est pas rattrapable, </w:t>
      </w:r>
      <w:r w:rsidRPr="006A2461">
        <w:rPr>
          <w:lang w:val="fr-FR"/>
        </w:rPr>
        <w:t>le peu d’avancées marquantes du programme (ou du moins leur mauvaise documentation)</w:t>
      </w:r>
      <w:r>
        <w:rPr>
          <w:lang w:val="fr-FR"/>
        </w:rPr>
        <w:t xml:space="preserve"> et le très faible taux d’exécution budgétaire, </w:t>
      </w:r>
      <w:r w:rsidRPr="006A2461">
        <w:rPr>
          <w:lang w:val="fr-FR"/>
        </w:rPr>
        <w:t>le bailleur et le Secrétariat du Fonds-OMD seraient en droit de se poser la question de la continuation, ou de l’arrêt, du programme conjoint</w:t>
      </w:r>
      <w:r>
        <w:rPr>
          <w:lang w:val="fr-FR"/>
        </w:rPr>
        <w:t xml:space="preserve">. </w:t>
      </w:r>
      <w:r w:rsidRPr="006A2461">
        <w:rPr>
          <w:lang w:val="fr-FR"/>
        </w:rPr>
        <w:t xml:space="preserve">Le programme a été ainsi identifié comme l’un des plus problématiques du portefeuille du Fonds. </w:t>
      </w:r>
    </w:p>
    <w:p w:rsidR="0016340A" w:rsidRDefault="006A2461" w:rsidP="00CF4FE0">
      <w:pPr>
        <w:pStyle w:val="NoSpacing"/>
        <w:numPr>
          <w:ilvl w:val="0"/>
          <w:numId w:val="1"/>
        </w:numPr>
        <w:ind w:left="0" w:firstLine="0"/>
        <w:rPr>
          <w:lang w:val="fr-FR"/>
        </w:rPr>
      </w:pPr>
      <w:r w:rsidRPr="0016340A">
        <w:rPr>
          <w:lang w:val="fr-FR"/>
        </w:rPr>
        <w:t>La mission d’évaluation s’est, elle aussi, posée cette question et a conclu qu’il était encore possible que le programme réalise un certain nombre de produits utiles et important</w:t>
      </w:r>
      <w:r w:rsidR="0016340A" w:rsidRPr="0016340A">
        <w:rPr>
          <w:lang w:val="fr-FR"/>
        </w:rPr>
        <w:t xml:space="preserve">s et qu’il convient donc d’autoriser sa continuation. En l’état actuel des capacités opérationnelles des agences des NU et de l’EP, cependant, il paraît illusoire de penser que le programme parviendra à lancer et suivre correctement toutes les activités qui n’ont fait l’objet d’aucune préparation, notamment toutes les activités de l’Effet 3. La mission est donc d’avis qu’il conviendra, dans un premier temps, de recentrer la mise en œuvre sur un petit nombre d’activités prioritaires : celles déjà lancées et celles répondant aux trois critères suivants : </w:t>
      </w:r>
    </w:p>
    <w:p w:rsidR="0016340A" w:rsidRPr="003644F1" w:rsidRDefault="0016340A" w:rsidP="0016340A">
      <w:pPr>
        <w:pStyle w:val="NoSpacing"/>
        <w:spacing w:before="0" w:after="0"/>
        <w:ind w:left="720"/>
        <w:rPr>
          <w:i/>
          <w:lang w:val="fr-FR"/>
        </w:rPr>
      </w:pPr>
      <w:r w:rsidRPr="0016340A">
        <w:rPr>
          <w:lang w:val="fr-FR"/>
        </w:rPr>
        <w:t>(</w:t>
      </w:r>
      <w:r w:rsidRPr="003644F1">
        <w:rPr>
          <w:i/>
          <w:lang w:val="fr-FR"/>
        </w:rPr>
        <w:t>a) activité en ét</w:t>
      </w:r>
      <w:r w:rsidR="003644F1">
        <w:rPr>
          <w:i/>
          <w:lang w:val="fr-FR"/>
        </w:rPr>
        <w:t>at de préparation très avancé (notamment : TdR détaillés élaborés, feuille de route claire, tous les partenaires identifiés et consultés ; calendrier et budget détaillé élaborés ; consultants pré-identifiés)</w:t>
      </w:r>
    </w:p>
    <w:p w:rsidR="0016340A" w:rsidRPr="003644F1" w:rsidRDefault="0016340A" w:rsidP="0016340A">
      <w:pPr>
        <w:pStyle w:val="NoSpacing"/>
        <w:spacing w:before="0" w:after="0"/>
        <w:ind w:left="720"/>
        <w:rPr>
          <w:i/>
          <w:u w:val="single"/>
          <w:lang w:val="fr-FR"/>
        </w:rPr>
      </w:pPr>
      <w:r w:rsidRPr="003644F1">
        <w:rPr>
          <w:i/>
          <w:lang w:val="fr-FR"/>
        </w:rPr>
        <w:t xml:space="preserve">(b) activité prometteuse en terme d’acquisition de connaissances ou de contribution directe à un des Effets escomptés du programme, </w:t>
      </w:r>
      <w:r w:rsidRPr="003644F1">
        <w:rPr>
          <w:i/>
          <w:u w:val="single"/>
          <w:lang w:val="fr-FR"/>
        </w:rPr>
        <w:t xml:space="preserve">et </w:t>
      </w:r>
    </w:p>
    <w:p w:rsidR="0016340A" w:rsidRPr="003644F1" w:rsidRDefault="0016340A" w:rsidP="0016340A">
      <w:pPr>
        <w:pStyle w:val="NoSpacing"/>
        <w:spacing w:before="0" w:after="0"/>
        <w:ind w:left="720"/>
        <w:rPr>
          <w:i/>
          <w:lang w:val="fr-FR"/>
        </w:rPr>
      </w:pPr>
      <w:r w:rsidRPr="003644F1">
        <w:rPr>
          <w:i/>
          <w:lang w:val="fr-FR"/>
        </w:rPr>
        <w:t>(c) activité que l’on pourra finaliser</w:t>
      </w:r>
      <w:r w:rsidR="003644F1">
        <w:rPr>
          <w:i/>
          <w:lang w:val="fr-FR"/>
        </w:rPr>
        <w:t xml:space="preserve"> </w:t>
      </w:r>
      <w:r w:rsidRPr="003644F1">
        <w:rPr>
          <w:i/>
          <w:lang w:val="fr-FR"/>
        </w:rPr>
        <w:t>avant le mois d</w:t>
      </w:r>
      <w:r w:rsidR="003644F1">
        <w:rPr>
          <w:i/>
          <w:lang w:val="fr-FR"/>
        </w:rPr>
        <w:t>e mars/avril 2013</w:t>
      </w:r>
    </w:p>
    <w:p w:rsidR="003644F1" w:rsidRDefault="0016340A" w:rsidP="00CF4FE0">
      <w:pPr>
        <w:pStyle w:val="NoSpacing"/>
        <w:numPr>
          <w:ilvl w:val="0"/>
          <w:numId w:val="1"/>
        </w:numPr>
        <w:ind w:left="0" w:firstLine="0"/>
        <w:rPr>
          <w:lang w:val="fr-FR"/>
        </w:rPr>
      </w:pPr>
      <w:r>
        <w:rPr>
          <w:lang w:val="fr-FR"/>
        </w:rPr>
        <w:t xml:space="preserve">Pour que ces activités prioritaires </w:t>
      </w:r>
      <w:r w:rsidR="003644F1">
        <w:rPr>
          <w:lang w:val="fr-FR"/>
        </w:rPr>
        <w:t>puissent être menées à bien, l</w:t>
      </w:r>
      <w:r>
        <w:rPr>
          <w:lang w:val="fr-FR"/>
        </w:rPr>
        <w:t>a mission est en outre d’avis qu’il conviendra de</w:t>
      </w:r>
      <w:r w:rsidR="006A2461" w:rsidRPr="006A2461">
        <w:rPr>
          <w:lang w:val="fr-FR"/>
        </w:rPr>
        <w:t xml:space="preserve"> repouss</w:t>
      </w:r>
      <w:r>
        <w:rPr>
          <w:lang w:val="fr-FR"/>
        </w:rPr>
        <w:t xml:space="preserve">er la date de </w:t>
      </w:r>
      <w:r w:rsidR="003644F1">
        <w:rPr>
          <w:lang w:val="fr-FR"/>
        </w:rPr>
        <w:t>clôture</w:t>
      </w:r>
      <w:r>
        <w:rPr>
          <w:lang w:val="fr-FR"/>
        </w:rPr>
        <w:t xml:space="preserve"> du programme</w:t>
      </w:r>
      <w:r w:rsidR="006A2461" w:rsidRPr="006A2461">
        <w:rPr>
          <w:lang w:val="fr-FR"/>
        </w:rPr>
        <w:t xml:space="preserve"> </w:t>
      </w:r>
      <w:r w:rsidR="003644F1">
        <w:rPr>
          <w:lang w:val="fr-FR"/>
        </w:rPr>
        <w:t>à la fin juin 2013 et il sera indispensable d’opérer</w:t>
      </w:r>
      <w:r w:rsidR="006A2461" w:rsidRPr="006A2461">
        <w:rPr>
          <w:lang w:val="fr-FR"/>
        </w:rPr>
        <w:t xml:space="preserve"> une profonde refonte du budget et d’import</w:t>
      </w:r>
      <w:r w:rsidR="003644F1">
        <w:rPr>
          <w:lang w:val="fr-FR"/>
        </w:rPr>
        <w:t>antes réallocations budgétaires entre agences au titre du montant per</w:t>
      </w:r>
      <w:r w:rsidR="003644F1">
        <w:rPr>
          <w:rFonts w:cs="Calibri"/>
          <w:lang w:val="fr-FR"/>
        </w:rPr>
        <w:t>ç</w:t>
      </w:r>
      <w:r w:rsidR="003644F1">
        <w:rPr>
          <w:lang w:val="fr-FR"/>
        </w:rPr>
        <w:t>u lors de la première tranche.</w:t>
      </w:r>
    </w:p>
    <w:p w:rsidR="003644F1" w:rsidRDefault="003644F1" w:rsidP="00CF4FE0">
      <w:pPr>
        <w:pStyle w:val="NoSpacing"/>
        <w:numPr>
          <w:ilvl w:val="0"/>
          <w:numId w:val="1"/>
        </w:numPr>
        <w:ind w:left="0" w:firstLine="0"/>
        <w:rPr>
          <w:lang w:val="fr-FR"/>
        </w:rPr>
      </w:pPr>
      <w:r w:rsidRPr="006A2461">
        <w:rPr>
          <w:lang w:val="fr-FR"/>
        </w:rPr>
        <w:t xml:space="preserve">S’agissant de toutes les activités qui n’ont pas encore été lancées ou préparées, la mission est d’avis qu’il sera impossible au programme, en l’état actuel </w:t>
      </w:r>
      <w:r>
        <w:rPr>
          <w:lang w:val="fr-FR"/>
        </w:rPr>
        <w:t>de son fonctionnement et des capacités des agences des NUs</w:t>
      </w:r>
      <w:r w:rsidRPr="006A2461">
        <w:rPr>
          <w:lang w:val="fr-FR"/>
        </w:rPr>
        <w:t xml:space="preserve">, de les mener à bien. </w:t>
      </w:r>
      <w:r>
        <w:rPr>
          <w:lang w:val="fr-FR"/>
        </w:rPr>
        <w:t xml:space="preserve">La mission est donc d’avis que le lancement de toute activité non prioritaire devra être subordonné à un certain nombre de critères précis portant sur : </w:t>
      </w:r>
    </w:p>
    <w:p w:rsidR="003644F1" w:rsidRDefault="003644F1" w:rsidP="00FC6FF4">
      <w:pPr>
        <w:pStyle w:val="NoSpacing"/>
        <w:tabs>
          <w:tab w:val="left" w:pos="5838"/>
        </w:tabs>
        <w:spacing w:before="0" w:after="0"/>
        <w:ind w:left="720"/>
        <w:rPr>
          <w:lang w:val="fr-FR"/>
        </w:rPr>
      </w:pPr>
      <w:r>
        <w:rPr>
          <w:lang w:val="fr-FR"/>
        </w:rPr>
        <w:t>(a) le renforcement effectif des capacités de l’EP </w:t>
      </w:r>
      <w:r w:rsidR="00FC6FF4">
        <w:rPr>
          <w:lang w:val="fr-FR"/>
        </w:rPr>
        <w:tab/>
      </w:r>
    </w:p>
    <w:p w:rsidR="003644F1" w:rsidRDefault="003644F1" w:rsidP="003644F1">
      <w:pPr>
        <w:pStyle w:val="NoSpacing"/>
        <w:spacing w:before="0" w:after="0"/>
        <w:ind w:left="720"/>
        <w:rPr>
          <w:lang w:val="fr-FR"/>
        </w:rPr>
      </w:pPr>
      <w:r>
        <w:rPr>
          <w:lang w:val="fr-FR"/>
        </w:rPr>
        <w:t>(b) le renforcement effectif des capacités de certaines agences du NU </w:t>
      </w:r>
    </w:p>
    <w:p w:rsidR="003644F1" w:rsidRDefault="003644F1" w:rsidP="003644F1">
      <w:pPr>
        <w:pStyle w:val="NoSpacing"/>
        <w:spacing w:before="0" w:after="0"/>
        <w:ind w:left="720"/>
        <w:rPr>
          <w:lang w:val="fr-FR"/>
        </w:rPr>
      </w:pPr>
      <w:r>
        <w:rPr>
          <w:lang w:val="fr-FR"/>
        </w:rPr>
        <w:t>(c) la désignation d’une Agence de NU Chef de file</w:t>
      </w:r>
      <w:r w:rsidR="00211F98">
        <w:rPr>
          <w:lang w:val="fr-FR"/>
        </w:rPr>
        <w:t>, ou la création d’un fonds/pool commun pour la gestion des ressources financières du programme (hors frais de gestion)</w:t>
      </w:r>
      <w:r>
        <w:rPr>
          <w:lang w:val="fr-FR"/>
        </w:rPr>
        <w:t>.</w:t>
      </w:r>
    </w:p>
    <w:p w:rsidR="00B800A4" w:rsidRDefault="00B800A4" w:rsidP="00CF4FE0">
      <w:pPr>
        <w:pStyle w:val="NoSpacing"/>
        <w:numPr>
          <w:ilvl w:val="0"/>
          <w:numId w:val="1"/>
        </w:numPr>
        <w:ind w:left="0" w:firstLine="0"/>
        <w:rPr>
          <w:lang w:val="fr-FR"/>
        </w:rPr>
      </w:pPr>
      <w:r>
        <w:rPr>
          <w:lang w:val="fr-FR"/>
        </w:rPr>
        <w:t>Le chapitre suivant présente toutes les recommandations de la mission d’évaluation visant à améliorer les perspectives de succès du programme conjoint dans sa dernière phase de mise en œuvre sur la base de l’analyse qui précède.</w:t>
      </w:r>
    </w:p>
    <w:p w:rsidR="006A2461" w:rsidRPr="006A2461" w:rsidRDefault="006A2461" w:rsidP="006A2461">
      <w:pPr>
        <w:pStyle w:val="NoSpacing"/>
        <w:rPr>
          <w:lang w:val="fr-FR"/>
        </w:rPr>
      </w:pPr>
    </w:p>
    <w:p w:rsidR="006A2461" w:rsidRDefault="006A2461">
      <w:pPr>
        <w:rPr>
          <w:rFonts w:ascii="Calibri" w:hAnsi="Calibri"/>
          <w:b/>
          <w:bCs/>
          <w:kern w:val="32"/>
          <w:sz w:val="28"/>
          <w:szCs w:val="32"/>
          <w:lang w:val="fr-CA"/>
        </w:rPr>
      </w:pPr>
      <w:r>
        <w:rPr>
          <w:lang w:val="fr-CA"/>
        </w:rPr>
        <w:br w:type="page"/>
      </w:r>
    </w:p>
    <w:p w:rsidR="00552562" w:rsidRPr="00FF7508" w:rsidRDefault="00552562" w:rsidP="00FF7508">
      <w:pPr>
        <w:pStyle w:val="Heading1"/>
        <w:spacing w:before="0"/>
        <w:ind w:hanging="90"/>
        <w:rPr>
          <w:lang w:val="fr-CA"/>
        </w:rPr>
      </w:pPr>
      <w:bookmarkStart w:id="35" w:name="_Toc322342025"/>
      <w:r w:rsidRPr="00FF7508">
        <w:rPr>
          <w:lang w:val="fr-CA"/>
        </w:rPr>
        <w:lastRenderedPageBreak/>
        <w:t>Recommandations</w:t>
      </w:r>
      <w:bookmarkEnd w:id="35"/>
    </w:p>
    <w:p w:rsidR="00552562" w:rsidRPr="00784314" w:rsidRDefault="00552562" w:rsidP="00552562">
      <w:pPr>
        <w:rPr>
          <w:color w:val="FF0000"/>
          <w:lang w:val="fr-FR"/>
        </w:rPr>
      </w:pPr>
    </w:p>
    <w:p w:rsidR="00AD52B1" w:rsidRPr="00784314" w:rsidRDefault="00AD52B1" w:rsidP="00AD52B1">
      <w:pPr>
        <w:pStyle w:val="NoSpacing"/>
        <w:rPr>
          <w:color w:val="FF0000"/>
          <w:lang w:val="fr-FR"/>
        </w:rPr>
      </w:pPr>
    </w:p>
    <w:p w:rsidR="00552562" w:rsidRPr="00533870" w:rsidRDefault="00552562" w:rsidP="00533870">
      <w:pPr>
        <w:pStyle w:val="NoSpacing"/>
        <w:pBdr>
          <w:top w:val="single" w:sz="4" w:space="1" w:color="auto"/>
          <w:left w:val="single" w:sz="4" w:space="4" w:color="auto"/>
          <w:bottom w:val="single" w:sz="4" w:space="1" w:color="auto"/>
          <w:right w:val="single" w:sz="4" w:space="4" w:color="auto"/>
        </w:pBdr>
        <w:ind w:left="1980" w:hanging="1980"/>
        <w:rPr>
          <w:b/>
          <w:i/>
          <w:lang w:val="fr-CA"/>
        </w:rPr>
      </w:pPr>
      <w:r w:rsidRPr="00533870">
        <w:rPr>
          <w:b/>
          <w:lang w:val="fr-CA"/>
        </w:rPr>
        <w:t xml:space="preserve">Recommandation 1 – </w:t>
      </w:r>
      <w:r w:rsidR="00533870" w:rsidRPr="00533870">
        <w:rPr>
          <w:b/>
          <w:lang w:val="fr-CA"/>
        </w:rPr>
        <w:t>Prolonger la durée de vie du programme jusqu’au 3</w:t>
      </w:r>
      <w:r w:rsidR="008C618F">
        <w:rPr>
          <w:b/>
          <w:lang w:val="fr-CA"/>
        </w:rPr>
        <w:t>0</w:t>
      </w:r>
      <w:r w:rsidR="00533870" w:rsidRPr="00533870">
        <w:rPr>
          <w:b/>
          <w:lang w:val="fr-CA"/>
        </w:rPr>
        <w:t xml:space="preserve"> juin 201</w:t>
      </w:r>
      <w:r w:rsidR="008C618F">
        <w:rPr>
          <w:b/>
          <w:lang w:val="fr-CA"/>
        </w:rPr>
        <w:t>3</w:t>
      </w:r>
      <w:r w:rsidR="00533870" w:rsidRPr="00533870">
        <w:rPr>
          <w:b/>
          <w:lang w:val="fr-CA"/>
        </w:rPr>
        <w:t xml:space="preserve"> et </w:t>
      </w:r>
      <w:r w:rsidR="00D65BD0" w:rsidRPr="00533870">
        <w:rPr>
          <w:b/>
          <w:lang w:val="fr-CA"/>
        </w:rPr>
        <w:t>permettre la continuation des activités déjà en cours,</w:t>
      </w:r>
      <w:r w:rsidR="00D65BD0">
        <w:rPr>
          <w:b/>
          <w:lang w:val="fr-CA"/>
        </w:rPr>
        <w:t xml:space="preserve"> tout en recentrant la mise en œuvre des activités non démarrées autour d’un nombre réduit d’activités stratégiques p</w:t>
      </w:r>
      <w:r w:rsidR="008C618F">
        <w:rPr>
          <w:b/>
          <w:lang w:val="fr-CA"/>
        </w:rPr>
        <w:t>rometteuses.</w:t>
      </w:r>
    </w:p>
    <w:p w:rsidR="00344D11" w:rsidRDefault="00344D11" w:rsidP="00344D11">
      <w:pPr>
        <w:pStyle w:val="NoSpacing"/>
        <w:rPr>
          <w:lang w:val="fr-FR"/>
        </w:rPr>
      </w:pPr>
    </w:p>
    <w:p w:rsidR="009047B4" w:rsidRDefault="001F0F6E" w:rsidP="00CF4FE0">
      <w:pPr>
        <w:pStyle w:val="NoSpacing"/>
        <w:numPr>
          <w:ilvl w:val="0"/>
          <w:numId w:val="1"/>
        </w:numPr>
        <w:ind w:left="0" w:firstLine="0"/>
        <w:rPr>
          <w:lang w:val="fr-FR"/>
        </w:rPr>
      </w:pPr>
      <w:r w:rsidRPr="009047B4">
        <w:rPr>
          <w:lang w:val="fr-FR"/>
        </w:rPr>
        <w:t xml:space="preserve">Aux vues de l’analyse qui précède et en considération de </w:t>
      </w:r>
      <w:r w:rsidR="009047B4">
        <w:rPr>
          <w:lang w:val="fr-FR"/>
        </w:rPr>
        <w:t xml:space="preserve">l’impact potentiel intéressant - </w:t>
      </w:r>
      <w:r w:rsidRPr="009047B4">
        <w:rPr>
          <w:lang w:val="fr-FR"/>
        </w:rPr>
        <w:t xml:space="preserve">quoique limité à quelques domaines précis et bien </w:t>
      </w:r>
      <w:r w:rsidRPr="009047B4">
        <w:rPr>
          <w:lang w:val="fr-CA"/>
        </w:rPr>
        <w:t>inférieur</w:t>
      </w:r>
      <w:r w:rsidRPr="009047B4">
        <w:rPr>
          <w:lang w:val="fr-FR"/>
        </w:rPr>
        <w:t xml:space="preserve"> aux ambitions de départ</w:t>
      </w:r>
      <w:r w:rsidR="009047B4">
        <w:rPr>
          <w:lang w:val="fr-FR"/>
        </w:rPr>
        <w:t xml:space="preserve"> - </w:t>
      </w:r>
      <w:r w:rsidRPr="009047B4">
        <w:rPr>
          <w:lang w:val="fr-FR"/>
        </w:rPr>
        <w:t xml:space="preserve"> de certaines activités déjà engagées ou de certaines activités non engagées mais dont il est envisageable qu’elles soient mises en œuvre dans le peu de temps de mise en œuvre restant, </w:t>
      </w:r>
      <w:r w:rsidRPr="002D2E21">
        <w:rPr>
          <w:u w:val="single"/>
          <w:lang w:val="fr-FR"/>
        </w:rPr>
        <w:t xml:space="preserve">la mission recommande que </w:t>
      </w:r>
      <w:r w:rsidR="009047B4" w:rsidRPr="002D2E21">
        <w:rPr>
          <w:u w:val="single"/>
          <w:lang w:val="fr-FR"/>
        </w:rPr>
        <w:t>la mise en œuvre se poursuive</w:t>
      </w:r>
      <w:r w:rsidR="00344D11">
        <w:rPr>
          <w:lang w:val="fr-FR"/>
        </w:rPr>
        <w:t xml:space="preserve"> pour toutes les </w:t>
      </w:r>
      <w:r w:rsidR="002D2E21">
        <w:rPr>
          <w:lang w:val="fr-FR"/>
        </w:rPr>
        <w:t xml:space="preserve">activités en cours et que la date de clôture du programme soit portée au 30 juin 2013. </w:t>
      </w:r>
    </w:p>
    <w:p w:rsidR="009047B4" w:rsidRPr="00B944BE" w:rsidRDefault="009047B4" w:rsidP="00CF4FE0">
      <w:pPr>
        <w:pStyle w:val="NoSpacing"/>
        <w:numPr>
          <w:ilvl w:val="0"/>
          <w:numId w:val="1"/>
        </w:numPr>
        <w:ind w:left="0" w:firstLine="0"/>
        <w:rPr>
          <w:lang w:val="fr-FR"/>
        </w:rPr>
      </w:pPr>
      <w:r w:rsidRPr="00B944BE">
        <w:rPr>
          <w:lang w:val="fr-FR"/>
        </w:rPr>
        <w:t xml:space="preserve">S’agissant des </w:t>
      </w:r>
      <w:r w:rsidRPr="00344D11">
        <w:rPr>
          <w:lang w:val="fr-FR"/>
        </w:rPr>
        <w:t>activités non réellement engagées,</w:t>
      </w:r>
      <w:r w:rsidRPr="00B944BE">
        <w:rPr>
          <w:lang w:val="fr-FR"/>
        </w:rPr>
        <w:t xml:space="preserve"> mais qui répondent aux trois critères suivants : [(a) </w:t>
      </w:r>
      <w:r w:rsidRPr="002D2E21">
        <w:rPr>
          <w:i/>
          <w:lang w:val="fr-FR"/>
        </w:rPr>
        <w:t>activité en état de préparation très avancée</w:t>
      </w:r>
      <w:r w:rsidR="00211F98">
        <w:rPr>
          <w:i/>
          <w:lang w:val="fr-FR"/>
        </w:rPr>
        <w:t xml:space="preserve"> ou fonds déjà engagés</w:t>
      </w:r>
      <w:r w:rsidRPr="002D2E21">
        <w:rPr>
          <w:i/>
          <w:lang w:val="fr-FR"/>
        </w:rPr>
        <w:t xml:space="preserve">, (b) activité prometteuse en terme </w:t>
      </w:r>
      <w:r w:rsidRPr="004468AE">
        <w:rPr>
          <w:lang w:val="fr-FR"/>
        </w:rPr>
        <w:t>d’acquisition</w:t>
      </w:r>
      <w:r w:rsidRPr="002D2E21">
        <w:rPr>
          <w:i/>
          <w:lang w:val="fr-FR"/>
        </w:rPr>
        <w:t xml:space="preserve"> de </w:t>
      </w:r>
      <w:r w:rsidRPr="00784314">
        <w:rPr>
          <w:lang w:val="fr-FR"/>
        </w:rPr>
        <w:t>connaissances</w:t>
      </w:r>
      <w:r w:rsidRPr="002D2E21">
        <w:rPr>
          <w:i/>
          <w:lang w:val="fr-FR"/>
        </w:rPr>
        <w:t xml:space="preserve"> ou de contribution aux objectifs du programme ; et (c) activité que l’on pourra finaliser avant le mois de mars/avril </w:t>
      </w:r>
      <w:r w:rsidR="002D2E21" w:rsidRPr="002D2E21">
        <w:rPr>
          <w:i/>
          <w:lang w:val="fr-FR"/>
        </w:rPr>
        <w:t>2013</w:t>
      </w:r>
      <w:r w:rsidR="002D2E21" w:rsidRPr="00B944BE">
        <w:rPr>
          <w:lang w:val="fr-FR"/>
        </w:rPr>
        <w:t>]</w:t>
      </w:r>
      <w:r w:rsidRPr="00B944BE">
        <w:rPr>
          <w:lang w:val="fr-FR"/>
        </w:rPr>
        <w:t xml:space="preserve"> ; </w:t>
      </w:r>
      <w:r w:rsidRPr="002D2E21">
        <w:rPr>
          <w:u w:val="single"/>
          <w:lang w:val="fr-FR"/>
        </w:rPr>
        <w:t>la mission recommande qu’elles soient démarrées</w:t>
      </w:r>
      <w:r w:rsidRPr="00B944BE">
        <w:rPr>
          <w:lang w:val="fr-FR"/>
        </w:rPr>
        <w:t>.</w:t>
      </w:r>
      <w:r w:rsidR="00B944BE" w:rsidRPr="00B944BE">
        <w:rPr>
          <w:lang w:val="fr-FR"/>
        </w:rPr>
        <w:t xml:space="preserve"> </w:t>
      </w:r>
    </w:p>
    <w:p w:rsidR="00B944BE" w:rsidRDefault="00B944BE" w:rsidP="00CF4FE0">
      <w:pPr>
        <w:pStyle w:val="NoSpacing"/>
        <w:numPr>
          <w:ilvl w:val="0"/>
          <w:numId w:val="1"/>
        </w:numPr>
        <w:ind w:left="0" w:firstLine="0"/>
        <w:rPr>
          <w:lang w:val="fr-FR"/>
        </w:rPr>
      </w:pPr>
      <w:r>
        <w:rPr>
          <w:lang w:val="fr-FR"/>
        </w:rPr>
        <w:t xml:space="preserve">S’agissant des </w:t>
      </w:r>
      <w:r w:rsidRPr="00344D11">
        <w:rPr>
          <w:lang w:val="fr-FR"/>
        </w:rPr>
        <w:t>activités non engagées</w:t>
      </w:r>
      <w:r>
        <w:rPr>
          <w:lang w:val="fr-FR"/>
        </w:rPr>
        <w:t xml:space="preserve">, la mission est d’avis </w:t>
      </w:r>
      <w:r w:rsidR="002D2E21">
        <w:rPr>
          <w:lang w:val="fr-FR"/>
        </w:rPr>
        <w:t>que les plus pertinentes d’entre elles ne pourront être lancées et correctement suivies qu’à la condition que du personnel supplémentaire</w:t>
      </w:r>
      <w:r w:rsidR="002D2E21" w:rsidRPr="002D2E21">
        <w:rPr>
          <w:lang w:val="fr-FR"/>
        </w:rPr>
        <w:t xml:space="preserve"> </w:t>
      </w:r>
      <w:r w:rsidR="002D2E21">
        <w:rPr>
          <w:lang w:val="fr-FR"/>
        </w:rPr>
        <w:t xml:space="preserve">soit recruté au sein du SNU et de l’EP, et que l’expertise internationale requise soit mobilisée. </w:t>
      </w:r>
      <w:r w:rsidR="00315C97">
        <w:rPr>
          <w:lang w:val="fr-FR"/>
        </w:rPr>
        <w:t>La mission recommande donc que ces ac</w:t>
      </w:r>
      <w:r w:rsidR="00344D11">
        <w:rPr>
          <w:lang w:val="fr-FR"/>
        </w:rPr>
        <w:t>tivités soient incluses dans la 2</w:t>
      </w:r>
      <w:r w:rsidR="00344D11" w:rsidRPr="00344D11">
        <w:rPr>
          <w:vertAlign w:val="superscript"/>
          <w:lang w:val="fr-FR"/>
        </w:rPr>
        <w:t>ème</w:t>
      </w:r>
      <w:r w:rsidR="00344D11">
        <w:rPr>
          <w:lang w:val="fr-FR"/>
        </w:rPr>
        <w:t xml:space="preserve"> partie du nouveau PTB</w:t>
      </w:r>
      <w:r w:rsidR="00315C97">
        <w:rPr>
          <w:lang w:val="fr-FR"/>
        </w:rPr>
        <w:t xml:space="preserve"> consolidé</w:t>
      </w:r>
      <w:r w:rsidR="00344D11">
        <w:rPr>
          <w:lang w:val="fr-FR"/>
        </w:rPr>
        <w:t xml:space="preserve"> qui sera préparé (</w:t>
      </w:r>
      <w:r w:rsidR="00344D11" w:rsidRPr="00344D11">
        <w:rPr>
          <w:i/>
          <w:lang w:val="fr-FR"/>
        </w:rPr>
        <w:t>voir recommandation 2</w:t>
      </w:r>
      <w:r w:rsidR="00344D11">
        <w:rPr>
          <w:lang w:val="fr-FR"/>
        </w:rPr>
        <w:t>)</w:t>
      </w:r>
      <w:r w:rsidR="00315C97">
        <w:rPr>
          <w:lang w:val="fr-FR"/>
        </w:rPr>
        <w:t xml:space="preserve">, </w:t>
      </w:r>
      <w:r w:rsidR="00344D11" w:rsidRPr="00344D11">
        <w:rPr>
          <w:lang w:val="fr-FR"/>
        </w:rPr>
        <w:t>mais que leur démarrage et leur financement soit tributaire d’un certain nombre de conditions (</w:t>
      </w:r>
      <w:r w:rsidR="00344D11" w:rsidRPr="00344D11">
        <w:rPr>
          <w:i/>
          <w:lang w:val="fr-FR"/>
        </w:rPr>
        <w:t>voir recommandation 3</w:t>
      </w:r>
      <w:r w:rsidR="00344D11" w:rsidRPr="00344D11">
        <w:rPr>
          <w:lang w:val="fr-FR"/>
        </w:rPr>
        <w:t>).</w:t>
      </w:r>
    </w:p>
    <w:p w:rsidR="00D65BD0" w:rsidRDefault="00D65BD0" w:rsidP="00CF4FE0">
      <w:pPr>
        <w:pStyle w:val="NoSpacing"/>
        <w:numPr>
          <w:ilvl w:val="0"/>
          <w:numId w:val="1"/>
        </w:numPr>
        <w:ind w:left="0" w:firstLine="0"/>
        <w:rPr>
          <w:lang w:val="fr-FR"/>
        </w:rPr>
      </w:pPr>
      <w:r>
        <w:rPr>
          <w:lang w:val="fr-FR"/>
        </w:rPr>
        <w:t xml:space="preserve">S’agissant la reformulation de certaines activités, ou de l’abandon pur et simple des activités les plus complexes, les moins pertinentes ou celles que l’on ne parviendra à démarrer et finaliser à temps, la mission propose des recommandations précises </w:t>
      </w:r>
      <w:r w:rsidR="00B27FE1">
        <w:rPr>
          <w:lang w:val="fr-FR"/>
        </w:rPr>
        <w:t>à l’</w:t>
      </w:r>
      <w:r>
        <w:rPr>
          <w:lang w:val="fr-FR"/>
        </w:rPr>
        <w:t>Annexe</w:t>
      </w:r>
      <w:r w:rsidR="00B27FE1">
        <w:rPr>
          <w:lang w:val="fr-FR"/>
        </w:rPr>
        <w:t xml:space="preserve"> 7</w:t>
      </w:r>
      <w:r>
        <w:rPr>
          <w:lang w:val="fr-FR"/>
        </w:rPr>
        <w:t>.</w:t>
      </w:r>
      <w:r w:rsidR="00992235">
        <w:rPr>
          <w:lang w:val="fr-FR"/>
        </w:rPr>
        <w:t xml:space="preserve"> Ces</w:t>
      </w:r>
      <w:r w:rsidR="003852FC">
        <w:rPr>
          <w:lang w:val="fr-FR"/>
        </w:rPr>
        <w:t xml:space="preserve"> recommandations détaillées</w:t>
      </w:r>
      <w:r w:rsidR="00992235">
        <w:rPr>
          <w:lang w:val="fr-FR"/>
        </w:rPr>
        <w:t xml:space="preserve"> ne sont cependant</w:t>
      </w:r>
      <w:r w:rsidR="003852FC">
        <w:rPr>
          <w:lang w:val="fr-FR"/>
        </w:rPr>
        <w:t xml:space="preserve"> données </w:t>
      </w:r>
      <w:r w:rsidR="003852FC" w:rsidRPr="003852FC">
        <w:rPr>
          <w:u w:val="single"/>
          <w:lang w:val="fr-FR"/>
        </w:rPr>
        <w:t>qu’à titre</w:t>
      </w:r>
      <w:r w:rsidR="00992235" w:rsidRPr="003852FC">
        <w:rPr>
          <w:u w:val="single"/>
          <w:lang w:val="fr-FR"/>
        </w:rPr>
        <w:t xml:space="preserve"> indicati</w:t>
      </w:r>
      <w:r w:rsidR="003852FC" w:rsidRPr="003852FC">
        <w:rPr>
          <w:u w:val="single"/>
          <w:lang w:val="fr-FR"/>
        </w:rPr>
        <w:t>f</w:t>
      </w:r>
      <w:r w:rsidR="003852FC">
        <w:rPr>
          <w:u w:val="single"/>
          <w:lang w:val="fr-FR"/>
        </w:rPr>
        <w:t xml:space="preserve"> </w:t>
      </w:r>
      <w:r w:rsidR="00992235">
        <w:rPr>
          <w:lang w:val="fr-FR"/>
        </w:rPr>
        <w:t xml:space="preserve">et devront fait l’objet d’une revue attentive avant leur éventuelle adoption. </w:t>
      </w:r>
    </w:p>
    <w:p w:rsidR="00344D11" w:rsidRDefault="00344D11" w:rsidP="00CF4FE0">
      <w:pPr>
        <w:pStyle w:val="NoSpacing"/>
        <w:numPr>
          <w:ilvl w:val="0"/>
          <w:numId w:val="1"/>
        </w:numPr>
        <w:ind w:left="0" w:firstLine="0"/>
        <w:rPr>
          <w:lang w:val="fr-FR"/>
        </w:rPr>
      </w:pPr>
      <w:r>
        <w:rPr>
          <w:lang w:val="fr-FR"/>
        </w:rPr>
        <w:t>Selon les estimations préliminaires de la mission,</w:t>
      </w:r>
      <w:r w:rsidR="00211F98">
        <w:rPr>
          <w:lang w:val="fr-FR"/>
        </w:rPr>
        <w:t xml:space="preserve"> lesquelles devront être attentivement passées en revue,</w:t>
      </w:r>
      <w:r>
        <w:rPr>
          <w:lang w:val="fr-FR"/>
        </w:rPr>
        <w:t xml:space="preserve"> la liste des activités prioritaires et optionnelles (ou annulées), </w:t>
      </w:r>
      <w:r w:rsidR="00211F98">
        <w:rPr>
          <w:lang w:val="fr-FR"/>
        </w:rPr>
        <w:t>pourrait être</w:t>
      </w:r>
      <w:r>
        <w:rPr>
          <w:lang w:val="fr-FR"/>
        </w:rPr>
        <w:t xml:space="preserve"> la suivante.</w:t>
      </w:r>
    </w:p>
    <w:p w:rsidR="00344D11" w:rsidRPr="009D5A38" w:rsidRDefault="00344D11" w:rsidP="00344D11">
      <w:pPr>
        <w:rPr>
          <w:rFonts w:ascii="Calibri" w:hAnsi="Calibri" w:cs="Calibri"/>
          <w:b/>
          <w:bCs/>
          <w:color w:val="000000"/>
          <w:sz w:val="22"/>
          <w:szCs w:val="22"/>
          <w:lang w:val="fr-FR"/>
        </w:rPr>
      </w:pPr>
    </w:p>
    <w:tbl>
      <w:tblPr>
        <w:tblStyle w:val="TableGrid"/>
        <w:tblW w:w="8738" w:type="dxa"/>
        <w:jc w:val="center"/>
        <w:tblInd w:w="-458" w:type="dxa"/>
        <w:tblLook w:val="04A0" w:firstRow="1" w:lastRow="0" w:firstColumn="1" w:lastColumn="0" w:noHBand="0" w:noVBand="1"/>
      </w:tblPr>
      <w:tblGrid>
        <w:gridCol w:w="3317"/>
        <w:gridCol w:w="3883"/>
        <w:gridCol w:w="1538"/>
      </w:tblGrid>
      <w:tr w:rsidR="00344D11" w:rsidTr="002365B2">
        <w:trPr>
          <w:jc w:val="center"/>
        </w:trPr>
        <w:tc>
          <w:tcPr>
            <w:tcW w:w="3317" w:type="dxa"/>
          </w:tcPr>
          <w:p w:rsidR="00344D11" w:rsidRPr="009D5A38" w:rsidRDefault="00344D11" w:rsidP="002365B2">
            <w:pPr>
              <w:rPr>
                <w:rFonts w:ascii="Calibri" w:hAnsi="Calibri" w:cs="Calibri"/>
                <w:b/>
                <w:bCs/>
                <w:color w:val="000000"/>
                <w:sz w:val="20"/>
                <w:szCs w:val="20"/>
                <w:lang w:val="fr-FR"/>
              </w:rPr>
            </w:pPr>
          </w:p>
        </w:tc>
        <w:tc>
          <w:tcPr>
            <w:tcW w:w="3883" w:type="dxa"/>
          </w:tcPr>
          <w:p w:rsidR="00344D11" w:rsidRPr="009D5A38" w:rsidRDefault="00344D11" w:rsidP="002365B2">
            <w:pPr>
              <w:rPr>
                <w:rFonts w:ascii="Calibri" w:hAnsi="Calibri" w:cs="Calibri"/>
                <w:b/>
                <w:bCs/>
                <w:color w:val="000000"/>
                <w:sz w:val="20"/>
                <w:szCs w:val="20"/>
                <w:lang w:val="fr-FR"/>
              </w:rPr>
            </w:pPr>
          </w:p>
        </w:tc>
        <w:tc>
          <w:tcPr>
            <w:tcW w:w="1538" w:type="dxa"/>
          </w:tcPr>
          <w:p w:rsidR="00344D11" w:rsidRPr="009D5A38" w:rsidRDefault="00344D11" w:rsidP="002365B2">
            <w:pPr>
              <w:jc w:val="center"/>
              <w:rPr>
                <w:rFonts w:ascii="Calibri" w:hAnsi="Calibri" w:cs="Calibri"/>
                <w:b/>
                <w:bCs/>
                <w:color w:val="000000"/>
                <w:sz w:val="20"/>
                <w:szCs w:val="20"/>
              </w:rPr>
            </w:pPr>
            <w:r w:rsidRPr="009D5A38">
              <w:rPr>
                <w:rFonts w:ascii="Calibri" w:hAnsi="Calibri" w:cs="Calibri"/>
                <w:b/>
                <w:bCs/>
                <w:color w:val="000000"/>
                <w:sz w:val="20"/>
                <w:szCs w:val="20"/>
              </w:rPr>
              <w:t>Budget</w:t>
            </w:r>
          </w:p>
          <w:p w:rsidR="00344D11" w:rsidRPr="009D5A38" w:rsidRDefault="00344D11" w:rsidP="002365B2">
            <w:pPr>
              <w:jc w:val="center"/>
              <w:rPr>
                <w:rFonts w:ascii="Calibri" w:hAnsi="Calibri" w:cs="Calibri"/>
                <w:bCs/>
                <w:i/>
                <w:color w:val="000000"/>
                <w:sz w:val="18"/>
                <w:szCs w:val="18"/>
              </w:rPr>
            </w:pPr>
            <w:r w:rsidRPr="009D5A38">
              <w:rPr>
                <w:rFonts w:ascii="Calibri" w:hAnsi="Calibri" w:cs="Calibri"/>
                <w:bCs/>
                <w:i/>
                <w:color w:val="000000"/>
                <w:sz w:val="18"/>
                <w:szCs w:val="18"/>
              </w:rPr>
              <w:t xml:space="preserve"> (en dollars US)</w:t>
            </w:r>
          </w:p>
        </w:tc>
      </w:tr>
      <w:tr w:rsidR="00344D11" w:rsidTr="002365B2">
        <w:trPr>
          <w:jc w:val="center"/>
        </w:trPr>
        <w:tc>
          <w:tcPr>
            <w:tcW w:w="3317" w:type="dxa"/>
            <w:vAlign w:val="center"/>
          </w:tcPr>
          <w:p w:rsidR="00344D11" w:rsidRPr="009D5A38" w:rsidRDefault="00344D11" w:rsidP="002365B2">
            <w:pPr>
              <w:rPr>
                <w:rFonts w:ascii="Calibri" w:hAnsi="Calibri" w:cs="Calibri"/>
                <w:b/>
                <w:bCs/>
                <w:color w:val="000000"/>
                <w:sz w:val="20"/>
                <w:szCs w:val="20"/>
                <w:lang w:val="fr-FR"/>
              </w:rPr>
            </w:pPr>
            <w:r w:rsidRPr="009D5A38">
              <w:rPr>
                <w:rFonts w:ascii="Calibri" w:hAnsi="Calibri" w:cs="Calibri"/>
                <w:b/>
                <w:bCs/>
                <w:color w:val="000000"/>
                <w:sz w:val="20"/>
                <w:szCs w:val="20"/>
                <w:lang w:val="fr-FR"/>
              </w:rPr>
              <w:t>Activités prioritaires:</w:t>
            </w:r>
          </w:p>
          <w:p w:rsidR="00344D11" w:rsidRPr="009D5A38" w:rsidRDefault="00344D11" w:rsidP="002365B2">
            <w:pPr>
              <w:rPr>
                <w:rFonts w:ascii="Calibri" w:hAnsi="Calibri" w:cs="Calibri"/>
                <w:b/>
                <w:bCs/>
                <w:color w:val="000000"/>
                <w:sz w:val="20"/>
                <w:szCs w:val="20"/>
                <w:lang w:val="fr-FR"/>
              </w:rPr>
            </w:pPr>
          </w:p>
        </w:tc>
        <w:tc>
          <w:tcPr>
            <w:tcW w:w="3883" w:type="dxa"/>
          </w:tcPr>
          <w:p w:rsidR="00344D11" w:rsidRPr="009D5A38" w:rsidRDefault="00344D11" w:rsidP="002365B2">
            <w:pPr>
              <w:tabs>
                <w:tab w:val="left" w:pos="99"/>
              </w:tabs>
              <w:rPr>
                <w:rFonts w:ascii="Calibri" w:hAnsi="Calibri" w:cs="Calibri"/>
                <w:color w:val="000000"/>
                <w:sz w:val="20"/>
                <w:szCs w:val="20"/>
              </w:rPr>
            </w:pPr>
            <w:r w:rsidRPr="009D5A38">
              <w:rPr>
                <w:rFonts w:ascii="Calibri" w:hAnsi="Calibri" w:cs="Calibri"/>
                <w:color w:val="000000"/>
                <w:sz w:val="20"/>
                <w:szCs w:val="20"/>
              </w:rPr>
              <w:t>A3, A6, A7, A9, A10, A11, A12, A15, A21, A22, A22bis, A23, A24, A28</w:t>
            </w:r>
          </w:p>
        </w:tc>
        <w:tc>
          <w:tcPr>
            <w:tcW w:w="1538" w:type="dxa"/>
          </w:tcPr>
          <w:p w:rsidR="00344D11" w:rsidRPr="009D5A38" w:rsidRDefault="00344D11" w:rsidP="002365B2">
            <w:pPr>
              <w:jc w:val="center"/>
              <w:rPr>
                <w:rFonts w:ascii="Calibri" w:hAnsi="Calibri" w:cs="Calibri"/>
                <w:b/>
                <w:bCs/>
                <w:color w:val="000000"/>
                <w:sz w:val="20"/>
                <w:szCs w:val="20"/>
              </w:rPr>
            </w:pPr>
            <w:r w:rsidRPr="009D5A38">
              <w:rPr>
                <w:rFonts w:ascii="Calibri" w:hAnsi="Calibri" w:cs="Calibri"/>
                <w:b/>
                <w:bCs/>
                <w:color w:val="000000"/>
                <w:sz w:val="20"/>
                <w:szCs w:val="20"/>
              </w:rPr>
              <w:t>1.035.000</w:t>
            </w:r>
          </w:p>
        </w:tc>
      </w:tr>
      <w:tr w:rsidR="00344D11" w:rsidTr="002365B2">
        <w:trPr>
          <w:jc w:val="center"/>
        </w:trPr>
        <w:tc>
          <w:tcPr>
            <w:tcW w:w="3317" w:type="dxa"/>
            <w:vAlign w:val="center"/>
          </w:tcPr>
          <w:p w:rsidR="00344D11" w:rsidRPr="00487B27" w:rsidRDefault="00344D11" w:rsidP="002365B2">
            <w:pPr>
              <w:tabs>
                <w:tab w:val="left" w:pos="99"/>
              </w:tabs>
              <w:rPr>
                <w:rFonts w:ascii="Calibri" w:hAnsi="Calibri" w:cs="Calibri"/>
                <w:color w:val="000000"/>
                <w:sz w:val="20"/>
                <w:szCs w:val="20"/>
                <w:lang w:val="fr-FR"/>
              </w:rPr>
            </w:pPr>
            <w:r w:rsidRPr="009D5A38">
              <w:rPr>
                <w:rFonts w:ascii="Calibri" w:hAnsi="Calibri" w:cs="Calibri"/>
                <w:color w:val="000000"/>
                <w:sz w:val="20"/>
                <w:szCs w:val="20"/>
                <w:lang w:val="fr-FR"/>
              </w:rPr>
              <w:t>Activités optionnelles</w:t>
            </w:r>
            <w:r w:rsidRPr="009D5A38">
              <w:rPr>
                <w:rFonts w:ascii="Calibri" w:hAnsi="Calibri" w:cs="Calibri"/>
                <w:color w:val="000000"/>
                <w:sz w:val="20"/>
                <w:szCs w:val="20"/>
                <w:lang w:val="fr-FR"/>
              </w:rPr>
              <w:tab/>
              <w:t>ou devant être annulées :</w:t>
            </w:r>
          </w:p>
        </w:tc>
        <w:tc>
          <w:tcPr>
            <w:tcW w:w="3883" w:type="dxa"/>
          </w:tcPr>
          <w:p w:rsidR="00344D11" w:rsidRPr="009D5A38" w:rsidRDefault="00344D11" w:rsidP="002365B2">
            <w:pPr>
              <w:rPr>
                <w:rFonts w:ascii="Calibri" w:hAnsi="Calibri" w:cs="Calibri"/>
                <w:b/>
                <w:bCs/>
                <w:color w:val="000000"/>
                <w:sz w:val="20"/>
                <w:szCs w:val="20"/>
              </w:rPr>
            </w:pPr>
            <w:r w:rsidRPr="009D5A38">
              <w:rPr>
                <w:rFonts w:ascii="Calibri" w:hAnsi="Calibri" w:cs="Calibri"/>
                <w:color w:val="000000"/>
                <w:sz w:val="20"/>
                <w:szCs w:val="20"/>
              </w:rPr>
              <w:t>A4, A5, A13, A14, A16, A17, A18, A19, A25, A26, A27, A29, A30, A31, A32, A33, A34, A35</w:t>
            </w:r>
          </w:p>
        </w:tc>
        <w:tc>
          <w:tcPr>
            <w:tcW w:w="1538" w:type="dxa"/>
          </w:tcPr>
          <w:p w:rsidR="00344D11" w:rsidRPr="009D5A38" w:rsidRDefault="00344D11" w:rsidP="002365B2">
            <w:pPr>
              <w:jc w:val="center"/>
              <w:rPr>
                <w:rFonts w:ascii="Calibri" w:hAnsi="Calibri" w:cs="Calibri"/>
                <w:b/>
                <w:bCs/>
                <w:color w:val="000000"/>
                <w:sz w:val="20"/>
                <w:szCs w:val="20"/>
              </w:rPr>
            </w:pPr>
            <w:r w:rsidRPr="009D5A38">
              <w:rPr>
                <w:rFonts w:ascii="Calibri" w:hAnsi="Calibri" w:cs="Calibri"/>
                <w:b/>
                <w:bCs/>
                <w:color w:val="000000"/>
                <w:sz w:val="20"/>
                <w:szCs w:val="20"/>
              </w:rPr>
              <w:t>1.417.000</w:t>
            </w:r>
          </w:p>
        </w:tc>
      </w:tr>
      <w:tr w:rsidR="00344D11" w:rsidRPr="00487B27" w:rsidTr="002365B2">
        <w:trPr>
          <w:trHeight w:val="427"/>
          <w:jc w:val="center"/>
        </w:trPr>
        <w:tc>
          <w:tcPr>
            <w:tcW w:w="3317" w:type="dxa"/>
            <w:vAlign w:val="center"/>
          </w:tcPr>
          <w:p w:rsidR="00344D11" w:rsidRDefault="00344D11" w:rsidP="002365B2">
            <w:pPr>
              <w:tabs>
                <w:tab w:val="left" w:pos="99"/>
              </w:tabs>
              <w:rPr>
                <w:rFonts w:ascii="Calibri" w:hAnsi="Calibri" w:cs="Calibri"/>
                <w:color w:val="000000"/>
                <w:sz w:val="20"/>
                <w:szCs w:val="20"/>
                <w:lang w:val="fr-FR"/>
              </w:rPr>
            </w:pPr>
            <w:r>
              <w:rPr>
                <w:rFonts w:ascii="Calibri" w:hAnsi="Calibri" w:cs="Calibri"/>
                <w:color w:val="000000"/>
                <w:sz w:val="20"/>
                <w:szCs w:val="20"/>
                <w:lang w:val="fr-FR"/>
              </w:rPr>
              <w:t>Reliquat budgétaire global attendu</w:t>
            </w:r>
          </w:p>
          <w:p w:rsidR="00344D11" w:rsidRPr="00487B27" w:rsidRDefault="00344D11" w:rsidP="002365B2">
            <w:pPr>
              <w:tabs>
                <w:tab w:val="left" w:pos="99"/>
              </w:tabs>
              <w:rPr>
                <w:rFonts w:ascii="Calibri" w:hAnsi="Calibri" w:cs="Calibri"/>
                <w:i/>
                <w:color w:val="000000"/>
                <w:sz w:val="20"/>
                <w:szCs w:val="20"/>
                <w:lang w:val="fr-FR"/>
              </w:rPr>
            </w:pPr>
            <w:r w:rsidRPr="00487B27">
              <w:rPr>
                <w:rFonts w:ascii="Calibri" w:hAnsi="Calibri" w:cs="Calibri"/>
                <w:i/>
                <w:color w:val="000000"/>
                <w:sz w:val="20"/>
                <w:szCs w:val="20"/>
                <w:lang w:val="fr-FR"/>
              </w:rPr>
              <w:t>(par rapport au budget hors frais d’agence)</w:t>
            </w:r>
          </w:p>
        </w:tc>
        <w:tc>
          <w:tcPr>
            <w:tcW w:w="3883" w:type="dxa"/>
          </w:tcPr>
          <w:p w:rsidR="00344D11" w:rsidRPr="00487B27" w:rsidRDefault="00344D11" w:rsidP="002365B2">
            <w:pPr>
              <w:pStyle w:val="ListParagraph"/>
              <w:numPr>
                <w:ilvl w:val="0"/>
                <w:numId w:val="27"/>
              </w:numPr>
              <w:ind w:left="312" w:hanging="270"/>
              <w:rPr>
                <w:rFonts w:ascii="Calibri" w:hAnsi="Calibri" w:cs="Calibri"/>
                <w:color w:val="000000"/>
                <w:sz w:val="20"/>
                <w:szCs w:val="20"/>
                <w:lang w:val="fr-FR"/>
              </w:rPr>
            </w:pPr>
            <w:r w:rsidRPr="00487B27">
              <w:rPr>
                <w:rFonts w:ascii="Calibri" w:hAnsi="Calibri" w:cs="Calibri"/>
                <w:color w:val="000000"/>
                <w:sz w:val="20"/>
                <w:szCs w:val="20"/>
                <w:lang w:val="fr-FR"/>
              </w:rPr>
              <w:t>Mise en œuvre des actions prioritaires seulement:</w:t>
            </w:r>
          </w:p>
          <w:p w:rsidR="00344D11" w:rsidRPr="00487B27" w:rsidRDefault="00344D11" w:rsidP="002365B2">
            <w:pPr>
              <w:pStyle w:val="ListParagraph"/>
              <w:numPr>
                <w:ilvl w:val="0"/>
                <w:numId w:val="27"/>
              </w:numPr>
              <w:ind w:left="312" w:hanging="270"/>
              <w:rPr>
                <w:rFonts w:ascii="Calibri" w:hAnsi="Calibri" w:cs="Calibri"/>
                <w:color w:val="000000"/>
                <w:sz w:val="20"/>
                <w:szCs w:val="20"/>
                <w:lang w:val="fr-FR"/>
              </w:rPr>
            </w:pPr>
            <w:r>
              <w:rPr>
                <w:rFonts w:ascii="Calibri" w:hAnsi="Calibri" w:cs="Calibri"/>
                <w:color w:val="000000"/>
                <w:sz w:val="20"/>
                <w:szCs w:val="20"/>
                <w:lang w:val="fr-FR"/>
              </w:rPr>
              <w:t>Mise en œuvre des activités prioritaires et optionnelles (hors annulation)</w:t>
            </w:r>
          </w:p>
        </w:tc>
        <w:tc>
          <w:tcPr>
            <w:tcW w:w="1538" w:type="dxa"/>
            <w:vAlign w:val="bottom"/>
          </w:tcPr>
          <w:p w:rsidR="00344D11" w:rsidRPr="00487B27" w:rsidRDefault="00344D11" w:rsidP="002365B2">
            <w:pPr>
              <w:ind w:left="42"/>
              <w:rPr>
                <w:rFonts w:ascii="Calibri" w:hAnsi="Calibri" w:cs="Calibri"/>
                <w:color w:val="000000"/>
                <w:sz w:val="4"/>
                <w:szCs w:val="4"/>
                <w:lang w:val="fr-FR"/>
              </w:rPr>
            </w:pPr>
          </w:p>
          <w:p w:rsidR="00344D11" w:rsidRDefault="00344D11" w:rsidP="002365B2">
            <w:pPr>
              <w:pStyle w:val="ListParagraph"/>
              <w:ind w:left="312"/>
              <w:rPr>
                <w:rFonts w:ascii="Calibri" w:hAnsi="Calibri" w:cs="Calibri"/>
                <w:color w:val="000000"/>
                <w:sz w:val="20"/>
                <w:szCs w:val="20"/>
                <w:lang w:val="fr-FR"/>
              </w:rPr>
            </w:pPr>
            <w:r>
              <w:rPr>
                <w:rFonts w:ascii="Calibri" w:hAnsi="Calibri" w:cs="Calibri"/>
                <w:color w:val="000000"/>
                <w:sz w:val="20"/>
                <w:szCs w:val="20"/>
                <w:lang w:val="fr-FR"/>
              </w:rPr>
              <w:t>1,8 millions</w:t>
            </w:r>
          </w:p>
          <w:p w:rsidR="00344D11" w:rsidRDefault="00344D11" w:rsidP="002365B2">
            <w:pPr>
              <w:pStyle w:val="ListParagraph"/>
              <w:ind w:left="312"/>
              <w:jc w:val="center"/>
              <w:rPr>
                <w:rFonts w:ascii="Calibri" w:hAnsi="Calibri" w:cs="Calibri"/>
                <w:color w:val="000000"/>
                <w:sz w:val="20"/>
                <w:szCs w:val="20"/>
                <w:lang w:val="fr-FR"/>
              </w:rPr>
            </w:pPr>
          </w:p>
          <w:p w:rsidR="00344D11" w:rsidRDefault="00344D11" w:rsidP="002365B2">
            <w:pPr>
              <w:pStyle w:val="ListParagraph"/>
              <w:ind w:left="312"/>
              <w:rPr>
                <w:rFonts w:ascii="Calibri" w:hAnsi="Calibri" w:cs="Calibri"/>
                <w:color w:val="000000"/>
                <w:sz w:val="20"/>
                <w:szCs w:val="20"/>
                <w:lang w:val="fr-FR"/>
              </w:rPr>
            </w:pPr>
            <w:r>
              <w:rPr>
                <w:rFonts w:ascii="Calibri" w:hAnsi="Calibri" w:cs="Calibri"/>
                <w:color w:val="000000"/>
                <w:sz w:val="20"/>
                <w:szCs w:val="20"/>
                <w:lang w:val="fr-FR"/>
              </w:rPr>
              <w:t>0,6 millions</w:t>
            </w:r>
          </w:p>
          <w:p w:rsidR="00344D11" w:rsidRPr="00487B27" w:rsidRDefault="00344D11" w:rsidP="002365B2">
            <w:pPr>
              <w:pStyle w:val="ListParagraph"/>
              <w:ind w:left="312"/>
              <w:jc w:val="center"/>
              <w:rPr>
                <w:rFonts w:ascii="Calibri" w:hAnsi="Calibri" w:cs="Calibri"/>
                <w:color w:val="000000"/>
                <w:sz w:val="20"/>
                <w:szCs w:val="20"/>
                <w:lang w:val="fr-FR"/>
              </w:rPr>
            </w:pPr>
          </w:p>
        </w:tc>
      </w:tr>
      <w:tr w:rsidR="00344D11" w:rsidTr="002365B2">
        <w:trPr>
          <w:trHeight w:val="517"/>
          <w:jc w:val="center"/>
        </w:trPr>
        <w:tc>
          <w:tcPr>
            <w:tcW w:w="3317" w:type="dxa"/>
            <w:vAlign w:val="center"/>
          </w:tcPr>
          <w:p w:rsidR="00344D11" w:rsidRDefault="00344D11" w:rsidP="002365B2">
            <w:pPr>
              <w:tabs>
                <w:tab w:val="left" w:pos="99"/>
              </w:tabs>
              <w:rPr>
                <w:rFonts w:ascii="Calibri" w:hAnsi="Calibri" w:cs="Calibri"/>
                <w:color w:val="000000"/>
                <w:sz w:val="20"/>
                <w:szCs w:val="20"/>
                <w:lang w:val="fr-FR"/>
              </w:rPr>
            </w:pPr>
            <w:r>
              <w:rPr>
                <w:rFonts w:ascii="Calibri" w:hAnsi="Calibri" w:cs="Calibri"/>
                <w:color w:val="000000"/>
                <w:sz w:val="20"/>
                <w:szCs w:val="20"/>
                <w:lang w:val="fr-FR"/>
              </w:rPr>
              <w:t>Reliquat budgétaire/1</w:t>
            </w:r>
            <w:r w:rsidRPr="009D5A38">
              <w:rPr>
                <w:rFonts w:ascii="Calibri" w:hAnsi="Calibri" w:cs="Calibri"/>
                <w:color w:val="000000"/>
                <w:sz w:val="20"/>
                <w:szCs w:val="20"/>
                <w:vertAlign w:val="superscript"/>
                <w:lang w:val="fr-FR"/>
              </w:rPr>
              <w:t>ère</w:t>
            </w:r>
            <w:r>
              <w:rPr>
                <w:rFonts w:ascii="Calibri" w:hAnsi="Calibri" w:cs="Calibri"/>
                <w:color w:val="000000"/>
                <w:sz w:val="20"/>
                <w:szCs w:val="20"/>
                <w:lang w:val="fr-FR"/>
              </w:rPr>
              <w:t xml:space="preserve"> tranche :</w:t>
            </w:r>
          </w:p>
        </w:tc>
        <w:tc>
          <w:tcPr>
            <w:tcW w:w="3883" w:type="dxa"/>
          </w:tcPr>
          <w:p w:rsidR="00344D11" w:rsidRDefault="00344D11" w:rsidP="002365B2">
            <w:pPr>
              <w:pStyle w:val="ListParagraph"/>
              <w:numPr>
                <w:ilvl w:val="0"/>
                <w:numId w:val="27"/>
              </w:numPr>
              <w:ind w:left="312" w:hanging="270"/>
              <w:rPr>
                <w:rFonts w:ascii="Calibri" w:hAnsi="Calibri" w:cs="Calibri"/>
                <w:color w:val="000000"/>
                <w:sz w:val="20"/>
                <w:szCs w:val="20"/>
                <w:lang w:val="fr-FR"/>
              </w:rPr>
            </w:pPr>
            <w:r w:rsidRPr="00487B27">
              <w:rPr>
                <w:rFonts w:ascii="Calibri" w:hAnsi="Calibri" w:cs="Calibri"/>
                <w:color w:val="000000"/>
                <w:sz w:val="20"/>
                <w:szCs w:val="20"/>
                <w:lang w:val="fr-FR"/>
              </w:rPr>
              <w:t>Mise en œuvre des actions prioritaires seulement:</w:t>
            </w:r>
          </w:p>
          <w:p w:rsidR="00344D11" w:rsidRPr="00487B27" w:rsidRDefault="00344D11" w:rsidP="002365B2">
            <w:pPr>
              <w:pStyle w:val="ListParagraph"/>
              <w:numPr>
                <w:ilvl w:val="0"/>
                <w:numId w:val="27"/>
              </w:numPr>
              <w:ind w:left="312" w:hanging="270"/>
              <w:rPr>
                <w:rFonts w:ascii="Calibri" w:hAnsi="Calibri" w:cs="Calibri"/>
                <w:color w:val="000000"/>
                <w:sz w:val="20"/>
                <w:szCs w:val="20"/>
                <w:lang w:val="fr-FR"/>
              </w:rPr>
            </w:pPr>
            <w:r w:rsidRPr="00487B27">
              <w:rPr>
                <w:rFonts w:ascii="Calibri" w:hAnsi="Calibri" w:cs="Calibri"/>
                <w:color w:val="000000"/>
                <w:sz w:val="20"/>
                <w:szCs w:val="20"/>
                <w:lang w:val="fr-FR"/>
              </w:rPr>
              <w:t>Mise en œuvre des activités prioritaires et optionnelles (hors annulation)</w:t>
            </w:r>
          </w:p>
        </w:tc>
        <w:tc>
          <w:tcPr>
            <w:tcW w:w="1538" w:type="dxa"/>
          </w:tcPr>
          <w:p w:rsidR="00344D11" w:rsidRDefault="00344D11" w:rsidP="002365B2">
            <w:pPr>
              <w:pStyle w:val="ListParagraph"/>
              <w:ind w:left="312"/>
              <w:rPr>
                <w:rFonts w:ascii="Calibri" w:hAnsi="Calibri" w:cs="Calibri"/>
                <w:color w:val="000000"/>
                <w:sz w:val="20"/>
                <w:szCs w:val="20"/>
                <w:lang w:val="fr-FR"/>
              </w:rPr>
            </w:pPr>
          </w:p>
          <w:p w:rsidR="00344D11" w:rsidRPr="00487B27" w:rsidRDefault="00344D11" w:rsidP="002365B2">
            <w:pPr>
              <w:pStyle w:val="ListParagraph"/>
              <w:ind w:left="312"/>
              <w:rPr>
                <w:rFonts w:ascii="Calibri" w:hAnsi="Calibri" w:cs="Calibri"/>
                <w:color w:val="000000"/>
                <w:sz w:val="20"/>
                <w:szCs w:val="20"/>
                <w:lang w:val="fr-FR"/>
              </w:rPr>
            </w:pPr>
            <w:r>
              <w:rPr>
                <w:rFonts w:ascii="Calibri" w:hAnsi="Calibri" w:cs="Calibri"/>
                <w:color w:val="000000"/>
                <w:sz w:val="20"/>
                <w:szCs w:val="20"/>
                <w:lang w:val="fr-FR"/>
              </w:rPr>
              <w:t>0.2 million</w:t>
            </w:r>
          </w:p>
          <w:p w:rsidR="00344D11" w:rsidRPr="00487B27" w:rsidRDefault="00344D11" w:rsidP="002365B2">
            <w:pPr>
              <w:pStyle w:val="ListParagraph"/>
              <w:ind w:left="312"/>
              <w:rPr>
                <w:rFonts w:ascii="Calibri" w:hAnsi="Calibri" w:cs="Calibri"/>
                <w:b/>
                <w:bCs/>
                <w:color w:val="000000"/>
                <w:sz w:val="20"/>
                <w:szCs w:val="20"/>
              </w:rPr>
            </w:pPr>
            <w:r w:rsidRPr="00487B27">
              <w:rPr>
                <w:rFonts w:ascii="Calibri" w:hAnsi="Calibri" w:cs="Calibri"/>
                <w:color w:val="000000"/>
                <w:sz w:val="20"/>
                <w:szCs w:val="20"/>
                <w:lang w:val="fr-FR"/>
              </w:rPr>
              <w:t>(</w:t>
            </w:r>
            <w:r>
              <w:rPr>
                <w:rFonts w:ascii="Calibri" w:hAnsi="Calibri" w:cs="Calibri"/>
                <w:color w:val="000000"/>
                <w:sz w:val="20"/>
                <w:szCs w:val="20"/>
                <w:lang w:val="fr-FR"/>
              </w:rPr>
              <w:t xml:space="preserve"> -</w:t>
            </w:r>
            <w:r w:rsidRPr="00487B27">
              <w:rPr>
                <w:rFonts w:ascii="Calibri" w:hAnsi="Calibri" w:cs="Calibri"/>
                <w:color w:val="000000"/>
                <w:sz w:val="20"/>
                <w:szCs w:val="20"/>
                <w:lang w:val="fr-FR"/>
              </w:rPr>
              <w:t>1 million)</w:t>
            </w:r>
          </w:p>
        </w:tc>
      </w:tr>
    </w:tbl>
    <w:p w:rsidR="00344D11" w:rsidRPr="003626E6" w:rsidRDefault="00344D11" w:rsidP="00344D11">
      <w:pPr>
        <w:tabs>
          <w:tab w:val="left" w:pos="99"/>
        </w:tabs>
        <w:rPr>
          <w:rFonts w:ascii="Calibri" w:hAnsi="Calibri" w:cs="Calibri"/>
          <w:color w:val="000000"/>
          <w:sz w:val="16"/>
          <w:szCs w:val="16"/>
        </w:rPr>
      </w:pPr>
      <w:r w:rsidRPr="003626E6">
        <w:rPr>
          <w:rFonts w:ascii="Calibri" w:hAnsi="Calibri" w:cs="Calibri"/>
          <w:color w:val="000000"/>
          <w:sz w:val="16"/>
          <w:szCs w:val="16"/>
        </w:rPr>
        <w:lastRenderedPageBreak/>
        <w:tab/>
      </w:r>
    </w:p>
    <w:p w:rsidR="00344D11" w:rsidRPr="001972B6" w:rsidRDefault="00344D11" w:rsidP="00CF4FE0">
      <w:pPr>
        <w:pStyle w:val="NoSpacing"/>
        <w:numPr>
          <w:ilvl w:val="0"/>
          <w:numId w:val="1"/>
        </w:numPr>
        <w:ind w:left="0" w:firstLine="0"/>
        <w:rPr>
          <w:lang w:val="fr-FR"/>
        </w:rPr>
      </w:pPr>
      <w:r w:rsidRPr="001972B6">
        <w:rPr>
          <w:lang w:val="fr-FR"/>
        </w:rPr>
        <w:t>Selon les mêmes estimations, dans l’hypothèse où seules les activités prioritaires soient mises en œuvre, il se pourrait que le montant de la 1</w:t>
      </w:r>
      <w:r w:rsidRPr="001972B6">
        <w:rPr>
          <w:vertAlign w:val="superscript"/>
          <w:lang w:val="fr-FR"/>
        </w:rPr>
        <w:t>ère</w:t>
      </w:r>
      <w:r w:rsidRPr="001972B6">
        <w:rPr>
          <w:lang w:val="fr-FR"/>
        </w:rPr>
        <w:t xml:space="preserve"> tranche soit suffisant pour les financer. La seule action serait donc la réallocation des fonds inter-agences</w:t>
      </w:r>
      <w:r>
        <w:rPr>
          <w:rStyle w:val="FootnoteReference"/>
          <w:lang w:val="fr-FR"/>
        </w:rPr>
        <w:footnoteReference w:id="89"/>
      </w:r>
      <w:r w:rsidRPr="001972B6">
        <w:rPr>
          <w:lang w:val="fr-FR"/>
        </w:rPr>
        <w:t xml:space="preserve"> . Dans l’hypothèse où les conditions soient remplies pou</w:t>
      </w:r>
      <w:r>
        <w:rPr>
          <w:lang w:val="fr-FR"/>
        </w:rPr>
        <w:t xml:space="preserve">r que les activités optionnelles soient également réalisées, le montant de la deuxième tranche s’élèvera à un maximum de 1 million. </w:t>
      </w:r>
      <w:r w:rsidRPr="001972B6">
        <w:rPr>
          <w:lang w:val="fr-FR"/>
        </w:rPr>
        <w:t>(voir Recommandation 3)</w:t>
      </w:r>
    </w:p>
    <w:p w:rsidR="00344D11" w:rsidRPr="0031650C" w:rsidRDefault="00344D11" w:rsidP="00552562">
      <w:pPr>
        <w:rPr>
          <w:color w:val="FF0000"/>
          <w:u w:val="single"/>
          <w:lang w:val="fr-FR"/>
        </w:rPr>
      </w:pPr>
    </w:p>
    <w:p w:rsidR="00552562" w:rsidRPr="00D65BD0" w:rsidRDefault="00552562" w:rsidP="00315C97">
      <w:pPr>
        <w:pStyle w:val="NoSpacing"/>
        <w:pBdr>
          <w:top w:val="single" w:sz="4" w:space="1" w:color="auto"/>
          <w:left w:val="single" w:sz="4" w:space="4" w:color="auto"/>
          <w:bottom w:val="single" w:sz="4" w:space="1" w:color="auto"/>
          <w:right w:val="single" w:sz="4" w:space="4" w:color="auto"/>
        </w:pBdr>
        <w:tabs>
          <w:tab w:val="left" w:pos="2070"/>
        </w:tabs>
        <w:ind w:left="2070" w:hanging="2070"/>
        <w:rPr>
          <w:b/>
          <w:lang w:val="fr-CA"/>
        </w:rPr>
      </w:pPr>
      <w:r w:rsidRPr="00D65BD0">
        <w:rPr>
          <w:b/>
          <w:lang w:val="fr-CA"/>
        </w:rPr>
        <w:t xml:space="preserve">Recommandation 2 – </w:t>
      </w:r>
      <w:r w:rsidR="00B27FE1">
        <w:rPr>
          <w:b/>
          <w:lang w:val="fr-CA"/>
        </w:rPr>
        <w:t>Préparer un Plan de</w:t>
      </w:r>
      <w:r w:rsidR="00690BB4">
        <w:rPr>
          <w:b/>
          <w:lang w:val="fr-CA"/>
        </w:rPr>
        <w:t xml:space="preserve"> Travail et Budget consolidé </w:t>
      </w:r>
      <w:r w:rsidR="00B27FE1">
        <w:rPr>
          <w:b/>
          <w:lang w:val="fr-CA"/>
        </w:rPr>
        <w:t xml:space="preserve">très détaillé </w:t>
      </w:r>
      <w:r w:rsidR="00690BB4">
        <w:rPr>
          <w:b/>
          <w:lang w:val="fr-CA"/>
        </w:rPr>
        <w:t>et opérationnel</w:t>
      </w:r>
    </w:p>
    <w:p w:rsidR="00690BB4" w:rsidRDefault="00B27FE1" w:rsidP="00CF4FE0">
      <w:pPr>
        <w:pStyle w:val="NoSpacing"/>
        <w:numPr>
          <w:ilvl w:val="0"/>
          <w:numId w:val="1"/>
        </w:numPr>
        <w:ind w:left="0" w:firstLine="0"/>
        <w:rPr>
          <w:lang w:val="fr-FR"/>
        </w:rPr>
      </w:pPr>
      <w:r w:rsidRPr="00B27FE1">
        <w:rPr>
          <w:lang w:val="fr-FR"/>
        </w:rPr>
        <w:t xml:space="preserve">Sur la base des critères proposés au titre de la Recommandation 2 et des autres recommandations de réorientation stratégique proposé dans le présent rapport, </w:t>
      </w:r>
      <w:r w:rsidRPr="00764016">
        <w:rPr>
          <w:u w:val="single"/>
          <w:lang w:val="fr-FR"/>
        </w:rPr>
        <w:t xml:space="preserve">la mission </w:t>
      </w:r>
      <w:r w:rsidRPr="000C666A">
        <w:rPr>
          <w:lang w:val="fr-FR"/>
        </w:rPr>
        <w:t>recommande</w:t>
      </w:r>
      <w:r w:rsidRPr="00764016">
        <w:rPr>
          <w:u w:val="single"/>
          <w:lang w:val="fr-FR"/>
        </w:rPr>
        <w:t xml:space="preserve"> que l’EP organise</w:t>
      </w:r>
      <w:r w:rsidRPr="00B27FE1">
        <w:rPr>
          <w:lang w:val="fr-FR"/>
        </w:rPr>
        <w:t xml:space="preserve"> dans les plus brefs délais, après la finalisation du rapport d‘évaluation à mi-parcours, </w:t>
      </w:r>
      <w:r w:rsidRPr="00764016">
        <w:rPr>
          <w:u w:val="single"/>
          <w:lang w:val="fr-FR"/>
        </w:rPr>
        <w:t>un atelier de planification de deux jours</w:t>
      </w:r>
      <w:r w:rsidRPr="00B27FE1">
        <w:rPr>
          <w:lang w:val="fr-FR"/>
        </w:rPr>
        <w:t>, avec la participation de tous les partenaires des NU et du gouvernement</w:t>
      </w:r>
      <w:r w:rsidR="00764016">
        <w:rPr>
          <w:lang w:val="fr-FR"/>
        </w:rPr>
        <w:t xml:space="preserve">. </w:t>
      </w:r>
      <w:r w:rsidR="00690BB4" w:rsidRPr="00B27FE1">
        <w:rPr>
          <w:lang w:val="fr-FR"/>
        </w:rPr>
        <w:t>Il est aussi recommandé que cet atelier soit animé par la même consultante qui avait facilité l’atelier de décembre 2011</w:t>
      </w:r>
      <w:r w:rsidR="00DB434D">
        <w:rPr>
          <w:lang w:val="fr-FR"/>
        </w:rPr>
        <w:t>.</w:t>
      </w:r>
    </w:p>
    <w:p w:rsidR="00690BB4" w:rsidRDefault="00764016" w:rsidP="00CF4FE0">
      <w:pPr>
        <w:pStyle w:val="NoSpacing"/>
        <w:numPr>
          <w:ilvl w:val="0"/>
          <w:numId w:val="1"/>
        </w:numPr>
        <w:ind w:left="0" w:firstLine="0"/>
        <w:rPr>
          <w:lang w:val="fr-FR"/>
        </w:rPr>
      </w:pPr>
      <w:r>
        <w:rPr>
          <w:lang w:val="fr-FR"/>
        </w:rPr>
        <w:t xml:space="preserve">Au cours de cet atelier, les partenaires définiront </w:t>
      </w:r>
      <w:r w:rsidRPr="00764016">
        <w:rPr>
          <w:u w:val="single"/>
          <w:lang w:val="fr-FR"/>
        </w:rPr>
        <w:t>un Plan de Travail et Budget</w:t>
      </w:r>
      <w:r w:rsidR="00690BB4">
        <w:rPr>
          <w:lang w:val="fr-FR"/>
        </w:rPr>
        <w:t xml:space="preserve"> (un modèle est proposé en Annexe</w:t>
      </w:r>
      <w:r w:rsidR="00E46B31">
        <w:rPr>
          <w:lang w:val="fr-FR"/>
        </w:rPr>
        <w:t xml:space="preserve"> 9</w:t>
      </w:r>
      <w:r w:rsidR="00690BB4">
        <w:rPr>
          <w:lang w:val="fr-FR"/>
        </w:rPr>
        <w:t>) qui devra :</w:t>
      </w:r>
    </w:p>
    <w:p w:rsidR="00690BB4" w:rsidRDefault="00690BB4" w:rsidP="0038607C">
      <w:pPr>
        <w:pStyle w:val="NoSpacing"/>
        <w:numPr>
          <w:ilvl w:val="0"/>
          <w:numId w:val="27"/>
        </w:numPr>
        <w:rPr>
          <w:lang w:val="fr-FR"/>
        </w:rPr>
      </w:pPr>
      <w:r>
        <w:rPr>
          <w:lang w:val="fr-FR"/>
        </w:rPr>
        <w:t>Couvrir</w:t>
      </w:r>
      <w:r w:rsidR="00764016">
        <w:rPr>
          <w:lang w:val="fr-FR"/>
        </w:rPr>
        <w:t xml:space="preserve"> la période 1</w:t>
      </w:r>
      <w:r w:rsidRPr="00690BB4">
        <w:rPr>
          <w:vertAlign w:val="superscript"/>
          <w:lang w:val="fr-FR"/>
        </w:rPr>
        <w:t>er</w:t>
      </w:r>
      <w:r>
        <w:rPr>
          <w:vertAlign w:val="superscript"/>
          <w:lang w:val="fr-FR"/>
        </w:rPr>
        <w:t xml:space="preserve"> </w:t>
      </w:r>
      <w:r w:rsidR="00764016">
        <w:rPr>
          <w:lang w:val="fr-FR"/>
        </w:rPr>
        <w:t xml:space="preserve">mars 2012-31 mai 2013 </w:t>
      </w:r>
    </w:p>
    <w:p w:rsidR="00690BB4" w:rsidRDefault="00690BB4" w:rsidP="0038607C">
      <w:pPr>
        <w:pStyle w:val="NoSpacing"/>
        <w:numPr>
          <w:ilvl w:val="0"/>
          <w:numId w:val="27"/>
        </w:numPr>
        <w:rPr>
          <w:lang w:val="fr-FR"/>
        </w:rPr>
      </w:pPr>
      <w:r>
        <w:rPr>
          <w:lang w:val="fr-FR"/>
        </w:rPr>
        <w:t xml:space="preserve">Etre </w:t>
      </w:r>
      <w:r w:rsidR="00764016">
        <w:rPr>
          <w:lang w:val="fr-FR"/>
        </w:rPr>
        <w:t>consolidé</w:t>
      </w:r>
      <w:r>
        <w:rPr>
          <w:lang w:val="fr-FR"/>
        </w:rPr>
        <w:t xml:space="preserve">, </w:t>
      </w:r>
      <w:r w:rsidR="00764016">
        <w:rPr>
          <w:lang w:val="fr-FR"/>
        </w:rPr>
        <w:t xml:space="preserve">c’est-à-dire </w:t>
      </w:r>
      <w:r>
        <w:rPr>
          <w:lang w:val="fr-FR"/>
        </w:rPr>
        <w:t>organisé</w:t>
      </w:r>
      <w:r w:rsidR="00764016">
        <w:rPr>
          <w:lang w:val="fr-FR"/>
        </w:rPr>
        <w:t xml:space="preserve"> selon la structure du Cadre Logique</w:t>
      </w:r>
      <w:r>
        <w:rPr>
          <w:lang w:val="fr-FR"/>
        </w:rPr>
        <w:t xml:space="preserve"> et non pas par agences.</w:t>
      </w:r>
    </w:p>
    <w:p w:rsidR="00B27FE1" w:rsidRDefault="00690BB4" w:rsidP="0038607C">
      <w:pPr>
        <w:pStyle w:val="NoSpacing"/>
        <w:numPr>
          <w:ilvl w:val="0"/>
          <w:numId w:val="27"/>
        </w:numPr>
        <w:rPr>
          <w:lang w:val="fr-FR"/>
        </w:rPr>
      </w:pPr>
      <w:r>
        <w:rPr>
          <w:lang w:val="fr-FR"/>
        </w:rPr>
        <w:t>T</w:t>
      </w:r>
      <w:r w:rsidR="00764016">
        <w:rPr>
          <w:lang w:val="fr-FR"/>
        </w:rPr>
        <w:t>rès opérationnel</w:t>
      </w:r>
      <w:r>
        <w:rPr>
          <w:lang w:val="fr-FR"/>
        </w:rPr>
        <w:t xml:space="preserve">, </w:t>
      </w:r>
      <w:r w:rsidR="00764016">
        <w:rPr>
          <w:lang w:val="fr-FR"/>
        </w:rPr>
        <w:t>c’est-à-dire très détaillé et tenant compte de toutes les contraintes de temps et en ressources humaines</w:t>
      </w:r>
      <w:r>
        <w:rPr>
          <w:lang w:val="fr-FR"/>
        </w:rPr>
        <w:t>.</w:t>
      </w:r>
    </w:p>
    <w:p w:rsidR="0081421C" w:rsidRDefault="00690BB4" w:rsidP="00CF4FE0">
      <w:pPr>
        <w:pStyle w:val="NoSpacing"/>
        <w:numPr>
          <w:ilvl w:val="0"/>
          <w:numId w:val="1"/>
        </w:numPr>
        <w:ind w:left="0" w:firstLine="0"/>
        <w:rPr>
          <w:lang w:val="fr-FR"/>
        </w:rPr>
      </w:pPr>
      <w:r>
        <w:rPr>
          <w:lang w:val="fr-FR"/>
        </w:rPr>
        <w:t>La</w:t>
      </w:r>
      <w:r w:rsidR="00B27FE1" w:rsidRPr="00764016">
        <w:rPr>
          <w:u w:val="single"/>
          <w:lang w:val="fr-FR"/>
        </w:rPr>
        <w:t xml:space="preserve"> </w:t>
      </w:r>
      <w:r w:rsidR="00B27FE1" w:rsidRPr="00344D11">
        <w:rPr>
          <w:lang w:val="fr-FR"/>
        </w:rPr>
        <w:t>mission</w:t>
      </w:r>
      <w:r w:rsidR="00B27FE1" w:rsidRPr="00764016">
        <w:rPr>
          <w:u w:val="single"/>
          <w:lang w:val="fr-FR"/>
        </w:rPr>
        <w:t xml:space="preserve"> recommande </w:t>
      </w:r>
      <w:r>
        <w:rPr>
          <w:u w:val="single"/>
          <w:lang w:val="fr-FR"/>
        </w:rPr>
        <w:t>aussi que ce</w:t>
      </w:r>
      <w:r w:rsidR="00B27FE1" w:rsidRPr="00764016">
        <w:rPr>
          <w:u w:val="single"/>
          <w:lang w:val="fr-FR"/>
        </w:rPr>
        <w:t xml:space="preserve"> PTB</w:t>
      </w:r>
      <w:r w:rsidR="00B27FE1" w:rsidRPr="0081421C">
        <w:rPr>
          <w:u w:val="single"/>
          <w:lang w:val="fr-FR"/>
        </w:rPr>
        <w:t xml:space="preserve"> soit composé de deux parties</w:t>
      </w:r>
      <w:r w:rsidR="00B27FE1">
        <w:rPr>
          <w:lang w:val="fr-FR"/>
        </w:rPr>
        <w:t xml:space="preserve"> : </w:t>
      </w:r>
    </w:p>
    <w:p w:rsidR="00B27FE1" w:rsidRDefault="0081421C" w:rsidP="0081421C">
      <w:pPr>
        <w:pStyle w:val="NoSpacing"/>
        <w:ind w:left="708"/>
        <w:rPr>
          <w:lang w:val="fr-FR"/>
        </w:rPr>
      </w:pPr>
      <w:r>
        <w:rPr>
          <w:lang w:val="fr-FR"/>
        </w:rPr>
        <w:t xml:space="preserve">(a) </w:t>
      </w:r>
      <w:r w:rsidRPr="00764016">
        <w:rPr>
          <w:b/>
          <w:lang w:val="fr-FR"/>
        </w:rPr>
        <w:t>L</w:t>
      </w:r>
      <w:r w:rsidR="00B27FE1" w:rsidRPr="00764016">
        <w:rPr>
          <w:b/>
          <w:lang w:val="fr-FR"/>
        </w:rPr>
        <w:t>a première partie</w:t>
      </w:r>
      <w:r w:rsidR="00764016">
        <w:rPr>
          <w:b/>
          <w:lang w:val="fr-FR"/>
        </w:rPr>
        <w:t> :</w:t>
      </w:r>
      <w:r w:rsidR="00B27FE1">
        <w:rPr>
          <w:lang w:val="fr-FR"/>
        </w:rPr>
        <w:t xml:space="preserve"> détaillera les sous-activités, activités, budgets, calendriers et responsabilités pour la réalisation des activités </w:t>
      </w:r>
      <w:r w:rsidR="00B27FE1" w:rsidRPr="0081421C">
        <w:rPr>
          <w:u w:val="single"/>
          <w:lang w:val="fr-FR"/>
        </w:rPr>
        <w:t>identifiées comme prioritaires</w:t>
      </w:r>
      <w:r w:rsidR="00B27FE1">
        <w:rPr>
          <w:lang w:val="fr-FR"/>
        </w:rPr>
        <w:t>, c’est-</w:t>
      </w:r>
      <w:r>
        <w:rPr>
          <w:lang w:val="fr-FR"/>
        </w:rPr>
        <w:t>à</w:t>
      </w:r>
      <w:r w:rsidR="00B27FE1">
        <w:rPr>
          <w:lang w:val="fr-FR"/>
        </w:rPr>
        <w:t xml:space="preserve">-dire les activités déjà en cours et les activités qui correspondent aux </w:t>
      </w:r>
      <w:r>
        <w:rPr>
          <w:lang w:val="fr-FR"/>
        </w:rPr>
        <w:t>critères</w:t>
      </w:r>
      <w:r w:rsidR="00B27FE1">
        <w:rPr>
          <w:lang w:val="fr-FR"/>
        </w:rPr>
        <w:t xml:space="preserve"> évoqués précédemment et identifiés à </w:t>
      </w:r>
      <w:r>
        <w:rPr>
          <w:lang w:val="fr-FR"/>
        </w:rPr>
        <w:t>l’Annexe 7.</w:t>
      </w:r>
    </w:p>
    <w:p w:rsidR="00764016" w:rsidRDefault="0081421C" w:rsidP="0081421C">
      <w:pPr>
        <w:pStyle w:val="NoSpacing"/>
        <w:ind w:left="708"/>
        <w:rPr>
          <w:lang w:val="fr-FR"/>
        </w:rPr>
      </w:pPr>
      <w:r>
        <w:rPr>
          <w:lang w:val="fr-FR"/>
        </w:rPr>
        <w:t xml:space="preserve">(b) </w:t>
      </w:r>
      <w:r w:rsidRPr="00764016">
        <w:rPr>
          <w:b/>
          <w:lang w:val="fr-FR"/>
        </w:rPr>
        <w:t>La deuxième partie</w:t>
      </w:r>
      <w:r w:rsidR="00764016">
        <w:rPr>
          <w:b/>
          <w:lang w:val="fr-FR"/>
        </w:rPr>
        <w:t> :</w:t>
      </w:r>
      <w:r>
        <w:rPr>
          <w:lang w:val="fr-FR"/>
        </w:rPr>
        <w:t xml:space="preserve"> détaillera </w:t>
      </w:r>
      <w:r w:rsidRPr="0081421C">
        <w:rPr>
          <w:lang w:val="fr-FR"/>
        </w:rPr>
        <w:t xml:space="preserve">les sous-activités, activités, budgets, calendriers et responsabilités pour la réalisation des activités </w:t>
      </w:r>
      <w:r>
        <w:rPr>
          <w:lang w:val="fr-FR"/>
        </w:rPr>
        <w:t xml:space="preserve">non encore démarrées et non prioritaires, lesquelles ne pourront être mises en œuvre qu’à la </w:t>
      </w:r>
      <w:r w:rsidRPr="00764016">
        <w:rPr>
          <w:u w:val="single"/>
          <w:lang w:val="fr-FR"/>
        </w:rPr>
        <w:t xml:space="preserve">condition expresse que l’expertise </w:t>
      </w:r>
      <w:r w:rsidR="00764016" w:rsidRPr="00764016">
        <w:rPr>
          <w:u w:val="single"/>
          <w:lang w:val="fr-FR"/>
        </w:rPr>
        <w:t>requise soit mobilisée avant la date butoir de</w:t>
      </w:r>
      <w:r w:rsidRPr="00764016">
        <w:rPr>
          <w:u w:val="single"/>
          <w:lang w:val="fr-FR"/>
        </w:rPr>
        <w:t xml:space="preserve"> mai 2012</w:t>
      </w:r>
      <w:r>
        <w:rPr>
          <w:lang w:val="fr-FR"/>
        </w:rPr>
        <w:t xml:space="preserve"> (ce qui laissera encore 12 mois pour la mise en œuvre de ces activités). </w:t>
      </w:r>
    </w:p>
    <w:p w:rsidR="00764016" w:rsidRPr="00764016" w:rsidRDefault="00764016" w:rsidP="00CF4FE0">
      <w:pPr>
        <w:pStyle w:val="NoSpacing"/>
        <w:numPr>
          <w:ilvl w:val="0"/>
          <w:numId w:val="1"/>
        </w:numPr>
        <w:ind w:left="0" w:firstLine="0"/>
        <w:rPr>
          <w:lang w:val="fr-FR"/>
        </w:rPr>
      </w:pPr>
      <w:r>
        <w:rPr>
          <w:lang w:val="fr-FR"/>
        </w:rPr>
        <w:t>La mission recommande plus avant que la date butoir de mai 2012 ne s’applique pas au BIT</w:t>
      </w:r>
      <w:r>
        <w:rPr>
          <w:rStyle w:val="FootnoteReference"/>
          <w:lang w:val="fr-FR"/>
        </w:rPr>
        <w:footnoteReference w:id="90"/>
      </w:r>
      <w:r>
        <w:rPr>
          <w:lang w:val="fr-FR"/>
        </w:rPr>
        <w:t xml:space="preserve">. Pour cette agence et pour toutes les activités qui nécessitent l’expertise du siège en préalable à leur démarrage, la date butoir pour la </w:t>
      </w:r>
      <w:r w:rsidRPr="00764016">
        <w:rPr>
          <w:lang w:val="fr-FR"/>
        </w:rPr>
        <w:t xml:space="preserve">mobilisation de l’expertise technique de Genève sera le </w:t>
      </w:r>
      <w:r w:rsidRPr="00764016">
        <w:rPr>
          <w:u w:val="single"/>
          <w:lang w:val="fr-FR"/>
        </w:rPr>
        <w:t>31 mars 2012</w:t>
      </w:r>
    </w:p>
    <w:p w:rsidR="00690BB4" w:rsidRPr="00690BB4" w:rsidRDefault="0081421C" w:rsidP="00CF4FE0">
      <w:pPr>
        <w:pStyle w:val="NoSpacing"/>
        <w:numPr>
          <w:ilvl w:val="0"/>
          <w:numId w:val="1"/>
        </w:numPr>
        <w:ind w:left="0" w:firstLine="0"/>
        <w:rPr>
          <w:lang w:val="fr-FR"/>
        </w:rPr>
      </w:pPr>
      <w:r w:rsidRPr="00764016">
        <w:rPr>
          <w:lang w:val="fr-FR"/>
        </w:rPr>
        <w:t>Si l’expertise requise n’</w:t>
      </w:r>
      <w:r w:rsidR="00764016" w:rsidRPr="00764016">
        <w:rPr>
          <w:lang w:val="fr-FR"/>
        </w:rPr>
        <w:t>était pas mobilisée avant ces deux dates butoir</w:t>
      </w:r>
      <w:r w:rsidRPr="00764016">
        <w:rPr>
          <w:lang w:val="fr-FR"/>
        </w:rPr>
        <w:t xml:space="preserve">, </w:t>
      </w:r>
      <w:r w:rsidRPr="00764016">
        <w:rPr>
          <w:u w:val="single"/>
          <w:lang w:val="fr-FR"/>
        </w:rPr>
        <w:t xml:space="preserve">la mission </w:t>
      </w:r>
      <w:r w:rsidRPr="00B800A4">
        <w:rPr>
          <w:lang w:val="fr-FR"/>
        </w:rPr>
        <w:t>recommande</w:t>
      </w:r>
      <w:r w:rsidRPr="00211F98">
        <w:rPr>
          <w:lang w:val="fr-FR"/>
        </w:rPr>
        <w:t xml:space="preserve"> </w:t>
      </w:r>
      <w:r w:rsidRPr="00764016">
        <w:rPr>
          <w:u w:val="single"/>
          <w:lang w:val="fr-FR"/>
        </w:rPr>
        <w:t xml:space="preserve">que les activités </w:t>
      </w:r>
      <w:r w:rsidR="00764016" w:rsidRPr="004468AE">
        <w:rPr>
          <w:lang w:val="fr-FR"/>
        </w:rPr>
        <w:t>correspondantes</w:t>
      </w:r>
      <w:r w:rsidR="00764016" w:rsidRPr="00211F98">
        <w:rPr>
          <w:lang w:val="fr-FR"/>
        </w:rPr>
        <w:t xml:space="preserve"> </w:t>
      </w:r>
      <w:r w:rsidRPr="00764016">
        <w:rPr>
          <w:u w:val="single"/>
          <w:lang w:val="fr-FR"/>
        </w:rPr>
        <w:t>prévues dans la deuxième par</w:t>
      </w:r>
      <w:r w:rsidRPr="0081421C">
        <w:rPr>
          <w:u w:val="single"/>
          <w:lang w:val="fr-FR"/>
        </w:rPr>
        <w:t>tie du PTB soient définitivement annulées</w:t>
      </w:r>
      <w:r>
        <w:rPr>
          <w:lang w:val="fr-FR"/>
        </w:rPr>
        <w:t xml:space="preserve">. </w:t>
      </w:r>
    </w:p>
    <w:p w:rsidR="009D5A38" w:rsidRDefault="009D5A38">
      <w:pPr>
        <w:rPr>
          <w:rFonts w:ascii="Calibri" w:hAnsi="Calibri"/>
          <w:sz w:val="22"/>
          <w:lang w:val="fr-FR"/>
        </w:rPr>
      </w:pPr>
      <w:r>
        <w:rPr>
          <w:lang w:val="fr-FR"/>
        </w:rPr>
        <w:br w:type="page"/>
      </w:r>
    </w:p>
    <w:p w:rsidR="003626E6" w:rsidRPr="00875A2C" w:rsidRDefault="003626E6" w:rsidP="003626E6">
      <w:pPr>
        <w:tabs>
          <w:tab w:val="left" w:pos="99"/>
        </w:tabs>
        <w:rPr>
          <w:rFonts w:ascii="Calibri" w:hAnsi="Calibri" w:cs="Calibri"/>
          <w:color w:val="000000"/>
          <w:sz w:val="16"/>
          <w:szCs w:val="16"/>
          <w:lang w:val="fr-FR"/>
        </w:rPr>
      </w:pPr>
    </w:p>
    <w:p w:rsidR="00600A17" w:rsidRPr="00D65BD0" w:rsidRDefault="00600A17" w:rsidP="00315C97">
      <w:pPr>
        <w:pStyle w:val="NoSpacing"/>
        <w:pBdr>
          <w:top w:val="single" w:sz="4" w:space="1" w:color="auto"/>
          <w:left w:val="single" w:sz="4" w:space="4" w:color="auto"/>
          <w:bottom w:val="single" w:sz="4" w:space="1" w:color="auto"/>
          <w:right w:val="single" w:sz="4" w:space="4" w:color="auto"/>
        </w:pBdr>
        <w:tabs>
          <w:tab w:val="left" w:pos="2070"/>
        </w:tabs>
        <w:ind w:left="2070" w:hanging="2070"/>
        <w:rPr>
          <w:b/>
          <w:lang w:val="fr-CA"/>
        </w:rPr>
      </w:pPr>
      <w:r w:rsidRPr="00D65BD0">
        <w:rPr>
          <w:b/>
          <w:lang w:val="fr-CA"/>
        </w:rPr>
        <w:t xml:space="preserve">Recommandation </w:t>
      </w:r>
      <w:r>
        <w:rPr>
          <w:b/>
          <w:lang w:val="fr-CA"/>
        </w:rPr>
        <w:t>3</w:t>
      </w:r>
      <w:r w:rsidRPr="00D65BD0">
        <w:rPr>
          <w:b/>
          <w:lang w:val="fr-CA"/>
        </w:rPr>
        <w:t xml:space="preserve"> – </w:t>
      </w:r>
      <w:r w:rsidR="00B27FE1" w:rsidRPr="00B27FE1">
        <w:rPr>
          <w:b/>
          <w:lang w:val="fr-CA"/>
        </w:rPr>
        <w:t>Réorganiser en profondeur le budget du programme, de façon à permettre que les fonds nécessaires à la réalisation des activités retenues soient disponibles</w:t>
      </w:r>
      <w:r w:rsidR="00B27FE1">
        <w:rPr>
          <w:b/>
          <w:lang w:val="fr-CA"/>
        </w:rPr>
        <w:t xml:space="preserve"> </w:t>
      </w:r>
    </w:p>
    <w:p w:rsidR="00344D11" w:rsidRPr="00344D11" w:rsidRDefault="00344D11" w:rsidP="00344D11">
      <w:pPr>
        <w:pStyle w:val="NoSpacing"/>
        <w:rPr>
          <w:lang w:val="fr-FR"/>
        </w:rPr>
      </w:pPr>
    </w:p>
    <w:p w:rsidR="00D72292" w:rsidRDefault="00990A46" w:rsidP="00CF4FE0">
      <w:pPr>
        <w:pStyle w:val="NoSpacing"/>
        <w:numPr>
          <w:ilvl w:val="0"/>
          <w:numId w:val="1"/>
        </w:numPr>
        <w:ind w:left="0" w:firstLine="0"/>
        <w:rPr>
          <w:lang w:val="fr-FR"/>
        </w:rPr>
      </w:pPr>
      <w:r>
        <w:rPr>
          <w:lang w:val="fr-FR"/>
        </w:rPr>
        <w:t>Pour commencer</w:t>
      </w:r>
      <w:r w:rsidR="00D72292">
        <w:rPr>
          <w:lang w:val="fr-FR"/>
        </w:rPr>
        <w:t xml:space="preserve">, la mission </w:t>
      </w:r>
      <w:r w:rsidR="00D72292" w:rsidRPr="00904417">
        <w:rPr>
          <w:u w:val="single"/>
          <w:lang w:val="fr-FR"/>
        </w:rPr>
        <w:t xml:space="preserve">recommande à tous les partenaires du programme et au Fonds-OMD de </w:t>
      </w:r>
      <w:r w:rsidR="00D72292" w:rsidRPr="000C666A">
        <w:rPr>
          <w:lang w:val="fr-FR"/>
        </w:rPr>
        <w:t>changer</w:t>
      </w:r>
      <w:r w:rsidR="00D72292" w:rsidRPr="00904417">
        <w:rPr>
          <w:u w:val="single"/>
          <w:lang w:val="fr-FR"/>
        </w:rPr>
        <w:t xml:space="preserve"> radicalement leur approche s’agissant de l’utilisation du budget</w:t>
      </w:r>
      <w:r w:rsidR="00D72292">
        <w:rPr>
          <w:lang w:val="fr-FR"/>
        </w:rPr>
        <w:t>. Il est ainsi important que le budget du programme soit avant tout per</w:t>
      </w:r>
      <w:r w:rsidR="00D72292">
        <w:rPr>
          <w:rFonts w:cs="Calibri"/>
          <w:lang w:val="fr-FR"/>
        </w:rPr>
        <w:t>ç</w:t>
      </w:r>
      <w:r w:rsidR="00D72292">
        <w:rPr>
          <w:lang w:val="fr-FR"/>
        </w:rPr>
        <w:t>u comme un moyen de financer des activités du programme, selon les principes d’une gestion axée sur les résultats. En vertu de ce principe, les partenaires doivent être capables de s’éloigner des indications et de</w:t>
      </w:r>
      <w:r>
        <w:rPr>
          <w:lang w:val="fr-FR"/>
        </w:rPr>
        <w:t xml:space="preserve">s « attributions » budgétaires </w:t>
      </w:r>
      <w:r w:rsidR="00D72292">
        <w:rPr>
          <w:lang w:val="fr-FR"/>
        </w:rPr>
        <w:t>du document de projet, lequel</w:t>
      </w:r>
      <w:r w:rsidR="00904417">
        <w:rPr>
          <w:lang w:val="fr-FR"/>
        </w:rPr>
        <w:t>, caduque,</w:t>
      </w:r>
      <w:r w:rsidR="00D72292">
        <w:rPr>
          <w:lang w:val="fr-FR"/>
        </w:rPr>
        <w:t xml:space="preserve"> ne doit plus constituer la référence. Ainsi</w:t>
      </w:r>
      <w:r w:rsidR="00904417">
        <w:rPr>
          <w:lang w:val="fr-FR"/>
        </w:rPr>
        <w:t xml:space="preserve">, </w:t>
      </w:r>
      <w:r>
        <w:rPr>
          <w:lang w:val="fr-FR"/>
        </w:rPr>
        <w:t>le vocable « année 1 » ou</w:t>
      </w:r>
      <w:r w:rsidR="00D72292">
        <w:rPr>
          <w:lang w:val="fr-FR"/>
        </w:rPr>
        <w:t xml:space="preserve"> </w:t>
      </w:r>
      <w:r>
        <w:rPr>
          <w:lang w:val="fr-FR"/>
        </w:rPr>
        <w:t xml:space="preserve">« année 2 » n’a plus de raison d’être. </w:t>
      </w:r>
      <w:r w:rsidRPr="00904417">
        <w:rPr>
          <w:u w:val="single"/>
          <w:lang w:val="fr-FR"/>
        </w:rPr>
        <w:t xml:space="preserve">Quant à la règle selon laquelle le versement de la deuxième tranche est tributaire de l’engagement </w:t>
      </w:r>
      <w:r w:rsidR="003A3F00">
        <w:rPr>
          <w:u w:val="single"/>
          <w:lang w:val="fr-FR"/>
        </w:rPr>
        <w:t>à hauteur</w:t>
      </w:r>
      <w:r w:rsidRPr="00904417">
        <w:rPr>
          <w:u w:val="single"/>
          <w:lang w:val="fr-FR"/>
        </w:rPr>
        <w:t xml:space="preserve"> 70%</w:t>
      </w:r>
      <w:r>
        <w:rPr>
          <w:lang w:val="fr-FR"/>
        </w:rPr>
        <w:t xml:space="preserve"> de la première tranche dans sa globalité, elle pénalise actuellement gravement les agences qui n’ont encore re</w:t>
      </w:r>
      <w:r>
        <w:rPr>
          <w:rFonts w:cs="Calibri"/>
          <w:lang w:val="fr-FR"/>
        </w:rPr>
        <w:t>ç</w:t>
      </w:r>
      <w:r>
        <w:rPr>
          <w:lang w:val="fr-FR"/>
        </w:rPr>
        <w:t xml:space="preserve">u aucun transfert, ou celles qui ont déjà déboursé le montant de leur première tranche et la </w:t>
      </w:r>
      <w:r w:rsidRPr="00904417">
        <w:rPr>
          <w:u w:val="single"/>
          <w:lang w:val="fr-FR"/>
        </w:rPr>
        <w:t>mission recommande que le Fonds-OM</w:t>
      </w:r>
      <w:r w:rsidR="00904417">
        <w:rPr>
          <w:u w:val="single"/>
          <w:lang w:val="fr-FR"/>
        </w:rPr>
        <w:t xml:space="preserve">D la réexamine, </w:t>
      </w:r>
      <w:r w:rsidR="00904417" w:rsidRPr="00904417">
        <w:rPr>
          <w:lang w:val="fr-FR"/>
        </w:rPr>
        <w:t>le cas échéant</w:t>
      </w:r>
      <w:r w:rsidR="00904417">
        <w:rPr>
          <w:lang w:val="fr-FR"/>
        </w:rPr>
        <w:t>,</w:t>
      </w:r>
      <w:r w:rsidR="00904417" w:rsidRPr="00904417">
        <w:rPr>
          <w:lang w:val="fr-FR"/>
        </w:rPr>
        <w:t xml:space="preserve"> </w:t>
      </w:r>
      <w:r w:rsidRPr="00904417">
        <w:rPr>
          <w:lang w:val="fr-FR"/>
        </w:rPr>
        <w:t>dans le cas de ce programme précis</w:t>
      </w:r>
      <w:r>
        <w:rPr>
          <w:lang w:val="fr-FR"/>
        </w:rPr>
        <w:t>.</w:t>
      </w:r>
    </w:p>
    <w:p w:rsidR="001972B6" w:rsidRDefault="001972B6" w:rsidP="00CF4FE0">
      <w:pPr>
        <w:pStyle w:val="NoSpacing"/>
        <w:numPr>
          <w:ilvl w:val="0"/>
          <w:numId w:val="1"/>
        </w:numPr>
        <w:ind w:left="0" w:firstLine="0"/>
        <w:rPr>
          <w:lang w:val="fr-FR"/>
        </w:rPr>
      </w:pPr>
      <w:r>
        <w:rPr>
          <w:lang w:val="fr-FR"/>
        </w:rPr>
        <w:t xml:space="preserve">Selon ce même principe, si les budgets préliminaires identifiés pour chaque activité dans le document de projet devront servir de référence au moins pour identifier les budgets plafonds, la mission recommande qu’une réévaluation du budget de toutes les activités soient faite sur la base </w:t>
      </w:r>
      <w:r w:rsidRPr="000C666A">
        <w:rPr>
          <w:lang w:val="fr-FR"/>
        </w:rPr>
        <w:t>des</w:t>
      </w:r>
      <w:r w:rsidRPr="001972B6">
        <w:rPr>
          <w:u w:val="single"/>
          <w:lang w:val="fr-FR"/>
        </w:rPr>
        <w:t xml:space="preserve"> coûts estimés réels </w:t>
      </w:r>
      <w:r>
        <w:rPr>
          <w:u w:val="single"/>
          <w:lang w:val="fr-FR"/>
        </w:rPr>
        <w:t xml:space="preserve">ou avérés </w:t>
      </w:r>
      <w:r w:rsidRPr="001972B6">
        <w:rPr>
          <w:u w:val="single"/>
          <w:lang w:val="fr-FR"/>
        </w:rPr>
        <w:t>de chaque sous-activité</w:t>
      </w:r>
      <w:r>
        <w:rPr>
          <w:lang w:val="fr-FR"/>
        </w:rPr>
        <w:t>.</w:t>
      </w:r>
    </w:p>
    <w:p w:rsidR="00481AAB" w:rsidRDefault="001972B6" w:rsidP="00CF4FE0">
      <w:pPr>
        <w:pStyle w:val="NoSpacing"/>
        <w:numPr>
          <w:ilvl w:val="0"/>
          <w:numId w:val="1"/>
        </w:numPr>
        <w:ind w:left="0" w:firstLine="0"/>
        <w:rPr>
          <w:lang w:val="fr-FR"/>
        </w:rPr>
      </w:pPr>
      <w:r>
        <w:rPr>
          <w:lang w:val="fr-FR"/>
        </w:rPr>
        <w:t>Plus précisément, la mission recommande qu’à partir</w:t>
      </w:r>
      <w:r w:rsidR="00764016">
        <w:rPr>
          <w:lang w:val="fr-FR"/>
        </w:rPr>
        <w:t xml:space="preserve"> d</w:t>
      </w:r>
      <w:r w:rsidR="00690BB4">
        <w:rPr>
          <w:lang w:val="fr-FR"/>
        </w:rPr>
        <w:t xml:space="preserve">e la </w:t>
      </w:r>
      <w:r w:rsidR="00690BB4" w:rsidRPr="00481AAB">
        <w:rPr>
          <w:u w:val="single"/>
          <w:lang w:val="fr-FR"/>
        </w:rPr>
        <w:t>première partie</w:t>
      </w:r>
      <w:r w:rsidR="00690BB4">
        <w:rPr>
          <w:lang w:val="fr-FR"/>
        </w:rPr>
        <w:t xml:space="preserve"> du PTB consolidé, une estimation </w:t>
      </w:r>
      <w:r w:rsidR="00701CA2">
        <w:rPr>
          <w:lang w:val="fr-FR"/>
        </w:rPr>
        <w:t xml:space="preserve">précise </w:t>
      </w:r>
      <w:r w:rsidR="00690BB4">
        <w:rPr>
          <w:lang w:val="fr-FR"/>
        </w:rPr>
        <w:t xml:space="preserve">du budget nécessaire à la bonne mise en œuvre des activités prioritaires </w:t>
      </w:r>
      <w:r w:rsidR="00701CA2">
        <w:rPr>
          <w:lang w:val="fr-FR"/>
        </w:rPr>
        <w:t xml:space="preserve">soit réalisée, ce qui </w:t>
      </w:r>
      <w:r w:rsidR="00690BB4">
        <w:rPr>
          <w:lang w:val="fr-FR"/>
        </w:rPr>
        <w:t>permettra </w:t>
      </w:r>
      <w:r w:rsidR="00481AAB">
        <w:rPr>
          <w:lang w:val="fr-FR"/>
        </w:rPr>
        <w:t>d</w:t>
      </w:r>
      <w:r w:rsidR="00690BB4" w:rsidRPr="00481AAB">
        <w:rPr>
          <w:lang w:val="fr-FR"/>
        </w:rPr>
        <w:t xml:space="preserve">e </w:t>
      </w:r>
      <w:r w:rsidR="00690BB4" w:rsidRPr="00701CA2">
        <w:rPr>
          <w:u w:val="single"/>
          <w:lang w:val="fr-FR"/>
        </w:rPr>
        <w:t>comprendre si le montant global de la première tranche déjà transféré est</w:t>
      </w:r>
      <w:r w:rsidR="00481AAB" w:rsidRPr="00701CA2">
        <w:rPr>
          <w:u w:val="single"/>
          <w:lang w:val="fr-FR"/>
        </w:rPr>
        <w:t> </w:t>
      </w:r>
      <w:r w:rsidR="00701CA2" w:rsidRPr="00701CA2">
        <w:rPr>
          <w:u w:val="single"/>
          <w:lang w:val="fr-FR"/>
        </w:rPr>
        <w:t>s</w:t>
      </w:r>
      <w:r w:rsidR="00690BB4" w:rsidRPr="00701CA2">
        <w:rPr>
          <w:u w:val="single"/>
          <w:lang w:val="fr-FR"/>
        </w:rPr>
        <w:t>uffisant</w:t>
      </w:r>
      <w:r w:rsidR="00481AAB" w:rsidRPr="00701CA2">
        <w:rPr>
          <w:u w:val="single"/>
          <w:lang w:val="fr-FR"/>
        </w:rPr>
        <w:t xml:space="preserve"> </w:t>
      </w:r>
      <w:r w:rsidR="00481AAB" w:rsidRPr="00701CA2">
        <w:rPr>
          <w:lang w:val="fr-FR"/>
        </w:rPr>
        <w:t>dans sa globalité,</w:t>
      </w:r>
      <w:r w:rsidR="00690BB4" w:rsidRPr="00701CA2">
        <w:rPr>
          <w:lang w:val="fr-FR"/>
        </w:rPr>
        <w:t xml:space="preserve"> </w:t>
      </w:r>
      <w:r w:rsidR="00690BB4" w:rsidRPr="00701CA2">
        <w:rPr>
          <w:u w:val="single"/>
          <w:lang w:val="fr-FR"/>
        </w:rPr>
        <w:t>pour financer la mise en œuvre de</w:t>
      </w:r>
      <w:r w:rsidR="00481AAB" w:rsidRPr="00701CA2">
        <w:rPr>
          <w:u w:val="single"/>
          <w:lang w:val="fr-FR"/>
        </w:rPr>
        <w:t xml:space="preserve"> l’ensemble des </w:t>
      </w:r>
      <w:r w:rsidR="00690BB4" w:rsidRPr="00701CA2">
        <w:rPr>
          <w:u w:val="single"/>
          <w:lang w:val="fr-FR"/>
        </w:rPr>
        <w:t>activités prioritaires</w:t>
      </w:r>
      <w:r w:rsidR="00701CA2">
        <w:rPr>
          <w:lang w:val="fr-FR"/>
        </w:rPr>
        <w:t>. D</w:t>
      </w:r>
      <w:r w:rsidRPr="00701CA2">
        <w:rPr>
          <w:lang w:val="fr-FR"/>
        </w:rPr>
        <w:t>’après ses estimations, la mission estime que ce sera le cas, mais cette estimation devra se faire plus précisément sur la base du PTB final.</w:t>
      </w:r>
    </w:p>
    <w:p w:rsidR="00701CA2" w:rsidRPr="00701CA2" w:rsidRDefault="00701CA2" w:rsidP="00CF4FE0">
      <w:pPr>
        <w:pStyle w:val="NoSpacing"/>
        <w:numPr>
          <w:ilvl w:val="0"/>
          <w:numId w:val="1"/>
        </w:numPr>
        <w:ind w:left="0" w:firstLine="0"/>
        <w:rPr>
          <w:lang w:val="fr-FR"/>
        </w:rPr>
      </w:pPr>
      <w:r>
        <w:rPr>
          <w:lang w:val="fr-FR"/>
        </w:rPr>
        <w:t xml:space="preserve">Suite à ce premier exercice, </w:t>
      </w:r>
      <w:r w:rsidRPr="00701CA2">
        <w:rPr>
          <w:u w:val="single"/>
          <w:lang w:val="fr-FR"/>
        </w:rPr>
        <w:t>il conviendra très probablement d</w:t>
      </w:r>
      <w:r>
        <w:rPr>
          <w:u w:val="single"/>
          <w:lang w:val="fr-FR"/>
        </w:rPr>
        <w:t xml:space="preserve">e réaliser d’importantes </w:t>
      </w:r>
      <w:r w:rsidRPr="00B800A4">
        <w:rPr>
          <w:lang w:val="fr-FR"/>
        </w:rPr>
        <w:t>réallocations</w:t>
      </w:r>
      <w:r w:rsidRPr="00701CA2">
        <w:rPr>
          <w:u w:val="single"/>
          <w:lang w:val="fr-FR"/>
        </w:rPr>
        <w:t xml:space="preserve"> et transferts inter-agences</w:t>
      </w:r>
      <w:r>
        <w:rPr>
          <w:lang w:val="fr-FR"/>
        </w:rPr>
        <w:t>. En d’autres termes, il conviendra d’identifier les agences qui ont re</w:t>
      </w:r>
      <w:r>
        <w:rPr>
          <w:rFonts w:cs="Calibri"/>
          <w:lang w:val="fr-FR"/>
        </w:rPr>
        <w:t>ç</w:t>
      </w:r>
      <w:r>
        <w:rPr>
          <w:lang w:val="fr-FR"/>
        </w:rPr>
        <w:t xml:space="preserve">u un montant trop important, au titre de la première tranche et au regard du montant nécessaire à la mise en œuvre des activités prioritaires, de façon à ce qu’elles reversent aux autres leurs surplus budgétaire. Etant donné l’expérience du programme en matière de transferts budgétaires inter-agences, </w:t>
      </w:r>
      <w:r w:rsidRPr="00904417">
        <w:rPr>
          <w:u w:val="single"/>
          <w:lang w:val="fr-FR"/>
        </w:rPr>
        <w:t>la mission recommande que le Bureau du Coordonnateur Résident se charge lui-même de ce processus avec la plus grande rapidité</w:t>
      </w:r>
      <w:r>
        <w:rPr>
          <w:lang w:val="fr-FR"/>
        </w:rPr>
        <w:t>.</w:t>
      </w:r>
    </w:p>
    <w:p w:rsidR="00764016" w:rsidRPr="00904417" w:rsidRDefault="001A3EAB" w:rsidP="00CF4FE0">
      <w:pPr>
        <w:pStyle w:val="NoSpacing"/>
        <w:numPr>
          <w:ilvl w:val="0"/>
          <w:numId w:val="1"/>
        </w:numPr>
        <w:ind w:left="0" w:firstLine="0"/>
        <w:rPr>
          <w:lang w:val="fr-FR"/>
        </w:rPr>
      </w:pPr>
      <w:r>
        <w:rPr>
          <w:lang w:val="fr-FR"/>
        </w:rPr>
        <w:t>S’agissant de la deuxième partie du PTB, c’est-à-dire des activités dont la bonne mise en œuvre est tributaire de la capacité du SNU et de l’EP à renforcer l</w:t>
      </w:r>
      <w:r w:rsidR="00D72292">
        <w:rPr>
          <w:lang w:val="fr-FR"/>
        </w:rPr>
        <w:t>eurs capacités opérationnelles (notamment toutes les activités de l’Effet 3)</w:t>
      </w:r>
      <w:r w:rsidR="00701CA2">
        <w:rPr>
          <w:lang w:val="fr-FR"/>
        </w:rPr>
        <w:t xml:space="preserve"> et que la mission propose d’identifier comme « optionnelles »</w:t>
      </w:r>
      <w:r w:rsidR="00D72292">
        <w:rPr>
          <w:lang w:val="fr-FR"/>
        </w:rPr>
        <w:t xml:space="preserve">, la mission recommande que la question du budget supplémentaire éventuellement nécessaire se pose à partir du mois de juin 2013, c’est-à-dire après la date butoir pour la mobilisation de l’expertise. </w:t>
      </w:r>
    </w:p>
    <w:p w:rsidR="00600A17" w:rsidRPr="00600A17" w:rsidRDefault="00904417" w:rsidP="00CF4FE0">
      <w:pPr>
        <w:pStyle w:val="NoSpacing"/>
        <w:numPr>
          <w:ilvl w:val="0"/>
          <w:numId w:val="1"/>
        </w:numPr>
        <w:ind w:left="0" w:firstLine="0"/>
        <w:rPr>
          <w:lang w:val="fr-FR"/>
        </w:rPr>
      </w:pPr>
      <w:r>
        <w:rPr>
          <w:lang w:val="fr-FR"/>
        </w:rPr>
        <w:t>Enfin, dès que les dates butoirs du 31 mars 2012 (pour la mobilisation de l’expertise du siège du BIT) et du 31 mai 2012 (pour la mobilisation des autres expertises) seront passées, les partenaires</w:t>
      </w:r>
      <w:r w:rsidR="00FF7508">
        <w:rPr>
          <w:lang w:val="fr-FR"/>
        </w:rPr>
        <w:t xml:space="preserve"> et le Secrétariat du Fonds-OMD</w:t>
      </w:r>
      <w:r>
        <w:rPr>
          <w:lang w:val="fr-FR"/>
        </w:rPr>
        <w:t xml:space="preserve"> seront à même </w:t>
      </w:r>
      <w:r w:rsidR="00FF7508">
        <w:rPr>
          <w:lang w:val="fr-FR"/>
        </w:rPr>
        <w:t xml:space="preserve">de déterminer si les activités </w:t>
      </w:r>
      <w:r w:rsidR="00701CA2">
        <w:rPr>
          <w:lang w:val="fr-FR"/>
        </w:rPr>
        <w:t>non prioritaires</w:t>
      </w:r>
      <w:r w:rsidR="00FF7508">
        <w:rPr>
          <w:lang w:val="fr-FR"/>
        </w:rPr>
        <w:t xml:space="preserve"> prévues dans la 2</w:t>
      </w:r>
      <w:r w:rsidR="00FF7508" w:rsidRPr="00904417">
        <w:rPr>
          <w:vertAlign w:val="superscript"/>
          <w:lang w:val="fr-FR"/>
        </w:rPr>
        <w:t>ème</w:t>
      </w:r>
      <w:r w:rsidR="00FF7508">
        <w:rPr>
          <w:lang w:val="fr-FR"/>
        </w:rPr>
        <w:t xml:space="preserve"> partie du PTB pourront être démarrées, et si, en conséquence, des fonds</w:t>
      </w:r>
      <w:r>
        <w:rPr>
          <w:lang w:val="fr-FR"/>
        </w:rPr>
        <w:t xml:space="preserve"> supplémentaire</w:t>
      </w:r>
      <w:r w:rsidR="00FF7508">
        <w:rPr>
          <w:lang w:val="fr-FR"/>
        </w:rPr>
        <w:t>s</w:t>
      </w:r>
      <w:r>
        <w:rPr>
          <w:lang w:val="fr-FR"/>
        </w:rPr>
        <w:t xml:space="preserve"> </w:t>
      </w:r>
      <w:r w:rsidR="00FF7508">
        <w:rPr>
          <w:lang w:val="fr-FR"/>
        </w:rPr>
        <w:t xml:space="preserve">doivent être transférés. </w:t>
      </w:r>
      <w:r w:rsidR="00701CA2" w:rsidRPr="00701CA2">
        <w:rPr>
          <w:u w:val="single"/>
          <w:lang w:val="fr-FR"/>
        </w:rPr>
        <w:t xml:space="preserve">Cet exercice nécessitera certainement </w:t>
      </w:r>
      <w:r w:rsidR="00FF7508" w:rsidRPr="00701CA2">
        <w:rPr>
          <w:u w:val="single"/>
          <w:lang w:val="fr-FR"/>
        </w:rPr>
        <w:t>une dérogation aux règles de gestion budgétaire du Fonds-OMD.</w:t>
      </w:r>
    </w:p>
    <w:p w:rsidR="00600A17" w:rsidRDefault="00600A17" w:rsidP="00600A17">
      <w:pPr>
        <w:pStyle w:val="NoSpacing"/>
        <w:ind w:left="990" w:hanging="360"/>
        <w:rPr>
          <w:lang w:val="fr-FR"/>
        </w:rPr>
      </w:pPr>
    </w:p>
    <w:p w:rsidR="00FE5539" w:rsidRDefault="00FE5539">
      <w:pPr>
        <w:rPr>
          <w:rFonts w:ascii="Calibri" w:hAnsi="Calibri"/>
          <w:b/>
          <w:sz w:val="22"/>
          <w:lang w:val="fr-CA"/>
        </w:rPr>
      </w:pPr>
      <w:r>
        <w:rPr>
          <w:b/>
          <w:lang w:val="fr-CA"/>
        </w:rPr>
        <w:br w:type="page"/>
      </w:r>
    </w:p>
    <w:p w:rsidR="00600A17" w:rsidRPr="00D65BD0" w:rsidRDefault="00600A17" w:rsidP="00600A17">
      <w:pPr>
        <w:pStyle w:val="NoSpacing"/>
        <w:pBdr>
          <w:top w:val="single" w:sz="4" w:space="1" w:color="auto"/>
          <w:left w:val="single" w:sz="4" w:space="4" w:color="auto"/>
          <w:bottom w:val="single" w:sz="4" w:space="1" w:color="auto"/>
          <w:right w:val="single" w:sz="4" w:space="4" w:color="auto"/>
        </w:pBdr>
        <w:ind w:left="2160" w:hanging="2160"/>
        <w:rPr>
          <w:b/>
          <w:lang w:val="fr-CA"/>
        </w:rPr>
      </w:pPr>
      <w:r w:rsidRPr="00D65BD0">
        <w:rPr>
          <w:b/>
          <w:lang w:val="fr-CA"/>
        </w:rPr>
        <w:lastRenderedPageBreak/>
        <w:t xml:space="preserve">Recommandation </w:t>
      </w:r>
      <w:r>
        <w:rPr>
          <w:b/>
          <w:lang w:val="fr-CA"/>
        </w:rPr>
        <w:t>4</w:t>
      </w:r>
      <w:r w:rsidRPr="00D65BD0">
        <w:rPr>
          <w:b/>
          <w:lang w:val="fr-CA"/>
        </w:rPr>
        <w:t xml:space="preserve"> – </w:t>
      </w:r>
      <w:r w:rsidR="00B27FE1" w:rsidRPr="00B27FE1">
        <w:rPr>
          <w:b/>
          <w:lang w:val="fr-CA"/>
        </w:rPr>
        <w:t>Renforcer les capacités opérationnelles du système des Nations Unies et de l’Équipe de Programme</w:t>
      </w:r>
    </w:p>
    <w:p w:rsidR="00600A17" w:rsidRPr="0031650C" w:rsidRDefault="00600A17" w:rsidP="00600A17">
      <w:pPr>
        <w:rPr>
          <w:color w:val="FF0000"/>
          <w:lang w:val="fr-FR"/>
        </w:rPr>
      </w:pPr>
    </w:p>
    <w:p w:rsidR="00FE5539" w:rsidRDefault="00FE5539" w:rsidP="00CF4FE0">
      <w:pPr>
        <w:pStyle w:val="NoSpacing"/>
        <w:numPr>
          <w:ilvl w:val="0"/>
          <w:numId w:val="1"/>
        </w:numPr>
        <w:ind w:left="0" w:firstLine="0"/>
        <w:rPr>
          <w:lang w:val="fr-FR"/>
        </w:rPr>
      </w:pPr>
      <w:r>
        <w:rPr>
          <w:lang w:val="fr-FR"/>
        </w:rPr>
        <w:t xml:space="preserve">La mission recommande que le </w:t>
      </w:r>
      <w:r w:rsidRPr="00A90EE8">
        <w:rPr>
          <w:u w:val="single"/>
          <w:lang w:val="fr-FR"/>
        </w:rPr>
        <w:t xml:space="preserve">renforcement </w:t>
      </w:r>
      <w:r>
        <w:rPr>
          <w:lang w:val="fr-FR"/>
        </w:rPr>
        <w:t>des capacités opérationnelles de mise en œuvre du SNU et de l’EP</w:t>
      </w:r>
      <w:r w:rsidR="003A3F00">
        <w:rPr>
          <w:lang w:val="fr-FR"/>
        </w:rPr>
        <w:t xml:space="preserve"> soit effectué dans les plus brefs délais que ce renforcement effectif</w:t>
      </w:r>
      <w:r>
        <w:rPr>
          <w:lang w:val="fr-FR"/>
        </w:rPr>
        <w:t xml:space="preserve"> </w:t>
      </w:r>
      <w:r w:rsidRPr="00E26B31">
        <w:rPr>
          <w:u w:val="single"/>
          <w:lang w:val="fr-FR"/>
        </w:rPr>
        <w:t xml:space="preserve">soit </w:t>
      </w:r>
      <w:r w:rsidRPr="00A90EE8">
        <w:rPr>
          <w:b/>
          <w:u w:val="single"/>
          <w:lang w:val="fr-FR"/>
        </w:rPr>
        <w:t>un préalable</w:t>
      </w:r>
      <w:r w:rsidRPr="00E26B31">
        <w:rPr>
          <w:u w:val="single"/>
          <w:lang w:val="fr-FR"/>
        </w:rPr>
        <w:t xml:space="preserve"> au démarrage de toutes les activités non prioritaires</w:t>
      </w:r>
      <w:r>
        <w:rPr>
          <w:lang w:val="fr-FR"/>
        </w:rPr>
        <w:t xml:space="preserve">. </w:t>
      </w:r>
    </w:p>
    <w:p w:rsidR="000A6B03" w:rsidRPr="000A6B03" w:rsidRDefault="000A6B03" w:rsidP="000A6B03">
      <w:pPr>
        <w:pStyle w:val="NoSpacing"/>
        <w:numPr>
          <w:ilvl w:val="0"/>
          <w:numId w:val="1"/>
        </w:numPr>
        <w:rPr>
          <w:u w:val="single"/>
          <w:lang w:val="fr-FR"/>
        </w:rPr>
      </w:pPr>
      <w:r w:rsidRPr="000A6B03">
        <w:rPr>
          <w:u w:val="single"/>
          <w:lang w:val="fr-FR"/>
        </w:rPr>
        <w:t xml:space="preserve">Afin de renforcer les capacités de l’EP, la mission recommande que les expertises suivantes soient identifiées et recrutées : </w:t>
      </w:r>
    </w:p>
    <w:p w:rsidR="000A6B03" w:rsidRPr="000A6B03" w:rsidRDefault="000A6B03" w:rsidP="000A6B03">
      <w:pPr>
        <w:pStyle w:val="NoSpacing"/>
        <w:ind w:left="360"/>
        <w:rPr>
          <w:lang w:val="fr-FR"/>
        </w:rPr>
      </w:pPr>
      <w:r w:rsidRPr="000A6B03">
        <w:rPr>
          <w:lang w:val="fr-FR"/>
        </w:rPr>
        <w:t xml:space="preserve">(a) un/e Expert/e Genre international/e, dont le profil a déjà été identifié dans les TDR existants. Etant donné les difficultés à identifier une personne acceptant de résider à plein temps en Algérie pour un an seulement, la mission recommande que l’on étudie toutes les options possibles (contrat de plusieurs mois sur une année ; recours à un pool de trois experts, avec chacun s’occupant d’un Effet ;  appel aux experts régionaux de l’ONUFEMMES, etc.). </w:t>
      </w:r>
    </w:p>
    <w:p w:rsidR="000A6B03" w:rsidRPr="000A6B03" w:rsidRDefault="000A6B03" w:rsidP="000A6B03">
      <w:pPr>
        <w:pStyle w:val="NoSpacing"/>
        <w:ind w:left="360"/>
        <w:rPr>
          <w:lang w:val="fr-FR"/>
        </w:rPr>
      </w:pPr>
      <w:r w:rsidRPr="000A6B03">
        <w:rPr>
          <w:lang w:val="fr-FR"/>
        </w:rPr>
        <w:t>(b) un/e Expert/e en Communication ayant l’expérience des campagnes de sensibilisation à direction du grand public, autour ou non, de la thématique genre, de préférence dans un projet de développement. Il semble qu’une expertise nationale puisse être trouvée, mais il ne faudra pas exclure l’appel à des consultants internationaux. Cet Expert sera chargé d’appuyer sur le plan conceptuel le lancement et du suivi de toutes les activités de l’Effet 3, en appui aux agences responsable, ainsi que de veiller à la bonne mise en œuvre du Plan de communication</w:t>
      </w:r>
    </w:p>
    <w:p w:rsidR="000A6B03" w:rsidRDefault="000A6B03" w:rsidP="000A6B03">
      <w:pPr>
        <w:pStyle w:val="NoSpacing"/>
        <w:ind w:left="360"/>
        <w:rPr>
          <w:lang w:val="fr-FR"/>
        </w:rPr>
      </w:pPr>
      <w:r w:rsidRPr="000A6B03">
        <w:rPr>
          <w:lang w:val="fr-FR"/>
        </w:rPr>
        <w:t>(c) un/e Chargé/e de Suivi et évaluation national/e qui travaillera à temps plein pour l’EP et sera chargé du suivi et la documentation des avancées du programme. Au cas où ce profil ne puisse se trouver rapidement sur le plan national, l’actuel Assistant de l’EP pourrait alternativement remplir ce rôle, en parallèle à ses autres responsabilités, avec l’appui au départ d’un consultant international.</w:t>
      </w:r>
    </w:p>
    <w:p w:rsidR="00FE5539" w:rsidRDefault="00FE5539" w:rsidP="00CF4FE0">
      <w:pPr>
        <w:pStyle w:val="NoSpacing"/>
        <w:numPr>
          <w:ilvl w:val="0"/>
          <w:numId w:val="1"/>
        </w:numPr>
        <w:ind w:left="0" w:firstLine="0"/>
        <w:rPr>
          <w:lang w:val="fr-FR"/>
        </w:rPr>
      </w:pPr>
      <w:r>
        <w:rPr>
          <w:lang w:val="fr-FR"/>
        </w:rPr>
        <w:t>Plus précisément, afin de renforcer les capacités opérationnelles du SNU, la mission recommande :</w:t>
      </w:r>
    </w:p>
    <w:p w:rsidR="00A90EE8" w:rsidRPr="00A90EE8" w:rsidRDefault="00FE5539" w:rsidP="0038607C">
      <w:pPr>
        <w:pStyle w:val="NoSpacing"/>
        <w:numPr>
          <w:ilvl w:val="0"/>
          <w:numId w:val="28"/>
        </w:numPr>
        <w:rPr>
          <w:lang w:val="fr-FR"/>
        </w:rPr>
      </w:pPr>
      <w:r>
        <w:rPr>
          <w:lang w:val="fr-FR"/>
        </w:rPr>
        <w:t xml:space="preserve">Que la modalité </w:t>
      </w:r>
      <w:r w:rsidR="00E26B31">
        <w:rPr>
          <w:lang w:val="fr-FR"/>
        </w:rPr>
        <w:t xml:space="preserve">d’Exécution Directe </w:t>
      </w:r>
      <w:r w:rsidR="00E26B31" w:rsidRPr="002F4875">
        <w:rPr>
          <w:u w:val="single"/>
          <w:lang w:val="fr-FR"/>
        </w:rPr>
        <w:t>(</w:t>
      </w:r>
      <w:r w:rsidRPr="002F4875">
        <w:rPr>
          <w:u w:val="single"/>
          <w:lang w:val="fr-FR"/>
        </w:rPr>
        <w:t>DEX</w:t>
      </w:r>
      <w:r w:rsidR="00E26B31" w:rsidRPr="002F4875">
        <w:rPr>
          <w:u w:val="single"/>
          <w:lang w:val="fr-FR"/>
        </w:rPr>
        <w:t>)</w:t>
      </w:r>
      <w:r w:rsidRPr="002F4875">
        <w:rPr>
          <w:u w:val="single"/>
          <w:lang w:val="fr-FR"/>
        </w:rPr>
        <w:t xml:space="preserve"> soit reconnue comme la modalité d’exécution</w:t>
      </w:r>
      <w:r>
        <w:rPr>
          <w:lang w:val="fr-FR"/>
        </w:rPr>
        <w:t xml:space="preserve"> du programme </w:t>
      </w:r>
      <w:r w:rsidR="00E26B31">
        <w:rPr>
          <w:lang w:val="fr-FR"/>
        </w:rPr>
        <w:t xml:space="preserve">conjoint </w:t>
      </w:r>
      <w:r>
        <w:rPr>
          <w:lang w:val="fr-FR"/>
        </w:rPr>
        <w:t xml:space="preserve">et que le </w:t>
      </w:r>
      <w:r w:rsidRPr="002F4875">
        <w:rPr>
          <w:u w:val="single"/>
          <w:lang w:val="fr-FR"/>
        </w:rPr>
        <w:t>PNUD</w:t>
      </w:r>
      <w:r w:rsidR="00E26B31" w:rsidRPr="002F4875">
        <w:rPr>
          <w:u w:val="single"/>
          <w:lang w:val="fr-FR"/>
        </w:rPr>
        <w:t xml:space="preserve"> </w:t>
      </w:r>
      <w:r w:rsidRPr="002F4875">
        <w:rPr>
          <w:u w:val="single"/>
          <w:lang w:val="fr-FR"/>
        </w:rPr>
        <w:t>soit désigné Agent d’Exécution du programme</w:t>
      </w:r>
      <w:r>
        <w:rPr>
          <w:lang w:val="fr-FR"/>
        </w:rPr>
        <w:t xml:space="preserve"> et </w:t>
      </w:r>
      <w:r w:rsidRPr="002F4875">
        <w:rPr>
          <w:u w:val="single"/>
          <w:lang w:val="fr-FR"/>
        </w:rPr>
        <w:t>agence Chef de file des NUs</w:t>
      </w:r>
      <w:r>
        <w:rPr>
          <w:lang w:val="fr-FR"/>
        </w:rPr>
        <w:t xml:space="preserve"> pour le programme. A ce titre, la mission recommande que le </w:t>
      </w:r>
      <w:r w:rsidRPr="002F4875">
        <w:rPr>
          <w:u w:val="single"/>
          <w:lang w:val="fr-FR"/>
        </w:rPr>
        <w:t>PNUD gère centralement tous les processus de recrutement</w:t>
      </w:r>
      <w:r>
        <w:rPr>
          <w:lang w:val="fr-FR"/>
        </w:rPr>
        <w:t xml:space="preserve"> de consultants et d’experts en appui aux autres agences</w:t>
      </w:r>
      <w:r w:rsidR="00E26B31">
        <w:rPr>
          <w:lang w:val="fr-FR"/>
        </w:rPr>
        <w:t xml:space="preserve"> et à leur demande</w:t>
      </w:r>
      <w:r>
        <w:rPr>
          <w:lang w:val="fr-FR"/>
        </w:rPr>
        <w:t>, à l’exception de l’expertise devant être mobilisée auprès de</w:t>
      </w:r>
      <w:r w:rsidR="00E26B31">
        <w:rPr>
          <w:lang w:val="fr-FR"/>
        </w:rPr>
        <w:t>s sièges respectifs de ces agences.</w:t>
      </w:r>
      <w:r w:rsidR="00A90EE8">
        <w:rPr>
          <w:lang w:val="fr-FR"/>
        </w:rPr>
        <w:t xml:space="preserve"> </w:t>
      </w:r>
      <w:r w:rsidR="002F4875">
        <w:rPr>
          <w:lang w:val="fr-FR"/>
        </w:rPr>
        <w:t xml:space="preserve"> La mission recommande également que le </w:t>
      </w:r>
      <w:r w:rsidR="002F4875" w:rsidRPr="002F4875">
        <w:rPr>
          <w:u w:val="single"/>
          <w:lang w:val="fr-FR"/>
        </w:rPr>
        <w:t>PNUD soit rendu du responsable du suivi de l’application</w:t>
      </w:r>
      <w:r w:rsidR="002F4875">
        <w:rPr>
          <w:lang w:val="fr-FR"/>
        </w:rPr>
        <w:t xml:space="preserve"> des recommandations du Comité National de Pilotage et de celles du CGP qui concernent les agences des NUs.</w:t>
      </w:r>
    </w:p>
    <w:p w:rsidR="00A90EE8" w:rsidRPr="00A90EE8" w:rsidRDefault="00FE5539" w:rsidP="0038607C">
      <w:pPr>
        <w:pStyle w:val="NoSpacing"/>
        <w:numPr>
          <w:ilvl w:val="0"/>
          <w:numId w:val="28"/>
        </w:numPr>
        <w:rPr>
          <w:lang w:val="fr-FR"/>
        </w:rPr>
      </w:pPr>
      <w:r>
        <w:rPr>
          <w:lang w:val="fr-FR"/>
        </w:rPr>
        <w:t>La mission recommande qu’à ce titre, le PNUD procède au</w:t>
      </w:r>
      <w:r w:rsidRPr="002F4875">
        <w:rPr>
          <w:u w:val="single"/>
          <w:lang w:val="fr-FR"/>
        </w:rPr>
        <w:t xml:space="preserve"> recrutement d’un</w:t>
      </w:r>
      <w:r w:rsidR="00E26B31" w:rsidRPr="002F4875">
        <w:rPr>
          <w:u w:val="single"/>
          <w:lang w:val="fr-FR"/>
        </w:rPr>
        <w:t>/e</w:t>
      </w:r>
      <w:r w:rsidRPr="002F4875">
        <w:rPr>
          <w:u w:val="single"/>
          <w:lang w:val="fr-FR"/>
        </w:rPr>
        <w:t xml:space="preserve"> Chargé</w:t>
      </w:r>
      <w:r w:rsidR="00E26B31" w:rsidRPr="002F4875">
        <w:rPr>
          <w:u w:val="single"/>
          <w:lang w:val="fr-FR"/>
        </w:rPr>
        <w:t>/e</w:t>
      </w:r>
      <w:r w:rsidRPr="002F4875">
        <w:rPr>
          <w:u w:val="single"/>
          <w:lang w:val="fr-FR"/>
        </w:rPr>
        <w:t xml:space="preserve"> de programme national</w:t>
      </w:r>
      <w:r w:rsidR="00E26B31">
        <w:rPr>
          <w:lang w:val="fr-FR"/>
        </w:rPr>
        <w:t xml:space="preserve"> qui s’occupera à temps plein des processus de recrutement et d’identification de l’expertise et </w:t>
      </w:r>
      <w:r w:rsidR="00A90EE8">
        <w:rPr>
          <w:lang w:val="fr-FR"/>
        </w:rPr>
        <w:t xml:space="preserve">qui </w:t>
      </w:r>
      <w:r w:rsidR="00E26B31">
        <w:rPr>
          <w:lang w:val="fr-FR"/>
        </w:rPr>
        <w:t>servira de relais privilégié de l’EP pour toutes les questions d’ordre administratives et financières.</w:t>
      </w:r>
    </w:p>
    <w:p w:rsidR="00E26B31" w:rsidRPr="00E26B31" w:rsidRDefault="00E26B31" w:rsidP="0038607C">
      <w:pPr>
        <w:pStyle w:val="NoSpacing"/>
        <w:numPr>
          <w:ilvl w:val="0"/>
          <w:numId w:val="28"/>
        </w:numPr>
        <w:rPr>
          <w:lang w:val="fr-FR"/>
        </w:rPr>
      </w:pPr>
      <w:r>
        <w:rPr>
          <w:lang w:val="fr-FR"/>
        </w:rPr>
        <w:t>Que toutes les agences qui en ont le besoin puisse</w:t>
      </w:r>
      <w:r w:rsidR="00864A7A">
        <w:rPr>
          <w:lang w:val="fr-FR"/>
        </w:rPr>
        <w:t>nt</w:t>
      </w:r>
      <w:r>
        <w:rPr>
          <w:lang w:val="fr-FR"/>
        </w:rPr>
        <w:t xml:space="preserve"> </w:t>
      </w:r>
      <w:r w:rsidRPr="002F4875">
        <w:rPr>
          <w:u w:val="single"/>
          <w:lang w:val="fr-FR"/>
        </w:rPr>
        <w:t>recruter un appui ponctuel</w:t>
      </w:r>
      <w:r w:rsidR="00864A7A">
        <w:rPr>
          <w:lang w:val="fr-FR"/>
        </w:rPr>
        <w:t>, notamment pour le lancement et le suivi des activités de l’Effet 2.</w:t>
      </w:r>
    </w:p>
    <w:p w:rsidR="00A301DC" w:rsidRDefault="00A301DC" w:rsidP="00CF4FE0">
      <w:pPr>
        <w:pStyle w:val="NoSpacing"/>
        <w:numPr>
          <w:ilvl w:val="0"/>
          <w:numId w:val="1"/>
        </w:numPr>
        <w:ind w:left="0" w:firstLine="0"/>
        <w:rPr>
          <w:lang w:val="fr-FR"/>
        </w:rPr>
      </w:pPr>
      <w:r>
        <w:rPr>
          <w:lang w:val="fr-FR"/>
        </w:rPr>
        <w:t>Alternativement à la recommandation précédente (qui pourrait nuire aux efforts déployés en matière de promotion de l’appropriation nationale) et après consultation avec le Secrétariat du Fonds-OMD, on pourra considérer l’option suivante:</w:t>
      </w:r>
    </w:p>
    <w:p w:rsidR="00A301DC" w:rsidRDefault="00A301DC" w:rsidP="00A301DC">
      <w:pPr>
        <w:pStyle w:val="NoSpacing"/>
        <w:numPr>
          <w:ilvl w:val="0"/>
          <w:numId w:val="43"/>
        </w:numPr>
        <w:rPr>
          <w:lang w:val="fr-FR"/>
        </w:rPr>
      </w:pPr>
      <w:r>
        <w:rPr>
          <w:lang w:val="fr-FR"/>
        </w:rPr>
        <w:t xml:space="preserve">En vertu de l’accord actuel établi entre le PNUD et le MDCFCF (à savoir un régime NEX « Paiement direct », conserver cette modalité, mais transférer tous les fonds du programme (hors frais de gestion), à un </w:t>
      </w:r>
      <w:r w:rsidRPr="00E520BD">
        <w:rPr>
          <w:u w:val="single"/>
          <w:lang w:val="fr-FR"/>
        </w:rPr>
        <w:t>fonds/pool commun géré par le PNUD</w:t>
      </w:r>
      <w:r>
        <w:rPr>
          <w:lang w:val="fr-FR"/>
        </w:rPr>
        <w:t>.</w:t>
      </w:r>
    </w:p>
    <w:p w:rsidR="00E520BD" w:rsidRDefault="00E520BD" w:rsidP="00A301DC">
      <w:pPr>
        <w:pStyle w:val="NoSpacing"/>
        <w:numPr>
          <w:ilvl w:val="0"/>
          <w:numId w:val="43"/>
        </w:numPr>
        <w:rPr>
          <w:lang w:val="fr-FR"/>
        </w:rPr>
      </w:pPr>
      <w:r>
        <w:rPr>
          <w:lang w:val="fr-FR"/>
        </w:rPr>
        <w:lastRenderedPageBreak/>
        <w:t xml:space="preserve">Afin de faciliter le suivi financier de ce fonds/pool commun, la mission recommande par ailleurs que le </w:t>
      </w:r>
      <w:r w:rsidRPr="00E520BD">
        <w:rPr>
          <w:u w:val="single"/>
          <w:lang w:val="fr-FR"/>
        </w:rPr>
        <w:t>PNUD recrute un Chargé</w:t>
      </w:r>
      <w:r>
        <w:rPr>
          <w:u w:val="single"/>
          <w:lang w:val="fr-FR"/>
        </w:rPr>
        <w:t>/Associé</w:t>
      </w:r>
      <w:r w:rsidRPr="00E520BD">
        <w:rPr>
          <w:u w:val="single"/>
          <w:lang w:val="fr-FR"/>
        </w:rPr>
        <w:t xml:space="preserve"> de programme dédié</w:t>
      </w:r>
      <w:r>
        <w:rPr>
          <w:lang w:val="fr-FR"/>
        </w:rPr>
        <w:t>.</w:t>
      </w:r>
    </w:p>
    <w:p w:rsidR="00A90EE8" w:rsidRDefault="00A90EE8">
      <w:pPr>
        <w:rPr>
          <w:rFonts w:ascii="Calibri" w:hAnsi="Calibri"/>
          <w:b/>
          <w:sz w:val="22"/>
          <w:lang w:val="fr-CA"/>
        </w:rPr>
      </w:pPr>
    </w:p>
    <w:p w:rsidR="00600A17" w:rsidRPr="00D65BD0" w:rsidRDefault="00600A17" w:rsidP="00600A17">
      <w:pPr>
        <w:pStyle w:val="NoSpacing"/>
        <w:pBdr>
          <w:top w:val="single" w:sz="4" w:space="1" w:color="auto"/>
          <w:left w:val="single" w:sz="4" w:space="4" w:color="auto"/>
          <w:bottom w:val="single" w:sz="4" w:space="1" w:color="auto"/>
          <w:right w:val="single" w:sz="4" w:space="4" w:color="auto"/>
        </w:pBdr>
        <w:ind w:left="2160" w:hanging="2160"/>
        <w:rPr>
          <w:b/>
          <w:lang w:val="fr-CA"/>
        </w:rPr>
      </w:pPr>
      <w:r w:rsidRPr="00D65BD0">
        <w:rPr>
          <w:b/>
          <w:lang w:val="fr-CA"/>
        </w:rPr>
        <w:t xml:space="preserve">Recommandation </w:t>
      </w:r>
      <w:r>
        <w:rPr>
          <w:b/>
          <w:lang w:val="fr-CA"/>
        </w:rPr>
        <w:t>5</w:t>
      </w:r>
      <w:r w:rsidRPr="00D65BD0">
        <w:rPr>
          <w:b/>
          <w:lang w:val="fr-CA"/>
        </w:rPr>
        <w:t xml:space="preserve"> – </w:t>
      </w:r>
      <w:r w:rsidR="00A90EE8">
        <w:rPr>
          <w:b/>
          <w:lang w:val="fr-CA"/>
        </w:rPr>
        <w:t>Modifier la composition du Comité de Gestion du Programme et organiser trois Groupes Techniques</w:t>
      </w:r>
      <w:r>
        <w:rPr>
          <w:b/>
          <w:lang w:val="fr-CA"/>
        </w:rPr>
        <w:t xml:space="preserve"> </w:t>
      </w:r>
      <w:r w:rsidR="00A90EE8">
        <w:rPr>
          <w:b/>
          <w:lang w:val="fr-CA"/>
        </w:rPr>
        <w:t>par Effet.</w:t>
      </w:r>
    </w:p>
    <w:p w:rsidR="00600A17" w:rsidRPr="0031650C" w:rsidRDefault="00600A17" w:rsidP="00600A17">
      <w:pPr>
        <w:rPr>
          <w:color w:val="FF0000"/>
          <w:lang w:val="fr-FR"/>
        </w:rPr>
      </w:pPr>
    </w:p>
    <w:p w:rsidR="00A301DC" w:rsidRDefault="002F4875" w:rsidP="00A301DC">
      <w:pPr>
        <w:pStyle w:val="NoSpacing"/>
        <w:numPr>
          <w:ilvl w:val="0"/>
          <w:numId w:val="1"/>
        </w:numPr>
        <w:ind w:left="0" w:firstLine="0"/>
        <w:rPr>
          <w:lang w:val="fr-FR"/>
        </w:rPr>
      </w:pPr>
      <w:r w:rsidRPr="002F4875">
        <w:rPr>
          <w:b/>
          <w:lang w:val="fr-FR"/>
        </w:rPr>
        <w:t>Composition du CGP.</w:t>
      </w:r>
      <w:r>
        <w:rPr>
          <w:lang w:val="fr-FR"/>
        </w:rPr>
        <w:t xml:space="preserve"> </w:t>
      </w:r>
      <w:r w:rsidR="00A90EE8">
        <w:rPr>
          <w:lang w:val="fr-FR"/>
        </w:rPr>
        <w:t xml:space="preserve">Afin d’améliorer le fonctionnement du Comité de Gestion du Programme (CGP), </w:t>
      </w:r>
      <w:r w:rsidR="00A90EE8" w:rsidRPr="002F4875">
        <w:rPr>
          <w:u w:val="single"/>
          <w:lang w:val="fr-FR"/>
        </w:rPr>
        <w:t xml:space="preserve">la mission recommande que la composition de ce comité </w:t>
      </w:r>
      <w:r w:rsidR="006A6737" w:rsidRPr="002F4875">
        <w:rPr>
          <w:u w:val="single"/>
          <w:lang w:val="fr-FR"/>
        </w:rPr>
        <w:t>soit revue</w:t>
      </w:r>
      <w:r w:rsidR="006A6737">
        <w:rPr>
          <w:lang w:val="fr-FR"/>
        </w:rPr>
        <w:t xml:space="preserve">, de même que la fréquence de ses réunions. Plus précisément, la mission recommande que soient identifiés, au sein de chaque ministère partenaire, un département stratégique (par rapport aux objectifs de changements institutionnels du programme) et que le </w:t>
      </w:r>
      <w:r w:rsidR="006A6737" w:rsidRPr="002F4875">
        <w:rPr>
          <w:u w:val="single"/>
          <w:lang w:val="fr-FR"/>
        </w:rPr>
        <w:t>responsable de ce département soit nommé membre du CGP</w:t>
      </w:r>
      <w:r w:rsidR="006A6737">
        <w:rPr>
          <w:lang w:val="fr-FR"/>
        </w:rPr>
        <w:t>. La participation des Points Focaux aux réunions du CGP pourra toujours se faire, mais en tant que personnes ressources.</w:t>
      </w:r>
    </w:p>
    <w:p w:rsidR="00600A17" w:rsidRPr="00A301DC" w:rsidRDefault="006A6737" w:rsidP="00A301DC">
      <w:pPr>
        <w:pStyle w:val="NoSpacing"/>
        <w:numPr>
          <w:ilvl w:val="0"/>
          <w:numId w:val="1"/>
        </w:numPr>
        <w:ind w:left="0" w:firstLine="0"/>
        <w:rPr>
          <w:lang w:val="fr-FR"/>
        </w:rPr>
      </w:pPr>
      <w:r w:rsidRPr="00A301DC">
        <w:rPr>
          <w:lang w:val="fr-FR"/>
        </w:rPr>
        <w:t>Afin de faciliter ce processus, la mission recommande que l’atelier de lancement officiel du programm</w:t>
      </w:r>
      <w:r w:rsidRPr="00A301DC">
        <w:rPr>
          <w:u w:val="single"/>
          <w:lang w:val="fr-FR"/>
        </w:rPr>
        <w:t xml:space="preserve">e soit organisé au plus vite. </w:t>
      </w:r>
      <w:r w:rsidRPr="00A301DC">
        <w:rPr>
          <w:lang w:val="fr-FR"/>
        </w:rPr>
        <w:t xml:space="preserve">Au cours de cet atelier, chaque ministère devra être sensibilisé au plus haut niveau sur les objectifs du programme et sur le besoin que l’implication de chaque ministère au bon déroulement du programme s’intensifie au-delà de la seule nomination d’un (ou deux) Point Focal. </w:t>
      </w:r>
    </w:p>
    <w:p w:rsidR="006A6737" w:rsidRDefault="006A6737" w:rsidP="00CF4FE0">
      <w:pPr>
        <w:pStyle w:val="NoSpacing"/>
        <w:numPr>
          <w:ilvl w:val="0"/>
          <w:numId w:val="1"/>
        </w:numPr>
        <w:ind w:left="0" w:firstLine="0"/>
        <w:rPr>
          <w:lang w:val="fr-FR"/>
        </w:rPr>
      </w:pPr>
      <w:r>
        <w:rPr>
          <w:lang w:val="fr-FR"/>
        </w:rPr>
        <w:t>Si cette recommandation parvient à être suivie, la mission recommande que la fréquence des réunions du CGP soit trimestrielle, avec un</w:t>
      </w:r>
      <w:r w:rsidR="002F4875">
        <w:rPr>
          <w:lang w:val="fr-FR"/>
        </w:rPr>
        <w:t>e</w:t>
      </w:r>
      <w:r>
        <w:rPr>
          <w:lang w:val="fr-FR"/>
        </w:rPr>
        <w:t xml:space="preserve"> première réunion autour de début avril.</w:t>
      </w:r>
      <w:r w:rsidR="002F4875">
        <w:rPr>
          <w:lang w:val="fr-FR"/>
        </w:rPr>
        <w:t xml:space="preserve"> </w:t>
      </w:r>
    </w:p>
    <w:p w:rsidR="002F4875" w:rsidRDefault="002F4875" w:rsidP="00CF4FE0">
      <w:pPr>
        <w:pStyle w:val="NoSpacing"/>
        <w:numPr>
          <w:ilvl w:val="0"/>
          <w:numId w:val="1"/>
        </w:numPr>
        <w:ind w:left="0" w:firstLine="0"/>
        <w:rPr>
          <w:lang w:val="fr-FR"/>
        </w:rPr>
      </w:pPr>
      <w:r w:rsidRPr="002F4875">
        <w:rPr>
          <w:b/>
          <w:lang w:val="fr-FR"/>
        </w:rPr>
        <w:t>Groupes techniques par Effets.</w:t>
      </w:r>
      <w:r>
        <w:rPr>
          <w:lang w:val="fr-FR"/>
        </w:rPr>
        <w:t xml:space="preserve"> </w:t>
      </w:r>
      <w:r w:rsidR="006A6737">
        <w:rPr>
          <w:lang w:val="fr-FR"/>
        </w:rPr>
        <w:t>En parallèle, la mission recommande que tous les Points Focaux et les Chargés de programmes des</w:t>
      </w:r>
      <w:r>
        <w:rPr>
          <w:lang w:val="fr-FR"/>
        </w:rPr>
        <w:t xml:space="preserve"> NUs </w:t>
      </w:r>
      <w:r w:rsidRPr="00CF4FE0">
        <w:rPr>
          <w:lang w:val="fr-FR"/>
        </w:rPr>
        <w:t>soient organisés en trois G</w:t>
      </w:r>
      <w:r w:rsidR="006A6737" w:rsidRPr="00CF4FE0">
        <w:rPr>
          <w:lang w:val="fr-FR"/>
        </w:rPr>
        <w:t>r</w:t>
      </w:r>
      <w:r w:rsidRPr="00CF4FE0">
        <w:rPr>
          <w:lang w:val="fr-FR"/>
        </w:rPr>
        <w:t>oupes T</w:t>
      </w:r>
      <w:r w:rsidR="006A6737" w:rsidRPr="00CF4FE0">
        <w:rPr>
          <w:lang w:val="fr-FR"/>
        </w:rPr>
        <w:t>echniques</w:t>
      </w:r>
      <w:r w:rsidR="006A6737">
        <w:rPr>
          <w:lang w:val="fr-FR"/>
        </w:rPr>
        <w:t>, un groupe par Effet, qui se réuniront tous les mois pour faire le point sur les réalisations</w:t>
      </w:r>
      <w:r>
        <w:rPr>
          <w:lang w:val="fr-FR"/>
        </w:rPr>
        <w:t xml:space="preserve"> et le calendrier d’exécution, avec la participation des membres de l’EP. </w:t>
      </w:r>
    </w:p>
    <w:p w:rsidR="002F4875" w:rsidRPr="002F4875" w:rsidRDefault="002F4875" w:rsidP="00CF4FE0">
      <w:pPr>
        <w:pStyle w:val="NoSpacing"/>
        <w:numPr>
          <w:ilvl w:val="0"/>
          <w:numId w:val="1"/>
        </w:numPr>
        <w:ind w:left="0" w:firstLine="0"/>
        <w:rPr>
          <w:lang w:val="fr-FR"/>
        </w:rPr>
      </w:pPr>
      <w:r w:rsidRPr="002F4875">
        <w:rPr>
          <w:lang w:val="fr-FR"/>
        </w:rPr>
        <w:t>Afin de faciliter le fonctionnement des Groupes Techniques, la mission recommande qu’une dérogation à l’obligation d’envoyer invitation écrite aux Points Focaux</w:t>
      </w:r>
      <w:r>
        <w:rPr>
          <w:lang w:val="fr-FR"/>
        </w:rPr>
        <w:t>, avant la tenue de chaque réunion,</w:t>
      </w:r>
      <w:r w:rsidRPr="002F4875">
        <w:rPr>
          <w:lang w:val="fr-FR"/>
        </w:rPr>
        <w:t xml:space="preserve"> soit obtenue auprès du gouvernement algérien, avec si besoin est, la facilitation du MAE.</w:t>
      </w:r>
    </w:p>
    <w:p w:rsidR="006A6737" w:rsidRPr="00600A17" w:rsidRDefault="006A6737" w:rsidP="002F4875">
      <w:pPr>
        <w:pStyle w:val="NoSpacing"/>
        <w:rPr>
          <w:lang w:val="fr-FR"/>
        </w:rPr>
      </w:pPr>
    </w:p>
    <w:p w:rsidR="00E520BD" w:rsidRPr="00D65BD0" w:rsidRDefault="00E520BD" w:rsidP="00E520BD">
      <w:pPr>
        <w:pStyle w:val="NoSpacing"/>
        <w:pBdr>
          <w:top w:val="single" w:sz="4" w:space="1" w:color="auto"/>
          <w:left w:val="single" w:sz="4" w:space="4" w:color="auto"/>
          <w:bottom w:val="single" w:sz="4" w:space="1" w:color="auto"/>
          <w:right w:val="single" w:sz="4" w:space="4" w:color="auto"/>
        </w:pBdr>
        <w:ind w:left="2160" w:hanging="2160"/>
        <w:rPr>
          <w:b/>
          <w:lang w:val="fr-CA"/>
        </w:rPr>
      </w:pPr>
      <w:r w:rsidRPr="00D65BD0">
        <w:rPr>
          <w:b/>
          <w:lang w:val="fr-CA"/>
        </w:rPr>
        <w:t xml:space="preserve">Recommandation </w:t>
      </w:r>
      <w:r>
        <w:rPr>
          <w:b/>
          <w:lang w:val="fr-CA"/>
        </w:rPr>
        <w:t>6</w:t>
      </w:r>
      <w:r w:rsidRPr="00D65BD0">
        <w:rPr>
          <w:b/>
          <w:lang w:val="fr-CA"/>
        </w:rPr>
        <w:t xml:space="preserve"> – </w:t>
      </w:r>
      <w:r>
        <w:rPr>
          <w:b/>
          <w:lang w:val="fr-CA"/>
        </w:rPr>
        <w:t>Assurer la continuation ou la pérennisation des activités et acquis clés du programme après la clôture du programme.</w:t>
      </w:r>
    </w:p>
    <w:p w:rsidR="00600A17" w:rsidRPr="00E520BD" w:rsidRDefault="00600A17" w:rsidP="00600A17">
      <w:pPr>
        <w:pStyle w:val="NoSpacing"/>
        <w:ind w:left="990" w:hanging="360"/>
        <w:rPr>
          <w:lang w:val="fr-CA"/>
        </w:rPr>
      </w:pPr>
    </w:p>
    <w:p w:rsidR="00E520BD" w:rsidRDefault="00E520BD" w:rsidP="00E520BD">
      <w:pPr>
        <w:pStyle w:val="NoSpacing"/>
        <w:numPr>
          <w:ilvl w:val="0"/>
          <w:numId w:val="1"/>
        </w:numPr>
        <w:ind w:left="0" w:firstLine="0"/>
        <w:rPr>
          <w:lang w:val="fr-FR"/>
        </w:rPr>
      </w:pPr>
      <w:r w:rsidRPr="002F4875">
        <w:rPr>
          <w:lang w:val="fr-FR"/>
        </w:rPr>
        <w:t xml:space="preserve">Afin de </w:t>
      </w:r>
      <w:r>
        <w:rPr>
          <w:lang w:val="fr-FR"/>
        </w:rPr>
        <w:t xml:space="preserve">s’assurer que les efforts de renforcement des capacités opérationnelles du MDCFCF et ceux visant plus généralement à la promotion de l’égalité entre les genres et l’autonomisation de la femme en Algérie soient poursuivis et intensifiés, la mission recommande que </w:t>
      </w:r>
      <w:r w:rsidRPr="00E520BD">
        <w:rPr>
          <w:u w:val="single"/>
          <w:lang w:val="fr-FR"/>
        </w:rPr>
        <w:t>le SNU en général, et le Bureau du Coordonnateur Résident en particulier, poursuivent et intensifient les efforts visant à la mobilisation de ressources</w:t>
      </w:r>
      <w:r>
        <w:rPr>
          <w:lang w:val="fr-FR"/>
        </w:rPr>
        <w:t xml:space="preserve"> pour permettre à de nouveaux projets ou programmes conjoints de prendre le relais des activités du programme conjoint.</w:t>
      </w:r>
    </w:p>
    <w:p w:rsidR="003852FC" w:rsidRPr="002F4875" w:rsidRDefault="003852FC" w:rsidP="00E520BD">
      <w:pPr>
        <w:pStyle w:val="NoSpacing"/>
        <w:numPr>
          <w:ilvl w:val="0"/>
          <w:numId w:val="1"/>
        </w:numPr>
        <w:ind w:left="0" w:firstLine="0"/>
        <w:rPr>
          <w:lang w:val="fr-FR"/>
        </w:rPr>
      </w:pPr>
      <w:r>
        <w:rPr>
          <w:lang w:val="fr-FR"/>
        </w:rPr>
        <w:t xml:space="preserve">La mission recommande également que </w:t>
      </w:r>
      <w:r w:rsidRPr="003852FC">
        <w:rPr>
          <w:u w:val="single"/>
          <w:lang w:val="fr-FR"/>
        </w:rPr>
        <w:t>le Bureau du Coordonnateur Résident poursuive son travail de plaidoyer auprès du gouvernement</w:t>
      </w:r>
      <w:r>
        <w:rPr>
          <w:lang w:val="fr-FR"/>
        </w:rPr>
        <w:t>, s’agissant des questions d’égalité entre les genres.</w:t>
      </w:r>
    </w:p>
    <w:p w:rsidR="008C618F" w:rsidRDefault="008C618F" w:rsidP="00A735E3">
      <w:pPr>
        <w:pStyle w:val="NoSpacing"/>
        <w:ind w:left="990" w:hanging="360"/>
        <w:rPr>
          <w:lang w:val="fr-FR"/>
        </w:rPr>
      </w:pPr>
    </w:p>
    <w:p w:rsidR="008C618F" w:rsidRDefault="008C618F" w:rsidP="00A735E3">
      <w:pPr>
        <w:pStyle w:val="NoSpacing"/>
        <w:ind w:left="990" w:hanging="360"/>
        <w:rPr>
          <w:lang w:val="fr-FR"/>
        </w:rPr>
      </w:pPr>
    </w:p>
    <w:p w:rsidR="008C618F" w:rsidRDefault="008C618F" w:rsidP="00A735E3">
      <w:pPr>
        <w:pStyle w:val="NoSpacing"/>
        <w:ind w:left="990" w:hanging="360"/>
        <w:rPr>
          <w:lang w:val="fr-FR"/>
        </w:rPr>
      </w:pPr>
    </w:p>
    <w:p w:rsidR="008C618F" w:rsidRDefault="008C618F" w:rsidP="00A735E3">
      <w:pPr>
        <w:pStyle w:val="NoSpacing"/>
        <w:ind w:left="990" w:hanging="360"/>
        <w:rPr>
          <w:lang w:val="fr-FR"/>
        </w:rPr>
      </w:pPr>
    </w:p>
    <w:p w:rsidR="002F4875" w:rsidRDefault="002F4875">
      <w:pPr>
        <w:rPr>
          <w:rFonts w:ascii="Calibri" w:hAnsi="Calibri"/>
          <w:b/>
          <w:sz w:val="22"/>
          <w:lang w:val="fr-CA"/>
        </w:rPr>
      </w:pPr>
    </w:p>
    <w:p w:rsidR="00A735E3" w:rsidRDefault="00A735E3" w:rsidP="00467C9E">
      <w:pPr>
        <w:pStyle w:val="NoSpacing"/>
        <w:pBdr>
          <w:top w:val="single" w:sz="4" w:space="1" w:color="auto"/>
          <w:left w:val="single" w:sz="4" w:space="4" w:color="auto"/>
          <w:bottom w:val="single" w:sz="4" w:space="0" w:color="auto"/>
          <w:right w:val="single" w:sz="4" w:space="4" w:color="auto"/>
        </w:pBdr>
        <w:ind w:left="1980" w:hanging="1890"/>
        <w:rPr>
          <w:b/>
          <w:lang w:val="fr-CA"/>
        </w:rPr>
      </w:pPr>
      <w:r w:rsidRPr="00B62C7A">
        <w:rPr>
          <w:b/>
          <w:lang w:val="fr-CA"/>
        </w:rPr>
        <w:t>Recommandations spécifiques</w:t>
      </w:r>
    </w:p>
    <w:p w:rsidR="00467C9E" w:rsidRDefault="00467C9E" w:rsidP="00467C9E">
      <w:pPr>
        <w:pStyle w:val="NoSpacing"/>
        <w:pBdr>
          <w:top w:val="single" w:sz="4" w:space="1" w:color="auto"/>
          <w:left w:val="single" w:sz="4" w:space="4" w:color="auto"/>
          <w:bottom w:val="single" w:sz="4" w:space="0" w:color="auto"/>
          <w:right w:val="single" w:sz="4" w:space="4" w:color="auto"/>
        </w:pBdr>
        <w:tabs>
          <w:tab w:val="left" w:pos="90"/>
        </w:tabs>
        <w:ind w:left="90"/>
        <w:rPr>
          <w:lang w:val="fr-CA"/>
        </w:rPr>
      </w:pPr>
      <w:r w:rsidRPr="00467C9E">
        <w:rPr>
          <w:lang w:val="fr-CA"/>
        </w:rPr>
        <w:t>Les recommandations spécifiques suivantes son</w:t>
      </w:r>
      <w:r>
        <w:rPr>
          <w:lang w:val="fr-CA"/>
        </w:rPr>
        <w:t>t présentées à titre indicatif seulement. Elles devront faire l’objet d’une revue attentive et approfondie.</w:t>
      </w:r>
    </w:p>
    <w:p w:rsidR="00BA76AD" w:rsidRDefault="00BA76AD">
      <w:pPr>
        <w:rPr>
          <w:color w:val="FF0000"/>
          <w:lang w:val="fr-FR"/>
        </w:rPr>
      </w:pPr>
    </w:p>
    <w:p w:rsidR="002365B2" w:rsidRPr="00B62C7A" w:rsidRDefault="002365B2" w:rsidP="00CF4FE0">
      <w:pPr>
        <w:pStyle w:val="NoSpacing"/>
        <w:numPr>
          <w:ilvl w:val="0"/>
          <w:numId w:val="1"/>
        </w:numPr>
        <w:ind w:left="0" w:firstLine="0"/>
        <w:rPr>
          <w:lang w:val="fr-FR"/>
        </w:rPr>
      </w:pPr>
      <w:r w:rsidRPr="00B62C7A">
        <w:rPr>
          <w:b/>
          <w:lang w:val="fr-FR"/>
        </w:rPr>
        <w:t>A1</w:t>
      </w:r>
      <w:r w:rsidR="0085740E" w:rsidRPr="00B62C7A">
        <w:rPr>
          <w:b/>
          <w:lang w:val="fr-FR"/>
        </w:rPr>
        <w:t xml:space="preserve"> -</w:t>
      </w:r>
      <w:r w:rsidRPr="00B62C7A">
        <w:rPr>
          <w:b/>
          <w:lang w:val="fr-FR"/>
        </w:rPr>
        <w:t xml:space="preserve"> Audit genre</w:t>
      </w:r>
      <w:r w:rsidRPr="00B62C7A">
        <w:rPr>
          <w:lang w:val="fr-FR"/>
        </w:rPr>
        <w:t xml:space="preserve"> : </w:t>
      </w:r>
      <w:r w:rsidR="005E181B" w:rsidRPr="00B62C7A">
        <w:rPr>
          <w:lang w:val="fr-FR"/>
        </w:rPr>
        <w:t>Activité prioritaire mais r</w:t>
      </w:r>
      <w:r w:rsidRPr="00B62C7A">
        <w:rPr>
          <w:lang w:val="fr-FR"/>
        </w:rPr>
        <w:t>eformulation recommandée (Voir Annexe 7). Réfléchir à l’opportunité de limiter l’étude à l’intégration de l’approche genre dans les programmes et politiques dans deux ministères clés, dont le MADR.</w:t>
      </w:r>
    </w:p>
    <w:p w:rsidR="002365B2" w:rsidRPr="00B62C7A" w:rsidRDefault="0085740E" w:rsidP="00CF4FE0">
      <w:pPr>
        <w:pStyle w:val="NoSpacing"/>
        <w:numPr>
          <w:ilvl w:val="0"/>
          <w:numId w:val="1"/>
        </w:numPr>
        <w:ind w:left="0" w:firstLine="0"/>
        <w:rPr>
          <w:lang w:val="fr-FR"/>
        </w:rPr>
      </w:pPr>
      <w:r w:rsidRPr="00B62C7A">
        <w:rPr>
          <w:b/>
          <w:lang w:val="fr-FR"/>
        </w:rPr>
        <w:t>A2 -</w:t>
      </w:r>
      <w:r w:rsidR="002365B2" w:rsidRPr="00B62C7A">
        <w:rPr>
          <w:b/>
          <w:lang w:val="fr-FR"/>
        </w:rPr>
        <w:t xml:space="preserve"> Enquête </w:t>
      </w:r>
      <w:r w:rsidR="00CB10C6" w:rsidRPr="00B62C7A">
        <w:rPr>
          <w:b/>
          <w:lang w:val="fr-FR"/>
        </w:rPr>
        <w:t>« </w:t>
      </w:r>
      <w:r w:rsidR="002365B2" w:rsidRPr="00B62C7A">
        <w:rPr>
          <w:b/>
          <w:lang w:val="fr-FR"/>
        </w:rPr>
        <w:t>budget-temps</w:t>
      </w:r>
      <w:r w:rsidR="00CB10C6" w:rsidRPr="00B62C7A">
        <w:rPr>
          <w:b/>
          <w:lang w:val="fr-FR"/>
        </w:rPr>
        <w:t> »</w:t>
      </w:r>
      <w:r w:rsidR="002365B2" w:rsidRPr="00B62C7A">
        <w:rPr>
          <w:lang w:val="fr-FR"/>
        </w:rPr>
        <w:t xml:space="preserve"> : </w:t>
      </w:r>
      <w:r w:rsidRPr="00B62C7A">
        <w:rPr>
          <w:lang w:val="fr-FR"/>
        </w:rPr>
        <w:t xml:space="preserve">Légère reformulation proposée. </w:t>
      </w:r>
      <w:r w:rsidR="002365B2" w:rsidRPr="00B62C7A">
        <w:rPr>
          <w:lang w:val="fr-FR"/>
        </w:rPr>
        <w:t>A considérer comme une activité prioritaire, avec pour conséquences que le budget nécessaire à sa réalisation (</w:t>
      </w:r>
      <w:r w:rsidRPr="00B62C7A">
        <w:rPr>
          <w:lang w:val="fr-FR"/>
        </w:rPr>
        <w:t>qui sera supérieur aux 360.000 dollars prévus)</w:t>
      </w:r>
      <w:r w:rsidR="002365B2" w:rsidRPr="00B62C7A">
        <w:rPr>
          <w:lang w:val="fr-FR"/>
        </w:rPr>
        <w:t xml:space="preserve"> do</w:t>
      </w:r>
      <w:r w:rsidRPr="00B62C7A">
        <w:rPr>
          <w:lang w:val="fr-FR"/>
        </w:rPr>
        <w:t>it être transféré à l’ONUFEMMES. La signature du protocole entre l’ONS, le MDCFCF et l’ONUFEMMES doit se faire au plus vite.</w:t>
      </w:r>
      <w:r w:rsidR="00274CF7">
        <w:rPr>
          <w:lang w:val="fr-FR"/>
        </w:rPr>
        <w:t xml:space="preserve"> Besoin urgent pour l’ONUFEMMES de réceptionner les fonds supplémentaires nécessaires.</w:t>
      </w:r>
    </w:p>
    <w:p w:rsidR="002365B2" w:rsidRPr="00B62C7A" w:rsidRDefault="0085740E" w:rsidP="00CF4FE0">
      <w:pPr>
        <w:pStyle w:val="NoSpacing"/>
        <w:numPr>
          <w:ilvl w:val="0"/>
          <w:numId w:val="1"/>
        </w:numPr>
        <w:ind w:left="0" w:firstLine="0"/>
        <w:rPr>
          <w:lang w:val="fr-FR"/>
        </w:rPr>
      </w:pPr>
      <w:r w:rsidRPr="00B62C7A">
        <w:rPr>
          <w:b/>
          <w:lang w:val="fr-FR"/>
        </w:rPr>
        <w:t xml:space="preserve">A3 </w:t>
      </w:r>
      <w:r w:rsidR="00B62C7A">
        <w:rPr>
          <w:b/>
          <w:lang w:val="fr-FR"/>
        </w:rPr>
        <w:t>-</w:t>
      </w:r>
      <w:r w:rsidRPr="00B62C7A">
        <w:rPr>
          <w:b/>
          <w:lang w:val="fr-FR"/>
        </w:rPr>
        <w:t xml:space="preserve"> Base de données</w:t>
      </w:r>
      <w:r w:rsidRPr="00B62C7A">
        <w:rPr>
          <w:lang w:val="fr-FR"/>
        </w:rPr>
        <w:t xml:space="preserve"> : </w:t>
      </w:r>
      <w:r w:rsidR="005E181B" w:rsidRPr="00B62C7A">
        <w:rPr>
          <w:lang w:val="fr-FR"/>
        </w:rPr>
        <w:t>Activité prioritaire, mais c</w:t>
      </w:r>
      <w:r w:rsidRPr="00B62C7A">
        <w:rPr>
          <w:lang w:val="fr-FR"/>
        </w:rPr>
        <w:t xml:space="preserve">larifier </w:t>
      </w:r>
      <w:r w:rsidRPr="00B62C7A">
        <w:rPr>
          <w:u w:val="single"/>
          <w:lang w:val="fr-FR"/>
        </w:rPr>
        <w:t>au plus vite</w:t>
      </w:r>
      <w:r w:rsidRPr="00B62C7A">
        <w:rPr>
          <w:lang w:val="fr-FR"/>
        </w:rPr>
        <w:t xml:space="preserve"> tous les points soulevés au paragraphe 84 portant sur les </w:t>
      </w:r>
      <w:r w:rsidR="000E56F2" w:rsidRPr="00B62C7A">
        <w:rPr>
          <w:lang w:val="fr-FR"/>
        </w:rPr>
        <w:t xml:space="preserve">objectifs, les responsabilités pour </w:t>
      </w:r>
      <w:r w:rsidRPr="00B62C7A">
        <w:rPr>
          <w:lang w:val="fr-FR"/>
        </w:rPr>
        <w:t xml:space="preserve">l’actualisation </w:t>
      </w:r>
      <w:r w:rsidR="000E56F2" w:rsidRPr="00B62C7A">
        <w:rPr>
          <w:lang w:val="fr-FR"/>
        </w:rPr>
        <w:t xml:space="preserve">et l’analyse des </w:t>
      </w:r>
      <w:r w:rsidRPr="00B62C7A">
        <w:rPr>
          <w:lang w:val="fr-FR"/>
        </w:rPr>
        <w:t xml:space="preserve">données et la pérennisation de </w:t>
      </w:r>
      <w:r w:rsidR="000E56F2" w:rsidRPr="00B62C7A">
        <w:rPr>
          <w:lang w:val="fr-FR"/>
        </w:rPr>
        <w:t>l’utilisation de la base de données. S</w:t>
      </w:r>
      <w:r w:rsidRPr="00B62C7A">
        <w:rPr>
          <w:lang w:val="fr-FR"/>
        </w:rPr>
        <w:t>ur cette base</w:t>
      </w:r>
      <w:r w:rsidR="000E56F2" w:rsidRPr="00B62C7A">
        <w:rPr>
          <w:lang w:val="fr-FR"/>
        </w:rPr>
        <w:t>,</w:t>
      </w:r>
      <w:r w:rsidRPr="00B62C7A">
        <w:rPr>
          <w:lang w:val="fr-FR"/>
        </w:rPr>
        <w:t xml:space="preserve"> confirmer que la meilleure localisation de la base de données </w:t>
      </w:r>
      <w:r w:rsidR="000E56F2" w:rsidRPr="00B62C7A">
        <w:rPr>
          <w:lang w:val="fr-FR"/>
        </w:rPr>
        <w:t>est</w:t>
      </w:r>
      <w:r w:rsidRPr="00B62C7A">
        <w:rPr>
          <w:lang w:val="fr-FR"/>
        </w:rPr>
        <w:t xml:space="preserve"> </w:t>
      </w:r>
      <w:r w:rsidR="000E56F2" w:rsidRPr="00B62C7A">
        <w:rPr>
          <w:lang w:val="fr-FR"/>
        </w:rPr>
        <w:t>le MPS et préparer et signer un protocole d’accord entre le MPS et le MDCFCF définissant l’objet, le fonctionnement et l’utilisation de la base de données.</w:t>
      </w:r>
      <w:r w:rsidR="006E088D">
        <w:rPr>
          <w:rStyle w:val="FootnoteReference"/>
          <w:lang w:val="fr-FR"/>
        </w:rPr>
        <w:footnoteReference w:id="91"/>
      </w:r>
      <w:r w:rsidR="000E56F2" w:rsidRPr="00B62C7A">
        <w:rPr>
          <w:lang w:val="fr-FR"/>
        </w:rPr>
        <w:t xml:space="preserve"> </w:t>
      </w:r>
    </w:p>
    <w:p w:rsidR="00A05D67" w:rsidRPr="00B62C7A" w:rsidRDefault="00555AE6" w:rsidP="00CF4FE0">
      <w:pPr>
        <w:pStyle w:val="NoSpacing"/>
        <w:numPr>
          <w:ilvl w:val="0"/>
          <w:numId w:val="1"/>
        </w:numPr>
        <w:ind w:left="0" w:firstLine="0"/>
        <w:rPr>
          <w:lang w:val="fr-FR"/>
        </w:rPr>
      </w:pPr>
      <w:r w:rsidRPr="00B62C7A">
        <w:rPr>
          <w:b/>
          <w:lang w:val="fr-FR"/>
        </w:rPr>
        <w:t xml:space="preserve">A4 </w:t>
      </w:r>
      <w:r w:rsidR="00B62C7A">
        <w:rPr>
          <w:b/>
          <w:lang w:val="fr-FR"/>
        </w:rPr>
        <w:t>-</w:t>
      </w:r>
      <w:r w:rsidRPr="00B62C7A">
        <w:rPr>
          <w:b/>
          <w:lang w:val="fr-FR"/>
        </w:rPr>
        <w:t xml:space="preserve"> Etude </w:t>
      </w:r>
      <w:r w:rsidR="00CB10C6" w:rsidRPr="00B62C7A">
        <w:rPr>
          <w:b/>
          <w:lang w:val="fr-FR"/>
        </w:rPr>
        <w:t>« </w:t>
      </w:r>
      <w:r w:rsidRPr="00B62C7A">
        <w:rPr>
          <w:b/>
          <w:lang w:val="fr-FR"/>
        </w:rPr>
        <w:t>impact genre/processus libéralisation</w:t>
      </w:r>
      <w:r w:rsidR="00CB10C6" w:rsidRPr="00B62C7A">
        <w:rPr>
          <w:b/>
          <w:lang w:val="fr-FR"/>
        </w:rPr>
        <w:t> »</w:t>
      </w:r>
      <w:r w:rsidRPr="00B62C7A">
        <w:rPr>
          <w:b/>
          <w:lang w:val="fr-FR"/>
        </w:rPr>
        <w:t xml:space="preserve"> : </w:t>
      </w:r>
      <w:r w:rsidR="00A05D67" w:rsidRPr="00B62C7A">
        <w:rPr>
          <w:lang w:val="fr-FR"/>
        </w:rPr>
        <w:t>Activité non prioritaire bien que déjà engagée car trop complexe. A ne poursuivre que si une expertise internationale peut être mobilisée, recrutée et peut démarrer ses travaux avant fin avril 2012 ; sinon, activité à supprimer.</w:t>
      </w:r>
    </w:p>
    <w:p w:rsidR="00A05D67" w:rsidRPr="00B62C7A" w:rsidRDefault="00A05D67" w:rsidP="00CF4FE0">
      <w:pPr>
        <w:pStyle w:val="NoSpacing"/>
        <w:numPr>
          <w:ilvl w:val="0"/>
          <w:numId w:val="1"/>
        </w:numPr>
        <w:ind w:left="0" w:firstLine="0"/>
        <w:rPr>
          <w:lang w:val="fr-FR"/>
        </w:rPr>
      </w:pPr>
      <w:r w:rsidRPr="00B62C7A">
        <w:rPr>
          <w:b/>
          <w:lang w:val="fr-FR"/>
        </w:rPr>
        <w:t xml:space="preserve">A5 </w:t>
      </w:r>
      <w:r w:rsidR="00B62C7A">
        <w:rPr>
          <w:b/>
          <w:lang w:val="fr-FR"/>
        </w:rPr>
        <w:t>-</w:t>
      </w:r>
      <w:r w:rsidRPr="00B62C7A">
        <w:rPr>
          <w:b/>
          <w:lang w:val="fr-FR"/>
        </w:rPr>
        <w:t xml:space="preserve"> Formation </w:t>
      </w:r>
      <w:r w:rsidR="00CB10C6" w:rsidRPr="00B62C7A">
        <w:rPr>
          <w:b/>
          <w:lang w:val="fr-FR"/>
        </w:rPr>
        <w:t>« </w:t>
      </w:r>
      <w:r w:rsidRPr="00B62C7A">
        <w:rPr>
          <w:b/>
          <w:lang w:val="fr-FR"/>
        </w:rPr>
        <w:t>analyse données</w:t>
      </w:r>
      <w:r w:rsidR="00CB10C6" w:rsidRPr="00B62C7A">
        <w:rPr>
          <w:b/>
          <w:lang w:val="fr-FR"/>
        </w:rPr>
        <w:t> »</w:t>
      </w:r>
      <w:r w:rsidRPr="00B62C7A">
        <w:rPr>
          <w:lang w:val="fr-FR"/>
        </w:rPr>
        <w:t>: Activité non prioritaire car insuffisamment préparée (tout reste à définir). Deux options : (a) suppression de l’activité ; ou (b) remplacement de l’activité par un simple état des lieux (mais à ne démarrer que si les conditions définies à la Recommandation 4 sont remplies.</w:t>
      </w:r>
    </w:p>
    <w:p w:rsidR="00A05D67" w:rsidRPr="00B62C7A" w:rsidRDefault="00A05D67" w:rsidP="00CF4FE0">
      <w:pPr>
        <w:pStyle w:val="NoSpacing"/>
        <w:numPr>
          <w:ilvl w:val="0"/>
          <w:numId w:val="1"/>
        </w:numPr>
        <w:ind w:left="0" w:firstLine="0"/>
        <w:rPr>
          <w:b/>
          <w:lang w:val="fr-FR"/>
        </w:rPr>
      </w:pPr>
      <w:r w:rsidRPr="00B62C7A">
        <w:rPr>
          <w:b/>
          <w:lang w:val="fr-FR"/>
        </w:rPr>
        <w:t xml:space="preserve">A6 </w:t>
      </w:r>
      <w:r w:rsidR="00B62C7A">
        <w:rPr>
          <w:b/>
          <w:lang w:val="fr-FR"/>
        </w:rPr>
        <w:t>-</w:t>
      </w:r>
      <w:r w:rsidRPr="00B62C7A">
        <w:rPr>
          <w:b/>
          <w:lang w:val="fr-FR"/>
        </w:rPr>
        <w:t xml:space="preserve"> Formation</w:t>
      </w:r>
      <w:r w:rsidR="00CB10C6" w:rsidRPr="00B62C7A">
        <w:rPr>
          <w:b/>
          <w:lang w:val="fr-FR"/>
        </w:rPr>
        <w:t xml:space="preserve"> « </w:t>
      </w:r>
      <w:r w:rsidR="00C7448F" w:rsidRPr="00B62C7A">
        <w:rPr>
          <w:b/>
          <w:lang w:val="fr-FR"/>
        </w:rPr>
        <w:t>approche genre</w:t>
      </w:r>
      <w:r w:rsidR="00CB10C6" w:rsidRPr="00B62C7A">
        <w:rPr>
          <w:b/>
          <w:lang w:val="fr-FR"/>
        </w:rPr>
        <w:t xml:space="preserve"> » </w:t>
      </w:r>
      <w:r w:rsidR="00CB10C6" w:rsidRPr="00B62C7A">
        <w:rPr>
          <w:lang w:val="fr-FR"/>
        </w:rPr>
        <w:t>(responsables nationaux)</w:t>
      </w:r>
      <w:r w:rsidR="00CB10C6" w:rsidRPr="00B62C7A">
        <w:rPr>
          <w:b/>
          <w:lang w:val="fr-FR"/>
        </w:rPr>
        <w:t> </w:t>
      </w:r>
      <w:r w:rsidR="00C7448F" w:rsidRPr="00B62C7A">
        <w:rPr>
          <w:b/>
          <w:lang w:val="fr-FR"/>
        </w:rPr>
        <w:t>:</w:t>
      </w:r>
      <w:r w:rsidR="005E181B" w:rsidRPr="00B62C7A">
        <w:rPr>
          <w:b/>
          <w:lang w:val="fr-FR"/>
        </w:rPr>
        <w:t xml:space="preserve"> </w:t>
      </w:r>
      <w:r w:rsidR="005E181B" w:rsidRPr="00B62C7A">
        <w:rPr>
          <w:lang w:val="fr-FR"/>
        </w:rPr>
        <w:t>Activité prioritaire</w:t>
      </w:r>
      <w:r w:rsidR="00CB10C6" w:rsidRPr="00B62C7A">
        <w:rPr>
          <w:lang w:val="fr-FR"/>
        </w:rPr>
        <w:t xml:space="preserve"> mais vers une nouvelle cible, avec reformulation</w:t>
      </w:r>
      <w:r w:rsidR="005E181B" w:rsidRPr="00B62C7A">
        <w:rPr>
          <w:lang w:val="fr-FR"/>
        </w:rPr>
        <w:t xml:space="preserve"> vers la sensibilisation des décideurs des ministères partenaires (voir annexe 7).</w:t>
      </w:r>
    </w:p>
    <w:p w:rsidR="00A05D67" w:rsidRPr="00B62C7A" w:rsidRDefault="005E181B" w:rsidP="00CF4FE0">
      <w:pPr>
        <w:pStyle w:val="NoSpacing"/>
        <w:numPr>
          <w:ilvl w:val="0"/>
          <w:numId w:val="1"/>
        </w:numPr>
        <w:ind w:left="0" w:firstLine="0"/>
        <w:rPr>
          <w:lang w:val="fr-FR"/>
        </w:rPr>
      </w:pPr>
      <w:r w:rsidRPr="00B62C7A">
        <w:rPr>
          <w:b/>
          <w:lang w:val="fr-FR"/>
        </w:rPr>
        <w:t>A7 + A8 + A9 – Faisabilité et application de la BSG</w:t>
      </w:r>
      <w:r w:rsidRPr="00B62C7A">
        <w:rPr>
          <w:lang w:val="fr-FR"/>
        </w:rPr>
        <w:t> : Ces trois activités doivent être reformulées en une seule portant sur l’expérimentation de la BSG au niveau local au sein du MADR, avec appui au MADR et sensibilisation des cadres du MF (voir annexe 7). Le budget total de la nouvelle activité pourra s’élever jusqu’à 190.000 dollars.</w:t>
      </w:r>
    </w:p>
    <w:p w:rsidR="005E181B" w:rsidRPr="00B62C7A" w:rsidRDefault="005E181B" w:rsidP="00CF4FE0">
      <w:pPr>
        <w:pStyle w:val="NoSpacing"/>
        <w:numPr>
          <w:ilvl w:val="0"/>
          <w:numId w:val="1"/>
        </w:numPr>
        <w:ind w:left="0" w:firstLine="0"/>
        <w:rPr>
          <w:lang w:val="fr-FR"/>
        </w:rPr>
      </w:pPr>
      <w:r w:rsidRPr="00B62C7A">
        <w:rPr>
          <w:b/>
          <w:lang w:val="fr-FR"/>
        </w:rPr>
        <w:t xml:space="preserve">A10 </w:t>
      </w:r>
      <w:r w:rsidR="00B62C7A">
        <w:rPr>
          <w:b/>
          <w:lang w:val="fr-FR"/>
        </w:rPr>
        <w:t>-</w:t>
      </w:r>
      <w:r w:rsidRPr="00B62C7A">
        <w:rPr>
          <w:b/>
          <w:lang w:val="fr-FR"/>
        </w:rPr>
        <w:t xml:space="preserve"> Formation collectivités locales :</w:t>
      </w:r>
      <w:r w:rsidR="00CB10C6" w:rsidRPr="00B62C7A">
        <w:rPr>
          <w:b/>
          <w:lang w:val="fr-FR"/>
        </w:rPr>
        <w:t xml:space="preserve"> </w:t>
      </w:r>
      <w:r w:rsidR="00CB10C6" w:rsidRPr="00B62C7A">
        <w:rPr>
          <w:lang w:val="fr-FR"/>
        </w:rPr>
        <w:t>Activité prioritaire, mais à reformuler (voir annexe 7) et à limiter à Djelfa pour renforcer la nouvelle activité A7/8/9 ci-dessus.</w:t>
      </w:r>
    </w:p>
    <w:p w:rsidR="00CB10C6" w:rsidRPr="00B62C7A" w:rsidRDefault="00CB10C6" w:rsidP="00CF4FE0">
      <w:pPr>
        <w:pStyle w:val="NoSpacing"/>
        <w:numPr>
          <w:ilvl w:val="0"/>
          <w:numId w:val="1"/>
        </w:numPr>
        <w:ind w:left="0" w:firstLine="0"/>
        <w:rPr>
          <w:lang w:val="fr-FR"/>
        </w:rPr>
      </w:pPr>
      <w:r w:rsidRPr="00B62C7A">
        <w:rPr>
          <w:b/>
          <w:lang w:val="fr-FR"/>
        </w:rPr>
        <w:t xml:space="preserve">A11 </w:t>
      </w:r>
      <w:r w:rsidR="00B62C7A">
        <w:rPr>
          <w:b/>
          <w:lang w:val="fr-FR"/>
        </w:rPr>
        <w:t>-</w:t>
      </w:r>
      <w:r w:rsidRPr="00B62C7A">
        <w:rPr>
          <w:b/>
          <w:lang w:val="fr-FR"/>
        </w:rPr>
        <w:t xml:space="preserve"> Formation « analyse genre » (OSC)</w:t>
      </w:r>
      <w:r w:rsidRPr="00B62C7A">
        <w:rPr>
          <w:lang w:val="fr-FR"/>
        </w:rPr>
        <w:t> : Activité prioritaire à continuer à Djelfa et Tamanrasset (et si besoin est à Alger) et à limiter aux cadres des OSCs locales (ou nationales si besoin est) en renforcement des activités pilotes du programme et de l’A7/8/9.</w:t>
      </w:r>
    </w:p>
    <w:p w:rsidR="003D1BB9" w:rsidRPr="00B62C7A" w:rsidRDefault="00CB10C6" w:rsidP="00CF4FE0">
      <w:pPr>
        <w:pStyle w:val="NoSpacing"/>
        <w:numPr>
          <w:ilvl w:val="0"/>
          <w:numId w:val="1"/>
        </w:numPr>
        <w:ind w:left="0" w:firstLine="0"/>
        <w:rPr>
          <w:lang w:val="fr-FR"/>
        </w:rPr>
      </w:pPr>
      <w:r w:rsidRPr="00B62C7A">
        <w:rPr>
          <w:b/>
          <w:lang w:val="fr-FR"/>
        </w:rPr>
        <w:t>A12</w:t>
      </w:r>
      <w:r w:rsidR="00B62C7A">
        <w:rPr>
          <w:b/>
          <w:lang w:val="fr-FR"/>
        </w:rPr>
        <w:t xml:space="preserve"> -</w:t>
      </w:r>
      <w:r w:rsidRPr="00B62C7A">
        <w:rPr>
          <w:lang w:val="fr-FR"/>
        </w:rPr>
        <w:t xml:space="preserve"> </w:t>
      </w:r>
      <w:r w:rsidRPr="00B62C7A">
        <w:rPr>
          <w:b/>
          <w:lang w:val="fr-FR"/>
        </w:rPr>
        <w:t>Etude « obstacles à l’emploi féminin »</w:t>
      </w:r>
      <w:r w:rsidRPr="00B62C7A">
        <w:rPr>
          <w:lang w:val="fr-FR"/>
        </w:rPr>
        <w:t> :</w:t>
      </w:r>
      <w:r w:rsidR="003D1BB9" w:rsidRPr="00B62C7A">
        <w:rPr>
          <w:lang w:val="fr-FR"/>
        </w:rPr>
        <w:t xml:space="preserve"> </w:t>
      </w:r>
      <w:r w:rsidR="00555AE6" w:rsidRPr="00B62C7A">
        <w:rPr>
          <w:lang w:val="fr-FR"/>
        </w:rPr>
        <w:t>A</w:t>
      </w:r>
      <w:r w:rsidR="003D1BB9" w:rsidRPr="00B62C7A">
        <w:rPr>
          <w:lang w:val="fr-FR"/>
        </w:rPr>
        <w:t>ctivité non-prioritaire</w:t>
      </w:r>
      <w:r w:rsidR="00555AE6" w:rsidRPr="00B62C7A">
        <w:rPr>
          <w:lang w:val="fr-FR"/>
        </w:rPr>
        <w:t xml:space="preserve"> </w:t>
      </w:r>
      <w:r w:rsidR="003D1BB9" w:rsidRPr="00B62C7A">
        <w:rPr>
          <w:lang w:val="fr-FR"/>
        </w:rPr>
        <w:t xml:space="preserve">à </w:t>
      </w:r>
      <w:r w:rsidR="00555AE6" w:rsidRPr="00B62C7A">
        <w:rPr>
          <w:lang w:val="fr-FR"/>
        </w:rPr>
        <w:t>ne démarrer</w:t>
      </w:r>
      <w:r w:rsidR="003D1BB9" w:rsidRPr="00B62C7A">
        <w:rPr>
          <w:lang w:val="fr-FR"/>
        </w:rPr>
        <w:t>/poursuivre</w:t>
      </w:r>
      <w:r w:rsidR="00555AE6" w:rsidRPr="00B62C7A">
        <w:rPr>
          <w:lang w:val="fr-FR"/>
        </w:rPr>
        <w:t xml:space="preserve"> que si la première expertise du siège du BIT est mobilisée avant le 31 mars 2012 et si un 2</w:t>
      </w:r>
      <w:r w:rsidR="00555AE6" w:rsidRPr="00B62C7A">
        <w:rPr>
          <w:vertAlign w:val="superscript"/>
          <w:lang w:val="fr-FR"/>
        </w:rPr>
        <w:t>ème</w:t>
      </w:r>
      <w:r w:rsidR="00555AE6" w:rsidRPr="00B62C7A">
        <w:rPr>
          <w:lang w:val="fr-FR"/>
        </w:rPr>
        <w:t xml:space="preserve"> expert est recruté avant fin mai 2012.</w:t>
      </w:r>
      <w:r w:rsidR="003D1BB9" w:rsidRPr="00B62C7A">
        <w:rPr>
          <w:lang w:val="fr-FR"/>
        </w:rPr>
        <w:t xml:space="preserve"> Si ces conditions sont remplies,</w:t>
      </w:r>
      <w:r w:rsidR="007D74AC" w:rsidRPr="00B62C7A">
        <w:rPr>
          <w:lang w:val="fr-FR"/>
        </w:rPr>
        <w:t xml:space="preserve"> étendre</w:t>
      </w:r>
      <w:r w:rsidR="003D1BB9" w:rsidRPr="00B62C7A">
        <w:rPr>
          <w:lang w:val="fr-FR"/>
        </w:rPr>
        <w:t xml:space="preserve"> le </w:t>
      </w:r>
      <w:r w:rsidR="007D74AC" w:rsidRPr="00B62C7A">
        <w:rPr>
          <w:lang w:val="fr-FR"/>
        </w:rPr>
        <w:t>champ</w:t>
      </w:r>
      <w:r w:rsidR="003D1BB9" w:rsidRPr="00B62C7A">
        <w:rPr>
          <w:lang w:val="fr-FR"/>
        </w:rPr>
        <w:t xml:space="preserve"> de l’étude </w:t>
      </w:r>
      <w:r w:rsidR="007D74AC" w:rsidRPr="00B62C7A">
        <w:rPr>
          <w:lang w:val="fr-FR"/>
        </w:rPr>
        <w:t>aux</w:t>
      </w:r>
      <w:r w:rsidR="003D1BB9" w:rsidRPr="00B62C7A">
        <w:rPr>
          <w:lang w:val="fr-FR"/>
        </w:rPr>
        <w:t xml:space="preserve"> opportunités pour l’emploi féminin, avec utilisation d’une partie du budget de l’A13. </w:t>
      </w:r>
    </w:p>
    <w:p w:rsidR="003D1BB9" w:rsidRPr="00B62C7A" w:rsidRDefault="003D1BB9" w:rsidP="00CF4FE0">
      <w:pPr>
        <w:pStyle w:val="NoSpacing"/>
        <w:numPr>
          <w:ilvl w:val="0"/>
          <w:numId w:val="1"/>
        </w:numPr>
        <w:ind w:left="0" w:firstLine="0"/>
        <w:rPr>
          <w:lang w:val="fr-FR"/>
        </w:rPr>
      </w:pPr>
      <w:r w:rsidRPr="00B62C7A">
        <w:rPr>
          <w:b/>
          <w:lang w:val="fr-FR"/>
        </w:rPr>
        <w:lastRenderedPageBreak/>
        <w:t xml:space="preserve">A13 </w:t>
      </w:r>
      <w:r w:rsidR="00B62C7A">
        <w:rPr>
          <w:lang w:val="fr-FR"/>
        </w:rPr>
        <w:t>-</w:t>
      </w:r>
      <w:r w:rsidRPr="00B62C7A">
        <w:rPr>
          <w:lang w:val="fr-FR"/>
        </w:rPr>
        <w:t xml:space="preserve"> </w:t>
      </w:r>
      <w:r w:rsidRPr="00B62C7A">
        <w:rPr>
          <w:b/>
          <w:lang w:val="fr-FR"/>
        </w:rPr>
        <w:t>Enquête « conditions de travail/emploi féminin</w:t>
      </w:r>
      <w:r w:rsidRPr="00B62C7A">
        <w:rPr>
          <w:lang w:val="fr-FR"/>
        </w:rPr>
        <w:t xml:space="preserve"> » : Activité à supprimer car le MTESS n’a pas les prérogatives nécessaires pour réaliser une enquête sur les conditions de travail. Réaffectation de tout ou partie du budget à l’A12 ci-dessus (si </w:t>
      </w:r>
      <w:r w:rsidR="007D74AC" w:rsidRPr="00B62C7A">
        <w:rPr>
          <w:lang w:val="fr-FR"/>
        </w:rPr>
        <w:t>celle-ci est réalisée</w:t>
      </w:r>
      <w:r w:rsidRPr="00B62C7A">
        <w:rPr>
          <w:lang w:val="fr-FR"/>
        </w:rPr>
        <w:t>) ou à d’autres activités.</w:t>
      </w:r>
    </w:p>
    <w:p w:rsidR="00925110" w:rsidRPr="00B62C7A" w:rsidRDefault="007D74AC" w:rsidP="00CF4FE0">
      <w:pPr>
        <w:pStyle w:val="NoSpacing"/>
        <w:numPr>
          <w:ilvl w:val="0"/>
          <w:numId w:val="1"/>
        </w:numPr>
        <w:ind w:left="0" w:firstLine="0"/>
        <w:rPr>
          <w:lang w:val="fr-FR"/>
        </w:rPr>
      </w:pPr>
      <w:r w:rsidRPr="00B62C7A">
        <w:rPr>
          <w:b/>
          <w:lang w:val="fr-FR"/>
        </w:rPr>
        <w:t xml:space="preserve">A14 </w:t>
      </w:r>
      <w:r w:rsidR="00B62C7A">
        <w:rPr>
          <w:b/>
          <w:lang w:val="fr-FR"/>
        </w:rPr>
        <w:t>-</w:t>
      </w:r>
      <w:r w:rsidRPr="00B62C7A">
        <w:rPr>
          <w:b/>
          <w:lang w:val="fr-FR"/>
        </w:rPr>
        <w:t xml:space="preserve"> Observatoires de l’emploi de femmes</w:t>
      </w:r>
      <w:r w:rsidRPr="00B62C7A">
        <w:rPr>
          <w:lang w:val="fr-FR"/>
        </w:rPr>
        <w:t> : Activité non-prioritaire à ne démarrer que si les capacités de l’EP sont renforcées ainsi que proposé à la Recommandation 4. Si ces conditions sont remplies, reformuler l’activité en la réorientant vers la documentation de l’expérience des Observatoires de la Sonatrach et de Sonelgaz (voir Annexe 7) après consultation du Ministère de l’Energie et des Mines.</w:t>
      </w:r>
      <w:r w:rsidR="00925110" w:rsidRPr="00B62C7A">
        <w:rPr>
          <w:lang w:val="fr-FR"/>
        </w:rPr>
        <w:t xml:space="preserve"> L’objet de l’étude sera de documenter l’expérience des deux sociétés en matière d’intégration professionnelle des femmes (recrutement et de promotion interne) aux fins d’une plus grande féminisation de leur effectif avec documentation des résultats, obstacles, facteurs favorables et du fonctionnement ou du r</w:t>
      </w:r>
      <w:r w:rsidR="00925110" w:rsidRPr="00B62C7A">
        <w:rPr>
          <w:rFonts w:cs="Calibri"/>
          <w:lang w:val="fr-FR"/>
        </w:rPr>
        <w:t>ô</w:t>
      </w:r>
      <w:r w:rsidR="00925110" w:rsidRPr="00B62C7A">
        <w:rPr>
          <w:lang w:val="fr-FR"/>
        </w:rPr>
        <w:t>le des Observatoires.</w:t>
      </w:r>
    </w:p>
    <w:p w:rsidR="00925110" w:rsidRPr="00B62C7A" w:rsidRDefault="007D74AC" w:rsidP="00CF4FE0">
      <w:pPr>
        <w:pStyle w:val="NoSpacing"/>
        <w:numPr>
          <w:ilvl w:val="0"/>
          <w:numId w:val="1"/>
        </w:numPr>
        <w:ind w:left="0" w:firstLine="0"/>
        <w:rPr>
          <w:lang w:val="fr-FR"/>
        </w:rPr>
      </w:pPr>
      <w:r w:rsidRPr="00B62C7A">
        <w:rPr>
          <w:b/>
          <w:lang w:val="fr-FR"/>
        </w:rPr>
        <w:t>A15</w:t>
      </w:r>
      <w:r w:rsidR="00B62C7A">
        <w:rPr>
          <w:b/>
          <w:lang w:val="fr-FR"/>
        </w:rPr>
        <w:t xml:space="preserve"> </w:t>
      </w:r>
      <w:r w:rsidRPr="00B62C7A">
        <w:rPr>
          <w:b/>
          <w:lang w:val="fr-FR"/>
        </w:rPr>
        <w:t xml:space="preserve">- </w:t>
      </w:r>
      <w:r w:rsidR="003C4F32" w:rsidRPr="00B62C7A">
        <w:rPr>
          <w:b/>
          <w:lang w:val="fr-FR"/>
        </w:rPr>
        <w:t>La formation professionnelle</w:t>
      </w:r>
      <w:r w:rsidR="003C4F32" w:rsidRPr="00B62C7A">
        <w:rPr>
          <w:lang w:val="fr-FR"/>
        </w:rPr>
        <w:t> :</w:t>
      </w:r>
      <w:r w:rsidR="00925110" w:rsidRPr="00B62C7A">
        <w:rPr>
          <w:lang w:val="fr-FR"/>
        </w:rPr>
        <w:t xml:space="preserve"> Activité prioritaire si elle est réorientée vers l’évaluation de l’offre de formation professionnelle à destination des femmes (vor reformulation à l’</w:t>
      </w:r>
      <w:r w:rsidR="00F81261" w:rsidRPr="00B62C7A">
        <w:rPr>
          <w:lang w:val="fr-FR"/>
        </w:rPr>
        <w:t>annexe 7). L’objectif sera de réaliser une</w:t>
      </w:r>
      <w:r w:rsidR="00925110" w:rsidRPr="00B62C7A">
        <w:rPr>
          <w:lang w:val="fr-FR"/>
        </w:rPr>
        <w:t xml:space="preserve"> étude approfondie</w:t>
      </w:r>
      <w:r w:rsidR="00F81261" w:rsidRPr="00B62C7A">
        <w:rPr>
          <w:lang w:val="fr-FR"/>
        </w:rPr>
        <w:t xml:space="preserve">, </w:t>
      </w:r>
      <w:r w:rsidR="00925110" w:rsidRPr="00B62C7A">
        <w:rPr>
          <w:lang w:val="fr-FR"/>
        </w:rPr>
        <w:t xml:space="preserve">avec études de cas, de l’adaptation de l’offre actuelle de formation professionnelle aux besoins des femmes rurales et urbaines souhaitant s’engager dans une activité génératrice de revenus profitable et aux jeunes filles rurales et urbaines sans diplôme et sans qualification désireuses de trouver un emploi salarié dans un secteur porteur. Plus particulièrement il s’agira d’identifier, parmi l’offre de plus de 300 formations fournies par le </w:t>
      </w:r>
      <w:r w:rsidR="00467C9E">
        <w:rPr>
          <w:lang w:val="fr-FR"/>
        </w:rPr>
        <w:t>MFEP</w:t>
      </w:r>
      <w:r w:rsidR="00925110" w:rsidRPr="00B62C7A">
        <w:rPr>
          <w:lang w:val="fr-FR"/>
        </w:rPr>
        <w:t>, les formations visant à l’autonomisation financière de la femme et à la formation professionnelle des jeunes filles ; puis d’évaluer, à travers des enquêtes auprès de femmes et jeunes filles ayant bénéficié de formations récentes ou il y a plusieurs années, si ces formations ont eu l’impact escompté au niveau de l’employabilité ou du niveau de revenus des bénéficiaires.</w:t>
      </w:r>
      <w:r w:rsidR="00F81261" w:rsidRPr="00B62C7A">
        <w:rPr>
          <w:lang w:val="fr-FR"/>
        </w:rPr>
        <w:t xml:space="preserve"> L’étude devra en outre proposer des mesures ou recommandations visant à l’amélioration de l’offre actuelle.</w:t>
      </w:r>
    </w:p>
    <w:p w:rsidR="007D74AC" w:rsidRPr="00B62C7A" w:rsidRDefault="00F81261" w:rsidP="00CF4FE0">
      <w:pPr>
        <w:pStyle w:val="NoSpacing"/>
        <w:numPr>
          <w:ilvl w:val="0"/>
          <w:numId w:val="1"/>
        </w:numPr>
        <w:ind w:left="0" w:firstLine="0"/>
        <w:rPr>
          <w:lang w:val="fr-FR"/>
        </w:rPr>
      </w:pPr>
      <w:r w:rsidRPr="00B62C7A">
        <w:rPr>
          <w:b/>
          <w:lang w:val="fr-FR"/>
        </w:rPr>
        <w:t xml:space="preserve">A16 </w:t>
      </w:r>
      <w:r w:rsidR="00B62C7A">
        <w:rPr>
          <w:b/>
          <w:lang w:val="fr-FR"/>
        </w:rPr>
        <w:t>-</w:t>
      </w:r>
      <w:r w:rsidRPr="00B62C7A">
        <w:rPr>
          <w:b/>
          <w:lang w:val="fr-FR"/>
        </w:rPr>
        <w:t xml:space="preserve"> Observatoire du marché du travail</w:t>
      </w:r>
      <w:r w:rsidRPr="00B62C7A">
        <w:rPr>
          <w:lang w:val="fr-FR"/>
        </w:rPr>
        <w:t> : Activité non-prioritaire à ne démarrer que si la première expertise du siège du BIT est mobilisée avant le 31 mars 2012 et si un 2</w:t>
      </w:r>
      <w:r w:rsidRPr="00B62C7A">
        <w:rPr>
          <w:vertAlign w:val="superscript"/>
          <w:lang w:val="fr-FR"/>
        </w:rPr>
        <w:t>ème</w:t>
      </w:r>
      <w:r w:rsidRPr="00B62C7A">
        <w:rPr>
          <w:lang w:val="fr-FR"/>
        </w:rPr>
        <w:t xml:space="preserve"> expert est recruté avant fin mai 2012. Si ces conditions sont remplies, réduire le champ de cette activité à une évaluation des PAMT sur l’insertion professionnelle des femmes et des jeunes, avec proposition de recommandations concrètes pour améliorer cet impact.</w:t>
      </w:r>
    </w:p>
    <w:p w:rsidR="00F81261" w:rsidRPr="00B62C7A" w:rsidRDefault="00F81261" w:rsidP="00CF4FE0">
      <w:pPr>
        <w:pStyle w:val="NoSpacing"/>
        <w:numPr>
          <w:ilvl w:val="0"/>
          <w:numId w:val="1"/>
        </w:numPr>
        <w:ind w:left="0" w:firstLine="0"/>
        <w:rPr>
          <w:lang w:val="fr-FR"/>
        </w:rPr>
      </w:pPr>
      <w:r w:rsidRPr="00B62C7A">
        <w:rPr>
          <w:b/>
          <w:lang w:val="fr-FR"/>
        </w:rPr>
        <w:t>A17</w:t>
      </w:r>
      <w:r w:rsidR="00B62C7A">
        <w:rPr>
          <w:b/>
          <w:lang w:val="fr-FR"/>
        </w:rPr>
        <w:t xml:space="preserve"> -</w:t>
      </w:r>
      <w:r w:rsidRPr="00B62C7A">
        <w:rPr>
          <w:b/>
          <w:lang w:val="fr-FR"/>
        </w:rPr>
        <w:t xml:space="preserve"> Sensibilisation des OSC aux dispositifs de création d’emplois</w:t>
      </w:r>
      <w:r w:rsidRPr="00B62C7A">
        <w:rPr>
          <w:lang w:val="fr-FR"/>
        </w:rPr>
        <w:t> : Activité non-prioritaire à ne démarrer que si la première expertise du siège du BIT est mobilisée avant le 31 mars 2012 et si un 2</w:t>
      </w:r>
      <w:r w:rsidRPr="00B62C7A">
        <w:rPr>
          <w:vertAlign w:val="superscript"/>
          <w:lang w:val="fr-FR"/>
        </w:rPr>
        <w:t>ème</w:t>
      </w:r>
      <w:r w:rsidRPr="00B62C7A">
        <w:rPr>
          <w:lang w:val="fr-FR"/>
        </w:rPr>
        <w:t xml:space="preserve"> expert est recruté avant fin mai 2012. Si ces conditions sont remplies, modifier en profondeur le champ de l’activité en la réorientant vers la réalisation d’une évaluation ou d’un état des lieux approfondi sur l’efficacité de tous les dispositifs </w:t>
      </w:r>
      <w:r w:rsidR="009D2E1D" w:rsidRPr="00B62C7A">
        <w:rPr>
          <w:lang w:val="fr-FR"/>
        </w:rPr>
        <w:t xml:space="preserve">en vigueur </w:t>
      </w:r>
      <w:r w:rsidRPr="00B62C7A">
        <w:rPr>
          <w:lang w:val="fr-FR"/>
        </w:rPr>
        <w:t>visant à la création d’emplois, avec formulation de recommandations pour l’amélioration des ces dispositifs.</w:t>
      </w:r>
    </w:p>
    <w:p w:rsidR="00F81261" w:rsidRPr="00B62C7A" w:rsidRDefault="00F81261" w:rsidP="00CF4FE0">
      <w:pPr>
        <w:pStyle w:val="NoSpacing"/>
        <w:numPr>
          <w:ilvl w:val="0"/>
          <w:numId w:val="1"/>
        </w:numPr>
        <w:ind w:left="0" w:firstLine="0"/>
        <w:rPr>
          <w:lang w:val="fr-FR"/>
        </w:rPr>
      </w:pPr>
      <w:r w:rsidRPr="00B62C7A">
        <w:rPr>
          <w:b/>
          <w:lang w:val="fr-FR"/>
        </w:rPr>
        <w:t xml:space="preserve">A18 </w:t>
      </w:r>
      <w:r w:rsidR="00B62C7A">
        <w:rPr>
          <w:b/>
          <w:lang w:val="fr-FR"/>
        </w:rPr>
        <w:t xml:space="preserve"> -</w:t>
      </w:r>
      <w:r w:rsidRPr="00B62C7A">
        <w:rPr>
          <w:b/>
          <w:lang w:val="fr-FR"/>
        </w:rPr>
        <w:t xml:space="preserve"> </w:t>
      </w:r>
      <w:r w:rsidR="009D2E1D" w:rsidRPr="00B62C7A">
        <w:rPr>
          <w:b/>
          <w:lang w:val="fr-FR"/>
        </w:rPr>
        <w:t>Formation de formateurs</w:t>
      </w:r>
      <w:r w:rsidR="009D2E1D" w:rsidRPr="00B62C7A">
        <w:rPr>
          <w:lang w:val="fr-FR"/>
        </w:rPr>
        <w:t> : Activité non-prioritaire à ne démarrer que si la mission des maîtres formateurs du BIT a lieu avant le 31 mars 2012.</w:t>
      </w:r>
    </w:p>
    <w:p w:rsidR="009D2E1D" w:rsidRPr="00B62C7A" w:rsidRDefault="009D2E1D" w:rsidP="00CF4FE0">
      <w:pPr>
        <w:pStyle w:val="NoSpacing"/>
        <w:numPr>
          <w:ilvl w:val="0"/>
          <w:numId w:val="1"/>
        </w:numPr>
        <w:ind w:left="0" w:firstLine="0"/>
        <w:rPr>
          <w:lang w:val="fr-FR"/>
        </w:rPr>
      </w:pPr>
      <w:r w:rsidRPr="00B62C7A">
        <w:rPr>
          <w:b/>
          <w:lang w:val="fr-FR"/>
        </w:rPr>
        <w:t xml:space="preserve">A19 </w:t>
      </w:r>
      <w:r w:rsidR="00B62C7A">
        <w:rPr>
          <w:b/>
          <w:lang w:val="fr-FR"/>
        </w:rPr>
        <w:t>-</w:t>
      </w:r>
      <w:r w:rsidRPr="00B62C7A">
        <w:rPr>
          <w:b/>
          <w:lang w:val="fr-FR"/>
        </w:rPr>
        <w:t xml:space="preserve"> Incubateur pilote de Tipaza</w:t>
      </w:r>
      <w:r w:rsidRPr="00B62C7A">
        <w:rPr>
          <w:lang w:val="fr-FR"/>
        </w:rPr>
        <w:t xml:space="preserve"> : </w:t>
      </w:r>
      <w:r w:rsidR="00F32443" w:rsidRPr="00B62C7A">
        <w:rPr>
          <w:lang w:val="fr-FR"/>
        </w:rPr>
        <w:t xml:space="preserve">Activité non prioritaire, à ne démarrer que si l’EP renforce ses capacités opérationnelles (notamment le recrutement de l’Expert Genre) et si une alternative est trouvée avant fin mars à l’activité initiale. Parmi les deux options présentées au chapitre 157, la mission recommande de confier la nouvelle activité au MTA, en la réorientant vers un appui aux chambres de l’artisanat locales et/ou centres locaux de formation aux métiers de l’artisanat, dans les mêmes localités que les autres activités pilotes visant à l’accompagnement des femmes souhaitant se lancer dans un activité génératrice de revenus. </w:t>
      </w:r>
    </w:p>
    <w:p w:rsidR="00B85BED" w:rsidRPr="00B62C7A" w:rsidRDefault="00F32443" w:rsidP="00CF4FE0">
      <w:pPr>
        <w:pStyle w:val="NoSpacing"/>
        <w:numPr>
          <w:ilvl w:val="0"/>
          <w:numId w:val="1"/>
        </w:numPr>
        <w:ind w:left="0" w:firstLine="0"/>
        <w:rPr>
          <w:lang w:val="fr-FR"/>
        </w:rPr>
      </w:pPr>
      <w:r w:rsidRPr="00B62C7A">
        <w:rPr>
          <w:b/>
          <w:lang w:val="fr-FR"/>
        </w:rPr>
        <w:t>A20</w:t>
      </w:r>
      <w:r w:rsidR="00CE4AD7" w:rsidRPr="00B62C7A">
        <w:rPr>
          <w:b/>
          <w:lang w:val="fr-FR"/>
        </w:rPr>
        <w:t xml:space="preserve"> </w:t>
      </w:r>
      <w:r w:rsidR="001E5FF1">
        <w:rPr>
          <w:b/>
          <w:lang w:val="fr-FR"/>
        </w:rPr>
        <w:t>-</w:t>
      </w:r>
      <w:r w:rsidR="009D7D30" w:rsidRPr="00B62C7A">
        <w:rPr>
          <w:b/>
          <w:lang w:val="fr-FR"/>
        </w:rPr>
        <w:t xml:space="preserve"> Activité de parrainage</w:t>
      </w:r>
      <w:r w:rsidR="009D7D30" w:rsidRPr="00B62C7A">
        <w:rPr>
          <w:lang w:val="fr-FR"/>
        </w:rPr>
        <w:t xml:space="preserve"> : </w:t>
      </w:r>
      <w:r w:rsidR="00B85BED" w:rsidRPr="00B62C7A">
        <w:rPr>
          <w:lang w:val="fr-FR"/>
        </w:rPr>
        <w:t>Activité à supprimer car elle n’est pas assez solide sur le plan technique et le budget ne permet pas à l’ONUDI de la mettre correctement en œuvre.</w:t>
      </w:r>
    </w:p>
    <w:p w:rsidR="00B85BED" w:rsidRPr="00B62C7A" w:rsidRDefault="00B62C7A" w:rsidP="00CF4FE0">
      <w:pPr>
        <w:pStyle w:val="NoSpacing"/>
        <w:numPr>
          <w:ilvl w:val="0"/>
          <w:numId w:val="1"/>
        </w:numPr>
        <w:ind w:left="0" w:firstLine="0"/>
        <w:rPr>
          <w:lang w:val="fr-FR"/>
        </w:rPr>
      </w:pPr>
      <w:r>
        <w:rPr>
          <w:b/>
          <w:sz w:val="24"/>
          <w:lang w:val="fr-FR"/>
        </w:rPr>
        <w:lastRenderedPageBreak/>
        <w:t xml:space="preserve">A21 </w:t>
      </w:r>
      <w:r w:rsidR="001E5FF1">
        <w:rPr>
          <w:b/>
          <w:sz w:val="24"/>
          <w:lang w:val="fr-FR"/>
        </w:rPr>
        <w:t>-</w:t>
      </w:r>
      <w:r w:rsidRPr="00B62C7A">
        <w:rPr>
          <w:b/>
          <w:sz w:val="24"/>
          <w:lang w:val="fr-FR"/>
        </w:rPr>
        <w:t xml:space="preserve"> </w:t>
      </w:r>
      <w:r w:rsidR="00B85BED" w:rsidRPr="00B62C7A">
        <w:rPr>
          <w:sz w:val="24"/>
          <w:lang w:val="fr-FR"/>
        </w:rPr>
        <w:t xml:space="preserve"> </w:t>
      </w:r>
      <w:r w:rsidR="00B85BED" w:rsidRPr="00B62C7A">
        <w:rPr>
          <w:b/>
          <w:lang w:val="fr-FR"/>
        </w:rPr>
        <w:t xml:space="preserve">Etude AGR en milieu rural : </w:t>
      </w:r>
      <w:r w:rsidR="00B85BED" w:rsidRPr="00B62C7A">
        <w:rPr>
          <w:lang w:val="fr-FR"/>
        </w:rPr>
        <w:t>Activité prioritaire, mais à reformuler légèrement (voir annexe 7) et à mettre en œuvre uniquement dans les wilayas de Djelfa et de Tamanrasset, en appui aux activités pilotes du programme</w:t>
      </w:r>
    </w:p>
    <w:p w:rsidR="00B85BED" w:rsidRPr="00B62C7A" w:rsidRDefault="00B85BED" w:rsidP="00CF4FE0">
      <w:pPr>
        <w:pStyle w:val="NoSpacing"/>
        <w:numPr>
          <w:ilvl w:val="0"/>
          <w:numId w:val="1"/>
        </w:numPr>
        <w:ind w:left="0" w:firstLine="0"/>
        <w:rPr>
          <w:lang w:val="fr-FR"/>
        </w:rPr>
      </w:pPr>
      <w:r w:rsidRPr="00B62C7A">
        <w:rPr>
          <w:b/>
          <w:sz w:val="24"/>
          <w:lang w:val="fr-FR"/>
        </w:rPr>
        <w:t>A22 + A22bis -</w:t>
      </w:r>
      <w:r w:rsidRPr="00B62C7A">
        <w:rPr>
          <w:lang w:val="fr-FR"/>
        </w:rPr>
        <w:t xml:space="preserve"> </w:t>
      </w:r>
      <w:r w:rsidRPr="00B62C7A">
        <w:rPr>
          <w:b/>
          <w:lang w:val="fr-FR"/>
        </w:rPr>
        <w:t xml:space="preserve">Centre d’information pilote de Djelfa : </w:t>
      </w:r>
      <w:r w:rsidRPr="00B62C7A">
        <w:rPr>
          <w:lang w:val="fr-FR"/>
        </w:rPr>
        <w:t>Activités prioritaires à démarrer sans plus tarder</w:t>
      </w:r>
      <w:r w:rsidR="00E47789" w:rsidRPr="00B62C7A">
        <w:rPr>
          <w:lang w:val="fr-FR"/>
        </w:rPr>
        <w:t xml:space="preserve"> et à reformuler légèrement (voir annexe 7)</w:t>
      </w:r>
      <w:r w:rsidRPr="00B62C7A">
        <w:rPr>
          <w:lang w:val="fr-FR"/>
        </w:rPr>
        <w:t>. En cours de mise en œuvre, il faudra bien documenter l’expérience</w:t>
      </w:r>
      <w:r w:rsidR="00E47789" w:rsidRPr="00B62C7A">
        <w:rPr>
          <w:lang w:val="fr-FR"/>
        </w:rPr>
        <w:t> ; puis</w:t>
      </w:r>
      <w:r w:rsidRPr="00B62C7A">
        <w:rPr>
          <w:lang w:val="fr-FR"/>
        </w:rPr>
        <w:t xml:space="preserve"> négocier avec le gouvernement et les autorités locales les conditions de la pérennisation du </w:t>
      </w:r>
      <w:r w:rsidR="00E47789" w:rsidRPr="00B62C7A">
        <w:rPr>
          <w:lang w:val="fr-FR"/>
        </w:rPr>
        <w:t>C</w:t>
      </w:r>
      <w:r w:rsidRPr="00B62C7A">
        <w:rPr>
          <w:lang w:val="fr-FR"/>
        </w:rPr>
        <w:t>entre après la clôture du programme.</w:t>
      </w:r>
    </w:p>
    <w:p w:rsidR="00E47789" w:rsidRPr="00B62C7A" w:rsidRDefault="00E47789" w:rsidP="00CF4FE0">
      <w:pPr>
        <w:pStyle w:val="NoSpacing"/>
        <w:numPr>
          <w:ilvl w:val="0"/>
          <w:numId w:val="1"/>
        </w:numPr>
        <w:ind w:left="0" w:firstLine="0"/>
        <w:rPr>
          <w:lang w:val="fr-FR"/>
        </w:rPr>
      </w:pPr>
      <w:r w:rsidRPr="00B62C7A">
        <w:rPr>
          <w:b/>
          <w:sz w:val="24"/>
          <w:lang w:val="fr-FR"/>
        </w:rPr>
        <w:t xml:space="preserve">A23 </w:t>
      </w:r>
      <w:r w:rsidR="001E5FF1">
        <w:rPr>
          <w:b/>
          <w:sz w:val="24"/>
          <w:lang w:val="fr-FR"/>
        </w:rPr>
        <w:t>-</w:t>
      </w:r>
      <w:r w:rsidRPr="00B62C7A">
        <w:rPr>
          <w:lang w:val="fr-FR"/>
        </w:rPr>
        <w:t xml:space="preserve"> </w:t>
      </w:r>
      <w:r w:rsidRPr="00B62C7A">
        <w:rPr>
          <w:b/>
          <w:lang w:val="fr-FR"/>
        </w:rPr>
        <w:t>Centre d’information pilote de Tamanrasset</w:t>
      </w:r>
      <w:r w:rsidRPr="00B62C7A">
        <w:rPr>
          <w:lang w:val="fr-FR"/>
        </w:rPr>
        <w:t xml:space="preserve"> : Activité prioritaire, à étendre sans plus tarder à Alger et Oran en apportant les améliorations suggérées dans ce rapport </w:t>
      </w:r>
      <w:r w:rsidR="007B3749" w:rsidRPr="00B62C7A">
        <w:rPr>
          <w:lang w:val="fr-FR"/>
        </w:rPr>
        <w:t xml:space="preserve">et </w:t>
      </w:r>
      <w:r w:rsidRPr="00B62C7A">
        <w:rPr>
          <w:lang w:val="fr-FR"/>
        </w:rPr>
        <w:t xml:space="preserve">en augmentant, si besoin est, le budget. </w:t>
      </w:r>
      <w:r w:rsidR="007B3749" w:rsidRPr="00B62C7A">
        <w:rPr>
          <w:lang w:val="fr-FR"/>
        </w:rPr>
        <w:t xml:space="preserve">Avant de lancer toute nouvelle formation et pour les femmes souhaitant s’engager dans une activité génératrice de revenus, se poser la question des débouchés commerciaux ou professionnels dans la ville. </w:t>
      </w:r>
      <w:r w:rsidRPr="00B62C7A">
        <w:rPr>
          <w:lang w:val="fr-FR"/>
        </w:rPr>
        <w:t>S’agissant</w:t>
      </w:r>
      <w:r w:rsidR="007B3749" w:rsidRPr="00B62C7A">
        <w:rPr>
          <w:lang w:val="fr-FR"/>
        </w:rPr>
        <w:t xml:space="preserve"> des femmes déjà appuyées à Tamanrasset et qui ont contracté un crédit auprès de l’ANGEM, réfléchir aux moyens de les appuyer dans leurs activités productives et notamment concernant la commercialisation de leur production (laquelle devra vraisemblablement réorientée vers la confection d’autres articles que les tabliers d’écoliers et les couettes). Il conviendra de réfléchir également aux moyens de permettre à ces femmes d’acquérir des matières premières à meilleur prix.</w:t>
      </w:r>
    </w:p>
    <w:p w:rsidR="00DD5AB4" w:rsidRPr="00B62C7A" w:rsidRDefault="007B3749" w:rsidP="00CF4FE0">
      <w:pPr>
        <w:pStyle w:val="NoSpacing"/>
        <w:numPr>
          <w:ilvl w:val="0"/>
          <w:numId w:val="1"/>
        </w:numPr>
        <w:ind w:left="0" w:firstLine="0"/>
        <w:rPr>
          <w:lang w:val="fr-FR"/>
        </w:rPr>
      </w:pPr>
      <w:r w:rsidRPr="00B62C7A">
        <w:rPr>
          <w:b/>
          <w:sz w:val="24"/>
          <w:lang w:val="fr-FR"/>
        </w:rPr>
        <w:t xml:space="preserve">A24 </w:t>
      </w:r>
      <w:r w:rsidR="001E5FF1">
        <w:rPr>
          <w:lang w:val="fr-FR"/>
        </w:rPr>
        <w:t>-</w:t>
      </w:r>
      <w:r w:rsidRPr="00B62C7A">
        <w:rPr>
          <w:lang w:val="fr-FR"/>
        </w:rPr>
        <w:t xml:space="preserve"> </w:t>
      </w:r>
      <w:r w:rsidR="00DD5AB4" w:rsidRPr="00B62C7A">
        <w:rPr>
          <w:b/>
          <w:lang w:val="fr-FR"/>
        </w:rPr>
        <w:t xml:space="preserve">Système de garde d’enfants en milieu rural : </w:t>
      </w:r>
      <w:r w:rsidRPr="00B62C7A">
        <w:rPr>
          <w:lang w:val="fr-FR"/>
        </w:rPr>
        <w:t>Activité prioritaire à démarrer le plus t</w:t>
      </w:r>
      <w:r w:rsidRPr="00B62C7A">
        <w:rPr>
          <w:rFonts w:cs="Calibri"/>
          <w:lang w:val="fr-FR"/>
        </w:rPr>
        <w:t>ô</w:t>
      </w:r>
      <w:r w:rsidRPr="00B62C7A">
        <w:rPr>
          <w:lang w:val="fr-FR"/>
        </w:rPr>
        <w:t>t possible (pour cela, accélérer le processus de fonds inter-agences)</w:t>
      </w:r>
      <w:r w:rsidR="00DD5AB4" w:rsidRPr="00B62C7A">
        <w:rPr>
          <w:lang w:val="fr-FR"/>
        </w:rPr>
        <w:t xml:space="preserve"> et en limitant l’intervention à Djelfa, afin de focaliser les efforts dans une seule localité et dans le but de renforcer les autres interventions du programme dans cette wilaya</w:t>
      </w:r>
      <w:r w:rsidRPr="00B62C7A">
        <w:rPr>
          <w:lang w:val="fr-FR"/>
        </w:rPr>
        <w:t xml:space="preserve">. Approfondir l’activité en l’accompagnant d’un projet d’éveil/éducatif, </w:t>
      </w:r>
      <w:r w:rsidR="00DD5AB4" w:rsidRPr="00B62C7A">
        <w:rPr>
          <w:lang w:val="fr-FR"/>
        </w:rPr>
        <w:t xml:space="preserve">documenter correctement l’expérience en </w:t>
      </w:r>
      <w:r w:rsidRPr="00B62C7A">
        <w:rPr>
          <w:lang w:val="fr-FR"/>
        </w:rPr>
        <w:t>réfléchissant dès le départ aux moyens d</w:t>
      </w:r>
      <w:r w:rsidR="00DD5AB4" w:rsidRPr="00B62C7A">
        <w:rPr>
          <w:lang w:val="fr-FR"/>
        </w:rPr>
        <w:t>e la pérennisation du dispositif s’il s’avère satisfaisant.</w:t>
      </w:r>
    </w:p>
    <w:p w:rsidR="00B85BED" w:rsidRPr="00B62C7A" w:rsidRDefault="00B85BED">
      <w:pPr>
        <w:rPr>
          <w:rFonts w:ascii="Calibri" w:hAnsi="Calibri"/>
          <w:sz w:val="22"/>
          <w:lang w:val="fr-FR"/>
        </w:rPr>
      </w:pPr>
      <w:r w:rsidRPr="00B62C7A">
        <w:rPr>
          <w:lang w:val="fr-FR"/>
        </w:rPr>
        <w:br w:type="page"/>
      </w:r>
    </w:p>
    <w:p w:rsidR="002365B2" w:rsidRPr="009B61CD" w:rsidRDefault="002365B2" w:rsidP="009B61CD">
      <w:pPr>
        <w:pStyle w:val="NoSpacing"/>
        <w:rPr>
          <w:sz w:val="24"/>
          <w:lang w:val="fr-FR"/>
        </w:rPr>
        <w:sectPr w:rsidR="002365B2" w:rsidRPr="009B61CD" w:rsidSect="00031371">
          <w:pgSz w:w="11906" w:h="16838"/>
          <w:pgMar w:top="1417" w:right="1417" w:bottom="1417" w:left="1350" w:header="708" w:footer="708" w:gutter="0"/>
          <w:pgNumType w:start="1"/>
          <w:cols w:space="708"/>
          <w:titlePg/>
          <w:docGrid w:linePitch="360"/>
        </w:sectPr>
      </w:pPr>
    </w:p>
    <w:p w:rsidR="001A3E90" w:rsidRPr="00257F30" w:rsidRDefault="00785FF2" w:rsidP="001A3E90">
      <w:pPr>
        <w:pStyle w:val="Heading1"/>
        <w:numPr>
          <w:ilvl w:val="0"/>
          <w:numId w:val="0"/>
        </w:numPr>
        <w:ind w:left="720"/>
        <w:rPr>
          <w:lang w:val="fr-CA"/>
        </w:rPr>
      </w:pPr>
      <w:bookmarkStart w:id="36" w:name="_Toc322342026"/>
      <w:r w:rsidRPr="00E645C5">
        <w:rPr>
          <w:lang w:val="fr-CA"/>
        </w:rPr>
        <w:lastRenderedPageBreak/>
        <w:t>Annexe 1</w:t>
      </w:r>
      <w:r w:rsidR="00D4303A" w:rsidRPr="00E645C5">
        <w:rPr>
          <w:lang w:val="fr-CA"/>
        </w:rPr>
        <w:t xml:space="preserve"> – Les réalisations du programme</w:t>
      </w:r>
      <w:bookmarkEnd w:id="36"/>
      <w:r w:rsidR="00EA2129" w:rsidRPr="00257F30">
        <w:rPr>
          <w:lang w:val="fr-CA"/>
        </w:rPr>
        <w:t xml:space="preserve"> </w:t>
      </w:r>
    </w:p>
    <w:tbl>
      <w:tblPr>
        <w:tblW w:w="15210" w:type="dxa"/>
        <w:tblInd w:w="-162" w:type="dxa"/>
        <w:tblBorders>
          <w:insideH w:val="dotted" w:sz="4" w:space="0" w:color="auto"/>
          <w:insideV w:val="dotted" w:sz="4" w:space="0" w:color="auto"/>
        </w:tblBorders>
        <w:tblLook w:val="04A0" w:firstRow="1" w:lastRow="0" w:firstColumn="1" w:lastColumn="0" w:noHBand="0" w:noVBand="1"/>
      </w:tblPr>
      <w:tblGrid>
        <w:gridCol w:w="4155"/>
        <w:gridCol w:w="3060"/>
        <w:gridCol w:w="7995"/>
      </w:tblGrid>
      <w:tr w:rsidR="009B61CD" w:rsidRPr="0052245B" w:rsidTr="001E5FF1">
        <w:trPr>
          <w:trHeight w:val="389"/>
          <w:tblHeader/>
        </w:trPr>
        <w:tc>
          <w:tcPr>
            <w:tcW w:w="4155" w:type="dxa"/>
            <w:shd w:val="clear" w:color="000000" w:fill="F2F2F2"/>
            <w:vAlign w:val="center"/>
            <w:hideMark/>
          </w:tcPr>
          <w:p w:rsidR="009B61CD" w:rsidRPr="009B61CD" w:rsidRDefault="009B61CD" w:rsidP="009B61CD">
            <w:pPr>
              <w:jc w:val="center"/>
              <w:rPr>
                <w:rFonts w:ascii="Calibri" w:hAnsi="Calibri" w:cs="Calibri"/>
                <w:b/>
                <w:bCs/>
                <w:sz w:val="18"/>
                <w:szCs w:val="18"/>
              </w:rPr>
            </w:pPr>
            <w:r>
              <w:rPr>
                <w:rFonts w:ascii="Calibri" w:hAnsi="Calibri" w:cs="Calibri"/>
                <w:b/>
                <w:bCs/>
                <w:sz w:val="18"/>
                <w:szCs w:val="18"/>
                <w:lang w:val="fr-FR"/>
              </w:rPr>
              <w:t xml:space="preserve">Résultats attendus </w:t>
            </w:r>
          </w:p>
        </w:tc>
        <w:tc>
          <w:tcPr>
            <w:tcW w:w="3060" w:type="dxa"/>
            <w:shd w:val="clear" w:color="000000" w:fill="F2F2F2"/>
            <w:vAlign w:val="center"/>
            <w:hideMark/>
          </w:tcPr>
          <w:p w:rsidR="009B61CD" w:rsidRPr="009B61CD" w:rsidRDefault="009B61CD" w:rsidP="009B61CD">
            <w:pPr>
              <w:jc w:val="center"/>
              <w:rPr>
                <w:rFonts w:ascii="Calibri" w:hAnsi="Calibri" w:cs="Calibri"/>
                <w:b/>
                <w:bCs/>
                <w:sz w:val="18"/>
                <w:szCs w:val="18"/>
              </w:rPr>
            </w:pPr>
            <w:r w:rsidRPr="009B61CD">
              <w:rPr>
                <w:rFonts w:ascii="Calibri" w:hAnsi="Calibri" w:cs="Calibri"/>
                <w:b/>
                <w:bCs/>
                <w:sz w:val="18"/>
                <w:szCs w:val="18"/>
                <w:lang w:val="fr-FR"/>
              </w:rPr>
              <w:t>Objectifs spécifiques du programme</w:t>
            </w:r>
          </w:p>
        </w:tc>
        <w:tc>
          <w:tcPr>
            <w:tcW w:w="7995" w:type="dxa"/>
            <w:shd w:val="clear" w:color="000000" w:fill="F2F2F2"/>
            <w:vAlign w:val="center"/>
            <w:hideMark/>
          </w:tcPr>
          <w:p w:rsidR="009B61CD" w:rsidRPr="00630FB6" w:rsidRDefault="009B61CD" w:rsidP="009B61CD">
            <w:pPr>
              <w:jc w:val="center"/>
              <w:rPr>
                <w:rFonts w:ascii="Calibri" w:hAnsi="Calibri" w:cs="Calibri"/>
                <w:b/>
                <w:bCs/>
                <w:sz w:val="18"/>
                <w:szCs w:val="18"/>
                <w:lang w:val="fr-FR"/>
              </w:rPr>
            </w:pPr>
            <w:r w:rsidRPr="009B61CD">
              <w:rPr>
                <w:rFonts w:ascii="Calibri" w:hAnsi="Calibri" w:cs="Calibri"/>
                <w:b/>
                <w:bCs/>
                <w:sz w:val="18"/>
                <w:szCs w:val="18"/>
                <w:lang w:val="fr-FR"/>
              </w:rPr>
              <w:t>Réalisations au 31-12-2011</w:t>
            </w:r>
            <w:r w:rsidR="00630FB6">
              <w:rPr>
                <w:rFonts w:ascii="Calibri" w:hAnsi="Calibri" w:cs="Calibri"/>
                <w:b/>
                <w:bCs/>
                <w:sz w:val="18"/>
                <w:szCs w:val="18"/>
                <w:lang w:val="fr-FR"/>
              </w:rPr>
              <w:t xml:space="preserve"> (telles que rapportées par l’EP)</w:t>
            </w:r>
          </w:p>
        </w:tc>
      </w:tr>
      <w:tr w:rsidR="009B61CD" w:rsidRPr="0052245B" w:rsidTr="004D6C60">
        <w:trPr>
          <w:trHeight w:val="300"/>
        </w:trPr>
        <w:tc>
          <w:tcPr>
            <w:tcW w:w="4155" w:type="dxa"/>
            <w:vMerge w:val="restart"/>
            <w:shd w:val="clear" w:color="auto" w:fill="auto"/>
            <w:vAlign w:val="center"/>
            <w:hideMark/>
          </w:tcPr>
          <w:p w:rsidR="009B61CD" w:rsidRPr="009B61CD" w:rsidRDefault="009B61CD" w:rsidP="009B61CD">
            <w:pPr>
              <w:rPr>
                <w:rFonts w:ascii="Calibri" w:hAnsi="Calibri" w:cs="Calibri"/>
                <w:sz w:val="18"/>
                <w:szCs w:val="18"/>
                <w:lang w:val="fr-FR"/>
              </w:rPr>
            </w:pPr>
            <w:r w:rsidRPr="009B61CD">
              <w:rPr>
                <w:rFonts w:ascii="Calibri" w:hAnsi="Calibri" w:cs="Calibri"/>
                <w:sz w:val="18"/>
                <w:szCs w:val="18"/>
                <w:lang w:val="fr-CA"/>
              </w:rPr>
              <w:t xml:space="preserve">P1 Connaissances, savoirs et données sur le genre produits et diffusés </w:t>
            </w:r>
          </w:p>
        </w:tc>
        <w:tc>
          <w:tcPr>
            <w:tcW w:w="3060" w:type="dxa"/>
            <w:vMerge w:val="restart"/>
            <w:shd w:val="clear" w:color="auto" w:fill="auto"/>
            <w:vAlign w:val="center"/>
            <w:hideMark/>
          </w:tcPr>
          <w:p w:rsidR="009B61CD" w:rsidRDefault="009B61CD" w:rsidP="009B61CD">
            <w:pPr>
              <w:rPr>
                <w:rFonts w:ascii="Calibri" w:hAnsi="Calibri" w:cs="Calibri"/>
                <w:sz w:val="18"/>
                <w:szCs w:val="18"/>
                <w:lang w:val="fr-CA"/>
              </w:rPr>
            </w:pPr>
            <w:r w:rsidRPr="009B61CD">
              <w:rPr>
                <w:rFonts w:ascii="Calibri" w:hAnsi="Calibri" w:cs="Calibri"/>
                <w:sz w:val="18"/>
                <w:szCs w:val="18"/>
                <w:lang w:val="fr-CA"/>
              </w:rPr>
              <w:t xml:space="preserve">(a) L’ensemble des indicateurs sexospécifiques des OMD &amp; RNDH disponibles et intégrés dans la  Banque de Données  </w:t>
            </w:r>
          </w:p>
          <w:p w:rsidR="009B61CD" w:rsidRDefault="009B61CD" w:rsidP="009B61CD">
            <w:pPr>
              <w:rPr>
                <w:rFonts w:ascii="Calibri" w:hAnsi="Calibri" w:cs="Calibri"/>
                <w:sz w:val="18"/>
                <w:szCs w:val="18"/>
                <w:lang w:val="fr-CA"/>
              </w:rPr>
            </w:pPr>
            <w:r w:rsidRPr="009B61CD">
              <w:rPr>
                <w:rFonts w:ascii="Calibri" w:hAnsi="Calibri" w:cs="Calibri"/>
                <w:sz w:val="18"/>
                <w:szCs w:val="18"/>
                <w:lang w:val="fr-CA"/>
              </w:rPr>
              <w:t xml:space="preserve">(b) 2 audits genre réalisées   </w:t>
            </w:r>
          </w:p>
          <w:p w:rsidR="009B61CD" w:rsidRPr="009B61CD" w:rsidRDefault="009B61CD" w:rsidP="009B61CD">
            <w:pPr>
              <w:rPr>
                <w:rFonts w:ascii="Calibri" w:hAnsi="Calibri" w:cs="Calibri"/>
                <w:sz w:val="18"/>
                <w:szCs w:val="18"/>
                <w:lang w:val="fr-FR"/>
              </w:rPr>
            </w:pPr>
            <w:r w:rsidRPr="009B61CD">
              <w:rPr>
                <w:rFonts w:ascii="Calibri" w:hAnsi="Calibri" w:cs="Calibri"/>
                <w:sz w:val="18"/>
                <w:szCs w:val="18"/>
                <w:lang w:val="fr-CA"/>
              </w:rPr>
              <w:t>(c) Les taux d’activité et de chômage des femmes sont  5mieux appréhendés et éclairés par de nouvelles données</w:t>
            </w:r>
          </w:p>
        </w:tc>
        <w:tc>
          <w:tcPr>
            <w:tcW w:w="7995" w:type="dxa"/>
            <w:vMerge w:val="restart"/>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Travail de préparation méthodologique et technique de l’Enquête Nationale Emploi du Temps (ENET) réalisé. Le démarrage d</w:t>
            </w:r>
            <w:r w:rsidR="00630FB6">
              <w:rPr>
                <w:rFonts w:ascii="Calibri" w:hAnsi="Calibri" w:cs="Calibri"/>
                <w:sz w:val="18"/>
                <w:szCs w:val="18"/>
                <w:lang w:val="fr-CA"/>
              </w:rPr>
              <w:t>e l’enquête terrain prévu pour j</w:t>
            </w:r>
            <w:r w:rsidRPr="009B61CD">
              <w:rPr>
                <w:rFonts w:ascii="Calibri" w:hAnsi="Calibri" w:cs="Calibri"/>
                <w:sz w:val="18"/>
                <w:szCs w:val="18"/>
                <w:lang w:val="fr-CA"/>
              </w:rPr>
              <w:t>anvier</w:t>
            </w:r>
            <w:r w:rsidR="00630FB6">
              <w:rPr>
                <w:rFonts w:ascii="Calibri" w:hAnsi="Calibri" w:cs="Calibri"/>
                <w:sz w:val="18"/>
                <w:szCs w:val="18"/>
                <w:lang w:val="fr-CA"/>
              </w:rPr>
              <w:t xml:space="preserve"> </w:t>
            </w:r>
            <w:r w:rsidRPr="009B61CD">
              <w:rPr>
                <w:rFonts w:ascii="Calibri" w:hAnsi="Calibri" w:cs="Calibri"/>
                <w:sz w:val="18"/>
                <w:szCs w:val="18"/>
                <w:lang w:val="fr-CA"/>
              </w:rPr>
              <w:t xml:space="preserve">2012. Il en est de même pour les 2 autres activités prévues pour P1. </w:t>
            </w:r>
          </w:p>
        </w:tc>
      </w:tr>
      <w:tr w:rsidR="004D6C60" w:rsidRPr="0052245B" w:rsidTr="004D6C60">
        <w:trPr>
          <w:trHeight w:val="300"/>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vMerge/>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p>
        </w:tc>
      </w:tr>
      <w:tr w:rsidR="004D6C60" w:rsidRPr="0052245B" w:rsidTr="004D6C60">
        <w:trPr>
          <w:trHeight w:val="220"/>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vMerge/>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p>
        </w:tc>
      </w:tr>
      <w:tr w:rsidR="009B61CD" w:rsidRPr="0052245B" w:rsidTr="004D6C60">
        <w:trPr>
          <w:trHeight w:val="87"/>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L’audit genre de différents secteurs socio-économiques est toujours en cours (UNFPA)</w:t>
            </w:r>
          </w:p>
        </w:tc>
      </w:tr>
      <w:tr w:rsidR="009B61CD" w:rsidRPr="0052245B" w:rsidTr="004D6C60">
        <w:trPr>
          <w:trHeight w:val="154"/>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L’Office National de Statistiques s’est engagé à inscrire l’EBT dans son calendrier de travail (2011-2012).</w:t>
            </w:r>
          </w:p>
        </w:tc>
      </w:tr>
      <w:tr w:rsidR="009B61CD" w:rsidRPr="0052245B" w:rsidTr="004D6C60">
        <w:trPr>
          <w:trHeight w:val="244"/>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w:t>
            </w:r>
            <w:r w:rsidR="00630FB6">
              <w:rPr>
                <w:rFonts w:ascii="Calibri" w:hAnsi="Calibri" w:cs="Calibri"/>
                <w:sz w:val="18"/>
                <w:szCs w:val="18"/>
                <w:lang w:val="fr-CA"/>
              </w:rPr>
              <w:t xml:space="preserve">Document méthodologique </w:t>
            </w:r>
            <w:r w:rsidRPr="009B61CD">
              <w:rPr>
                <w:rFonts w:ascii="Calibri" w:hAnsi="Calibri" w:cs="Calibri"/>
                <w:sz w:val="18"/>
                <w:szCs w:val="18"/>
                <w:lang w:val="fr-CA"/>
              </w:rPr>
              <w:t>et feuille de route pour la réalisation de l’ENET élaborés  avec appu</w:t>
            </w:r>
            <w:r w:rsidR="00630FB6">
              <w:rPr>
                <w:rFonts w:ascii="Calibri" w:hAnsi="Calibri" w:cs="Calibri"/>
                <w:sz w:val="18"/>
                <w:szCs w:val="18"/>
                <w:lang w:val="fr-CA"/>
              </w:rPr>
              <w:t>i de l’experte genre ONUFEMMES.</w:t>
            </w:r>
          </w:p>
        </w:tc>
      </w:tr>
      <w:tr w:rsidR="004D6C60" w:rsidRPr="0052245B" w:rsidTr="004D6C60">
        <w:trPr>
          <w:trHeight w:val="70"/>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 xml:space="preserve">Ateliers méthodologiques avec ONS et secteurs </w:t>
            </w:r>
            <w:r w:rsidR="00630FB6">
              <w:rPr>
                <w:rFonts w:ascii="Calibri" w:hAnsi="Calibri" w:cs="Calibri"/>
                <w:sz w:val="18"/>
                <w:szCs w:val="18"/>
                <w:lang w:val="fr-CA"/>
              </w:rPr>
              <w:t xml:space="preserve">réalisés </w:t>
            </w:r>
          </w:p>
        </w:tc>
      </w:tr>
      <w:tr w:rsidR="009B61CD" w:rsidRPr="0052245B" w:rsidTr="004D6C60">
        <w:trPr>
          <w:trHeight w:val="397"/>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Élaboration du Protocole ENET finalisé et proposé à signature entre ONS-MDCFCF - ISGP  et ONUFEMMES pour mise en place de l’appui financier et technique de l’enquête terrain et dissémination résultats de l’ENET.</w:t>
            </w:r>
          </w:p>
        </w:tc>
      </w:tr>
      <w:tr w:rsidR="009B61CD" w:rsidRPr="0052245B" w:rsidTr="004D6C60">
        <w:trPr>
          <w:trHeight w:val="87"/>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FR"/>
              </w:rPr>
            </w:pPr>
            <w:r w:rsidRPr="009B61CD">
              <w:rPr>
                <w:rFonts w:ascii="Calibri" w:hAnsi="Calibri" w:cs="Calibri"/>
                <w:sz w:val="18"/>
                <w:szCs w:val="18"/>
                <w:lang w:val="fr-CA"/>
              </w:rPr>
              <w:t xml:space="preserve">Le démarrage de l’EBT est </w:t>
            </w:r>
            <w:r w:rsidR="00630FB6">
              <w:rPr>
                <w:rFonts w:ascii="Calibri" w:hAnsi="Calibri" w:cs="Calibri"/>
                <w:sz w:val="18"/>
                <w:szCs w:val="18"/>
                <w:lang w:val="fr-CA"/>
              </w:rPr>
              <w:t>prévu pour Janvier 2012 dès signature du p</w:t>
            </w:r>
            <w:r w:rsidRPr="009B61CD">
              <w:rPr>
                <w:rFonts w:ascii="Calibri" w:hAnsi="Calibri" w:cs="Calibri"/>
                <w:sz w:val="18"/>
                <w:szCs w:val="18"/>
                <w:lang w:val="fr-CA"/>
              </w:rPr>
              <w:t>rotocole</w:t>
            </w:r>
          </w:p>
        </w:tc>
      </w:tr>
      <w:tr w:rsidR="009B61CD" w:rsidRPr="0052245B" w:rsidTr="004D6C60">
        <w:trPr>
          <w:trHeight w:val="300"/>
        </w:trPr>
        <w:tc>
          <w:tcPr>
            <w:tcW w:w="4155" w:type="dxa"/>
            <w:vMerge w:val="restart"/>
            <w:shd w:val="clear" w:color="auto" w:fill="auto"/>
            <w:vAlign w:val="center"/>
            <w:hideMark/>
          </w:tcPr>
          <w:p w:rsidR="009B61CD" w:rsidRPr="009B61CD" w:rsidRDefault="009B61CD" w:rsidP="009B61CD">
            <w:pPr>
              <w:rPr>
                <w:rFonts w:ascii="Calibri" w:hAnsi="Calibri" w:cs="Calibri"/>
                <w:sz w:val="18"/>
                <w:szCs w:val="18"/>
                <w:lang w:val="fr-FR"/>
              </w:rPr>
            </w:pPr>
            <w:r w:rsidRPr="009B61CD">
              <w:rPr>
                <w:rFonts w:ascii="Calibri" w:hAnsi="Calibri" w:cs="Calibri"/>
                <w:sz w:val="18"/>
                <w:szCs w:val="18"/>
                <w:lang w:val="fr-FR"/>
              </w:rPr>
              <w:t>P2 Capacités des institutions nationales productrices de statistiques renforcées en matière de production  de données sexospécifiques, ainsi que d’établissement d’indicateurs pertinents et d’analyse</w:t>
            </w:r>
          </w:p>
        </w:tc>
        <w:tc>
          <w:tcPr>
            <w:tcW w:w="3060" w:type="dxa"/>
            <w:vMerge w:val="restart"/>
            <w:shd w:val="clear" w:color="auto" w:fill="auto"/>
            <w:vAlign w:val="center"/>
            <w:hideMark/>
          </w:tcPr>
          <w:p w:rsidR="009B61CD" w:rsidRPr="009B61CD" w:rsidRDefault="009B61CD" w:rsidP="009B61CD">
            <w:pPr>
              <w:rPr>
                <w:rFonts w:ascii="Calibri" w:hAnsi="Calibri" w:cs="Calibri"/>
                <w:sz w:val="18"/>
                <w:szCs w:val="18"/>
                <w:lang w:val="fr-FR"/>
              </w:rPr>
            </w:pPr>
            <w:r w:rsidRPr="009B61CD">
              <w:rPr>
                <w:rFonts w:ascii="Calibri" w:hAnsi="Calibri" w:cs="Calibri"/>
                <w:sz w:val="18"/>
                <w:szCs w:val="18"/>
                <w:lang w:val="fr-CA"/>
              </w:rPr>
              <w:t xml:space="preserve">Les principales institutions nationales produisent des indicateurs sexospécifiques, en font l’analyse et les  diffusent </w:t>
            </w: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L’expertise pour diagnostiquer l’existant en cours de sélection.</w:t>
            </w:r>
          </w:p>
        </w:tc>
      </w:tr>
      <w:tr w:rsidR="009B61CD" w:rsidRPr="0052245B" w:rsidTr="004D6C60">
        <w:trPr>
          <w:trHeight w:val="87"/>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La formation  des gestionnaires de la BD démarrera en janvier.</w:t>
            </w:r>
          </w:p>
        </w:tc>
      </w:tr>
      <w:tr w:rsidR="009B61CD" w:rsidRPr="0052245B" w:rsidTr="004D6C60">
        <w:trPr>
          <w:trHeight w:val="217"/>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Expertise en cours de sélection.</w:t>
            </w:r>
          </w:p>
        </w:tc>
      </w:tr>
      <w:tr w:rsidR="009B61CD" w:rsidRPr="0052245B" w:rsidTr="004D6C60">
        <w:trPr>
          <w:trHeight w:val="163"/>
        </w:trPr>
        <w:tc>
          <w:tcPr>
            <w:tcW w:w="4155" w:type="dxa"/>
            <w:vMerge w:val="restart"/>
            <w:shd w:val="clear" w:color="auto" w:fill="auto"/>
            <w:vAlign w:val="center"/>
            <w:hideMark/>
          </w:tcPr>
          <w:p w:rsidR="009B61CD" w:rsidRPr="009B61CD" w:rsidRDefault="009B61CD" w:rsidP="009B61CD">
            <w:pPr>
              <w:rPr>
                <w:rFonts w:ascii="Calibri" w:hAnsi="Calibri" w:cs="Calibri"/>
                <w:sz w:val="18"/>
                <w:szCs w:val="18"/>
                <w:lang w:val="fr-FR"/>
              </w:rPr>
            </w:pPr>
            <w:r w:rsidRPr="009B61CD">
              <w:rPr>
                <w:rFonts w:ascii="Calibri" w:hAnsi="Calibri" w:cs="Calibri"/>
                <w:sz w:val="18"/>
                <w:szCs w:val="18"/>
                <w:lang w:val="fr-CA"/>
              </w:rPr>
              <w:t>P3 Approche genre intégrée dans les politiques et stratégies sectorielles ainsi que dans les mécanismes d’évaluation</w:t>
            </w:r>
          </w:p>
        </w:tc>
        <w:tc>
          <w:tcPr>
            <w:tcW w:w="3060" w:type="dxa"/>
            <w:vMerge w:val="restart"/>
            <w:shd w:val="clear" w:color="auto" w:fill="auto"/>
            <w:vAlign w:val="center"/>
            <w:hideMark/>
          </w:tcPr>
          <w:p w:rsidR="009B61CD" w:rsidRPr="009B61CD" w:rsidRDefault="009B61CD" w:rsidP="009B61CD">
            <w:pPr>
              <w:rPr>
                <w:rFonts w:ascii="Calibri" w:hAnsi="Calibri" w:cs="Calibri"/>
                <w:sz w:val="18"/>
                <w:szCs w:val="18"/>
                <w:lang w:val="fr-FR"/>
              </w:rPr>
            </w:pPr>
            <w:r w:rsidRPr="009B61CD">
              <w:rPr>
                <w:rFonts w:ascii="Calibri" w:hAnsi="Calibri" w:cs="Calibri"/>
                <w:sz w:val="18"/>
                <w:szCs w:val="18"/>
                <w:lang w:val="fr-CA"/>
              </w:rPr>
              <w:t xml:space="preserve">Les principaux secteurs ont intégré la dimension genre dans leurs stratégies </w:t>
            </w: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 xml:space="preserve">L’étude de faisabilité de la Budgétisation Sensible au Genre (BSG) a été  finalisée, avec comme cas concret /pilote le MADR. </w:t>
            </w:r>
          </w:p>
        </w:tc>
      </w:tr>
      <w:tr w:rsidR="009B61CD" w:rsidRPr="0052245B" w:rsidTr="004D6C60">
        <w:trPr>
          <w:trHeight w:val="87"/>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La restitution a été faite aux points focaux du PC concernés (MF, MDCFC, MADR).</w:t>
            </w:r>
          </w:p>
        </w:tc>
      </w:tr>
      <w:tr w:rsidR="009B61CD" w:rsidRPr="0052245B" w:rsidTr="004D6C60">
        <w:trPr>
          <w:trHeight w:val="87"/>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Atelier de restitution générale à organiser au sein du MADR</w:t>
            </w:r>
          </w:p>
        </w:tc>
      </w:tr>
      <w:tr w:rsidR="009B61CD" w:rsidRPr="0052245B" w:rsidTr="004D6C60">
        <w:trPr>
          <w:trHeight w:val="87"/>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Une extension de de l’action A7 à une application terrain au niveau local a été proposée.</w:t>
            </w:r>
          </w:p>
        </w:tc>
      </w:tr>
      <w:tr w:rsidR="009B61CD" w:rsidRPr="0052245B" w:rsidTr="004D6C60">
        <w:trPr>
          <w:trHeight w:val="235"/>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Une nouvelle expertise pour l’étude impact genre du processus de libéralisation économique est en cours de sélection avec un réaménagement des TDR (MPS, ONUFEMMES) après un démarrage non concluant de l’expertise nationale engagée.</w:t>
            </w:r>
          </w:p>
        </w:tc>
      </w:tr>
      <w:tr w:rsidR="009B61CD" w:rsidRPr="0052245B" w:rsidTr="004D6C60">
        <w:trPr>
          <w:trHeight w:val="87"/>
        </w:trPr>
        <w:tc>
          <w:tcPr>
            <w:tcW w:w="4155" w:type="dxa"/>
            <w:vMerge/>
            <w:vAlign w:val="center"/>
            <w:hideMark/>
          </w:tcPr>
          <w:p w:rsidR="009B61CD" w:rsidRPr="009B61CD" w:rsidRDefault="009B61CD" w:rsidP="009B61CD">
            <w:pPr>
              <w:rPr>
                <w:rFonts w:ascii="Calibri" w:hAnsi="Calibri" w:cs="Calibri"/>
                <w:sz w:val="18"/>
                <w:szCs w:val="18"/>
                <w:lang w:val="fr-FR"/>
              </w:rPr>
            </w:pPr>
          </w:p>
        </w:tc>
        <w:tc>
          <w:tcPr>
            <w:tcW w:w="3060" w:type="dxa"/>
            <w:vMerge/>
            <w:vAlign w:val="center"/>
            <w:hideMark/>
          </w:tcPr>
          <w:p w:rsidR="009B61CD" w:rsidRPr="009B61CD" w:rsidRDefault="009B61CD" w:rsidP="009B61CD">
            <w:pPr>
              <w:rPr>
                <w:rFonts w:ascii="Calibri" w:hAnsi="Calibri" w:cs="Calibri"/>
                <w:sz w:val="18"/>
                <w:szCs w:val="18"/>
                <w:lang w:val="fr-FR"/>
              </w:rPr>
            </w:pP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7 représentantes des institutions partenaires ont participé dans l’Académie Genre organisée par le Centre International de Formation de l’OIT à Turin en novembre 2011</w:t>
            </w:r>
          </w:p>
        </w:tc>
      </w:tr>
      <w:tr w:rsidR="009B61CD" w:rsidRPr="0052245B" w:rsidTr="004D6C60">
        <w:trPr>
          <w:trHeight w:val="70"/>
        </w:trPr>
        <w:tc>
          <w:tcPr>
            <w:tcW w:w="4155" w:type="dxa"/>
            <w:shd w:val="clear" w:color="auto" w:fill="auto"/>
            <w:vAlign w:val="center"/>
            <w:hideMark/>
          </w:tcPr>
          <w:p w:rsidR="009B61CD" w:rsidRPr="009B61CD" w:rsidRDefault="009B61CD" w:rsidP="009B61CD">
            <w:pPr>
              <w:rPr>
                <w:rFonts w:ascii="Calibri" w:hAnsi="Calibri" w:cs="Calibri"/>
                <w:sz w:val="18"/>
                <w:szCs w:val="18"/>
                <w:lang w:val="fr-FR"/>
              </w:rPr>
            </w:pPr>
            <w:r w:rsidRPr="009B61CD">
              <w:rPr>
                <w:rFonts w:ascii="Calibri" w:hAnsi="Calibri" w:cs="Calibri"/>
                <w:sz w:val="18"/>
                <w:szCs w:val="18"/>
                <w:lang w:val="fr-CA"/>
              </w:rPr>
              <w:t xml:space="preserve">P4 Approche genre intégrée dans la planification locale, au niveau de municipalités pilotes </w:t>
            </w:r>
          </w:p>
        </w:tc>
        <w:tc>
          <w:tcPr>
            <w:tcW w:w="3060" w:type="dxa"/>
            <w:shd w:val="clear" w:color="auto" w:fill="auto"/>
            <w:vAlign w:val="center"/>
            <w:hideMark/>
          </w:tcPr>
          <w:p w:rsidR="009B61CD" w:rsidRPr="009B61CD" w:rsidRDefault="009B61CD" w:rsidP="009B61CD">
            <w:pPr>
              <w:rPr>
                <w:rFonts w:ascii="Calibri" w:hAnsi="Calibri" w:cs="Calibri"/>
                <w:sz w:val="18"/>
                <w:szCs w:val="18"/>
                <w:lang w:val="fr-FR"/>
              </w:rPr>
            </w:pPr>
            <w:r w:rsidRPr="009B61CD">
              <w:rPr>
                <w:rFonts w:ascii="Calibri" w:hAnsi="Calibri" w:cs="Calibri"/>
                <w:sz w:val="18"/>
                <w:szCs w:val="18"/>
                <w:lang w:val="fr-CA"/>
              </w:rPr>
              <w:t>Au moins 2 collectivités locales ont intégré la dimension genre.</w:t>
            </w:r>
          </w:p>
        </w:tc>
        <w:tc>
          <w:tcPr>
            <w:tcW w:w="7995" w:type="dxa"/>
            <w:shd w:val="clear" w:color="auto" w:fill="auto"/>
            <w:vAlign w:val="center"/>
            <w:hideMark/>
          </w:tcPr>
          <w:p w:rsidR="009B61CD" w:rsidRP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Accord avec UNFPA pour réaliser cette action conjointement avec la formation des associations locales au niveau des Wilaya de Djelfa et de Tamanrasset.</w:t>
            </w:r>
          </w:p>
        </w:tc>
      </w:tr>
      <w:tr w:rsidR="009B61CD" w:rsidRPr="0052245B" w:rsidTr="004D6C60">
        <w:trPr>
          <w:trHeight w:val="300"/>
        </w:trPr>
        <w:tc>
          <w:tcPr>
            <w:tcW w:w="4155" w:type="dxa"/>
            <w:vMerge w:val="restart"/>
            <w:shd w:val="clear" w:color="auto" w:fill="auto"/>
            <w:vAlign w:val="center"/>
            <w:hideMark/>
          </w:tcPr>
          <w:p w:rsidR="009B61CD" w:rsidRPr="009B61CD" w:rsidRDefault="009B61CD" w:rsidP="009B61CD">
            <w:pPr>
              <w:rPr>
                <w:rFonts w:ascii="Calibri" w:hAnsi="Calibri" w:cs="Calibri"/>
                <w:sz w:val="18"/>
                <w:szCs w:val="18"/>
                <w:lang w:val="fr-FR"/>
              </w:rPr>
            </w:pPr>
            <w:r w:rsidRPr="009B61CD">
              <w:rPr>
                <w:rFonts w:ascii="Calibri" w:hAnsi="Calibri" w:cs="Calibri"/>
                <w:sz w:val="18"/>
                <w:szCs w:val="18"/>
                <w:lang w:val="fr-CA"/>
              </w:rPr>
              <w:t>P5 Les organisations de la société civile ont développé leurs connaissances sur le genre pour promouvoir l’autonomisation des femmes au niveau des institutions</w:t>
            </w:r>
          </w:p>
        </w:tc>
        <w:tc>
          <w:tcPr>
            <w:tcW w:w="3060" w:type="dxa"/>
            <w:vMerge w:val="restart"/>
            <w:shd w:val="clear" w:color="auto" w:fill="auto"/>
            <w:vAlign w:val="center"/>
            <w:hideMark/>
          </w:tcPr>
          <w:p w:rsidR="009B61CD" w:rsidRPr="009B61CD" w:rsidRDefault="009B61CD" w:rsidP="009B61CD">
            <w:pPr>
              <w:rPr>
                <w:rFonts w:ascii="Calibri" w:hAnsi="Calibri" w:cs="Calibri"/>
                <w:sz w:val="18"/>
                <w:szCs w:val="18"/>
                <w:lang w:val="fr-FR"/>
              </w:rPr>
            </w:pPr>
            <w:r w:rsidRPr="009B61CD">
              <w:rPr>
                <w:rFonts w:ascii="Calibri" w:hAnsi="Calibri" w:cs="Calibri"/>
                <w:sz w:val="18"/>
                <w:szCs w:val="18"/>
                <w:lang w:val="fr-CA"/>
              </w:rPr>
              <w:t>Les principales ONG d’envergure nationale et activant dans le domaine du genre ont été formées</w:t>
            </w:r>
          </w:p>
        </w:tc>
        <w:tc>
          <w:tcPr>
            <w:tcW w:w="7995" w:type="dxa"/>
            <w:shd w:val="clear" w:color="auto" w:fill="auto"/>
            <w:vAlign w:val="center"/>
            <w:hideMark/>
          </w:tcPr>
          <w:p w:rsidR="009B61CD" w:rsidRDefault="009B61CD"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 xml:space="preserve">Deux sessions  de formation ont été réalisées par UNFPA : </w:t>
            </w:r>
          </w:p>
          <w:p w:rsidR="009B61CD" w:rsidRPr="009B61CD" w:rsidRDefault="009B61CD" w:rsidP="009B61CD">
            <w:pPr>
              <w:pStyle w:val="ListParagraph"/>
              <w:numPr>
                <w:ilvl w:val="0"/>
                <w:numId w:val="37"/>
              </w:numPr>
              <w:rPr>
                <w:rFonts w:ascii="Calibri" w:hAnsi="Calibri" w:cs="Calibri"/>
                <w:sz w:val="18"/>
                <w:szCs w:val="18"/>
                <w:lang w:val="fr-FR"/>
              </w:rPr>
            </w:pPr>
            <w:r w:rsidRPr="009B61CD">
              <w:rPr>
                <w:rFonts w:ascii="Calibri" w:hAnsi="Calibri" w:cs="Calibri"/>
                <w:sz w:val="18"/>
                <w:szCs w:val="18"/>
                <w:lang w:val="fr-CA"/>
              </w:rPr>
              <w:t>La première en Mai à Alger pour</w:t>
            </w:r>
            <w:r w:rsidR="00630FB6">
              <w:rPr>
                <w:rFonts w:ascii="Calibri" w:hAnsi="Calibri" w:cs="Calibri"/>
                <w:sz w:val="18"/>
                <w:szCs w:val="18"/>
                <w:lang w:val="fr-CA"/>
              </w:rPr>
              <w:t xml:space="preserve"> </w:t>
            </w:r>
            <w:r w:rsidRPr="009B61CD">
              <w:rPr>
                <w:rFonts w:ascii="Calibri" w:hAnsi="Calibri" w:cs="Calibri"/>
                <w:sz w:val="18"/>
                <w:szCs w:val="18"/>
                <w:lang w:val="fr-CA"/>
              </w:rPr>
              <w:t xml:space="preserve">une vingtaine d’associations (26 personnes), </w:t>
            </w:r>
          </w:p>
          <w:p w:rsidR="009B61CD" w:rsidRPr="009B61CD" w:rsidRDefault="009B61CD" w:rsidP="009B61CD">
            <w:pPr>
              <w:pStyle w:val="ListParagraph"/>
              <w:numPr>
                <w:ilvl w:val="0"/>
                <w:numId w:val="37"/>
              </w:numPr>
              <w:rPr>
                <w:rFonts w:ascii="Calibri" w:hAnsi="Calibri" w:cs="Calibri"/>
                <w:sz w:val="18"/>
                <w:szCs w:val="18"/>
                <w:lang w:val="fr-FR"/>
              </w:rPr>
            </w:pPr>
            <w:r w:rsidRPr="009B61CD">
              <w:rPr>
                <w:rFonts w:ascii="Calibri" w:hAnsi="Calibri" w:cs="Calibri"/>
                <w:sz w:val="18"/>
                <w:szCs w:val="18"/>
                <w:lang w:val="fr-CA"/>
              </w:rPr>
              <w:t>La seco</w:t>
            </w:r>
            <w:r w:rsidR="00630FB6">
              <w:rPr>
                <w:rFonts w:ascii="Calibri" w:hAnsi="Calibri" w:cs="Calibri"/>
                <w:sz w:val="18"/>
                <w:szCs w:val="18"/>
                <w:lang w:val="fr-CA"/>
              </w:rPr>
              <w:t xml:space="preserve">nde en Octobre à Tlemcen, pour </w:t>
            </w:r>
            <w:r w:rsidRPr="009B61CD">
              <w:rPr>
                <w:rFonts w:ascii="Calibri" w:hAnsi="Calibri" w:cs="Calibri"/>
                <w:sz w:val="18"/>
                <w:szCs w:val="18"/>
                <w:lang w:val="fr-CA"/>
              </w:rPr>
              <w:t>28 associations</w:t>
            </w:r>
          </w:p>
        </w:tc>
      </w:tr>
      <w:tr w:rsidR="004D6C60" w:rsidRPr="0052245B" w:rsidTr="004D6C60">
        <w:trPr>
          <w:trHeight w:val="87"/>
        </w:trPr>
        <w:tc>
          <w:tcPr>
            <w:tcW w:w="4155" w:type="dxa"/>
            <w:vMerge/>
            <w:vAlign w:val="center"/>
            <w:hideMark/>
          </w:tcPr>
          <w:p w:rsidR="004D6C60" w:rsidRPr="009B61CD" w:rsidRDefault="004D6C60" w:rsidP="009B61CD">
            <w:pPr>
              <w:rPr>
                <w:rFonts w:ascii="Calibri" w:hAnsi="Calibri" w:cs="Calibri"/>
                <w:sz w:val="18"/>
                <w:szCs w:val="18"/>
                <w:lang w:val="fr-FR"/>
              </w:rPr>
            </w:pPr>
          </w:p>
        </w:tc>
        <w:tc>
          <w:tcPr>
            <w:tcW w:w="3060" w:type="dxa"/>
            <w:vMerge/>
            <w:vAlign w:val="center"/>
            <w:hideMark/>
          </w:tcPr>
          <w:p w:rsidR="004D6C60" w:rsidRPr="009B61CD" w:rsidRDefault="004D6C60" w:rsidP="009B61CD">
            <w:pPr>
              <w:rPr>
                <w:rFonts w:ascii="Calibri" w:hAnsi="Calibri" w:cs="Calibri"/>
                <w:sz w:val="18"/>
                <w:szCs w:val="18"/>
                <w:lang w:val="fr-FR"/>
              </w:rPr>
            </w:pPr>
          </w:p>
        </w:tc>
        <w:tc>
          <w:tcPr>
            <w:tcW w:w="7995" w:type="dxa"/>
            <w:shd w:val="clear" w:color="auto" w:fill="auto"/>
            <w:vAlign w:val="center"/>
            <w:hideMark/>
          </w:tcPr>
          <w:p w:rsidR="004D6C60" w:rsidRPr="009B61CD" w:rsidRDefault="004D6C60" w:rsidP="004D6C60">
            <w:pPr>
              <w:pStyle w:val="ListParagraph"/>
              <w:numPr>
                <w:ilvl w:val="0"/>
                <w:numId w:val="40"/>
              </w:numPr>
              <w:ind w:left="147" w:hanging="147"/>
              <w:rPr>
                <w:rFonts w:ascii="Calibri" w:hAnsi="Calibri" w:cs="Calibri"/>
                <w:sz w:val="18"/>
                <w:szCs w:val="18"/>
                <w:lang w:val="fr-FR"/>
              </w:rPr>
            </w:pPr>
            <w:r w:rsidRPr="009B61CD">
              <w:rPr>
                <w:rFonts w:ascii="Calibri" w:hAnsi="Calibri" w:cs="Calibri"/>
                <w:sz w:val="18"/>
                <w:szCs w:val="18"/>
                <w:lang w:val="fr-CA"/>
              </w:rPr>
              <w:t xml:space="preserve">D’autres sessions sont programmées pour la fin deuxième semestre 2011, dont 2 conjointement avec </w:t>
            </w:r>
            <w:r>
              <w:rPr>
                <w:rFonts w:ascii="Calibri" w:hAnsi="Calibri" w:cs="Calibri"/>
                <w:sz w:val="18"/>
                <w:szCs w:val="18"/>
                <w:lang w:val="fr-CA"/>
              </w:rPr>
              <w:t xml:space="preserve">le PNUD à Djelfa et Tamanrasset </w:t>
            </w:r>
            <w:r w:rsidRPr="009B61CD">
              <w:rPr>
                <w:rFonts w:ascii="Calibri" w:hAnsi="Calibri" w:cs="Calibri"/>
                <w:sz w:val="18"/>
                <w:szCs w:val="18"/>
                <w:lang w:val="fr-CA"/>
              </w:rPr>
              <w:t>auxquelles seront associées les collectivités locales.</w:t>
            </w:r>
          </w:p>
        </w:tc>
      </w:tr>
      <w:tr w:rsidR="004D6C60" w:rsidRPr="0052245B" w:rsidTr="004D6C60">
        <w:trPr>
          <w:trHeight w:val="300"/>
        </w:trPr>
        <w:tc>
          <w:tcPr>
            <w:tcW w:w="4155" w:type="dxa"/>
            <w:vMerge/>
            <w:vAlign w:val="center"/>
            <w:hideMark/>
          </w:tcPr>
          <w:p w:rsidR="004D6C60" w:rsidRPr="009B61CD" w:rsidRDefault="004D6C60" w:rsidP="009B61CD">
            <w:pPr>
              <w:rPr>
                <w:rFonts w:ascii="Calibri" w:hAnsi="Calibri" w:cs="Calibri"/>
                <w:sz w:val="18"/>
                <w:szCs w:val="18"/>
                <w:lang w:val="fr-FR"/>
              </w:rPr>
            </w:pPr>
          </w:p>
        </w:tc>
        <w:tc>
          <w:tcPr>
            <w:tcW w:w="3060" w:type="dxa"/>
            <w:vMerge/>
            <w:vAlign w:val="center"/>
            <w:hideMark/>
          </w:tcPr>
          <w:p w:rsidR="004D6C60" w:rsidRPr="009B61CD" w:rsidRDefault="004D6C60" w:rsidP="009B61CD">
            <w:pPr>
              <w:rPr>
                <w:rFonts w:ascii="Calibri" w:hAnsi="Calibri" w:cs="Calibri"/>
                <w:sz w:val="18"/>
                <w:szCs w:val="18"/>
                <w:lang w:val="fr-FR"/>
              </w:rPr>
            </w:pPr>
          </w:p>
        </w:tc>
        <w:tc>
          <w:tcPr>
            <w:tcW w:w="7995" w:type="dxa"/>
            <w:shd w:val="clear" w:color="auto" w:fill="auto"/>
            <w:vAlign w:val="center"/>
            <w:hideMark/>
          </w:tcPr>
          <w:p w:rsidR="004D6C60" w:rsidRPr="009B61CD" w:rsidRDefault="00630FB6" w:rsidP="009B61CD">
            <w:pPr>
              <w:pStyle w:val="ListParagraph"/>
              <w:numPr>
                <w:ilvl w:val="0"/>
                <w:numId w:val="40"/>
              </w:numPr>
              <w:ind w:left="147" w:hanging="147"/>
              <w:rPr>
                <w:rFonts w:ascii="Calibri" w:hAnsi="Calibri" w:cs="Calibri"/>
                <w:sz w:val="18"/>
                <w:szCs w:val="18"/>
                <w:lang w:val="fr-CA"/>
              </w:rPr>
            </w:pPr>
            <w:r>
              <w:rPr>
                <w:rFonts w:ascii="Calibri" w:hAnsi="Calibri" w:cs="Calibri"/>
                <w:sz w:val="18"/>
                <w:szCs w:val="18"/>
                <w:lang w:val="fr-CA"/>
              </w:rPr>
              <w:t>L</w:t>
            </w:r>
            <w:r w:rsidR="004D6C60" w:rsidRPr="009B61CD">
              <w:rPr>
                <w:rFonts w:ascii="Calibri" w:hAnsi="Calibri" w:cs="Calibri"/>
                <w:sz w:val="18"/>
                <w:szCs w:val="18"/>
                <w:lang w:val="fr-CA"/>
              </w:rPr>
              <w:t xml:space="preserve">a réalisation de l’étude a été lancée début Novembre 2011.  </w:t>
            </w:r>
          </w:p>
        </w:tc>
      </w:tr>
      <w:tr w:rsidR="004D6C60" w:rsidRPr="0052245B" w:rsidTr="004D6C60">
        <w:trPr>
          <w:trHeight w:val="87"/>
        </w:trPr>
        <w:tc>
          <w:tcPr>
            <w:tcW w:w="4155" w:type="dxa"/>
            <w:vMerge/>
            <w:vAlign w:val="center"/>
            <w:hideMark/>
          </w:tcPr>
          <w:p w:rsidR="004D6C60" w:rsidRPr="009B61CD" w:rsidRDefault="004D6C60" w:rsidP="009B61CD">
            <w:pPr>
              <w:rPr>
                <w:rFonts w:ascii="Calibri" w:hAnsi="Calibri" w:cs="Calibri"/>
                <w:sz w:val="18"/>
                <w:szCs w:val="18"/>
                <w:lang w:val="fr-FR"/>
              </w:rPr>
            </w:pPr>
          </w:p>
        </w:tc>
        <w:tc>
          <w:tcPr>
            <w:tcW w:w="3060" w:type="dxa"/>
            <w:vMerge/>
            <w:vAlign w:val="center"/>
            <w:hideMark/>
          </w:tcPr>
          <w:p w:rsidR="004D6C60" w:rsidRPr="009B61CD" w:rsidRDefault="004D6C60" w:rsidP="009B61CD">
            <w:pPr>
              <w:rPr>
                <w:rFonts w:ascii="Calibri" w:hAnsi="Calibri" w:cs="Calibri"/>
                <w:sz w:val="18"/>
                <w:szCs w:val="18"/>
                <w:lang w:val="fr-FR"/>
              </w:rPr>
            </w:pPr>
          </w:p>
        </w:tc>
        <w:tc>
          <w:tcPr>
            <w:tcW w:w="7995" w:type="dxa"/>
            <w:shd w:val="clear" w:color="auto" w:fill="auto"/>
            <w:vAlign w:val="center"/>
            <w:hideMark/>
          </w:tcPr>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 xml:space="preserve">Une mission de cadrage de l’étude a été effectuée par le consultant international du 12-16 novembre </w:t>
            </w:r>
            <w:r w:rsidRPr="009B61CD">
              <w:rPr>
                <w:rFonts w:ascii="Calibri" w:hAnsi="Calibri" w:cs="Calibri"/>
                <w:sz w:val="18"/>
                <w:szCs w:val="18"/>
                <w:lang w:val="fr-CA"/>
              </w:rPr>
              <w:lastRenderedPageBreak/>
              <w:t>2011-</w:t>
            </w:r>
          </w:p>
        </w:tc>
      </w:tr>
      <w:tr w:rsidR="004D6C60" w:rsidRPr="0052245B" w:rsidTr="004D6C60">
        <w:trPr>
          <w:trHeight w:val="300"/>
        </w:trPr>
        <w:tc>
          <w:tcPr>
            <w:tcW w:w="4155" w:type="dxa"/>
            <w:vMerge w:val="restart"/>
            <w:shd w:val="clear" w:color="auto" w:fill="auto"/>
            <w:vAlign w:val="center"/>
            <w:hideMark/>
          </w:tcPr>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FR"/>
              </w:rPr>
              <w:lastRenderedPageBreak/>
              <w:t>P6. La connaissance des facteurs déterminants qui limitent ou entravent l’insertion professionnelle des femmes et leur accès au travail décent est améliorée (BIT)</w:t>
            </w:r>
          </w:p>
        </w:tc>
        <w:tc>
          <w:tcPr>
            <w:tcW w:w="3060" w:type="dxa"/>
            <w:shd w:val="clear" w:color="auto" w:fill="auto"/>
            <w:vAlign w:val="center"/>
            <w:hideMark/>
          </w:tcPr>
          <w:p w:rsidR="004D6C60" w:rsidRPr="009B61CD" w:rsidRDefault="004D6C60" w:rsidP="009B61CD">
            <w:pPr>
              <w:rPr>
                <w:rFonts w:ascii="Calibri" w:hAnsi="Calibri" w:cs="Calibri"/>
                <w:sz w:val="18"/>
                <w:szCs w:val="18"/>
              </w:rPr>
            </w:pPr>
            <w:r w:rsidRPr="009B61CD">
              <w:rPr>
                <w:rFonts w:ascii="Calibri" w:hAnsi="Calibri" w:cs="Calibri"/>
                <w:sz w:val="18"/>
                <w:szCs w:val="18"/>
                <w:lang w:val="fr-CA"/>
              </w:rPr>
              <w:t>2 études réalisées</w:t>
            </w:r>
          </w:p>
        </w:tc>
        <w:tc>
          <w:tcPr>
            <w:tcW w:w="7995" w:type="dxa"/>
            <w:shd w:val="clear" w:color="auto" w:fill="auto"/>
            <w:vAlign w:val="center"/>
            <w:hideMark/>
          </w:tcPr>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La note méthodologique a été développée</w:t>
            </w:r>
            <w:r>
              <w:rPr>
                <w:rFonts w:ascii="Calibri" w:hAnsi="Calibri" w:cs="Calibri"/>
                <w:sz w:val="18"/>
                <w:szCs w:val="18"/>
                <w:lang w:val="fr-CA"/>
              </w:rPr>
              <w:t xml:space="preserve">. </w:t>
            </w:r>
            <w:r w:rsidRPr="009B61CD">
              <w:rPr>
                <w:rFonts w:ascii="Calibri" w:hAnsi="Calibri" w:cs="Calibri"/>
                <w:sz w:val="18"/>
                <w:szCs w:val="18"/>
                <w:lang w:val="fr-CA"/>
              </w:rPr>
              <w:t>Préparation en cours de la prochaine mission des consultants prévue en janvier 2012.</w:t>
            </w:r>
          </w:p>
        </w:tc>
      </w:tr>
      <w:tr w:rsidR="004D6C60" w:rsidRPr="0052245B" w:rsidTr="004D6C60">
        <w:trPr>
          <w:trHeight w:val="361"/>
        </w:trPr>
        <w:tc>
          <w:tcPr>
            <w:tcW w:w="4155" w:type="dxa"/>
            <w:vMerge/>
            <w:vAlign w:val="center"/>
            <w:hideMark/>
          </w:tcPr>
          <w:p w:rsidR="004D6C60" w:rsidRPr="009B61CD" w:rsidRDefault="004D6C60" w:rsidP="009B61CD">
            <w:pPr>
              <w:rPr>
                <w:rFonts w:ascii="Calibri" w:hAnsi="Calibri" w:cs="Calibri"/>
                <w:sz w:val="18"/>
                <w:szCs w:val="18"/>
                <w:lang w:val="fr-FR"/>
              </w:rPr>
            </w:pPr>
          </w:p>
        </w:tc>
        <w:tc>
          <w:tcPr>
            <w:tcW w:w="3060" w:type="dxa"/>
            <w:shd w:val="clear" w:color="auto" w:fill="auto"/>
            <w:vAlign w:val="center"/>
            <w:hideMark/>
          </w:tcPr>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CA"/>
              </w:rPr>
              <w:t xml:space="preserve">Taux de chômage des sortantes de </w:t>
            </w:r>
            <w:r w:rsidR="00630FB6">
              <w:rPr>
                <w:rFonts w:ascii="Calibri" w:hAnsi="Calibri" w:cs="Calibri"/>
                <w:sz w:val="18"/>
                <w:szCs w:val="18"/>
                <w:lang w:val="fr-CA"/>
              </w:rPr>
              <w:t xml:space="preserve">la FP et des universitaires </w:t>
            </w:r>
            <w:r w:rsidRPr="009B61CD">
              <w:rPr>
                <w:rFonts w:ascii="Calibri" w:hAnsi="Calibri" w:cs="Calibri"/>
                <w:sz w:val="18"/>
                <w:szCs w:val="18"/>
                <w:lang w:val="fr-CA"/>
              </w:rPr>
              <w:t>réduit d’au moins 25%</w:t>
            </w:r>
          </w:p>
        </w:tc>
        <w:tc>
          <w:tcPr>
            <w:tcW w:w="7995" w:type="dxa"/>
            <w:shd w:val="clear" w:color="auto" w:fill="auto"/>
            <w:vAlign w:val="center"/>
            <w:hideMark/>
          </w:tcPr>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Les TDR en cours de discussion.</w:t>
            </w:r>
          </w:p>
        </w:tc>
      </w:tr>
      <w:tr w:rsidR="004D6C60" w:rsidRPr="0052245B" w:rsidTr="004D6C60">
        <w:trPr>
          <w:trHeight w:val="87"/>
        </w:trPr>
        <w:tc>
          <w:tcPr>
            <w:tcW w:w="4155" w:type="dxa"/>
            <w:vMerge/>
            <w:vAlign w:val="center"/>
            <w:hideMark/>
          </w:tcPr>
          <w:p w:rsidR="004D6C60" w:rsidRPr="009B61CD" w:rsidRDefault="004D6C60" w:rsidP="009B61CD">
            <w:pPr>
              <w:rPr>
                <w:rFonts w:ascii="Calibri" w:hAnsi="Calibri" w:cs="Calibri"/>
                <w:sz w:val="18"/>
                <w:szCs w:val="18"/>
                <w:lang w:val="fr-FR"/>
              </w:rPr>
            </w:pPr>
          </w:p>
        </w:tc>
        <w:tc>
          <w:tcPr>
            <w:tcW w:w="3060" w:type="dxa"/>
            <w:shd w:val="clear" w:color="auto" w:fill="auto"/>
            <w:vAlign w:val="center"/>
            <w:hideMark/>
          </w:tcPr>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CA"/>
              </w:rPr>
              <w:t>Données sexo spécifiques disponibles au Mise à niveau de 3 Observatoires</w:t>
            </w:r>
          </w:p>
        </w:tc>
        <w:tc>
          <w:tcPr>
            <w:tcW w:w="7995" w:type="dxa"/>
            <w:shd w:val="clear" w:color="auto" w:fill="auto"/>
            <w:vAlign w:val="center"/>
            <w:hideMark/>
          </w:tcPr>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Recherche /identification de l’appui technique pour une mission auprès du Ministère de la FEP pour approfondir les discussions et identifier un plan d’action opérationnel</w:t>
            </w:r>
          </w:p>
        </w:tc>
      </w:tr>
      <w:tr w:rsidR="004D6C60" w:rsidRPr="0052245B" w:rsidTr="004D6C60">
        <w:trPr>
          <w:trHeight w:val="87"/>
        </w:trPr>
        <w:tc>
          <w:tcPr>
            <w:tcW w:w="4155" w:type="dxa"/>
            <w:vMerge/>
            <w:vAlign w:val="center"/>
            <w:hideMark/>
          </w:tcPr>
          <w:p w:rsidR="004D6C60" w:rsidRPr="009B61CD" w:rsidRDefault="004D6C60" w:rsidP="009B61CD">
            <w:pPr>
              <w:rPr>
                <w:rFonts w:ascii="Calibri" w:hAnsi="Calibri" w:cs="Calibri"/>
                <w:sz w:val="18"/>
                <w:szCs w:val="18"/>
                <w:lang w:val="fr-FR"/>
              </w:rPr>
            </w:pPr>
          </w:p>
        </w:tc>
        <w:tc>
          <w:tcPr>
            <w:tcW w:w="3060" w:type="dxa"/>
            <w:shd w:val="clear" w:color="auto" w:fill="auto"/>
            <w:vAlign w:val="center"/>
            <w:hideMark/>
          </w:tcPr>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CA"/>
              </w:rPr>
              <w:t>Quatre programmes correspondants aux profils (les plus demandés sur le Marché du Travail) sont validés et opérationnels</w:t>
            </w:r>
          </w:p>
        </w:tc>
        <w:tc>
          <w:tcPr>
            <w:tcW w:w="7995" w:type="dxa"/>
            <w:shd w:val="clear" w:color="auto" w:fill="auto"/>
            <w:vAlign w:val="center"/>
            <w:hideMark/>
          </w:tcPr>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 xml:space="preserve">Préparation en cours de deux activités contribuant à </w:t>
            </w:r>
            <w:r w:rsidR="00630FB6">
              <w:rPr>
                <w:rFonts w:ascii="Calibri" w:hAnsi="Calibri" w:cs="Calibri"/>
                <w:sz w:val="18"/>
                <w:szCs w:val="18"/>
                <w:lang w:val="fr-CA"/>
              </w:rPr>
              <w:t>la réalisation de ce résultat </w:t>
            </w:r>
          </w:p>
        </w:tc>
      </w:tr>
      <w:tr w:rsidR="004D6C60" w:rsidRPr="0052245B" w:rsidTr="004D6C60">
        <w:trPr>
          <w:trHeight w:val="87"/>
        </w:trPr>
        <w:tc>
          <w:tcPr>
            <w:tcW w:w="4155" w:type="dxa"/>
            <w:vMerge w:val="restart"/>
            <w:shd w:val="clear" w:color="auto" w:fill="auto"/>
            <w:vAlign w:val="center"/>
            <w:hideMark/>
          </w:tcPr>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FR"/>
              </w:rPr>
              <w:t xml:space="preserve">P7. L’offre de formation des femmes est mieux adaptée aux besoins du marché du travail </w:t>
            </w:r>
          </w:p>
        </w:tc>
        <w:tc>
          <w:tcPr>
            <w:tcW w:w="3060" w:type="dxa"/>
            <w:shd w:val="clear" w:color="auto" w:fill="auto"/>
            <w:vAlign w:val="center"/>
            <w:hideMark/>
          </w:tcPr>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CA"/>
              </w:rPr>
              <w:t>Les taux et les durées de chômage sont réduits de 25%</w:t>
            </w:r>
          </w:p>
        </w:tc>
        <w:tc>
          <w:tcPr>
            <w:tcW w:w="7995" w:type="dxa"/>
            <w:shd w:val="clear" w:color="auto" w:fill="auto"/>
            <w:vAlign w:val="center"/>
            <w:hideMark/>
          </w:tcPr>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A16- Mobilisation des unités techniques du BIT pour une mission auprès de l’ANEM en janvier/février 2012</w:t>
            </w:r>
          </w:p>
        </w:tc>
      </w:tr>
      <w:tr w:rsidR="004D6C60" w:rsidRPr="0052245B" w:rsidTr="004D6C60">
        <w:trPr>
          <w:trHeight w:val="87"/>
        </w:trPr>
        <w:tc>
          <w:tcPr>
            <w:tcW w:w="4155" w:type="dxa"/>
            <w:vMerge/>
            <w:vAlign w:val="center"/>
            <w:hideMark/>
          </w:tcPr>
          <w:p w:rsidR="004D6C60" w:rsidRPr="009B61CD" w:rsidRDefault="004D6C60" w:rsidP="009B61CD">
            <w:pPr>
              <w:rPr>
                <w:rFonts w:ascii="Calibri" w:hAnsi="Calibri" w:cs="Calibri"/>
                <w:sz w:val="18"/>
                <w:szCs w:val="18"/>
                <w:lang w:val="fr-FR"/>
              </w:rPr>
            </w:pPr>
          </w:p>
        </w:tc>
        <w:tc>
          <w:tcPr>
            <w:tcW w:w="3060" w:type="dxa"/>
            <w:shd w:val="clear" w:color="auto" w:fill="auto"/>
            <w:vAlign w:val="center"/>
            <w:hideMark/>
          </w:tcPr>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CA"/>
              </w:rPr>
              <w:t>Atteindre la parité pour l’ensemble des dispositifs existants</w:t>
            </w:r>
          </w:p>
        </w:tc>
        <w:tc>
          <w:tcPr>
            <w:tcW w:w="7995" w:type="dxa"/>
            <w:shd w:val="clear" w:color="auto" w:fill="auto"/>
            <w:vAlign w:val="center"/>
            <w:hideMark/>
          </w:tcPr>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 xml:space="preserve">A18. Draft préliminaire des TDR de l’activité formulé et en cours de validation par les services techniques du BIT. </w:t>
            </w:r>
          </w:p>
        </w:tc>
      </w:tr>
      <w:tr w:rsidR="004D6C60" w:rsidRPr="0052245B" w:rsidTr="004D6C60">
        <w:trPr>
          <w:trHeight w:val="87"/>
        </w:trPr>
        <w:tc>
          <w:tcPr>
            <w:tcW w:w="4155" w:type="dxa"/>
            <w:vMerge w:val="restart"/>
            <w:shd w:val="clear" w:color="auto" w:fill="auto"/>
            <w:vAlign w:val="center"/>
            <w:hideMark/>
          </w:tcPr>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FR"/>
              </w:rPr>
              <w:t xml:space="preserve">P8. L’accès des femmes aux mécanismes et dispositifs existants de création d’emplois et d’accès à l’entreprenariat et au crédit est amélioré  </w:t>
            </w:r>
          </w:p>
        </w:tc>
        <w:tc>
          <w:tcPr>
            <w:tcW w:w="3060" w:type="dxa"/>
            <w:vMerge w:val="restart"/>
            <w:vAlign w:val="center"/>
            <w:hideMark/>
          </w:tcPr>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CA"/>
              </w:rPr>
              <w:t>Atteindre la parité pour l’ensemble des dispositifs existants</w:t>
            </w:r>
          </w:p>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FR"/>
              </w:rPr>
              <w:t>Création d’un  incubateur</w:t>
            </w:r>
          </w:p>
        </w:tc>
        <w:tc>
          <w:tcPr>
            <w:tcW w:w="7995" w:type="dxa"/>
            <w:shd w:val="clear" w:color="auto" w:fill="auto"/>
            <w:vAlign w:val="center"/>
            <w:hideMark/>
          </w:tcPr>
          <w:p w:rsidR="004D6C60" w:rsidRPr="009B61CD" w:rsidRDefault="004D6C60" w:rsidP="004D6C60">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 xml:space="preserve">Deux ateliers préparatoires, à Alger en Février et à Djelfa en </w:t>
            </w:r>
            <w:r>
              <w:rPr>
                <w:rFonts w:ascii="Calibri" w:hAnsi="Calibri" w:cs="Calibri"/>
                <w:sz w:val="18"/>
                <w:szCs w:val="18"/>
                <w:lang w:val="fr-CA"/>
              </w:rPr>
              <w:t>j</w:t>
            </w:r>
            <w:r w:rsidRPr="009B61CD">
              <w:rPr>
                <w:rFonts w:ascii="Calibri" w:hAnsi="Calibri" w:cs="Calibri"/>
                <w:sz w:val="18"/>
                <w:szCs w:val="18"/>
                <w:lang w:val="fr-CA"/>
              </w:rPr>
              <w:t>uin pour identifier le site d’implantation, avec la participation des autorités nationales et locales ainsi que des associations locales</w:t>
            </w:r>
          </w:p>
        </w:tc>
      </w:tr>
      <w:tr w:rsidR="004D6C60" w:rsidRPr="0052245B" w:rsidTr="004D6C60">
        <w:trPr>
          <w:trHeight w:val="480"/>
        </w:trPr>
        <w:tc>
          <w:tcPr>
            <w:tcW w:w="4155" w:type="dxa"/>
            <w:vMerge/>
            <w:vAlign w:val="center"/>
            <w:hideMark/>
          </w:tcPr>
          <w:p w:rsidR="004D6C60" w:rsidRPr="009B61CD" w:rsidRDefault="004D6C60" w:rsidP="009B61CD">
            <w:pPr>
              <w:rPr>
                <w:rFonts w:ascii="Calibri" w:hAnsi="Calibri" w:cs="Calibri"/>
                <w:sz w:val="18"/>
                <w:szCs w:val="18"/>
                <w:lang w:val="fr-FR"/>
              </w:rPr>
            </w:pPr>
          </w:p>
        </w:tc>
        <w:tc>
          <w:tcPr>
            <w:tcW w:w="3060" w:type="dxa"/>
            <w:vMerge/>
            <w:shd w:val="clear" w:color="auto" w:fill="auto"/>
            <w:vAlign w:val="center"/>
            <w:hideMark/>
          </w:tcPr>
          <w:p w:rsidR="004D6C60" w:rsidRPr="009B61CD" w:rsidRDefault="004D6C60" w:rsidP="009B61CD">
            <w:pPr>
              <w:rPr>
                <w:rFonts w:ascii="Calibri" w:hAnsi="Calibri" w:cs="Calibri"/>
                <w:sz w:val="18"/>
                <w:szCs w:val="18"/>
                <w:lang w:val="fr-FR"/>
              </w:rPr>
            </w:pPr>
          </w:p>
        </w:tc>
        <w:tc>
          <w:tcPr>
            <w:tcW w:w="7995" w:type="dxa"/>
            <w:shd w:val="clear" w:color="auto" w:fill="auto"/>
            <w:vAlign w:val="center"/>
            <w:hideMark/>
          </w:tcPr>
          <w:p w:rsidR="004D6C60" w:rsidRPr="009B61CD" w:rsidRDefault="00630FB6" w:rsidP="00630FB6">
            <w:pPr>
              <w:pStyle w:val="ListParagraph"/>
              <w:numPr>
                <w:ilvl w:val="0"/>
                <w:numId w:val="40"/>
              </w:numPr>
              <w:ind w:left="147" w:hanging="147"/>
              <w:rPr>
                <w:rFonts w:ascii="Calibri" w:hAnsi="Calibri" w:cs="Calibri"/>
                <w:sz w:val="18"/>
                <w:szCs w:val="18"/>
                <w:lang w:val="fr-CA"/>
              </w:rPr>
            </w:pPr>
            <w:r>
              <w:rPr>
                <w:rFonts w:ascii="Calibri" w:hAnsi="Calibri" w:cs="Calibri"/>
                <w:sz w:val="18"/>
                <w:szCs w:val="18"/>
                <w:lang w:val="fr-CA"/>
              </w:rPr>
              <w:t>La première phase concernant </w:t>
            </w:r>
            <w:r w:rsidR="004D6C60" w:rsidRPr="009B61CD">
              <w:rPr>
                <w:rFonts w:ascii="Calibri" w:hAnsi="Calibri" w:cs="Calibri"/>
                <w:sz w:val="18"/>
                <w:szCs w:val="18"/>
                <w:lang w:val="fr-CA"/>
              </w:rPr>
              <w:t xml:space="preserve">34 femmes et jeunes filles formées été clôturée en </w:t>
            </w:r>
            <w:r>
              <w:rPr>
                <w:rFonts w:ascii="Calibri" w:hAnsi="Calibri" w:cs="Calibri"/>
                <w:sz w:val="18"/>
                <w:szCs w:val="18"/>
                <w:lang w:val="fr-CA"/>
              </w:rPr>
              <w:t>j</w:t>
            </w:r>
            <w:r w:rsidR="004D6C60" w:rsidRPr="009B61CD">
              <w:rPr>
                <w:rFonts w:ascii="Calibri" w:hAnsi="Calibri" w:cs="Calibri"/>
                <w:sz w:val="18"/>
                <w:szCs w:val="18"/>
                <w:lang w:val="fr-CA"/>
              </w:rPr>
              <w:t>uin 2011 lors  d’une visite de supervision. Au mois de décembre 2011, 16 parmi les 34 ont bénéficié d’un microcrédit sans intérêt de l’ANGEM, et ont pu créer leurs activités génératrices de revenu. La 2</w:t>
            </w:r>
            <w:r w:rsidR="004D6C60" w:rsidRPr="00630FB6">
              <w:rPr>
                <w:rFonts w:ascii="Calibri" w:hAnsi="Calibri" w:cs="Calibri"/>
                <w:sz w:val="18"/>
                <w:szCs w:val="18"/>
                <w:vertAlign w:val="superscript"/>
                <w:lang w:val="fr-CA"/>
              </w:rPr>
              <w:t>ème</w:t>
            </w:r>
            <w:r w:rsidR="004D6C60" w:rsidRPr="009B61CD">
              <w:rPr>
                <w:rFonts w:ascii="Calibri" w:hAnsi="Calibri" w:cs="Calibri"/>
                <w:sz w:val="18"/>
                <w:szCs w:val="18"/>
                <w:lang w:val="fr-CA"/>
              </w:rPr>
              <w:t>  phase a été lancée en octobre 2011 et se poursuivra jusqu’à mars 2012 pour 53 femmes et jeunes filles qui sont inscrites au centre de formation «CFPA» </w:t>
            </w:r>
          </w:p>
        </w:tc>
      </w:tr>
      <w:tr w:rsidR="004D6C60" w:rsidRPr="0052245B" w:rsidTr="00630FB6">
        <w:trPr>
          <w:trHeight w:val="480"/>
        </w:trPr>
        <w:tc>
          <w:tcPr>
            <w:tcW w:w="4155" w:type="dxa"/>
            <w:vMerge/>
            <w:vAlign w:val="center"/>
            <w:hideMark/>
          </w:tcPr>
          <w:p w:rsidR="004D6C60" w:rsidRPr="009B61CD" w:rsidRDefault="004D6C60" w:rsidP="009B61CD">
            <w:pPr>
              <w:rPr>
                <w:rFonts w:ascii="Calibri" w:hAnsi="Calibri" w:cs="Calibri"/>
                <w:sz w:val="18"/>
                <w:szCs w:val="18"/>
                <w:lang w:val="fr-FR"/>
              </w:rPr>
            </w:pPr>
          </w:p>
        </w:tc>
        <w:tc>
          <w:tcPr>
            <w:tcW w:w="3060" w:type="dxa"/>
            <w:shd w:val="clear" w:color="auto" w:fill="auto"/>
            <w:vAlign w:val="center"/>
            <w:hideMark/>
          </w:tcPr>
          <w:p w:rsidR="004D6C60" w:rsidRPr="00630FB6" w:rsidRDefault="004D6C60" w:rsidP="009B61CD">
            <w:pPr>
              <w:rPr>
                <w:rFonts w:ascii="Calibri" w:hAnsi="Calibri" w:cs="Calibri"/>
                <w:sz w:val="18"/>
                <w:szCs w:val="18"/>
                <w:lang w:val="fr-FR"/>
              </w:rPr>
            </w:pPr>
            <w:r w:rsidRPr="009B61CD">
              <w:rPr>
                <w:rFonts w:ascii="Calibri" w:hAnsi="Calibri" w:cs="Calibri"/>
                <w:sz w:val="18"/>
                <w:szCs w:val="18"/>
                <w:lang w:val="fr-FR"/>
              </w:rPr>
              <w:t>2 centres d’information opérationnels (Djelfa et Tamanrasset) </w:t>
            </w:r>
          </w:p>
        </w:tc>
        <w:tc>
          <w:tcPr>
            <w:tcW w:w="7995" w:type="dxa"/>
            <w:vAlign w:val="center"/>
            <w:hideMark/>
          </w:tcPr>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Identification de l’expertise en cours.</w:t>
            </w:r>
          </w:p>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L’UNFPA a finalisé les TDR de l’action A31 relative au forum de dialogue entre les média, les institutions et la société civile.</w:t>
            </w:r>
          </w:p>
        </w:tc>
      </w:tr>
      <w:tr w:rsidR="004D6C60" w:rsidRPr="009B61CD" w:rsidTr="004D6C60">
        <w:trPr>
          <w:trHeight w:val="960"/>
        </w:trPr>
        <w:tc>
          <w:tcPr>
            <w:tcW w:w="4155" w:type="dxa"/>
            <w:shd w:val="clear" w:color="auto" w:fill="auto"/>
            <w:vAlign w:val="center"/>
            <w:hideMark/>
          </w:tcPr>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FR"/>
              </w:rPr>
              <w:t>P9. Les femmes en milieu rural et vulnérables sont outillées et accompagnées pour développer des activités génératrices de revenus</w:t>
            </w:r>
          </w:p>
        </w:tc>
        <w:tc>
          <w:tcPr>
            <w:tcW w:w="3060" w:type="dxa"/>
            <w:shd w:val="clear" w:color="auto" w:fill="auto"/>
            <w:vAlign w:val="center"/>
            <w:hideMark/>
          </w:tcPr>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FR"/>
              </w:rPr>
              <w:t>- 50 journalistes (25 hommes et 25 Femmes) formés et /ou sensibilisés  sur le genre sur les droits des femmes et la problématique genre</w:t>
            </w:r>
          </w:p>
        </w:tc>
        <w:tc>
          <w:tcPr>
            <w:tcW w:w="7995" w:type="dxa"/>
            <w:vAlign w:val="center"/>
            <w:hideMark/>
          </w:tcPr>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Identification de l’expertise en cours.</w:t>
            </w:r>
          </w:p>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L’UNFPA a finalisé les TDR de l’action A31 relative au forum de dialogue entre les média, les institutions et la société civile.</w:t>
            </w:r>
          </w:p>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Recherche de l’expertise engagée.</w:t>
            </w:r>
          </w:p>
        </w:tc>
      </w:tr>
      <w:tr w:rsidR="004D6C60" w:rsidRPr="0052245B" w:rsidTr="00630FB6">
        <w:trPr>
          <w:cantSplit/>
          <w:trHeight w:val="300"/>
        </w:trPr>
        <w:tc>
          <w:tcPr>
            <w:tcW w:w="4155" w:type="dxa"/>
            <w:vMerge w:val="restart"/>
            <w:shd w:val="clear" w:color="auto" w:fill="auto"/>
            <w:vAlign w:val="center"/>
            <w:hideMark/>
          </w:tcPr>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FR"/>
              </w:rPr>
              <w:t>P10 Média sensibilisés aux droits des femmes et à la problématique genre</w:t>
            </w:r>
          </w:p>
        </w:tc>
        <w:tc>
          <w:tcPr>
            <w:tcW w:w="3060" w:type="dxa"/>
            <w:vMerge w:val="restart"/>
            <w:vAlign w:val="center"/>
            <w:hideMark/>
          </w:tcPr>
          <w:p w:rsidR="004D6C60" w:rsidRPr="009B61CD" w:rsidRDefault="004D6C60" w:rsidP="009B61CD">
            <w:pPr>
              <w:rPr>
                <w:rFonts w:ascii="Calibri" w:hAnsi="Calibri" w:cs="Calibri"/>
                <w:sz w:val="18"/>
                <w:szCs w:val="18"/>
                <w:lang w:val="fr-FR"/>
              </w:rPr>
            </w:pPr>
            <w:r w:rsidRPr="009B61CD">
              <w:rPr>
                <w:rFonts w:ascii="Calibri" w:hAnsi="Calibri" w:cs="Calibri"/>
                <w:sz w:val="18"/>
                <w:szCs w:val="18"/>
                <w:lang w:val="fr-FR"/>
              </w:rPr>
              <w:t>- 50 journalistes (25 hommes et 25 Femmes) formés et /ou sensibilisés  sur le genre sur les droits des femmes et la problématique genre</w:t>
            </w:r>
          </w:p>
          <w:p w:rsidR="004D6C60" w:rsidRPr="009B61CD" w:rsidRDefault="004D6C60" w:rsidP="004D6C60">
            <w:pPr>
              <w:rPr>
                <w:rFonts w:ascii="Calibri" w:hAnsi="Calibri" w:cs="Calibri"/>
                <w:sz w:val="18"/>
                <w:szCs w:val="18"/>
                <w:lang w:val="fr-FR"/>
              </w:rPr>
            </w:pPr>
            <w:r>
              <w:rPr>
                <w:rFonts w:ascii="Calibri" w:hAnsi="Calibri" w:cs="Calibri"/>
                <w:sz w:val="18"/>
                <w:szCs w:val="18"/>
                <w:lang w:val="fr-FR"/>
              </w:rPr>
              <w:t>- 30  membres d’OSC</w:t>
            </w:r>
            <w:r w:rsidRPr="009B61CD">
              <w:rPr>
                <w:rFonts w:ascii="Calibri" w:hAnsi="Calibri" w:cs="Calibri"/>
                <w:sz w:val="18"/>
                <w:szCs w:val="18"/>
                <w:lang w:val="fr-FR"/>
              </w:rPr>
              <w:t xml:space="preserve"> sont formés sur les droits sociaux économiques des femmes</w:t>
            </w:r>
          </w:p>
        </w:tc>
        <w:tc>
          <w:tcPr>
            <w:tcW w:w="7995" w:type="dxa"/>
            <w:vMerge w:val="restart"/>
            <w:shd w:val="clear" w:color="auto" w:fill="auto"/>
            <w:vAlign w:val="center"/>
            <w:hideMark/>
          </w:tcPr>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Identification de l’expertise en cours.</w:t>
            </w:r>
          </w:p>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L’UNFPA a finalisé les TDR de l’action A31 relative au forum de dialogue entre les média, les institutions et la société civile.</w:t>
            </w:r>
          </w:p>
          <w:p w:rsidR="004D6C60" w:rsidRPr="009B61CD" w:rsidRDefault="004D6C60" w:rsidP="009B61CD">
            <w:pPr>
              <w:pStyle w:val="ListParagraph"/>
              <w:numPr>
                <w:ilvl w:val="0"/>
                <w:numId w:val="40"/>
              </w:numPr>
              <w:ind w:left="147" w:hanging="147"/>
              <w:rPr>
                <w:rFonts w:ascii="Calibri" w:hAnsi="Calibri" w:cs="Calibri"/>
                <w:sz w:val="18"/>
                <w:szCs w:val="18"/>
                <w:lang w:val="fr-CA"/>
              </w:rPr>
            </w:pPr>
            <w:r w:rsidRPr="009B61CD">
              <w:rPr>
                <w:rFonts w:ascii="Calibri" w:hAnsi="Calibri" w:cs="Calibri"/>
                <w:sz w:val="18"/>
                <w:szCs w:val="18"/>
                <w:lang w:val="fr-CA"/>
              </w:rPr>
              <w:t>Recherche de l’expertise engagée.</w:t>
            </w:r>
          </w:p>
          <w:p w:rsidR="004D6C60" w:rsidRPr="009B61CD" w:rsidRDefault="004D6C60" w:rsidP="009B61CD">
            <w:pPr>
              <w:pStyle w:val="ListParagraph"/>
              <w:numPr>
                <w:ilvl w:val="0"/>
                <w:numId w:val="40"/>
              </w:numPr>
              <w:ind w:left="147" w:hanging="147"/>
              <w:rPr>
                <w:rFonts w:ascii="Calibri" w:hAnsi="Calibri" w:cs="Calibri"/>
                <w:sz w:val="18"/>
                <w:szCs w:val="18"/>
                <w:lang w:val="fr-CA"/>
              </w:rPr>
            </w:pPr>
            <w:bookmarkStart w:id="37" w:name="OLE_LINK2"/>
            <w:bookmarkStart w:id="38" w:name="RANGE!C41"/>
            <w:r w:rsidRPr="009B61CD">
              <w:rPr>
                <w:rFonts w:ascii="Calibri" w:hAnsi="Calibri" w:cs="Calibri"/>
                <w:sz w:val="18"/>
                <w:szCs w:val="18"/>
                <w:lang w:val="fr-CA"/>
              </w:rPr>
              <w:t>Activité dont le financement est  prévu pour la deuxième année, sera démarrée dans le courant 2012.</w:t>
            </w:r>
            <w:bookmarkEnd w:id="37"/>
            <w:bookmarkEnd w:id="38"/>
          </w:p>
        </w:tc>
      </w:tr>
      <w:tr w:rsidR="004D6C60" w:rsidRPr="0052245B" w:rsidTr="004D6C60">
        <w:trPr>
          <w:trHeight w:val="300"/>
        </w:trPr>
        <w:tc>
          <w:tcPr>
            <w:tcW w:w="4155" w:type="dxa"/>
            <w:vMerge/>
            <w:vAlign w:val="center"/>
            <w:hideMark/>
          </w:tcPr>
          <w:p w:rsidR="004D6C60" w:rsidRPr="009B61CD" w:rsidRDefault="004D6C60" w:rsidP="009B61CD">
            <w:pPr>
              <w:rPr>
                <w:rFonts w:ascii="Calibri" w:hAnsi="Calibri" w:cs="Calibri"/>
                <w:sz w:val="18"/>
                <w:szCs w:val="18"/>
                <w:lang w:val="fr-FR"/>
              </w:rPr>
            </w:pPr>
          </w:p>
        </w:tc>
        <w:tc>
          <w:tcPr>
            <w:tcW w:w="3060" w:type="dxa"/>
            <w:vMerge/>
            <w:vAlign w:val="center"/>
            <w:hideMark/>
          </w:tcPr>
          <w:p w:rsidR="004D6C60" w:rsidRPr="009B61CD" w:rsidRDefault="004D6C60" w:rsidP="009B61CD">
            <w:pPr>
              <w:rPr>
                <w:rFonts w:ascii="Calibri" w:hAnsi="Calibri" w:cs="Calibri"/>
                <w:sz w:val="18"/>
                <w:szCs w:val="18"/>
                <w:lang w:val="fr-FR"/>
              </w:rPr>
            </w:pPr>
          </w:p>
        </w:tc>
        <w:tc>
          <w:tcPr>
            <w:tcW w:w="7995" w:type="dxa"/>
            <w:vMerge/>
            <w:shd w:val="clear" w:color="auto" w:fill="auto"/>
            <w:vAlign w:val="center"/>
            <w:hideMark/>
          </w:tcPr>
          <w:p w:rsidR="004D6C60" w:rsidRPr="009B61CD" w:rsidRDefault="004D6C60" w:rsidP="009B61CD">
            <w:pPr>
              <w:rPr>
                <w:rFonts w:ascii="Calibri" w:hAnsi="Calibri" w:cs="Calibri"/>
                <w:sz w:val="18"/>
                <w:szCs w:val="18"/>
                <w:lang w:val="fr-FR"/>
              </w:rPr>
            </w:pPr>
          </w:p>
        </w:tc>
      </w:tr>
      <w:tr w:rsidR="004D6C60" w:rsidRPr="0052245B" w:rsidTr="004D6C60">
        <w:trPr>
          <w:trHeight w:val="300"/>
        </w:trPr>
        <w:tc>
          <w:tcPr>
            <w:tcW w:w="4155" w:type="dxa"/>
            <w:vMerge/>
            <w:vAlign w:val="center"/>
            <w:hideMark/>
          </w:tcPr>
          <w:p w:rsidR="004D6C60" w:rsidRPr="009B61CD" w:rsidRDefault="004D6C60" w:rsidP="009B61CD">
            <w:pPr>
              <w:rPr>
                <w:rFonts w:ascii="Calibri" w:hAnsi="Calibri" w:cs="Calibri"/>
                <w:sz w:val="18"/>
                <w:szCs w:val="18"/>
                <w:lang w:val="fr-FR"/>
              </w:rPr>
            </w:pPr>
          </w:p>
        </w:tc>
        <w:tc>
          <w:tcPr>
            <w:tcW w:w="3060" w:type="dxa"/>
            <w:vMerge/>
            <w:shd w:val="clear" w:color="auto" w:fill="auto"/>
            <w:vAlign w:val="center"/>
            <w:hideMark/>
          </w:tcPr>
          <w:p w:rsidR="004D6C60" w:rsidRPr="009B61CD" w:rsidRDefault="004D6C60" w:rsidP="009B61CD">
            <w:pPr>
              <w:rPr>
                <w:rFonts w:ascii="Calibri" w:hAnsi="Calibri" w:cs="Calibri"/>
                <w:sz w:val="18"/>
                <w:szCs w:val="18"/>
                <w:lang w:val="fr-FR"/>
              </w:rPr>
            </w:pPr>
          </w:p>
        </w:tc>
        <w:tc>
          <w:tcPr>
            <w:tcW w:w="7995" w:type="dxa"/>
            <w:vMerge/>
            <w:shd w:val="clear" w:color="auto" w:fill="auto"/>
            <w:vAlign w:val="center"/>
            <w:hideMark/>
          </w:tcPr>
          <w:p w:rsidR="004D6C60" w:rsidRPr="009B61CD" w:rsidRDefault="004D6C60" w:rsidP="009B61CD">
            <w:pPr>
              <w:rPr>
                <w:rFonts w:ascii="Calibri" w:hAnsi="Calibri" w:cs="Calibri"/>
                <w:sz w:val="18"/>
                <w:szCs w:val="18"/>
                <w:lang w:val="fr-FR"/>
              </w:rPr>
            </w:pPr>
          </w:p>
        </w:tc>
      </w:tr>
    </w:tbl>
    <w:p w:rsidR="00E645C5" w:rsidRPr="009B61CD" w:rsidRDefault="00E645C5" w:rsidP="009B61CD">
      <w:pPr>
        <w:rPr>
          <w:lang w:val="fr-FR"/>
        </w:rPr>
        <w:sectPr w:rsidR="00E645C5" w:rsidRPr="009B61CD" w:rsidSect="00D4303A">
          <w:pgSz w:w="16838" w:h="11906" w:orient="landscape"/>
          <w:pgMar w:top="1411" w:right="1411" w:bottom="1354" w:left="1411" w:header="706" w:footer="706" w:gutter="0"/>
          <w:cols w:space="708"/>
          <w:docGrid w:linePitch="360"/>
        </w:sectPr>
      </w:pPr>
    </w:p>
    <w:p w:rsidR="00637E87" w:rsidRDefault="00637E87" w:rsidP="00637E87">
      <w:pPr>
        <w:pStyle w:val="Heading1"/>
        <w:numPr>
          <w:ilvl w:val="0"/>
          <w:numId w:val="0"/>
        </w:numPr>
        <w:ind w:left="720"/>
        <w:jc w:val="center"/>
        <w:rPr>
          <w:lang w:val="fr-CA"/>
        </w:rPr>
      </w:pPr>
      <w:bookmarkStart w:id="39" w:name="_Toc322342027"/>
      <w:r w:rsidRPr="00424056">
        <w:rPr>
          <w:lang w:val="fr-CA"/>
        </w:rPr>
        <w:lastRenderedPageBreak/>
        <w:t xml:space="preserve">Annexe </w:t>
      </w:r>
      <w:r>
        <w:rPr>
          <w:lang w:val="fr-CA"/>
        </w:rPr>
        <w:t>2</w:t>
      </w:r>
      <w:r w:rsidRPr="00424056">
        <w:rPr>
          <w:lang w:val="fr-CA"/>
        </w:rPr>
        <w:t xml:space="preserve"> - Proposition de reformulation du Cadre Logique</w:t>
      </w:r>
      <w:bookmarkEnd w:id="39"/>
    </w:p>
    <w:p w:rsidR="00637E87" w:rsidRPr="00AE26BC" w:rsidRDefault="00637E87" w:rsidP="00637E87">
      <w:pPr>
        <w:rPr>
          <w:lang w:val="fr-FR"/>
        </w:rPr>
      </w:pPr>
    </w:p>
    <w:p w:rsidR="00637E87" w:rsidRDefault="00637E87" w:rsidP="00637E87">
      <w:pPr>
        <w:rPr>
          <w:highlight w:val="lightGray"/>
          <w:lang w:val="fr-CA"/>
        </w:rPr>
      </w:pPr>
    </w:p>
    <w:tbl>
      <w:tblPr>
        <w:tblW w:w="15682" w:type="dxa"/>
        <w:tblInd w:w="-522" w:type="dxa"/>
        <w:tblBorders>
          <w:insideH w:val="dotted" w:sz="4" w:space="0" w:color="auto"/>
          <w:insideV w:val="dotted" w:sz="4" w:space="0" w:color="auto"/>
        </w:tblBorders>
        <w:tblLayout w:type="fixed"/>
        <w:tblLook w:val="04A0" w:firstRow="1" w:lastRow="0" w:firstColumn="1" w:lastColumn="0" w:noHBand="0" w:noVBand="1"/>
      </w:tblPr>
      <w:tblGrid>
        <w:gridCol w:w="3060"/>
        <w:gridCol w:w="630"/>
        <w:gridCol w:w="450"/>
        <w:gridCol w:w="789"/>
        <w:gridCol w:w="831"/>
        <w:gridCol w:w="900"/>
        <w:gridCol w:w="820"/>
        <w:gridCol w:w="1070"/>
        <w:gridCol w:w="917"/>
        <w:gridCol w:w="354"/>
        <w:gridCol w:w="3161"/>
        <w:gridCol w:w="2700"/>
      </w:tblGrid>
      <w:tr w:rsidR="00637E87" w:rsidRPr="00424056" w:rsidTr="007776CF">
        <w:trPr>
          <w:cantSplit/>
          <w:trHeight w:val="857"/>
          <w:tblHeader/>
        </w:trPr>
        <w:tc>
          <w:tcPr>
            <w:tcW w:w="3060" w:type="dxa"/>
            <w:shd w:val="clear" w:color="auto" w:fill="auto"/>
            <w:vAlign w:val="center"/>
            <w:hideMark/>
          </w:tcPr>
          <w:p w:rsidR="00637E87" w:rsidRPr="00424056" w:rsidRDefault="00637E87" w:rsidP="007776CF">
            <w:pPr>
              <w:jc w:val="center"/>
              <w:rPr>
                <w:rFonts w:ascii="Calibri" w:hAnsi="Calibri" w:cs="Calibri"/>
                <w:bCs/>
                <w:sz w:val="16"/>
                <w:szCs w:val="16"/>
                <w:lang w:val="fr-FR"/>
              </w:rPr>
            </w:pPr>
            <w:r w:rsidRPr="00424056">
              <w:rPr>
                <w:rFonts w:ascii="Calibri" w:hAnsi="Calibri" w:cs="Calibri"/>
                <w:bCs/>
                <w:sz w:val="16"/>
                <w:szCs w:val="16"/>
                <w:lang w:val="fr-FR"/>
              </w:rPr>
              <w:t>Activité</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bCs/>
                <w:sz w:val="16"/>
                <w:szCs w:val="16"/>
                <w:lang w:val="fr-FR"/>
              </w:rPr>
            </w:pPr>
            <w:r w:rsidRPr="00A24E98">
              <w:rPr>
                <w:rFonts w:asciiTheme="minorHAnsi" w:hAnsiTheme="minorHAnsi" w:cstheme="minorHAnsi"/>
                <w:bCs/>
                <w:sz w:val="16"/>
                <w:szCs w:val="16"/>
                <w:lang w:val="fr-FR"/>
              </w:rPr>
              <w:t>Agence</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bCs/>
                <w:sz w:val="16"/>
                <w:szCs w:val="16"/>
                <w:lang w:val="fr-FR"/>
              </w:rPr>
            </w:pPr>
            <w:r w:rsidRPr="00A24E98">
              <w:rPr>
                <w:rFonts w:asciiTheme="minorHAnsi" w:hAnsiTheme="minorHAnsi" w:cstheme="minorHAnsi"/>
                <w:bCs/>
                <w:sz w:val="16"/>
                <w:szCs w:val="16"/>
                <w:lang w:val="fr-FR"/>
              </w:rPr>
              <w:t>Ministère</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bCs/>
                <w:sz w:val="16"/>
                <w:szCs w:val="16"/>
                <w:lang w:val="fr-FR"/>
              </w:rPr>
            </w:pPr>
            <w:r w:rsidRPr="00424056">
              <w:rPr>
                <w:rFonts w:asciiTheme="minorHAnsi" w:hAnsiTheme="minorHAnsi" w:cstheme="minorHAnsi"/>
                <w:bCs/>
                <w:sz w:val="16"/>
                <w:szCs w:val="16"/>
                <w:lang w:val="fr-FR"/>
              </w:rPr>
              <w:t>Budget total initial</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bCs/>
                <w:sz w:val="16"/>
                <w:szCs w:val="16"/>
                <w:lang w:val="fr-FR"/>
              </w:rPr>
            </w:pPr>
            <w:r w:rsidRPr="00424056">
              <w:rPr>
                <w:rFonts w:asciiTheme="minorHAnsi" w:hAnsiTheme="minorHAnsi" w:cstheme="minorHAnsi"/>
                <w:bCs/>
                <w:sz w:val="16"/>
                <w:szCs w:val="16"/>
                <w:lang w:val="fr-FR"/>
              </w:rPr>
              <w:t>Montant total transféré</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bCs/>
                <w:sz w:val="16"/>
                <w:szCs w:val="16"/>
                <w:lang w:val="fr-FR"/>
              </w:rPr>
            </w:pPr>
            <w:r w:rsidRPr="00424056">
              <w:rPr>
                <w:rFonts w:asciiTheme="minorHAnsi" w:hAnsiTheme="minorHAnsi" w:cstheme="minorHAnsi"/>
                <w:bCs/>
                <w:sz w:val="16"/>
                <w:szCs w:val="16"/>
                <w:lang w:val="fr-FR"/>
              </w:rPr>
              <w:t>Montant total déboursé</w:t>
            </w:r>
          </w:p>
        </w:tc>
        <w:tc>
          <w:tcPr>
            <w:tcW w:w="820" w:type="dxa"/>
            <w:shd w:val="clear" w:color="auto" w:fill="auto"/>
            <w:vAlign w:val="center"/>
            <w:hideMark/>
          </w:tcPr>
          <w:p w:rsidR="00637E87" w:rsidRPr="00424056" w:rsidRDefault="00637E87" w:rsidP="007776CF">
            <w:pPr>
              <w:jc w:val="center"/>
              <w:rPr>
                <w:rFonts w:asciiTheme="minorHAnsi" w:hAnsiTheme="minorHAnsi" w:cstheme="minorHAnsi"/>
                <w:i/>
                <w:iCs/>
                <w:sz w:val="16"/>
                <w:szCs w:val="16"/>
                <w:lang w:val="fr-FR"/>
              </w:rPr>
            </w:pPr>
            <w:r w:rsidRPr="00424056">
              <w:rPr>
                <w:rFonts w:asciiTheme="minorHAnsi" w:hAnsiTheme="minorHAnsi" w:cstheme="minorHAnsi"/>
                <w:i/>
                <w:iCs/>
                <w:sz w:val="16"/>
                <w:szCs w:val="16"/>
                <w:lang w:val="fr-FR"/>
              </w:rPr>
              <w:t>Activité déjà en cours?</w:t>
            </w:r>
          </w:p>
        </w:tc>
        <w:tc>
          <w:tcPr>
            <w:tcW w:w="1070" w:type="dxa"/>
            <w:shd w:val="clear" w:color="auto" w:fill="auto"/>
            <w:vAlign w:val="center"/>
            <w:hideMark/>
          </w:tcPr>
          <w:p w:rsidR="00637E87" w:rsidRPr="00424056" w:rsidRDefault="00637E87" w:rsidP="007776CF">
            <w:pPr>
              <w:jc w:val="center"/>
              <w:rPr>
                <w:rFonts w:ascii="Calibri" w:hAnsi="Calibri" w:cs="Calibri"/>
                <w:i/>
                <w:iCs/>
                <w:sz w:val="16"/>
                <w:szCs w:val="16"/>
                <w:lang w:val="fr-FR"/>
              </w:rPr>
            </w:pPr>
            <w:r w:rsidRPr="00424056">
              <w:rPr>
                <w:rFonts w:ascii="Calibri" w:hAnsi="Calibri" w:cs="Calibri"/>
                <w:i/>
                <w:iCs/>
                <w:sz w:val="16"/>
                <w:szCs w:val="16"/>
                <w:lang w:val="fr-FR"/>
              </w:rPr>
              <w:t>Etat de préparation avancée?</w:t>
            </w:r>
          </w:p>
        </w:tc>
        <w:tc>
          <w:tcPr>
            <w:tcW w:w="917" w:type="dxa"/>
            <w:shd w:val="clear" w:color="000000" w:fill="FFFFFF"/>
            <w:vAlign w:val="center"/>
            <w:hideMark/>
          </w:tcPr>
          <w:p w:rsidR="00637E87" w:rsidRPr="00331B57" w:rsidRDefault="00637E87" w:rsidP="007776CF">
            <w:pPr>
              <w:jc w:val="center"/>
              <w:rPr>
                <w:rFonts w:ascii="Calibri" w:hAnsi="Calibri" w:cs="Calibri"/>
                <w:i/>
                <w:iCs/>
                <w:sz w:val="15"/>
                <w:szCs w:val="15"/>
                <w:lang w:val="fr-FR"/>
              </w:rPr>
            </w:pPr>
            <w:r w:rsidRPr="00331B57">
              <w:rPr>
                <w:rFonts w:ascii="Calibri" w:hAnsi="Calibri" w:cs="Calibri"/>
                <w:i/>
                <w:iCs/>
                <w:sz w:val="15"/>
                <w:szCs w:val="15"/>
                <w:lang w:val="fr-FR"/>
              </w:rPr>
              <w:t>Peut-on facilement supprimer cette activité?</w:t>
            </w:r>
          </w:p>
        </w:tc>
        <w:tc>
          <w:tcPr>
            <w:tcW w:w="354" w:type="dxa"/>
            <w:shd w:val="clear" w:color="auto" w:fill="auto"/>
            <w:textDirection w:val="btLr"/>
            <w:vAlign w:val="center"/>
            <w:hideMark/>
          </w:tcPr>
          <w:p w:rsidR="00637E87" w:rsidRPr="00424056" w:rsidRDefault="00637E87" w:rsidP="007776CF">
            <w:pPr>
              <w:ind w:left="113" w:right="113"/>
              <w:jc w:val="center"/>
              <w:rPr>
                <w:rFonts w:ascii="Calibri" w:hAnsi="Calibri" w:cs="Calibri"/>
                <w:bCs/>
                <w:sz w:val="16"/>
                <w:szCs w:val="16"/>
                <w:lang w:val="fr-FR"/>
              </w:rPr>
            </w:pPr>
            <w:r w:rsidRPr="00424056">
              <w:rPr>
                <w:rFonts w:ascii="Calibri" w:hAnsi="Calibri" w:cs="Calibri"/>
                <w:bCs/>
                <w:sz w:val="16"/>
                <w:szCs w:val="16"/>
                <w:lang w:val="fr-FR"/>
              </w:rPr>
              <w:t>Statut</w:t>
            </w:r>
          </w:p>
        </w:tc>
        <w:tc>
          <w:tcPr>
            <w:tcW w:w="3161" w:type="dxa"/>
            <w:shd w:val="clear" w:color="auto" w:fill="auto"/>
            <w:vAlign w:val="center"/>
            <w:hideMark/>
          </w:tcPr>
          <w:p w:rsidR="00637E87" w:rsidRPr="00331B57" w:rsidRDefault="00637E87" w:rsidP="007776CF">
            <w:pPr>
              <w:jc w:val="center"/>
              <w:rPr>
                <w:rFonts w:ascii="Calibri" w:hAnsi="Calibri" w:cs="Calibri"/>
                <w:bCs/>
                <w:i/>
                <w:sz w:val="16"/>
                <w:szCs w:val="16"/>
                <w:lang w:val="fr-FR"/>
              </w:rPr>
            </w:pPr>
            <w:r w:rsidRPr="00331B57">
              <w:rPr>
                <w:rFonts w:ascii="Calibri" w:hAnsi="Calibri" w:cs="Calibri"/>
                <w:bCs/>
                <w:i/>
                <w:sz w:val="16"/>
                <w:szCs w:val="16"/>
                <w:lang w:val="fr-FR"/>
              </w:rPr>
              <w:t xml:space="preserve">  Commentaires de l'évaluation</w:t>
            </w:r>
          </w:p>
          <w:p w:rsidR="00637E87" w:rsidRPr="00331B57" w:rsidRDefault="00637E87" w:rsidP="007776CF">
            <w:pPr>
              <w:jc w:val="center"/>
              <w:rPr>
                <w:rFonts w:ascii="Calibri" w:hAnsi="Calibri" w:cs="Calibri"/>
                <w:bCs/>
                <w:i/>
                <w:sz w:val="16"/>
                <w:szCs w:val="16"/>
                <w:lang w:val="fr-FR"/>
              </w:rPr>
            </w:pPr>
            <w:r w:rsidRPr="00331B57">
              <w:rPr>
                <w:rFonts w:ascii="Calibri" w:hAnsi="Calibri" w:cs="Calibri"/>
                <w:bCs/>
                <w:i/>
                <w:sz w:val="16"/>
                <w:szCs w:val="16"/>
                <w:lang w:val="fr-FR"/>
              </w:rPr>
              <w:t xml:space="preserve"> à mi-parcours</w:t>
            </w:r>
          </w:p>
        </w:tc>
        <w:tc>
          <w:tcPr>
            <w:tcW w:w="2700" w:type="dxa"/>
            <w:shd w:val="clear" w:color="auto" w:fill="auto"/>
            <w:vAlign w:val="center"/>
            <w:hideMark/>
          </w:tcPr>
          <w:p w:rsidR="00637E87" w:rsidRPr="00424056" w:rsidRDefault="00637E87" w:rsidP="007776CF">
            <w:pPr>
              <w:jc w:val="center"/>
              <w:rPr>
                <w:rFonts w:ascii="Calibri" w:hAnsi="Calibri" w:cs="Calibri"/>
                <w:bCs/>
                <w:sz w:val="16"/>
                <w:szCs w:val="16"/>
                <w:lang w:val="fr-FR"/>
              </w:rPr>
            </w:pPr>
            <w:r w:rsidRPr="00424056">
              <w:rPr>
                <w:rFonts w:ascii="Calibri" w:hAnsi="Calibri" w:cs="Calibri"/>
                <w:bCs/>
                <w:sz w:val="16"/>
                <w:szCs w:val="16"/>
                <w:lang w:val="fr-FR"/>
              </w:rPr>
              <w:t>Reformulation proposée</w:t>
            </w:r>
          </w:p>
        </w:tc>
      </w:tr>
      <w:tr w:rsidR="00637E87" w:rsidRPr="0052245B" w:rsidTr="007776CF">
        <w:trPr>
          <w:cantSplit/>
          <w:trHeight w:val="1216"/>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A1. Audit Genre de différ</w:t>
            </w:r>
            <w:r>
              <w:rPr>
                <w:rFonts w:ascii="Calibri" w:hAnsi="Calibri" w:cs="Calibri"/>
                <w:sz w:val="16"/>
                <w:szCs w:val="16"/>
                <w:lang w:val="fr-FR"/>
              </w:rPr>
              <w:t xml:space="preserve">ents secteurs socio-économiques </w:t>
            </w:r>
            <w:r w:rsidRPr="008D0832">
              <w:rPr>
                <w:rFonts w:ascii="Calibri" w:hAnsi="Calibri" w:cs="Calibri"/>
                <w:sz w:val="16"/>
                <w:szCs w:val="16"/>
                <w:lang w:val="fr-FR"/>
              </w:rPr>
              <w:t>: cibler les institutions</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UNFPA</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MESRS</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110,000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110,000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7,000</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oui</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na</w:t>
            </w:r>
          </w:p>
        </w:tc>
        <w:tc>
          <w:tcPr>
            <w:tcW w:w="917" w:type="dxa"/>
            <w:shd w:val="thinReverseDiagStripe"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 xml:space="preserve">Risque de ne se faire qu'au sein du MADR, à moins que les décideurs au plus haut niveau des 3 autres ministères ne soient sensibilisés. Titre de l'étude à modifier, car le terme audit n'est pas approprié et est source de confusion et de problème. </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Réalisation d'une enquête sur l'intégration de la dimension genre dans les politiques et stratégies sectorielles dans deux secteurs clés pour l'emploi des femmes</w:t>
            </w:r>
          </w:p>
        </w:tc>
      </w:tr>
      <w:tr w:rsidR="00637E87" w:rsidRPr="0052245B" w:rsidTr="007776CF">
        <w:trPr>
          <w:cantSplit/>
          <w:trHeight w:val="1081"/>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A2. Sous-traitance de la réalisation l’enquête budget temps avec une institution nationale</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ONU Femmes</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MDCFCF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360,000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54 670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2,009</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oui</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na</w:t>
            </w:r>
          </w:p>
        </w:tc>
        <w:tc>
          <w:tcPr>
            <w:tcW w:w="917" w:type="dxa"/>
            <w:shd w:val="thinReverseDiagStripe"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Cette étude est assez importante car elle n'a jamais été réalisée. Les ambitions sont que les résultats permettent de quantifier la contribution des femmes à la formation du PIB. Le budget est à augmenter.</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Réalisation d'une enquête nationale « Budget-temps », avec large diffusion des résultats</w:t>
            </w:r>
          </w:p>
        </w:tc>
      </w:tr>
      <w:tr w:rsidR="00637E87" w:rsidRPr="0052245B" w:rsidTr="007776CF">
        <w:trPr>
          <w:cantSplit/>
          <w:trHeight w:val="604"/>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A3. Conception et mise en place de la Banque de Données (BD) sexospécifiques</w:t>
            </w:r>
            <w:r>
              <w:rPr>
                <w:rFonts w:ascii="Calibri" w:hAnsi="Calibri" w:cs="Calibri"/>
                <w:sz w:val="16"/>
                <w:szCs w:val="16"/>
                <w:lang w:val="fr-FR"/>
              </w:rPr>
              <w:t xml:space="preserve"> et f</w:t>
            </w:r>
            <w:r w:rsidRPr="008D0832">
              <w:rPr>
                <w:rFonts w:ascii="Calibri" w:hAnsi="Calibri" w:cs="Calibri"/>
                <w:sz w:val="16"/>
                <w:szCs w:val="16"/>
                <w:lang w:val="fr-FR"/>
              </w:rPr>
              <w:t>ormation des gestionnaires de la BD</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MPS</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70,000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40,000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oui</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na</w:t>
            </w:r>
          </w:p>
        </w:tc>
        <w:tc>
          <w:tcPr>
            <w:tcW w:w="917" w:type="dxa"/>
            <w:shd w:val="clear" w:color="000000" w:fill="FFFFFF"/>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Activité déjà en cours, mais discussion autour de la question de la localisation de la base de données.</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Mise en place d'une base de données centralisée pour l'analyse de données sexospécifiques et la diffusion des résultats d’analyses « genre »</w:t>
            </w:r>
          </w:p>
        </w:tc>
      </w:tr>
      <w:tr w:rsidR="00637E87" w:rsidRPr="008D0832" w:rsidTr="007776CF">
        <w:trPr>
          <w:cantSplit/>
          <w:trHeight w:val="901"/>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A4. Réalisation d’une étude sur l’impact genre du processus de libéralisation économique</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ONU Femmes</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MPS</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40,000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63,900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13,678</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oui</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na</w:t>
            </w:r>
          </w:p>
        </w:tc>
        <w:tc>
          <w:tcPr>
            <w:tcW w:w="917" w:type="dxa"/>
            <w:shd w:val="clear" w:color="000000" w:fill="FFFFFF"/>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 xml:space="preserve">Cette étude </w:t>
            </w:r>
            <w:r w:rsidR="00FC6FF4">
              <w:rPr>
                <w:rFonts w:ascii="Calibri" w:hAnsi="Calibri" w:cs="Calibri"/>
                <w:i/>
                <w:sz w:val="16"/>
                <w:szCs w:val="16"/>
                <w:lang w:val="fr-FR"/>
              </w:rPr>
              <w:t>paraît</w:t>
            </w:r>
            <w:r w:rsidRPr="00331B57">
              <w:rPr>
                <w:rFonts w:ascii="Calibri" w:hAnsi="Calibri" w:cs="Calibri"/>
                <w:i/>
                <w:sz w:val="16"/>
                <w:szCs w:val="16"/>
                <w:lang w:val="fr-FR"/>
              </w:rPr>
              <w:t xml:space="preserve"> compliquée à réaliser et une partie du budget a été consommée pour rien. Qui va la réaliser? En quoi est-elle indispensable?</w:t>
            </w:r>
          </w:p>
        </w:tc>
        <w:tc>
          <w:tcPr>
            <w:tcW w:w="2700" w:type="dxa"/>
            <w:shd w:val="clear" w:color="auto" w:fill="auto"/>
            <w:vAlign w:val="center"/>
            <w:hideMark/>
          </w:tcPr>
          <w:p w:rsidR="00637E87" w:rsidRPr="008D0832" w:rsidRDefault="00637E87" w:rsidP="007776CF">
            <w:pPr>
              <w:jc w:val="center"/>
              <w:rPr>
                <w:rFonts w:ascii="Calibri" w:hAnsi="Calibri" w:cs="Calibri"/>
                <w:i/>
                <w:iCs/>
                <w:sz w:val="16"/>
                <w:szCs w:val="16"/>
                <w:lang w:val="fr-FR"/>
              </w:rPr>
            </w:pPr>
            <w:r w:rsidRPr="008D0832">
              <w:rPr>
                <w:rFonts w:ascii="Calibri" w:hAnsi="Calibri" w:cs="Calibri"/>
                <w:i/>
                <w:iCs/>
                <w:sz w:val="16"/>
                <w:szCs w:val="16"/>
                <w:lang w:val="fr-FR"/>
              </w:rPr>
              <w:t>(A supprimer ?)</w:t>
            </w:r>
          </w:p>
        </w:tc>
      </w:tr>
      <w:tr w:rsidR="00637E87" w:rsidRPr="008D0832" w:rsidTr="007776CF">
        <w:trPr>
          <w:cantSplit/>
          <w:trHeight w:val="838"/>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A5. Formation des professionnels de la collecte de données des institutions nationales dans le traitement informatique des données sexospécifiques</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MPS</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212,000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107,000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 xml:space="preserve">Cette activité ne </w:t>
            </w:r>
            <w:r w:rsidR="00FC6FF4">
              <w:rPr>
                <w:rFonts w:ascii="Calibri" w:hAnsi="Calibri" w:cs="Calibri"/>
                <w:i/>
                <w:sz w:val="16"/>
                <w:szCs w:val="16"/>
                <w:lang w:val="fr-FR"/>
              </w:rPr>
              <w:t>paraît</w:t>
            </w:r>
            <w:r w:rsidRPr="00331B57">
              <w:rPr>
                <w:rFonts w:ascii="Calibri" w:hAnsi="Calibri" w:cs="Calibri"/>
                <w:i/>
                <w:sz w:val="16"/>
                <w:szCs w:val="16"/>
                <w:lang w:val="fr-FR"/>
              </w:rPr>
              <w:t xml:space="preserve"> justifiée que si les institutions concernées adoptent de nouveaux indicateurs</w:t>
            </w:r>
          </w:p>
        </w:tc>
        <w:tc>
          <w:tcPr>
            <w:tcW w:w="2700" w:type="dxa"/>
            <w:shd w:val="clear" w:color="auto" w:fill="auto"/>
            <w:vAlign w:val="center"/>
            <w:hideMark/>
          </w:tcPr>
          <w:p w:rsidR="00637E87" w:rsidRPr="008D0832" w:rsidRDefault="00637E87" w:rsidP="007776CF">
            <w:pPr>
              <w:jc w:val="center"/>
              <w:rPr>
                <w:rFonts w:ascii="Calibri" w:hAnsi="Calibri" w:cs="Calibri"/>
                <w:i/>
                <w:iCs/>
                <w:sz w:val="16"/>
                <w:szCs w:val="16"/>
                <w:lang w:val="fr-FR"/>
              </w:rPr>
            </w:pPr>
            <w:r w:rsidRPr="008D0832">
              <w:rPr>
                <w:rFonts w:ascii="Calibri" w:hAnsi="Calibri" w:cs="Calibri"/>
                <w:i/>
                <w:iCs/>
                <w:sz w:val="16"/>
                <w:szCs w:val="16"/>
                <w:lang w:val="fr-FR"/>
              </w:rPr>
              <w:t>(A supprimer?)</w:t>
            </w:r>
          </w:p>
        </w:tc>
      </w:tr>
      <w:tr w:rsidR="00637E87" w:rsidRPr="0052245B" w:rsidTr="007776CF">
        <w:trPr>
          <w:cantSplit/>
          <w:trHeight w:val="1207"/>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A6.  Formation des responsables des institutions nationales en planification, de programmation à l’approche genre</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MDCFCF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50,000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50,000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Problème de pertinence, puisque la planification se fait au niveau local, le niveau central ne faisant que des arbitrages. Utile que si la formation se fait aussi au niveau des décideurs locaux. Si non, à supprimer.</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Sensibilisation des décideurs des ministères partenaires au plus haut niveau à l'approche genre et introduction aux principes de la BSG</w:t>
            </w:r>
          </w:p>
        </w:tc>
      </w:tr>
      <w:tr w:rsidR="00637E87" w:rsidRPr="0052245B" w:rsidTr="007776CF">
        <w:trPr>
          <w:cantSplit/>
          <w:trHeight w:val="523"/>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xml:space="preserve">A7. Réalisation d’une étude de faisabilité  de la BSG </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ONU Femmes</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50,000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14,600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18,605</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oui</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na</w:t>
            </w:r>
          </w:p>
        </w:tc>
        <w:tc>
          <w:tcPr>
            <w:tcW w:w="917" w:type="dxa"/>
            <w:shd w:val="thinReverseDiagStripe"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Excellente initiative, à capitaliser.</w:t>
            </w:r>
          </w:p>
        </w:tc>
        <w:tc>
          <w:tcPr>
            <w:tcW w:w="2700" w:type="dxa"/>
            <w:vMerge w:val="restart"/>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xml:space="preserve">(A7+A8+A9): Réalisation d’une étude approfondie sur la faisabilité de la </w:t>
            </w:r>
            <w:r w:rsidRPr="008D0832">
              <w:rPr>
                <w:rFonts w:ascii="Calibri" w:hAnsi="Calibri" w:cs="Calibri"/>
                <w:sz w:val="16"/>
                <w:szCs w:val="16"/>
                <w:lang w:val="fr-FR"/>
              </w:rPr>
              <w:lastRenderedPageBreak/>
              <w:t xml:space="preserve">BSG en Algérie, avec application pratique au sein du MADR dans la wilaya pilote de Djelfa </w:t>
            </w:r>
          </w:p>
        </w:tc>
      </w:tr>
      <w:tr w:rsidR="00637E87" w:rsidRPr="0052245B" w:rsidTr="007776CF">
        <w:trPr>
          <w:cantSplit/>
          <w:trHeight w:val="982"/>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lastRenderedPageBreak/>
              <w:t>A8 Formation des cadres responsables (chargés de la planification et de la budgétisation) des institutions nationales à la BSG et production de référentiels et de guides</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ONU Femmes</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100,000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Pr>
                <w:rFonts w:ascii="Calibri" w:hAnsi="Calibri" w:cs="Calibri"/>
                <w:i/>
                <w:sz w:val="16"/>
                <w:szCs w:val="16"/>
                <w:lang w:val="fr-FR"/>
              </w:rPr>
              <w:t xml:space="preserve">Réfléchir à la pertinence de cette activité et aux objectifs poursuivis. Revoir le budget en fonction des besoins réels et des possibilités. </w:t>
            </w:r>
          </w:p>
        </w:tc>
        <w:tc>
          <w:tcPr>
            <w:tcW w:w="2700" w:type="dxa"/>
            <w:vMerge/>
            <w:vAlign w:val="center"/>
            <w:hideMark/>
          </w:tcPr>
          <w:p w:rsidR="00637E87" w:rsidRPr="008D0832" w:rsidRDefault="00637E87" w:rsidP="007776CF">
            <w:pPr>
              <w:rPr>
                <w:rFonts w:ascii="Calibri" w:hAnsi="Calibri" w:cs="Calibri"/>
                <w:sz w:val="16"/>
                <w:szCs w:val="16"/>
                <w:lang w:val="fr-FR"/>
              </w:rPr>
            </w:pPr>
          </w:p>
        </w:tc>
      </w:tr>
      <w:tr w:rsidR="00637E87" w:rsidRPr="008D0832" w:rsidTr="007776CF">
        <w:trPr>
          <w:cantSplit/>
          <w:trHeight w:val="883"/>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lastRenderedPageBreak/>
              <w:t xml:space="preserve">A9. Appui au MTESS dans le processus de mise en place de la BSG (définition d’indicateurs de performance) avec application au niveau local </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ONU Femmes</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MADR</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40,000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Activité importante, à conserver</w:t>
            </w:r>
          </w:p>
        </w:tc>
        <w:tc>
          <w:tcPr>
            <w:tcW w:w="2700" w:type="dxa"/>
            <w:vMerge/>
            <w:vAlign w:val="center"/>
            <w:hideMark/>
          </w:tcPr>
          <w:p w:rsidR="00637E87" w:rsidRPr="008D0832" w:rsidRDefault="00637E87" w:rsidP="007776CF">
            <w:pPr>
              <w:rPr>
                <w:rFonts w:ascii="Calibri" w:hAnsi="Calibri" w:cs="Calibri"/>
                <w:sz w:val="16"/>
                <w:szCs w:val="16"/>
                <w:lang w:val="fr-FR"/>
              </w:rPr>
            </w:pPr>
          </w:p>
        </w:tc>
      </w:tr>
      <w:tr w:rsidR="00637E87" w:rsidRPr="0052245B" w:rsidTr="007776CF">
        <w:trPr>
          <w:cantSplit/>
          <w:trHeight w:val="811"/>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A10. Formation au niveau des collectivités locales pilotes (Djelfa et Tamanrasset) en planification, de programmation selon le genre</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MDCFCF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70,000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Activité importante, à conserver</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Formation des collectivités locales pilotes de Djelfa en planification et programmation sensible au genre, avec introduction des principes de la BSG</w:t>
            </w:r>
          </w:p>
        </w:tc>
      </w:tr>
      <w:tr w:rsidR="00637E87" w:rsidRPr="0052245B" w:rsidTr="007776CF">
        <w:trPr>
          <w:cantSplit/>
          <w:trHeight w:val="442"/>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A11. Formation des cadres des ONG, des organisations patronales et des syndicats de travailleurs en matière d’analyse genre et de plaidoyer sur le genre</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UNFPA</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MDCFCF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110,000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80,000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23,000</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oui</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na</w:t>
            </w:r>
          </w:p>
        </w:tc>
        <w:tc>
          <w:tcPr>
            <w:tcW w:w="917" w:type="dxa"/>
            <w:shd w:val="thinReverseDiagStripe"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Activité à étendre à d'autres acteurs (responsables de la planification dans les ministères)</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Formation des cadres des ONG nationales, ainsi qu'au niveau de Djelfa, en analyse genre et en plaidoyer sur le genre</w:t>
            </w:r>
          </w:p>
        </w:tc>
      </w:tr>
      <w:tr w:rsidR="00637E87" w:rsidRPr="0052245B" w:rsidTr="007776CF">
        <w:trPr>
          <w:cantSplit/>
          <w:trHeight w:val="739"/>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A12. Réalisation d’une étude  sur les obstacles des femmes face à l’emploi à travers l’exploitation  et l’analyse des données des enquêtes emploi  des 5 dernières années et des données de l’ANSEJ/ANEM</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BIT</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MDCFCF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110,000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110,000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oui</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thinReverseDiagStripe"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Contrat déjà signé, mais pour 60000 seulement. Budget à diminuer ?</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Réalisation d'une étude sur les contraintes et les opportunités pour l'emploi des femmes en Algérie.</w:t>
            </w:r>
          </w:p>
        </w:tc>
      </w:tr>
      <w:tr w:rsidR="00637E87" w:rsidRPr="008D0832" w:rsidTr="007776CF">
        <w:trPr>
          <w:cantSplit/>
          <w:trHeight w:val="370"/>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A13. Réalisation d’une enquête nationale  sur les conditions de travail et la demande du marché de l’emploi féminin</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BIT</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MTESS</w:t>
            </w:r>
            <w:r>
              <w:rPr>
                <w:rFonts w:asciiTheme="minorHAnsi" w:hAnsiTheme="minorHAnsi" w:cstheme="minorHAnsi"/>
                <w:sz w:val="16"/>
                <w:szCs w:val="16"/>
                <w:lang w:val="fr-FR"/>
              </w:rPr>
              <w:t>, MSNF</w:t>
            </w:r>
          </w:p>
        </w:tc>
        <w:tc>
          <w:tcPr>
            <w:tcW w:w="789" w:type="dxa"/>
            <w:shd w:val="clear" w:color="000000" w:fill="FFFFFF"/>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120,000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80,000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Activité a réduire en substance (le MTESS n'a pas les prérogatives nécessaires pour réaliser une étude sur les conditions de travail), L’autre aspect de l’étude peut être couvert par l’étude précédente ?</w:t>
            </w:r>
          </w:p>
        </w:tc>
        <w:tc>
          <w:tcPr>
            <w:tcW w:w="2700" w:type="dxa"/>
            <w:shd w:val="clear" w:color="auto" w:fill="auto"/>
            <w:vAlign w:val="center"/>
            <w:hideMark/>
          </w:tcPr>
          <w:p w:rsidR="00637E87" w:rsidRPr="008D0832" w:rsidRDefault="00637E87" w:rsidP="007776CF">
            <w:pPr>
              <w:jc w:val="center"/>
              <w:rPr>
                <w:rFonts w:ascii="Calibri" w:hAnsi="Calibri" w:cs="Calibri"/>
                <w:i/>
                <w:iCs/>
                <w:sz w:val="16"/>
                <w:szCs w:val="16"/>
                <w:lang w:val="fr-FR"/>
              </w:rPr>
            </w:pPr>
            <w:r w:rsidRPr="008D0832">
              <w:rPr>
                <w:rFonts w:ascii="Calibri" w:hAnsi="Calibri" w:cs="Calibri"/>
                <w:i/>
                <w:iCs/>
                <w:sz w:val="16"/>
                <w:szCs w:val="16"/>
                <w:lang w:val="fr-FR"/>
              </w:rPr>
              <w:t>(A supprimer?)</w:t>
            </w:r>
          </w:p>
        </w:tc>
      </w:tr>
      <w:tr w:rsidR="00637E87" w:rsidRPr="0052245B" w:rsidTr="007776CF">
        <w:trPr>
          <w:cantSplit/>
          <w:trHeight w:val="1000"/>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A14.Appui technique aux observatoires existants, intégrant l’analyse genre,  pour l’identification des facteurs qui entravent la transition de la formation vers l’emploi</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MESRS</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110,000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Les 3 observatoires identifiés dans le document de projet n'existent pas. La proposition du MDCFCF de travailler avec d'autres observatoires, Réorientation de l’activité nécessaire, avec réduction du champ initial.</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xml:space="preserve">Documentation de l'expérience des Observatoires de l'emploi féminin de Sonatrach et Sonelgaz, avec identification des facteurs clés et des obstacles au recrutement de personnel féminin et à sa promotion équitable </w:t>
            </w:r>
          </w:p>
        </w:tc>
      </w:tr>
      <w:tr w:rsidR="00637E87" w:rsidRPr="0052245B" w:rsidTr="007776CF">
        <w:trPr>
          <w:cantSplit/>
          <w:trHeight w:val="1252"/>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lastRenderedPageBreak/>
              <w:t>A15.Renforcement des capacités des institutions de la formation professionnelle travaillant pour l’adaptation de la formation aux besoins du marché du travail</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BIT</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MFEP</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40,000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5,000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thinReverseDiagStripe"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Reformuler vers une évaluation des programmes de formation en direction des femmes, avec formulation de recommandations concrètes pour les améliorer. Si le temps le permet, aller plus loin.</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Réalisation d'une étude approfondie sur l'efficacité des programmes de formation professionnelle ciblant les femmes et les jeunes filles et visant à leur autonomisation (impact en termes d’intégration professionnelle et économique des bénéficiaires).</w:t>
            </w:r>
          </w:p>
        </w:tc>
      </w:tr>
      <w:tr w:rsidR="00637E87" w:rsidRPr="008D0832" w:rsidTr="007776CF">
        <w:trPr>
          <w:cantSplit/>
          <w:trHeight w:val="1036"/>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A16. Conception et mise en place d’un outil de suivi et d’évaluation du marché du travail. Cet outil vise à évaluer le flux (entrée/sortie) des PAMT sur les trois dernières années, en particulier les contraintes d’accès et les obstacles à l’insertion des femmes dans les PAMT.</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BIT</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MTESS</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110,000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30,000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Activité intéressante, mais à ne conserver que si l'expert du BIT est mobilisé avant la fin du premier trimestre 2012</w:t>
            </w:r>
          </w:p>
        </w:tc>
        <w:tc>
          <w:tcPr>
            <w:tcW w:w="2700" w:type="dxa"/>
            <w:shd w:val="clear" w:color="auto" w:fill="auto"/>
            <w:vAlign w:val="center"/>
            <w:hideMark/>
          </w:tcPr>
          <w:p w:rsidR="00637E87" w:rsidRPr="008D0832" w:rsidRDefault="00637E87" w:rsidP="007776CF">
            <w:pPr>
              <w:jc w:val="center"/>
              <w:rPr>
                <w:rFonts w:ascii="Calibri" w:hAnsi="Calibri" w:cs="Calibri"/>
                <w:sz w:val="20"/>
                <w:szCs w:val="20"/>
                <w:lang w:val="fr-FR"/>
              </w:rPr>
            </w:pPr>
            <w:r w:rsidRPr="008D0832">
              <w:rPr>
                <w:rFonts w:ascii="Calibri" w:hAnsi="Calibri" w:cs="Calibri"/>
                <w:sz w:val="20"/>
                <w:szCs w:val="20"/>
                <w:lang w:val="fr-FR"/>
              </w:rPr>
              <w:t>N/A</w:t>
            </w:r>
          </w:p>
        </w:tc>
      </w:tr>
      <w:tr w:rsidR="00637E87" w:rsidRPr="0052245B" w:rsidTr="007776CF">
        <w:trPr>
          <w:cantSplit/>
          <w:trHeight w:val="469"/>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A17.  Renforcement des connaissances des ONG et des partenaires sociaux sur les dispositifs de création d’emplois existants pour agir en tant que vecteur d’information pour les femmes.</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BIT</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Réseau OSC</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40,000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5,000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 xml:space="preserve">Réfléchir à l’utilité  et la pertinence de cette formation dans l’hypothèse où les dispositifs existants ne soient pas performants. Un état des lieux s’impose avant toute autre action. </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Réalisation d'un état des lieux sur les dispositifs de création d'emplois existants, avec évaluation de leur performance et de leur efficacité</w:t>
            </w:r>
          </w:p>
        </w:tc>
      </w:tr>
      <w:tr w:rsidR="00637E87" w:rsidRPr="008D0832" w:rsidTr="007776CF">
        <w:trPr>
          <w:cantSplit/>
          <w:trHeight w:val="487"/>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A18. Formation de formateurs/trices pour appuyer la création et la gestion de micro entreprises et le développement de l’entreprenariat des femmes. (CREE/GERME et WEDGE.)</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BIT</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MTESS</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170,000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Budget à réévaluer en fonction du nombre de sessions et formateurs. Activité à mettre en œuvre en relation avec A21</w:t>
            </w:r>
          </w:p>
        </w:tc>
        <w:tc>
          <w:tcPr>
            <w:tcW w:w="2700" w:type="dxa"/>
            <w:shd w:val="clear" w:color="auto" w:fill="auto"/>
            <w:vAlign w:val="center"/>
            <w:hideMark/>
          </w:tcPr>
          <w:p w:rsidR="00637E87" w:rsidRPr="008D0832" w:rsidRDefault="00637E87" w:rsidP="007776CF">
            <w:pPr>
              <w:jc w:val="center"/>
              <w:rPr>
                <w:rFonts w:ascii="Calibri" w:hAnsi="Calibri" w:cs="Calibri"/>
                <w:sz w:val="20"/>
                <w:szCs w:val="20"/>
                <w:lang w:val="fr-FR"/>
              </w:rPr>
            </w:pPr>
            <w:r w:rsidRPr="008D0832">
              <w:rPr>
                <w:rFonts w:ascii="Calibri" w:hAnsi="Calibri" w:cs="Calibri"/>
                <w:sz w:val="20"/>
                <w:szCs w:val="20"/>
                <w:lang w:val="fr-FR"/>
              </w:rPr>
              <w:t>N/A</w:t>
            </w:r>
          </w:p>
        </w:tc>
      </w:tr>
      <w:tr w:rsidR="00637E87" w:rsidRPr="0052245B" w:rsidTr="007776CF">
        <w:trPr>
          <w:cantSplit/>
          <w:trHeight w:val="85"/>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A19. Assistance technique à l’incubateur pilote pour le conseil/accompagnement des femmes entrepreneurs.</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ONU Femmes</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MTA</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100,000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Activité importante, mais pas absolument essentielle. Deux options possibles, dont une semble plus rapide à mettre en œuvre et permettant davantage de synergies avec d’autres activités du programme (Option MTA). Définir les localités les plus appropriées.</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xml:space="preserve">Appui à la Chambre de l'artisanat et des métiers et/ou au Centre de formation professionnelle aux métiers de l’artisanat (à </w:t>
            </w:r>
            <w:r w:rsidRPr="008D0832">
              <w:rPr>
                <w:rFonts w:ascii="Calibri" w:hAnsi="Calibri" w:cs="Calibri"/>
                <w:i/>
                <w:iCs/>
                <w:sz w:val="16"/>
                <w:szCs w:val="16"/>
                <w:lang w:val="fr-FR"/>
              </w:rPr>
              <w:t>Djelfa? Tipaza? Tamanrasset?</w:t>
            </w:r>
            <w:r w:rsidRPr="008D0832">
              <w:rPr>
                <w:rFonts w:ascii="Calibri" w:hAnsi="Calibri" w:cs="Calibri"/>
                <w:sz w:val="16"/>
                <w:szCs w:val="16"/>
                <w:lang w:val="fr-FR"/>
              </w:rPr>
              <w:t>) pour un meilleur accompagnement des micro-projets des femmes en zone rurale</w:t>
            </w:r>
          </w:p>
        </w:tc>
      </w:tr>
      <w:tr w:rsidR="00637E87" w:rsidRPr="008D0832" w:rsidTr="007776CF">
        <w:trPr>
          <w:cantSplit/>
          <w:trHeight w:val="640"/>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A20.Aide à la création d’activités pilotes, de parrainage entre les  entrepreneurs potentiels et les grandes entreprises privées.</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ONUDI</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MIPME</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40,000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Activité à supprimer. Le budget est insuffisant pour que l'ONUDI mène les travaux à bien, et l'importance stratégique de l'activité  ne justifie pas les efforts à déployer dans un laps de temps court.</w:t>
            </w:r>
          </w:p>
        </w:tc>
        <w:tc>
          <w:tcPr>
            <w:tcW w:w="2700" w:type="dxa"/>
            <w:shd w:val="clear" w:color="auto" w:fill="auto"/>
            <w:vAlign w:val="center"/>
            <w:hideMark/>
          </w:tcPr>
          <w:p w:rsidR="00637E87" w:rsidRPr="008D0832" w:rsidRDefault="00637E87" w:rsidP="007776CF">
            <w:pPr>
              <w:jc w:val="center"/>
              <w:rPr>
                <w:rFonts w:ascii="Calibri" w:hAnsi="Calibri" w:cs="Calibri"/>
                <w:i/>
                <w:iCs/>
                <w:sz w:val="16"/>
                <w:szCs w:val="16"/>
                <w:lang w:val="fr-FR"/>
              </w:rPr>
            </w:pPr>
            <w:r w:rsidRPr="008D0832">
              <w:rPr>
                <w:rFonts w:ascii="Calibri" w:hAnsi="Calibri" w:cs="Calibri"/>
                <w:i/>
                <w:iCs/>
                <w:sz w:val="16"/>
                <w:szCs w:val="16"/>
                <w:lang w:val="fr-FR"/>
              </w:rPr>
              <w:t>(A supprimer)</w:t>
            </w:r>
          </w:p>
        </w:tc>
      </w:tr>
      <w:tr w:rsidR="00637E87" w:rsidRPr="0052245B" w:rsidTr="007776CF">
        <w:trPr>
          <w:cantSplit/>
          <w:trHeight w:val="388"/>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A21. Réalisation d’une étude sur les a</w:t>
            </w:r>
            <w:r>
              <w:rPr>
                <w:rFonts w:ascii="Calibri" w:hAnsi="Calibri" w:cs="Calibri"/>
                <w:color w:val="000000"/>
                <w:sz w:val="16"/>
                <w:szCs w:val="16"/>
                <w:lang w:val="fr-FR"/>
              </w:rPr>
              <w:t>ctivités génératrices de revenu</w:t>
            </w:r>
            <w:r w:rsidRPr="008D0832">
              <w:rPr>
                <w:rFonts w:ascii="Calibri" w:hAnsi="Calibri" w:cs="Calibri"/>
                <w:color w:val="000000"/>
                <w:sz w:val="16"/>
                <w:szCs w:val="16"/>
                <w:lang w:val="fr-FR"/>
              </w:rPr>
              <w:t xml:space="preserve">s notamment en matière de ressources et de savoir </w:t>
            </w:r>
            <w:r>
              <w:rPr>
                <w:rFonts w:ascii="Calibri" w:hAnsi="Calibri" w:cs="Calibri"/>
                <w:color w:val="000000"/>
                <w:sz w:val="16"/>
                <w:szCs w:val="16"/>
                <w:lang w:val="fr-FR"/>
              </w:rPr>
              <w:t>-f</w:t>
            </w:r>
            <w:r w:rsidRPr="008D0832">
              <w:rPr>
                <w:rFonts w:ascii="Calibri" w:hAnsi="Calibri" w:cs="Calibri"/>
                <w:color w:val="000000"/>
                <w:sz w:val="16"/>
                <w:szCs w:val="16"/>
                <w:lang w:val="fr-FR"/>
              </w:rPr>
              <w:t>aire</w:t>
            </w:r>
            <w:r>
              <w:rPr>
                <w:rFonts w:ascii="Calibri" w:hAnsi="Calibri" w:cs="Calibri"/>
                <w:color w:val="000000"/>
                <w:sz w:val="16"/>
                <w:szCs w:val="16"/>
                <w:lang w:val="fr-FR"/>
              </w:rPr>
              <w:t>s</w:t>
            </w:r>
            <w:r w:rsidRPr="008D0832">
              <w:rPr>
                <w:rFonts w:ascii="Calibri" w:hAnsi="Calibri" w:cs="Calibri"/>
                <w:color w:val="000000"/>
                <w:sz w:val="16"/>
                <w:szCs w:val="16"/>
                <w:lang w:val="fr-FR"/>
              </w:rPr>
              <w:t xml:space="preserve"> locaux</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MADR</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15,000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thinReverseDiagStripe"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Etude importante et le budget semble insuffisant? Etablir un lien avec les activités ONUSIDA et l'évaluation sur l'offre de formation professionnelle (ainsi qu'avec A19)</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Réalisation d'une étude technico-économique sur l'état des activités génératrices de revenus dans les wilayas de Djelfa et de Tamanrasset</w:t>
            </w:r>
          </w:p>
        </w:tc>
      </w:tr>
      <w:tr w:rsidR="00637E87" w:rsidRPr="0052245B" w:rsidTr="007776CF">
        <w:trPr>
          <w:cantSplit/>
          <w:trHeight w:val="478"/>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lastRenderedPageBreak/>
              <w:t>A22. Aide à la  création d’un centre d’information et d’accompagnement en microprojets dans la wilaya de Djelfa adaptés aux femmes illettrées et vulnérables.</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MIPME</w:t>
            </w:r>
            <w:r>
              <w:rPr>
                <w:rFonts w:asciiTheme="minorHAnsi" w:hAnsiTheme="minorHAnsi" w:cstheme="minorHAnsi"/>
                <w:sz w:val="16"/>
                <w:szCs w:val="16"/>
                <w:lang w:val="fr-FR"/>
              </w:rPr>
              <w:t>, MSNF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40,000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40,000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9,877</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oui</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na</w:t>
            </w:r>
          </w:p>
        </w:tc>
        <w:tc>
          <w:tcPr>
            <w:tcW w:w="917" w:type="dxa"/>
            <w:shd w:val="thinReverseDiagStripe"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Budget à augmenter de 50.000, pour un budget total de 90.000?</w:t>
            </w:r>
          </w:p>
        </w:tc>
        <w:tc>
          <w:tcPr>
            <w:tcW w:w="2700" w:type="dxa"/>
            <w:vMerge w:val="restart"/>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A22+A22bis: Un centre pilote d'information et d'accompagnement en micro-projets des femmes rurales, adapte aux besoins des femmes illettrées et vulnérables, est créé à Djelfa</w:t>
            </w:r>
          </w:p>
        </w:tc>
      </w:tr>
      <w:tr w:rsidR="00637E87" w:rsidRPr="008D0832" w:rsidTr="007776CF">
        <w:trPr>
          <w:cantSplit/>
          <w:trHeight w:val="85"/>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A22bis. Appui dans la conception de programmes pour l’adaptation du centre aux femmes illettrées</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UNICEF</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Réseau OSC</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100,000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20"/>
                <w:szCs w:val="20"/>
                <w:lang w:val="fr-FR"/>
              </w:rPr>
            </w:pPr>
            <w:r w:rsidRPr="00331B57">
              <w:rPr>
                <w:rFonts w:ascii="Calibri" w:hAnsi="Calibri" w:cs="Calibri"/>
                <w:i/>
                <w:sz w:val="20"/>
                <w:szCs w:val="20"/>
                <w:lang w:val="fr-FR"/>
              </w:rPr>
              <w:t> </w:t>
            </w:r>
          </w:p>
        </w:tc>
        <w:tc>
          <w:tcPr>
            <w:tcW w:w="2700" w:type="dxa"/>
            <w:vMerge/>
            <w:vAlign w:val="center"/>
            <w:hideMark/>
          </w:tcPr>
          <w:p w:rsidR="00637E87" w:rsidRPr="008D0832" w:rsidRDefault="00637E87" w:rsidP="007776CF">
            <w:pPr>
              <w:rPr>
                <w:rFonts w:ascii="Calibri" w:hAnsi="Calibri" w:cs="Calibri"/>
                <w:sz w:val="16"/>
                <w:szCs w:val="16"/>
                <w:lang w:val="fr-FR"/>
              </w:rPr>
            </w:pPr>
          </w:p>
        </w:tc>
      </w:tr>
      <w:tr w:rsidR="00637E87" w:rsidRPr="0052245B" w:rsidTr="007776CF">
        <w:trPr>
          <w:cantSplit/>
          <w:trHeight w:val="712"/>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A23. Aide à la  création d’un centre d’information et d’accompagnement en microprojets à Tamanrasset adaptés aux femmes vulnérables y compris les femmes atteintes du VIH/SIDA.</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ONUSIDA</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MDCFCF</w:t>
            </w:r>
            <w:r>
              <w:rPr>
                <w:rFonts w:asciiTheme="minorHAnsi" w:hAnsiTheme="minorHAnsi" w:cstheme="minorHAnsi"/>
                <w:sz w:val="16"/>
                <w:szCs w:val="16"/>
                <w:lang w:val="fr-FR"/>
              </w:rPr>
              <w:t>, MNSF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150,000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50,000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33,342</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oui</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na</w:t>
            </w:r>
          </w:p>
        </w:tc>
        <w:tc>
          <w:tcPr>
            <w:tcW w:w="917" w:type="dxa"/>
            <w:shd w:val="thinReverseDiagStripe"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 Extension à Alger et Oran recommandée, avec amélioration sur la base des résultats de Tamanrasset; (b) Appui à la commercialisation et a l'approvisionnement pour les femmes qui ont déjà contracté un microcrédit (par ex regroupement pour l'achat de matières premières); c)  à lier avec études de marché sur potentialités de commercialisation (A15).</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Un dispositif pilote d'information et d'accompagnement en microprojets est créé à Tamanrasset pour les femmes affectées ou infectées par le VIH/SIDA</w:t>
            </w:r>
          </w:p>
        </w:tc>
      </w:tr>
      <w:tr w:rsidR="00637E87" w:rsidRPr="0052245B" w:rsidTr="007776CF">
        <w:trPr>
          <w:cantSplit/>
          <w:trHeight w:val="109"/>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A24. Aide à la conception et à la mise en place d’un dispositif adapté du système de gardes d’enfants en milieu rural.</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UNICEF</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MDCFCF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150,000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20"/>
                <w:szCs w:val="20"/>
                <w:lang w:val="fr-FR"/>
              </w:rPr>
            </w:pPr>
            <w:r w:rsidRPr="00331B57">
              <w:rPr>
                <w:rFonts w:ascii="Calibri" w:hAnsi="Calibri" w:cs="Calibri"/>
                <w:i/>
                <w:sz w:val="20"/>
                <w:szCs w:val="20"/>
                <w:lang w:val="fr-FR"/>
              </w:rPr>
              <w:t> </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Création d'un dispositif pilote pour l'accueil des enfants en zone rurale</w:t>
            </w:r>
          </w:p>
        </w:tc>
      </w:tr>
      <w:tr w:rsidR="00637E87" w:rsidRPr="0052245B" w:rsidTr="007776CF">
        <w:trPr>
          <w:cantSplit/>
          <w:trHeight w:val="226"/>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A25. Formation et sensibilisation des médias sur le genre et la réalité socio-économique des femmes.</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MDCFCF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50,000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20 000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 xml:space="preserve">A confier à l’Expert Genre et l’Expert Communication </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w:t>
            </w:r>
          </w:p>
        </w:tc>
      </w:tr>
      <w:tr w:rsidR="00637E87" w:rsidRPr="0052245B" w:rsidTr="007776CF">
        <w:trPr>
          <w:cantSplit/>
          <w:trHeight w:val="85"/>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A26. Conception d’émissions pilotes sensibles aux droits des femmes et au genre en partenariat avec les médias locaux et la société civile</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MDCFCF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 xml:space="preserve">A confier à l’Expert Genre et l’Expert Communication </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w:t>
            </w:r>
          </w:p>
        </w:tc>
      </w:tr>
      <w:tr w:rsidR="00637E87" w:rsidRPr="0052245B" w:rsidTr="007776CF">
        <w:trPr>
          <w:cantSplit/>
          <w:trHeight w:val="1134"/>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A27. Assistance technique pour l’élaboration d’une stratégie de plaidoyer, d’information et de sensibilisation autour des valeurs d’égalité et d’équité : identification des forces et faiblesses des autres stratégies mises en œuvre et Organisation d’ateliers d’élaboration</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UNFPA</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MDCFCF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130,000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70 000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 xml:space="preserve">A confier à l’Expert Genre et l’Expert Communication </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w:t>
            </w:r>
          </w:p>
        </w:tc>
      </w:tr>
      <w:tr w:rsidR="00637E87" w:rsidRPr="008D0832" w:rsidTr="007776CF">
        <w:trPr>
          <w:cantSplit/>
          <w:trHeight w:val="85"/>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 xml:space="preserve">A28. Actualisation des répertoires et  élaboration d’une cartographie des organisations et des personnes ressources travaillant sur le genre. </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MDCFCF</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40,000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40,000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13 842.74</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oui</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na</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P</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 </w:t>
            </w:r>
          </w:p>
        </w:tc>
        <w:tc>
          <w:tcPr>
            <w:tcW w:w="2700" w:type="dxa"/>
            <w:shd w:val="clear" w:color="auto" w:fill="auto"/>
            <w:vAlign w:val="center"/>
            <w:hideMark/>
          </w:tcPr>
          <w:p w:rsidR="00637E87" w:rsidRPr="008D0832" w:rsidRDefault="00637E87" w:rsidP="007776CF">
            <w:pPr>
              <w:jc w:val="center"/>
              <w:rPr>
                <w:rFonts w:ascii="Calibri" w:hAnsi="Calibri" w:cs="Calibri"/>
                <w:sz w:val="20"/>
                <w:szCs w:val="20"/>
                <w:lang w:val="fr-FR"/>
              </w:rPr>
            </w:pPr>
            <w:r w:rsidRPr="008D0832">
              <w:rPr>
                <w:rFonts w:ascii="Calibri" w:hAnsi="Calibri" w:cs="Calibri"/>
                <w:sz w:val="20"/>
                <w:szCs w:val="20"/>
                <w:lang w:val="fr-FR"/>
              </w:rPr>
              <w:t>N/A</w:t>
            </w:r>
          </w:p>
        </w:tc>
      </w:tr>
      <w:tr w:rsidR="00637E87" w:rsidRPr="0052245B" w:rsidTr="007776CF">
        <w:trPr>
          <w:cantSplit/>
          <w:trHeight w:val="91"/>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lastRenderedPageBreak/>
              <w:t>A29 Conception de modules de formation de formateurs sur les droits socio-économiques des femmes pour les associations</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Réseau OSC</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40 000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 confier à l’Expert Genre et l’Expert Communication</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w:t>
            </w:r>
          </w:p>
        </w:tc>
      </w:tr>
      <w:tr w:rsidR="00637E87" w:rsidRPr="0052245B" w:rsidTr="007776CF">
        <w:trPr>
          <w:cantSplit/>
          <w:trHeight w:val="85"/>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A30 Mise en réseau des acteurs clefs identifiés et création d’un site WEB sur le thème : Genre, emploi et développement</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Réseau OSC</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110 000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Un budget de 75000 serait peut-être suffisant.</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w:t>
            </w:r>
          </w:p>
        </w:tc>
      </w:tr>
      <w:tr w:rsidR="00637E87" w:rsidRPr="008D0832" w:rsidTr="007776CF">
        <w:trPr>
          <w:cantSplit/>
          <w:trHeight w:val="85"/>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A31. Organisation de forum de dialogue entre les institutions, la société civile et les média</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UNFPA</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Réseau OSC</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110 000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30 000.00</w:t>
            </w: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w:t>
            </w: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 réduire à 1 forum?</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w:t>
            </w:r>
          </w:p>
        </w:tc>
      </w:tr>
      <w:tr w:rsidR="00637E87" w:rsidRPr="0052245B" w:rsidTr="007776CF">
        <w:trPr>
          <w:cantSplit/>
          <w:trHeight w:val="811"/>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A32 Elaboration et diffusion de supports d’information sur les droits socio-économiques des femmes et l’identification des moyens / canaux d’information y compris« non conventionnels »  les plus accessibles aux femmes, surtout celles vivant dans les zones enclavées</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Réseau OSC</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110,000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 confier à l’Expert Genre et l’Expert Communication</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w:t>
            </w:r>
          </w:p>
        </w:tc>
      </w:tr>
      <w:tr w:rsidR="00637E87" w:rsidRPr="0052245B" w:rsidTr="007776CF">
        <w:trPr>
          <w:cantSplit/>
          <w:trHeight w:val="316"/>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A33. Diffusion d’émissions TV/Radios sur les projets innovants et les bonnes pratiques des femmes </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Média/OSC</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30,000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 confier à l’Expert Genre et l’Expert Communication</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w:t>
            </w:r>
          </w:p>
        </w:tc>
      </w:tr>
      <w:tr w:rsidR="00637E87" w:rsidRPr="0052245B" w:rsidTr="007776CF">
        <w:trPr>
          <w:cantSplit/>
          <w:trHeight w:val="172"/>
        </w:trPr>
        <w:tc>
          <w:tcPr>
            <w:tcW w:w="3060" w:type="dxa"/>
            <w:shd w:val="clear" w:color="auto" w:fill="auto"/>
            <w:vAlign w:val="center"/>
            <w:hideMark/>
          </w:tcPr>
          <w:p w:rsidR="00637E87" w:rsidRPr="008D0832" w:rsidRDefault="00637E87" w:rsidP="007776CF">
            <w:pPr>
              <w:rPr>
                <w:rFonts w:ascii="Calibri" w:hAnsi="Calibri" w:cs="Calibri"/>
                <w:color w:val="000000"/>
                <w:sz w:val="16"/>
                <w:szCs w:val="16"/>
                <w:lang w:val="fr-FR"/>
              </w:rPr>
            </w:pPr>
            <w:r w:rsidRPr="008D0832">
              <w:rPr>
                <w:rFonts w:ascii="Calibri" w:hAnsi="Calibri" w:cs="Calibri"/>
                <w:color w:val="000000"/>
                <w:sz w:val="16"/>
                <w:szCs w:val="16"/>
                <w:lang w:val="fr-FR"/>
              </w:rPr>
              <w:t>A34. Attribution d’un prix annuel pour la  meilleure petite entreprise féminine avec la contribution des OSC et des entreprises</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Réseau OSC</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15,000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 confier à l’Expert Genre et l’Expert Communication</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w:t>
            </w:r>
          </w:p>
        </w:tc>
      </w:tr>
      <w:tr w:rsidR="00637E87" w:rsidRPr="0052245B" w:rsidTr="007776CF">
        <w:trPr>
          <w:cantSplit/>
          <w:trHeight w:val="100"/>
        </w:trPr>
        <w:tc>
          <w:tcPr>
            <w:tcW w:w="306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A35. Réalisations de 2 sondages en 2012 sur l’image de la femme</w:t>
            </w:r>
          </w:p>
        </w:tc>
        <w:tc>
          <w:tcPr>
            <w:tcW w:w="63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PNUD</w:t>
            </w:r>
          </w:p>
        </w:tc>
        <w:tc>
          <w:tcPr>
            <w:tcW w:w="450" w:type="dxa"/>
            <w:shd w:val="clear" w:color="auto" w:fill="auto"/>
            <w:textDirection w:val="btLr"/>
            <w:vAlign w:val="center"/>
            <w:hideMark/>
          </w:tcPr>
          <w:p w:rsidR="00637E87" w:rsidRPr="00A24E98" w:rsidRDefault="00637E87" w:rsidP="007776CF">
            <w:pPr>
              <w:ind w:left="113" w:right="113"/>
              <w:jc w:val="center"/>
              <w:rPr>
                <w:rFonts w:asciiTheme="minorHAnsi" w:hAnsiTheme="minorHAnsi" w:cstheme="minorHAnsi"/>
                <w:sz w:val="16"/>
                <w:szCs w:val="16"/>
                <w:lang w:val="fr-FR"/>
              </w:rPr>
            </w:pPr>
            <w:r w:rsidRPr="00A24E98">
              <w:rPr>
                <w:rFonts w:asciiTheme="minorHAnsi" w:hAnsiTheme="minorHAnsi" w:cstheme="minorHAnsi"/>
                <w:sz w:val="16"/>
                <w:szCs w:val="16"/>
                <w:lang w:val="fr-FR"/>
              </w:rPr>
              <w:t>MDCFCF + ONS?</w:t>
            </w:r>
          </w:p>
        </w:tc>
        <w:tc>
          <w:tcPr>
            <w:tcW w:w="789"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30,000</w:t>
            </w:r>
          </w:p>
        </w:tc>
        <w:tc>
          <w:tcPr>
            <w:tcW w:w="831"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900" w:type="dxa"/>
            <w:shd w:val="clear" w:color="auto" w:fill="auto"/>
            <w:vAlign w:val="center"/>
            <w:hideMark/>
          </w:tcPr>
          <w:p w:rsidR="00637E87" w:rsidRPr="00424056" w:rsidRDefault="00637E87" w:rsidP="007776CF">
            <w:pPr>
              <w:jc w:val="center"/>
              <w:rPr>
                <w:rFonts w:asciiTheme="minorHAnsi" w:hAnsiTheme="minorHAnsi" w:cstheme="minorHAnsi"/>
                <w:sz w:val="16"/>
                <w:szCs w:val="16"/>
                <w:lang w:val="fr-FR"/>
              </w:rPr>
            </w:pPr>
          </w:p>
        </w:tc>
        <w:tc>
          <w:tcPr>
            <w:tcW w:w="820" w:type="dxa"/>
            <w:shd w:val="clear" w:color="auto" w:fill="auto"/>
            <w:noWrap/>
            <w:vAlign w:val="center"/>
            <w:hideMark/>
          </w:tcPr>
          <w:p w:rsidR="00637E87" w:rsidRPr="00424056" w:rsidRDefault="00637E87" w:rsidP="007776CF">
            <w:pPr>
              <w:jc w:val="center"/>
              <w:rPr>
                <w:rFonts w:asciiTheme="minorHAnsi" w:hAnsiTheme="minorHAnsi" w:cstheme="minorHAnsi"/>
                <w:sz w:val="16"/>
                <w:szCs w:val="16"/>
                <w:lang w:val="fr-FR"/>
              </w:rPr>
            </w:pPr>
            <w:r w:rsidRPr="00424056">
              <w:rPr>
                <w:rFonts w:asciiTheme="minorHAnsi" w:hAnsiTheme="minorHAnsi" w:cstheme="minorHAnsi"/>
                <w:sz w:val="16"/>
                <w:szCs w:val="16"/>
                <w:lang w:val="fr-FR"/>
              </w:rPr>
              <w:t>non</w:t>
            </w:r>
          </w:p>
        </w:tc>
        <w:tc>
          <w:tcPr>
            <w:tcW w:w="1070" w:type="dxa"/>
            <w:shd w:val="clear" w:color="auto" w:fill="auto"/>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non</w:t>
            </w:r>
          </w:p>
        </w:tc>
        <w:tc>
          <w:tcPr>
            <w:tcW w:w="917" w:type="dxa"/>
            <w:shd w:val="clear" w:color="000000" w:fill="FFFFFF"/>
            <w:noWrap/>
            <w:vAlign w:val="center"/>
            <w:hideMark/>
          </w:tcPr>
          <w:p w:rsidR="00637E87" w:rsidRPr="008D0832" w:rsidRDefault="00637E87" w:rsidP="007776CF">
            <w:pPr>
              <w:jc w:val="center"/>
              <w:rPr>
                <w:rFonts w:ascii="Calibri" w:hAnsi="Calibri" w:cs="Calibri"/>
                <w:sz w:val="16"/>
                <w:szCs w:val="16"/>
                <w:lang w:val="fr-FR"/>
              </w:rPr>
            </w:pPr>
            <w:r w:rsidRPr="008D0832">
              <w:rPr>
                <w:rFonts w:ascii="Calibri" w:hAnsi="Calibri" w:cs="Calibri"/>
                <w:sz w:val="16"/>
                <w:szCs w:val="16"/>
                <w:lang w:val="fr-FR"/>
              </w:rPr>
              <w:t>oui/non</w:t>
            </w:r>
          </w:p>
        </w:tc>
        <w:tc>
          <w:tcPr>
            <w:tcW w:w="354" w:type="dxa"/>
            <w:shd w:val="clear" w:color="auto" w:fill="auto"/>
            <w:noWrap/>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O</w:t>
            </w:r>
          </w:p>
        </w:tc>
        <w:tc>
          <w:tcPr>
            <w:tcW w:w="3161" w:type="dxa"/>
            <w:shd w:val="clear" w:color="auto" w:fill="auto"/>
            <w:vAlign w:val="center"/>
            <w:hideMark/>
          </w:tcPr>
          <w:p w:rsidR="00637E87" w:rsidRPr="00331B57" w:rsidRDefault="00637E87" w:rsidP="007776CF">
            <w:pPr>
              <w:rPr>
                <w:rFonts w:ascii="Calibri" w:hAnsi="Calibri" w:cs="Calibri"/>
                <w:i/>
                <w:sz w:val="16"/>
                <w:szCs w:val="16"/>
                <w:lang w:val="fr-FR"/>
              </w:rPr>
            </w:pPr>
            <w:r w:rsidRPr="00331B57">
              <w:rPr>
                <w:rFonts w:ascii="Calibri" w:hAnsi="Calibri" w:cs="Calibri"/>
                <w:i/>
                <w:sz w:val="16"/>
                <w:szCs w:val="16"/>
                <w:lang w:val="fr-FR"/>
              </w:rPr>
              <w:t>A confier à l’Expert Genre et l’Expert Communication</w:t>
            </w:r>
          </w:p>
        </w:tc>
        <w:tc>
          <w:tcPr>
            <w:tcW w:w="2700" w:type="dxa"/>
            <w:shd w:val="clear" w:color="auto" w:fill="auto"/>
            <w:vAlign w:val="center"/>
            <w:hideMark/>
          </w:tcPr>
          <w:p w:rsidR="00637E87" w:rsidRPr="008D0832" w:rsidRDefault="00637E87" w:rsidP="007776CF">
            <w:pPr>
              <w:rPr>
                <w:rFonts w:ascii="Calibri" w:hAnsi="Calibri" w:cs="Calibri"/>
                <w:sz w:val="16"/>
                <w:szCs w:val="16"/>
                <w:lang w:val="fr-FR"/>
              </w:rPr>
            </w:pPr>
            <w:r w:rsidRPr="008D0832">
              <w:rPr>
                <w:rFonts w:ascii="Calibri" w:hAnsi="Calibri" w:cs="Calibri"/>
                <w:sz w:val="16"/>
                <w:szCs w:val="16"/>
                <w:lang w:val="fr-FR"/>
              </w:rPr>
              <w:t> </w:t>
            </w:r>
          </w:p>
        </w:tc>
      </w:tr>
    </w:tbl>
    <w:p w:rsidR="00637E87" w:rsidRDefault="00637E87" w:rsidP="00637E87">
      <w:pPr>
        <w:shd w:val="clear" w:color="auto" w:fill="FFFFFF"/>
        <w:spacing w:before="100" w:beforeAutospacing="1" w:after="300" w:line="315" w:lineRule="atLeast"/>
        <w:jc w:val="both"/>
        <w:rPr>
          <w:color w:val="FF0000"/>
          <w:lang w:val="fr-FR"/>
        </w:rPr>
        <w:sectPr w:rsidR="00637E87" w:rsidSect="008D0832">
          <w:pgSz w:w="16838" w:h="11906" w:orient="landscape"/>
          <w:pgMar w:top="1411" w:right="1411" w:bottom="1354" w:left="1411" w:header="706" w:footer="706" w:gutter="0"/>
          <w:cols w:space="708"/>
          <w:docGrid w:linePitch="360"/>
        </w:sectPr>
      </w:pPr>
    </w:p>
    <w:p w:rsidR="00C07262" w:rsidRDefault="00C07262" w:rsidP="00C07262">
      <w:pPr>
        <w:pStyle w:val="Heading1"/>
        <w:numPr>
          <w:ilvl w:val="0"/>
          <w:numId w:val="0"/>
        </w:numPr>
        <w:ind w:left="720"/>
        <w:rPr>
          <w:rFonts w:cs="Calibri"/>
          <w:szCs w:val="28"/>
          <w:lang w:val="fr-CA"/>
        </w:rPr>
      </w:pPr>
      <w:r w:rsidRPr="00083FFB">
        <w:rPr>
          <w:rFonts w:cs="Calibri"/>
          <w:szCs w:val="28"/>
          <w:lang w:val="fr-CA"/>
        </w:rPr>
        <w:lastRenderedPageBreak/>
        <w:t xml:space="preserve">Annexe </w:t>
      </w:r>
      <w:r>
        <w:rPr>
          <w:rFonts w:cs="Calibri"/>
          <w:szCs w:val="28"/>
          <w:lang w:val="fr-CA"/>
        </w:rPr>
        <w:t xml:space="preserve">3 </w:t>
      </w:r>
      <w:r w:rsidRPr="00083FFB">
        <w:rPr>
          <w:rFonts w:cs="Calibri"/>
          <w:szCs w:val="28"/>
          <w:lang w:val="fr-CA"/>
        </w:rPr>
        <w:t>- Liste d</w:t>
      </w:r>
      <w:r>
        <w:rPr>
          <w:rFonts w:cs="Calibri"/>
          <w:szCs w:val="28"/>
          <w:lang w:val="fr-CA"/>
        </w:rPr>
        <w:t>es recommandations de la mission</w:t>
      </w:r>
    </w:p>
    <w:p w:rsidR="00C07262" w:rsidRDefault="00C07262" w:rsidP="00C07262">
      <w:pPr>
        <w:rPr>
          <w:lang w:val="fr-CA"/>
        </w:rPr>
      </w:pPr>
    </w:p>
    <w:tbl>
      <w:tblPr>
        <w:tblStyle w:val="TableGrid"/>
        <w:tblW w:w="15750" w:type="dxa"/>
        <w:tblInd w:w="-702" w:type="dxa"/>
        <w:tblLook w:val="04A0" w:firstRow="1" w:lastRow="0" w:firstColumn="1" w:lastColumn="0" w:noHBand="0" w:noVBand="1"/>
      </w:tblPr>
      <w:tblGrid>
        <w:gridCol w:w="4770"/>
        <w:gridCol w:w="10980"/>
      </w:tblGrid>
      <w:tr w:rsidR="00C07262" w:rsidTr="00DB434D">
        <w:tc>
          <w:tcPr>
            <w:tcW w:w="4770" w:type="dxa"/>
          </w:tcPr>
          <w:p w:rsidR="00C07262" w:rsidRPr="00DB434D" w:rsidRDefault="00E46B31" w:rsidP="00DB434D">
            <w:pPr>
              <w:jc w:val="center"/>
              <w:rPr>
                <w:rFonts w:asciiTheme="minorHAnsi" w:hAnsiTheme="minorHAnsi" w:cstheme="minorHAnsi"/>
                <w:b/>
                <w:sz w:val="20"/>
                <w:szCs w:val="20"/>
                <w:lang w:val="fr-CA"/>
              </w:rPr>
            </w:pPr>
            <w:r w:rsidRPr="00DB434D">
              <w:rPr>
                <w:rFonts w:asciiTheme="minorHAnsi" w:hAnsiTheme="minorHAnsi" w:cstheme="minorHAnsi"/>
                <w:b/>
                <w:sz w:val="20"/>
                <w:szCs w:val="20"/>
                <w:lang w:val="fr-CA"/>
              </w:rPr>
              <w:t>Recommandations principales</w:t>
            </w:r>
          </w:p>
        </w:tc>
        <w:tc>
          <w:tcPr>
            <w:tcW w:w="10980" w:type="dxa"/>
          </w:tcPr>
          <w:p w:rsidR="00C07262" w:rsidRPr="00DB434D" w:rsidRDefault="00E46B31" w:rsidP="00DB434D">
            <w:pPr>
              <w:jc w:val="center"/>
              <w:rPr>
                <w:rFonts w:asciiTheme="minorHAnsi" w:hAnsiTheme="minorHAnsi" w:cstheme="minorHAnsi"/>
                <w:b/>
                <w:sz w:val="20"/>
                <w:szCs w:val="20"/>
                <w:lang w:val="fr-CA"/>
              </w:rPr>
            </w:pPr>
            <w:r w:rsidRPr="00DB434D">
              <w:rPr>
                <w:rFonts w:asciiTheme="minorHAnsi" w:hAnsiTheme="minorHAnsi" w:cstheme="minorHAnsi"/>
                <w:b/>
                <w:sz w:val="20"/>
                <w:szCs w:val="20"/>
                <w:lang w:val="fr-CA"/>
              </w:rPr>
              <w:t>Recommandations détaillées</w:t>
            </w:r>
          </w:p>
        </w:tc>
      </w:tr>
      <w:tr w:rsidR="00C07262" w:rsidRPr="0052245B" w:rsidTr="00DB434D">
        <w:tc>
          <w:tcPr>
            <w:tcW w:w="4770" w:type="dxa"/>
          </w:tcPr>
          <w:p w:rsidR="00C07262" w:rsidRPr="00E46B31" w:rsidRDefault="00E46B31" w:rsidP="00C07262">
            <w:pPr>
              <w:rPr>
                <w:rFonts w:asciiTheme="minorHAnsi" w:hAnsiTheme="minorHAnsi" w:cstheme="minorHAnsi"/>
                <w:sz w:val="20"/>
                <w:szCs w:val="20"/>
                <w:lang w:val="fr-CA"/>
              </w:rPr>
            </w:pPr>
            <w:r>
              <w:rPr>
                <w:rFonts w:asciiTheme="minorHAnsi" w:hAnsiTheme="minorHAnsi" w:cstheme="minorHAnsi"/>
                <w:sz w:val="20"/>
                <w:szCs w:val="20"/>
                <w:lang w:val="fr-CA"/>
              </w:rPr>
              <w:t xml:space="preserve">1. </w:t>
            </w:r>
            <w:r w:rsidRPr="00E46B31">
              <w:rPr>
                <w:rFonts w:asciiTheme="minorHAnsi" w:hAnsiTheme="minorHAnsi" w:cstheme="minorHAnsi"/>
                <w:sz w:val="20"/>
                <w:szCs w:val="20"/>
                <w:lang w:val="fr-CA"/>
              </w:rPr>
              <w:t>Prolonger la durée de vie du programme jusqu’au 30 juin 2013 et permettre la continuation des activités déjà en cours, tout en recentrant la mise en œuvre des activités non démarrées autour d’un nombre réduit d’activités stratégiques prometteuses.</w:t>
            </w:r>
          </w:p>
        </w:tc>
        <w:tc>
          <w:tcPr>
            <w:tcW w:w="10980" w:type="dxa"/>
          </w:tcPr>
          <w:p w:rsidR="00C07262" w:rsidRDefault="00E46B31" w:rsidP="00E46B31">
            <w:pPr>
              <w:rPr>
                <w:rFonts w:asciiTheme="minorHAnsi" w:hAnsiTheme="minorHAnsi" w:cstheme="minorHAnsi"/>
                <w:sz w:val="20"/>
                <w:szCs w:val="20"/>
                <w:lang w:val="fr-CA"/>
              </w:rPr>
            </w:pPr>
            <w:r>
              <w:rPr>
                <w:rFonts w:asciiTheme="minorHAnsi" w:hAnsiTheme="minorHAnsi" w:cstheme="minorHAnsi"/>
                <w:sz w:val="20"/>
                <w:szCs w:val="20"/>
                <w:lang w:val="fr-CA"/>
              </w:rPr>
              <w:t xml:space="preserve">1a. Étendre la date de </w:t>
            </w:r>
            <w:r w:rsidRPr="00E46B31">
              <w:rPr>
                <w:rFonts w:asciiTheme="minorHAnsi" w:hAnsiTheme="minorHAnsi" w:cstheme="minorHAnsi"/>
                <w:sz w:val="20"/>
                <w:szCs w:val="20"/>
                <w:lang w:val="fr-CA"/>
              </w:rPr>
              <w:t>clôture du programme au 30 juin 2013.</w:t>
            </w:r>
          </w:p>
          <w:p w:rsidR="00E46B31" w:rsidRDefault="00E46B31" w:rsidP="00E46B31">
            <w:pPr>
              <w:rPr>
                <w:rFonts w:asciiTheme="minorHAnsi" w:hAnsiTheme="minorHAnsi" w:cstheme="minorHAnsi"/>
                <w:sz w:val="20"/>
                <w:szCs w:val="20"/>
                <w:lang w:val="fr-CA"/>
              </w:rPr>
            </w:pPr>
            <w:r>
              <w:rPr>
                <w:rFonts w:asciiTheme="minorHAnsi" w:hAnsiTheme="minorHAnsi" w:cstheme="minorHAnsi"/>
                <w:sz w:val="20"/>
                <w:szCs w:val="20"/>
                <w:lang w:val="fr-CA"/>
              </w:rPr>
              <w:t>1b. Continuer les activités en cours.</w:t>
            </w:r>
          </w:p>
          <w:p w:rsidR="00E46B31" w:rsidRDefault="00E46B31" w:rsidP="00E46B31">
            <w:pPr>
              <w:rPr>
                <w:rFonts w:asciiTheme="minorHAnsi" w:hAnsiTheme="minorHAnsi" w:cstheme="minorHAnsi"/>
                <w:sz w:val="20"/>
                <w:szCs w:val="20"/>
                <w:lang w:val="fr-CA"/>
              </w:rPr>
            </w:pPr>
            <w:r>
              <w:rPr>
                <w:rFonts w:asciiTheme="minorHAnsi" w:hAnsiTheme="minorHAnsi" w:cstheme="minorHAnsi"/>
                <w:sz w:val="20"/>
                <w:szCs w:val="20"/>
                <w:lang w:val="fr-CA"/>
              </w:rPr>
              <w:t>1c. Démarrer immédiatement les activités répondant aux trois critères suivants :</w:t>
            </w:r>
          </w:p>
          <w:p w:rsidR="00E46B31" w:rsidRDefault="00E46B31" w:rsidP="00E46B31">
            <w:pPr>
              <w:pStyle w:val="ListParagraph"/>
              <w:ind w:left="720"/>
              <w:rPr>
                <w:rFonts w:asciiTheme="minorHAnsi" w:hAnsiTheme="minorHAnsi" w:cstheme="minorHAnsi"/>
                <w:sz w:val="20"/>
                <w:szCs w:val="20"/>
                <w:lang w:val="fr-CA"/>
              </w:rPr>
            </w:pPr>
            <w:r w:rsidRPr="00E46B31">
              <w:rPr>
                <w:rFonts w:asciiTheme="minorHAnsi" w:hAnsiTheme="minorHAnsi" w:cstheme="minorHAnsi"/>
                <w:sz w:val="20"/>
                <w:szCs w:val="20"/>
                <w:lang w:val="fr-CA"/>
              </w:rPr>
              <w:t xml:space="preserve">(a) activité en état de préparation très avancée ou fonds déjà engagés, </w:t>
            </w:r>
          </w:p>
          <w:p w:rsidR="00E46B31" w:rsidRDefault="00E46B31" w:rsidP="00E46B31">
            <w:pPr>
              <w:pStyle w:val="ListParagraph"/>
              <w:ind w:left="720"/>
              <w:rPr>
                <w:rFonts w:asciiTheme="minorHAnsi" w:hAnsiTheme="minorHAnsi" w:cstheme="minorHAnsi"/>
                <w:sz w:val="20"/>
                <w:szCs w:val="20"/>
                <w:lang w:val="fr-CA"/>
              </w:rPr>
            </w:pPr>
            <w:r w:rsidRPr="00E46B31">
              <w:rPr>
                <w:rFonts w:asciiTheme="minorHAnsi" w:hAnsiTheme="minorHAnsi" w:cstheme="minorHAnsi"/>
                <w:sz w:val="20"/>
                <w:szCs w:val="20"/>
                <w:lang w:val="fr-CA"/>
              </w:rPr>
              <w:t xml:space="preserve">(b) activité prometteuse en terme d’acquisition de connaissances ou de contribution aux objectifs du programme ; </w:t>
            </w:r>
            <w:r w:rsidRPr="00E46B31">
              <w:rPr>
                <w:rFonts w:asciiTheme="minorHAnsi" w:hAnsiTheme="minorHAnsi" w:cstheme="minorHAnsi"/>
                <w:sz w:val="20"/>
                <w:szCs w:val="20"/>
                <w:u w:val="single"/>
                <w:lang w:val="fr-CA"/>
              </w:rPr>
              <w:t xml:space="preserve">et </w:t>
            </w:r>
          </w:p>
          <w:p w:rsidR="00E46B31" w:rsidRDefault="00E46B31" w:rsidP="00E46B31">
            <w:pPr>
              <w:pStyle w:val="ListParagraph"/>
              <w:ind w:left="720"/>
              <w:rPr>
                <w:rFonts w:asciiTheme="minorHAnsi" w:hAnsiTheme="minorHAnsi" w:cstheme="minorHAnsi"/>
                <w:sz w:val="20"/>
                <w:szCs w:val="20"/>
                <w:lang w:val="fr-CA"/>
              </w:rPr>
            </w:pPr>
            <w:r w:rsidRPr="00E46B31">
              <w:rPr>
                <w:rFonts w:asciiTheme="minorHAnsi" w:hAnsiTheme="minorHAnsi" w:cstheme="minorHAnsi"/>
                <w:sz w:val="20"/>
                <w:szCs w:val="20"/>
                <w:lang w:val="fr-CA"/>
              </w:rPr>
              <w:t>(c) activité que l’on pourra finaliser a</w:t>
            </w:r>
            <w:r>
              <w:rPr>
                <w:rFonts w:asciiTheme="minorHAnsi" w:hAnsiTheme="minorHAnsi" w:cstheme="minorHAnsi"/>
                <w:sz w:val="20"/>
                <w:szCs w:val="20"/>
                <w:lang w:val="fr-CA"/>
              </w:rPr>
              <w:t>vant le mois de mars/avril 2013.</w:t>
            </w:r>
          </w:p>
          <w:p w:rsidR="00E46B31" w:rsidRPr="00E46B31" w:rsidRDefault="00E46B31" w:rsidP="003A3F00">
            <w:pPr>
              <w:rPr>
                <w:rFonts w:asciiTheme="minorHAnsi" w:hAnsiTheme="minorHAnsi" w:cstheme="minorHAnsi"/>
                <w:sz w:val="20"/>
                <w:szCs w:val="20"/>
                <w:lang w:val="fr-CA"/>
              </w:rPr>
            </w:pPr>
            <w:r>
              <w:rPr>
                <w:rFonts w:asciiTheme="minorHAnsi" w:hAnsiTheme="minorHAnsi" w:cstheme="minorHAnsi"/>
                <w:sz w:val="20"/>
                <w:szCs w:val="20"/>
                <w:lang w:val="fr-CA"/>
              </w:rPr>
              <w:t xml:space="preserve">1d. Ne démarrer les autres activités non encore engagées que si les conditions définies à la Recommandation </w:t>
            </w:r>
            <w:r w:rsidR="003A3F00">
              <w:rPr>
                <w:rFonts w:asciiTheme="minorHAnsi" w:hAnsiTheme="minorHAnsi" w:cstheme="minorHAnsi"/>
                <w:sz w:val="20"/>
                <w:szCs w:val="20"/>
                <w:lang w:val="fr-CA"/>
              </w:rPr>
              <w:t>4</w:t>
            </w:r>
            <w:r>
              <w:rPr>
                <w:rFonts w:asciiTheme="minorHAnsi" w:hAnsiTheme="minorHAnsi" w:cstheme="minorHAnsi"/>
                <w:sz w:val="20"/>
                <w:szCs w:val="20"/>
                <w:lang w:val="fr-CA"/>
              </w:rPr>
              <w:t xml:space="preserve"> sont remplies.</w:t>
            </w:r>
          </w:p>
        </w:tc>
      </w:tr>
      <w:tr w:rsidR="00C07262" w:rsidRPr="0052245B" w:rsidTr="00DB434D">
        <w:tc>
          <w:tcPr>
            <w:tcW w:w="4770" w:type="dxa"/>
          </w:tcPr>
          <w:p w:rsidR="00C07262" w:rsidRPr="00E46B31" w:rsidRDefault="00E46B31" w:rsidP="00E46B31">
            <w:pPr>
              <w:tabs>
                <w:tab w:val="left" w:pos="4154"/>
              </w:tabs>
              <w:rPr>
                <w:rFonts w:asciiTheme="minorHAnsi" w:hAnsiTheme="minorHAnsi" w:cstheme="minorHAnsi"/>
                <w:sz w:val="20"/>
                <w:szCs w:val="20"/>
                <w:lang w:val="fr-CA"/>
              </w:rPr>
            </w:pPr>
            <w:r>
              <w:rPr>
                <w:rFonts w:asciiTheme="minorHAnsi" w:hAnsiTheme="minorHAnsi" w:cstheme="minorHAnsi"/>
                <w:sz w:val="20"/>
                <w:szCs w:val="20"/>
                <w:lang w:val="fr-CA"/>
              </w:rPr>
              <w:t xml:space="preserve">2. </w:t>
            </w:r>
            <w:r w:rsidRPr="00E46B31">
              <w:rPr>
                <w:rFonts w:asciiTheme="minorHAnsi" w:hAnsiTheme="minorHAnsi" w:cstheme="minorHAnsi"/>
                <w:sz w:val="20"/>
                <w:szCs w:val="20"/>
                <w:lang w:val="fr-CA"/>
              </w:rPr>
              <w:t>Préparer un Plan de Travail et Budget consolidé très détaillé et opérationnel</w:t>
            </w:r>
          </w:p>
        </w:tc>
        <w:tc>
          <w:tcPr>
            <w:tcW w:w="10980" w:type="dxa"/>
          </w:tcPr>
          <w:p w:rsidR="00C07262" w:rsidRDefault="00E46B31" w:rsidP="00C07262">
            <w:pPr>
              <w:rPr>
                <w:rFonts w:asciiTheme="minorHAnsi" w:hAnsiTheme="minorHAnsi" w:cstheme="minorHAnsi"/>
                <w:sz w:val="20"/>
                <w:szCs w:val="20"/>
                <w:lang w:val="fr-CA"/>
              </w:rPr>
            </w:pPr>
            <w:r>
              <w:rPr>
                <w:rFonts w:asciiTheme="minorHAnsi" w:hAnsiTheme="minorHAnsi" w:cstheme="minorHAnsi"/>
                <w:sz w:val="20"/>
                <w:szCs w:val="20"/>
                <w:lang w:val="fr-CA"/>
              </w:rPr>
              <w:t>2a. Organiser un atelier de planification d’au moins deux jours, avec la participation de tous les partenaires.</w:t>
            </w:r>
          </w:p>
          <w:p w:rsidR="00E46B31" w:rsidRDefault="00E46B31" w:rsidP="00C07262">
            <w:pPr>
              <w:rPr>
                <w:rFonts w:asciiTheme="minorHAnsi" w:hAnsiTheme="minorHAnsi" w:cstheme="minorHAnsi"/>
                <w:sz w:val="20"/>
                <w:szCs w:val="20"/>
                <w:lang w:val="fr-CA"/>
              </w:rPr>
            </w:pPr>
            <w:r>
              <w:rPr>
                <w:rFonts w:asciiTheme="minorHAnsi" w:hAnsiTheme="minorHAnsi" w:cstheme="minorHAnsi"/>
                <w:sz w:val="20"/>
                <w:szCs w:val="20"/>
                <w:lang w:val="fr-CA"/>
              </w:rPr>
              <w:t>2b. Définir un Plan de Travail et Budget consolidé, très détaillées (identification de toutes les sous-activités) et organisé selon la structure du Cadre Logique.</w:t>
            </w:r>
          </w:p>
          <w:p w:rsidR="00E46B31" w:rsidRDefault="00E46B31" w:rsidP="00C07262">
            <w:pPr>
              <w:rPr>
                <w:rFonts w:asciiTheme="minorHAnsi" w:hAnsiTheme="minorHAnsi" w:cstheme="minorHAnsi"/>
                <w:sz w:val="20"/>
                <w:szCs w:val="20"/>
                <w:lang w:val="fr-CA"/>
              </w:rPr>
            </w:pPr>
            <w:r>
              <w:rPr>
                <w:rFonts w:asciiTheme="minorHAnsi" w:hAnsiTheme="minorHAnsi" w:cstheme="minorHAnsi"/>
                <w:sz w:val="20"/>
                <w:szCs w:val="20"/>
                <w:lang w:val="fr-CA"/>
              </w:rPr>
              <w:t>2c. Ce PTB comprendra deux parties : une première partie qui ne détaillera que les activités identifiées comme prioritaires; et une deuxième partie qui comprendra les activités non-prioritaires.</w:t>
            </w:r>
          </w:p>
          <w:p w:rsidR="00E46B31" w:rsidRPr="00E46B31" w:rsidRDefault="00E46B31" w:rsidP="003A3F00">
            <w:pPr>
              <w:rPr>
                <w:rFonts w:asciiTheme="minorHAnsi" w:hAnsiTheme="minorHAnsi" w:cstheme="minorHAnsi"/>
                <w:sz w:val="20"/>
                <w:szCs w:val="20"/>
                <w:lang w:val="fr-CA"/>
              </w:rPr>
            </w:pPr>
            <w:r>
              <w:rPr>
                <w:rFonts w:asciiTheme="minorHAnsi" w:hAnsiTheme="minorHAnsi" w:cstheme="minorHAnsi"/>
                <w:sz w:val="20"/>
                <w:szCs w:val="20"/>
                <w:lang w:val="fr-CA"/>
              </w:rPr>
              <w:t xml:space="preserve">2d. La deuxième partie du PTB ne sera mise en œuvre que sous réserve que les </w:t>
            </w:r>
            <w:r w:rsidR="003A3F00">
              <w:rPr>
                <w:rFonts w:asciiTheme="minorHAnsi" w:hAnsiTheme="minorHAnsi" w:cstheme="minorHAnsi"/>
                <w:sz w:val="20"/>
                <w:szCs w:val="20"/>
                <w:lang w:val="fr-CA"/>
              </w:rPr>
              <w:t>conditions de la Recommandation 4</w:t>
            </w:r>
            <w:r>
              <w:rPr>
                <w:rFonts w:asciiTheme="minorHAnsi" w:hAnsiTheme="minorHAnsi" w:cstheme="minorHAnsi"/>
                <w:sz w:val="20"/>
                <w:szCs w:val="20"/>
                <w:lang w:val="fr-CA"/>
              </w:rPr>
              <w:t xml:space="preserve"> soient remplies.</w:t>
            </w:r>
          </w:p>
        </w:tc>
      </w:tr>
      <w:tr w:rsidR="00C07262" w:rsidRPr="0052245B" w:rsidTr="00DB434D">
        <w:tc>
          <w:tcPr>
            <w:tcW w:w="4770" w:type="dxa"/>
          </w:tcPr>
          <w:p w:rsidR="00C07262" w:rsidRPr="00E46B31" w:rsidRDefault="00E46B31" w:rsidP="00C07262">
            <w:pPr>
              <w:rPr>
                <w:rFonts w:asciiTheme="minorHAnsi" w:hAnsiTheme="minorHAnsi" w:cstheme="minorHAnsi"/>
                <w:sz w:val="20"/>
                <w:szCs w:val="20"/>
                <w:lang w:val="fr-CA"/>
              </w:rPr>
            </w:pPr>
            <w:r>
              <w:rPr>
                <w:rFonts w:asciiTheme="minorHAnsi" w:hAnsiTheme="minorHAnsi" w:cstheme="minorHAnsi"/>
                <w:sz w:val="20"/>
                <w:szCs w:val="20"/>
                <w:lang w:val="fr-CA"/>
              </w:rPr>
              <w:t xml:space="preserve">3. </w:t>
            </w:r>
            <w:r w:rsidRPr="00E46B31">
              <w:rPr>
                <w:rFonts w:asciiTheme="minorHAnsi" w:hAnsiTheme="minorHAnsi" w:cstheme="minorHAnsi"/>
                <w:sz w:val="20"/>
                <w:szCs w:val="20"/>
                <w:lang w:val="fr-CA"/>
              </w:rPr>
              <w:t>Réorganiser en profondeur le budget du programme, de façon à permettre que les fonds nécessaires à la réalisation des activités retenues soient disponibles</w:t>
            </w:r>
          </w:p>
        </w:tc>
        <w:tc>
          <w:tcPr>
            <w:tcW w:w="10980" w:type="dxa"/>
          </w:tcPr>
          <w:p w:rsidR="00C07262" w:rsidRDefault="00E46B31" w:rsidP="00C07262">
            <w:pPr>
              <w:rPr>
                <w:rFonts w:asciiTheme="minorHAnsi" w:hAnsiTheme="minorHAnsi" w:cstheme="minorHAnsi"/>
                <w:sz w:val="20"/>
                <w:szCs w:val="20"/>
                <w:lang w:val="fr-CA"/>
              </w:rPr>
            </w:pPr>
            <w:r>
              <w:rPr>
                <w:rFonts w:asciiTheme="minorHAnsi" w:hAnsiTheme="minorHAnsi" w:cstheme="minorHAnsi"/>
                <w:sz w:val="20"/>
                <w:szCs w:val="20"/>
                <w:lang w:val="fr-CA"/>
              </w:rPr>
              <w:t xml:space="preserve">3a. </w:t>
            </w:r>
            <w:r w:rsidR="003A3F00">
              <w:rPr>
                <w:rFonts w:asciiTheme="minorHAnsi" w:hAnsiTheme="minorHAnsi" w:cstheme="minorHAnsi"/>
                <w:sz w:val="20"/>
                <w:szCs w:val="20"/>
                <w:lang w:val="fr-CA"/>
              </w:rPr>
              <w:t>Obtenir du Fonds-OMD que le programme puisse déroger à la règle selon laquelle le versement de la deuxième tranche est tributaire de l’engagement à hauteur de 70% de la première tranche.</w:t>
            </w:r>
          </w:p>
          <w:p w:rsidR="003A3F00" w:rsidRDefault="003A3F00" w:rsidP="00C07262">
            <w:pPr>
              <w:rPr>
                <w:rFonts w:asciiTheme="minorHAnsi" w:hAnsiTheme="minorHAnsi" w:cstheme="minorHAnsi"/>
                <w:sz w:val="20"/>
                <w:szCs w:val="20"/>
                <w:lang w:val="fr-CA"/>
              </w:rPr>
            </w:pPr>
            <w:r>
              <w:rPr>
                <w:rFonts w:asciiTheme="minorHAnsi" w:hAnsiTheme="minorHAnsi" w:cstheme="minorHAnsi"/>
                <w:sz w:val="20"/>
                <w:szCs w:val="20"/>
                <w:lang w:val="fr-CA"/>
              </w:rPr>
              <w:t>3b. Effectuer les réallocations inter-agences urgentes qui s’imposent avant le versement de la deuxième tranche.</w:t>
            </w:r>
          </w:p>
          <w:p w:rsidR="003A3F00" w:rsidRPr="00E46B31" w:rsidRDefault="003A3F00" w:rsidP="003A3F00">
            <w:pPr>
              <w:rPr>
                <w:rFonts w:asciiTheme="minorHAnsi" w:hAnsiTheme="minorHAnsi" w:cstheme="minorHAnsi"/>
                <w:sz w:val="20"/>
                <w:szCs w:val="20"/>
                <w:lang w:val="fr-CA"/>
              </w:rPr>
            </w:pPr>
            <w:r>
              <w:rPr>
                <w:rFonts w:asciiTheme="minorHAnsi" w:hAnsiTheme="minorHAnsi" w:cstheme="minorHAnsi"/>
                <w:sz w:val="20"/>
                <w:szCs w:val="20"/>
                <w:lang w:val="fr-CA"/>
              </w:rPr>
              <w:t xml:space="preserve"> 3c. Créer un fonds commun géré par le PNUD pour recevoir la deuxième tranche.</w:t>
            </w:r>
          </w:p>
        </w:tc>
      </w:tr>
      <w:tr w:rsidR="00C07262" w:rsidRPr="0052245B" w:rsidTr="00DB434D">
        <w:tc>
          <w:tcPr>
            <w:tcW w:w="4770" w:type="dxa"/>
          </w:tcPr>
          <w:p w:rsidR="00C07262" w:rsidRPr="00E46B31" w:rsidRDefault="003A3F00" w:rsidP="00C07262">
            <w:pPr>
              <w:rPr>
                <w:rFonts w:asciiTheme="minorHAnsi" w:hAnsiTheme="minorHAnsi" w:cstheme="minorHAnsi"/>
                <w:sz w:val="20"/>
                <w:szCs w:val="20"/>
                <w:lang w:val="fr-CA"/>
              </w:rPr>
            </w:pPr>
            <w:r>
              <w:rPr>
                <w:rFonts w:asciiTheme="minorHAnsi" w:hAnsiTheme="minorHAnsi" w:cstheme="minorHAnsi"/>
                <w:sz w:val="20"/>
                <w:szCs w:val="20"/>
                <w:lang w:val="fr-CA"/>
              </w:rPr>
              <w:t xml:space="preserve">4. </w:t>
            </w:r>
            <w:r w:rsidRPr="003A3F00">
              <w:rPr>
                <w:rFonts w:asciiTheme="minorHAnsi" w:hAnsiTheme="minorHAnsi" w:cstheme="minorHAnsi"/>
                <w:sz w:val="20"/>
                <w:szCs w:val="20"/>
                <w:lang w:val="fr-CA"/>
              </w:rPr>
              <w:t>Renforcer les capacités opérationnelles du système des Nations Unies et de l’Équipe de Programme</w:t>
            </w:r>
          </w:p>
        </w:tc>
        <w:tc>
          <w:tcPr>
            <w:tcW w:w="10980" w:type="dxa"/>
          </w:tcPr>
          <w:p w:rsidR="00C07262" w:rsidRDefault="000A6B03" w:rsidP="00C07262">
            <w:pPr>
              <w:rPr>
                <w:rFonts w:asciiTheme="minorHAnsi" w:hAnsiTheme="minorHAnsi" w:cstheme="minorHAnsi"/>
                <w:sz w:val="20"/>
                <w:szCs w:val="20"/>
                <w:lang w:val="fr-CA"/>
              </w:rPr>
            </w:pPr>
            <w:r>
              <w:rPr>
                <w:rFonts w:asciiTheme="minorHAnsi" w:hAnsiTheme="minorHAnsi" w:cstheme="minorHAnsi"/>
                <w:sz w:val="20"/>
                <w:szCs w:val="20"/>
                <w:lang w:val="fr-CA"/>
              </w:rPr>
              <w:t>4a. Renforcement de  l’EP par le recrutement d’un/e Expert Genre, d’un/e Expert en M&amp;E et d’un/e Expert en communication.</w:t>
            </w:r>
          </w:p>
          <w:p w:rsidR="000A6B03" w:rsidRDefault="000A6B03" w:rsidP="00C07262">
            <w:pPr>
              <w:rPr>
                <w:rFonts w:asciiTheme="minorHAnsi" w:hAnsiTheme="minorHAnsi" w:cstheme="minorHAnsi"/>
                <w:sz w:val="20"/>
                <w:szCs w:val="20"/>
                <w:lang w:val="fr-CA"/>
              </w:rPr>
            </w:pPr>
            <w:r>
              <w:rPr>
                <w:rFonts w:asciiTheme="minorHAnsi" w:hAnsiTheme="minorHAnsi" w:cstheme="minorHAnsi"/>
                <w:sz w:val="20"/>
                <w:szCs w:val="20"/>
                <w:lang w:val="fr-CA"/>
              </w:rPr>
              <w:t>4b. Officialiser le mode d’exécution DEX, avec recrutement par le PNUD d’une Charge de Programme dédié et nomination du PNUD en tant qu’Agence Chef de file.</w:t>
            </w:r>
          </w:p>
          <w:p w:rsidR="000A6B03" w:rsidRPr="00E46B31" w:rsidRDefault="000A6B03" w:rsidP="00C07262">
            <w:pPr>
              <w:rPr>
                <w:rFonts w:asciiTheme="minorHAnsi" w:hAnsiTheme="minorHAnsi" w:cstheme="minorHAnsi"/>
                <w:sz w:val="20"/>
                <w:szCs w:val="20"/>
                <w:lang w:val="fr-CA"/>
              </w:rPr>
            </w:pPr>
            <w:r>
              <w:rPr>
                <w:rFonts w:asciiTheme="minorHAnsi" w:hAnsiTheme="minorHAnsi" w:cstheme="minorHAnsi"/>
                <w:sz w:val="20"/>
                <w:szCs w:val="20"/>
                <w:lang w:val="fr-CA"/>
              </w:rPr>
              <w:t>4c. Alternativement à la recommandation 4b, conserver le mode d’exécution NEX « Paiement direct », tout en créant un fonds commun pour le transfert des fonds (h</w:t>
            </w:r>
            <w:r w:rsidR="00DB434D">
              <w:rPr>
                <w:rFonts w:asciiTheme="minorHAnsi" w:hAnsiTheme="minorHAnsi" w:cstheme="minorHAnsi"/>
                <w:sz w:val="20"/>
                <w:szCs w:val="20"/>
                <w:lang w:val="fr-CA"/>
              </w:rPr>
              <w:t>ors frais de gestion) à gérer par le PNUD et recrutement d’un Chargé de Programme dédié par le PNUD.</w:t>
            </w:r>
          </w:p>
        </w:tc>
      </w:tr>
      <w:tr w:rsidR="00C07262" w:rsidRPr="0052245B" w:rsidTr="00DB434D">
        <w:tc>
          <w:tcPr>
            <w:tcW w:w="4770" w:type="dxa"/>
          </w:tcPr>
          <w:p w:rsidR="00C07262" w:rsidRPr="00DB434D" w:rsidRDefault="00DB434D" w:rsidP="00DB434D">
            <w:pPr>
              <w:rPr>
                <w:rFonts w:asciiTheme="minorHAnsi" w:hAnsiTheme="minorHAnsi" w:cstheme="minorHAnsi"/>
                <w:sz w:val="20"/>
                <w:szCs w:val="20"/>
                <w:lang w:val="fr-FR"/>
              </w:rPr>
            </w:pPr>
            <w:r>
              <w:rPr>
                <w:rFonts w:asciiTheme="minorHAnsi" w:hAnsiTheme="minorHAnsi" w:cstheme="minorHAnsi"/>
                <w:sz w:val="20"/>
                <w:szCs w:val="20"/>
                <w:lang w:val="fr-CA"/>
              </w:rPr>
              <w:t xml:space="preserve">5. </w:t>
            </w:r>
            <w:r w:rsidRPr="00DB434D">
              <w:rPr>
                <w:rFonts w:asciiTheme="minorHAnsi" w:hAnsiTheme="minorHAnsi" w:cstheme="minorHAnsi"/>
                <w:sz w:val="20"/>
                <w:szCs w:val="20"/>
                <w:lang w:val="fr-CA"/>
              </w:rPr>
              <w:t>Modifier</w:t>
            </w:r>
            <w:r w:rsidRPr="00DB434D">
              <w:rPr>
                <w:rFonts w:asciiTheme="minorHAnsi" w:hAnsiTheme="minorHAnsi" w:cstheme="minorHAnsi"/>
                <w:sz w:val="20"/>
                <w:szCs w:val="20"/>
                <w:lang w:val="fr-FR"/>
              </w:rPr>
              <w:t xml:space="preserve"> la composition du Comité de Gestion du Programme et organiser trois Groupes Techniques par Effet.</w:t>
            </w:r>
          </w:p>
        </w:tc>
        <w:tc>
          <w:tcPr>
            <w:tcW w:w="10980" w:type="dxa"/>
          </w:tcPr>
          <w:p w:rsidR="00C07262" w:rsidRDefault="00DB434D" w:rsidP="00C07262">
            <w:pPr>
              <w:rPr>
                <w:rFonts w:asciiTheme="minorHAnsi" w:hAnsiTheme="minorHAnsi" w:cstheme="minorHAnsi"/>
                <w:sz w:val="20"/>
                <w:szCs w:val="20"/>
                <w:lang w:val="fr-CA"/>
              </w:rPr>
            </w:pPr>
            <w:r>
              <w:rPr>
                <w:rFonts w:asciiTheme="minorHAnsi" w:hAnsiTheme="minorHAnsi" w:cstheme="minorHAnsi"/>
                <w:sz w:val="20"/>
                <w:szCs w:val="20"/>
                <w:lang w:val="fr-CA"/>
              </w:rPr>
              <w:t>5a. Identifier au sein de chaque ministère partenaire un département stratégique par rapport aux objectifs du programme et demander que le responsable de ce département soit nommé membre du CGP.</w:t>
            </w:r>
          </w:p>
          <w:p w:rsidR="00DB434D" w:rsidRDefault="00DB434D" w:rsidP="00C07262">
            <w:pPr>
              <w:rPr>
                <w:rFonts w:asciiTheme="minorHAnsi" w:hAnsiTheme="minorHAnsi" w:cstheme="minorHAnsi"/>
                <w:sz w:val="20"/>
                <w:szCs w:val="20"/>
                <w:lang w:val="fr-CA"/>
              </w:rPr>
            </w:pPr>
            <w:r>
              <w:rPr>
                <w:rFonts w:asciiTheme="minorHAnsi" w:hAnsiTheme="minorHAnsi" w:cstheme="minorHAnsi"/>
                <w:sz w:val="20"/>
                <w:szCs w:val="20"/>
                <w:lang w:val="fr-CA"/>
              </w:rPr>
              <w:t>5b. Accélérer les préparatifs pour le lancement officiel du programme.</w:t>
            </w:r>
          </w:p>
          <w:p w:rsidR="00DB434D" w:rsidRPr="00E46B31" w:rsidRDefault="00DB434D" w:rsidP="00C07262">
            <w:pPr>
              <w:rPr>
                <w:rFonts w:asciiTheme="minorHAnsi" w:hAnsiTheme="minorHAnsi" w:cstheme="minorHAnsi"/>
                <w:sz w:val="20"/>
                <w:szCs w:val="20"/>
                <w:lang w:val="fr-CA"/>
              </w:rPr>
            </w:pPr>
            <w:r>
              <w:rPr>
                <w:rFonts w:asciiTheme="minorHAnsi" w:hAnsiTheme="minorHAnsi" w:cstheme="minorHAnsi"/>
                <w:sz w:val="20"/>
                <w:szCs w:val="20"/>
                <w:lang w:val="fr-CA"/>
              </w:rPr>
              <w:t>5c. Organiser tous les Points Focaux actuels et les responsables des NUs en trois Groupes Techniques (un groupe par effet).</w:t>
            </w:r>
          </w:p>
        </w:tc>
      </w:tr>
      <w:tr w:rsidR="00DB434D" w:rsidRPr="0052245B" w:rsidTr="00DB434D">
        <w:tc>
          <w:tcPr>
            <w:tcW w:w="4770" w:type="dxa"/>
          </w:tcPr>
          <w:p w:rsidR="00DB434D" w:rsidRDefault="00DB434D" w:rsidP="00DB434D">
            <w:pPr>
              <w:rPr>
                <w:rFonts w:asciiTheme="minorHAnsi" w:hAnsiTheme="minorHAnsi" w:cstheme="minorHAnsi"/>
                <w:sz w:val="20"/>
                <w:szCs w:val="20"/>
                <w:lang w:val="fr-CA"/>
              </w:rPr>
            </w:pPr>
            <w:r>
              <w:rPr>
                <w:rFonts w:asciiTheme="minorHAnsi" w:hAnsiTheme="minorHAnsi" w:cstheme="minorHAnsi"/>
                <w:sz w:val="20"/>
                <w:szCs w:val="20"/>
                <w:lang w:val="fr-CA"/>
              </w:rPr>
              <w:t xml:space="preserve">6. </w:t>
            </w:r>
            <w:r w:rsidRPr="00DB434D">
              <w:rPr>
                <w:rFonts w:asciiTheme="minorHAnsi" w:hAnsiTheme="minorHAnsi" w:cstheme="minorHAnsi"/>
                <w:sz w:val="20"/>
                <w:szCs w:val="20"/>
                <w:lang w:val="fr-CA"/>
              </w:rPr>
              <w:t>Assurer la continuation ou la pérennisation des activités et acquis clés du programme après la clôture du programme.</w:t>
            </w:r>
          </w:p>
        </w:tc>
        <w:tc>
          <w:tcPr>
            <w:tcW w:w="10980" w:type="dxa"/>
          </w:tcPr>
          <w:p w:rsidR="00DB434D" w:rsidRDefault="00DB434D" w:rsidP="00C07262">
            <w:pPr>
              <w:rPr>
                <w:rFonts w:asciiTheme="minorHAnsi" w:hAnsiTheme="minorHAnsi" w:cstheme="minorHAnsi"/>
                <w:sz w:val="20"/>
                <w:szCs w:val="20"/>
                <w:lang w:val="fr-CA"/>
              </w:rPr>
            </w:pPr>
            <w:r>
              <w:rPr>
                <w:rFonts w:asciiTheme="minorHAnsi" w:hAnsiTheme="minorHAnsi" w:cstheme="minorHAnsi"/>
                <w:sz w:val="20"/>
                <w:szCs w:val="20"/>
                <w:lang w:val="fr-CA"/>
              </w:rPr>
              <w:t>6a. Poursuite et intensification des efforts de mobilisation de ressources pour le financement d’un nouveau programme qui prolongera et pérennisera les acquis du programme.</w:t>
            </w:r>
          </w:p>
        </w:tc>
      </w:tr>
    </w:tbl>
    <w:p w:rsidR="00C07262" w:rsidRPr="00C07262" w:rsidRDefault="00C07262" w:rsidP="00C07262">
      <w:pPr>
        <w:rPr>
          <w:lang w:val="fr-CA"/>
        </w:rPr>
      </w:pPr>
    </w:p>
    <w:p w:rsidR="00C07262" w:rsidRDefault="00C07262">
      <w:pPr>
        <w:rPr>
          <w:rFonts w:ascii="Calibri" w:hAnsi="Calibri" w:cs="Calibri"/>
          <w:b/>
          <w:bCs/>
          <w:kern w:val="32"/>
          <w:sz w:val="28"/>
          <w:szCs w:val="28"/>
          <w:lang w:val="fr-CA"/>
        </w:rPr>
      </w:pPr>
      <w:bookmarkStart w:id="40" w:name="_Toc322342028"/>
      <w:r>
        <w:rPr>
          <w:rFonts w:cs="Calibri"/>
          <w:szCs w:val="28"/>
          <w:lang w:val="fr-CA"/>
        </w:rPr>
        <w:br w:type="page"/>
      </w:r>
    </w:p>
    <w:p w:rsidR="00FD534C" w:rsidRPr="00083FFB" w:rsidRDefault="00FD534C" w:rsidP="00FD534C">
      <w:pPr>
        <w:pStyle w:val="Heading1"/>
        <w:numPr>
          <w:ilvl w:val="0"/>
          <w:numId w:val="0"/>
        </w:numPr>
        <w:ind w:left="720"/>
        <w:rPr>
          <w:rFonts w:cs="Calibri"/>
          <w:szCs w:val="28"/>
          <w:lang w:val="fr-CA"/>
        </w:rPr>
      </w:pPr>
      <w:r w:rsidRPr="00083FFB">
        <w:rPr>
          <w:rFonts w:cs="Calibri"/>
          <w:szCs w:val="28"/>
          <w:lang w:val="fr-CA"/>
        </w:rPr>
        <w:lastRenderedPageBreak/>
        <w:t xml:space="preserve">Annexe </w:t>
      </w:r>
      <w:r w:rsidR="00C07262">
        <w:rPr>
          <w:rFonts w:cs="Calibri"/>
          <w:szCs w:val="28"/>
          <w:lang w:val="fr-CA"/>
        </w:rPr>
        <w:t>4</w:t>
      </w:r>
      <w:r w:rsidR="00637E87">
        <w:rPr>
          <w:rFonts w:cs="Calibri"/>
          <w:szCs w:val="28"/>
          <w:lang w:val="fr-CA"/>
        </w:rPr>
        <w:t xml:space="preserve"> </w:t>
      </w:r>
      <w:r w:rsidRPr="00083FFB">
        <w:rPr>
          <w:rFonts w:cs="Calibri"/>
          <w:szCs w:val="28"/>
          <w:lang w:val="fr-CA"/>
        </w:rPr>
        <w:t xml:space="preserve">- Liste des </w:t>
      </w:r>
      <w:r w:rsidR="00083FFB">
        <w:rPr>
          <w:rFonts w:cs="Calibri"/>
          <w:szCs w:val="28"/>
          <w:lang w:val="fr-CA"/>
        </w:rPr>
        <w:t>Points Focaux du</w:t>
      </w:r>
      <w:r w:rsidR="00BA2EAB" w:rsidRPr="00083FFB">
        <w:rPr>
          <w:rFonts w:cs="Calibri"/>
          <w:szCs w:val="28"/>
          <w:lang w:val="fr-CA"/>
        </w:rPr>
        <w:t xml:space="preserve"> programme</w:t>
      </w:r>
      <w:r w:rsidR="00083FFB">
        <w:rPr>
          <w:rFonts w:cs="Calibri"/>
          <w:szCs w:val="28"/>
          <w:lang w:val="fr-CA"/>
        </w:rPr>
        <w:t xml:space="preserve"> </w:t>
      </w:r>
      <w:r w:rsidR="00BA2EAB" w:rsidRPr="00083FFB">
        <w:rPr>
          <w:rFonts w:cs="Calibri"/>
          <w:szCs w:val="28"/>
          <w:lang w:val="fr-CA"/>
        </w:rPr>
        <w:t>conjoint</w:t>
      </w:r>
      <w:bookmarkEnd w:id="40"/>
    </w:p>
    <w:tbl>
      <w:tblPr>
        <w:tblW w:w="11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2766"/>
        <w:gridCol w:w="4949"/>
        <w:gridCol w:w="2811"/>
      </w:tblGrid>
      <w:tr w:rsidR="00BA2EAB" w:rsidRPr="00E46B31" w:rsidTr="00BA2EAB">
        <w:trPr>
          <w:trHeight w:val="20"/>
          <w:jc w:val="center"/>
        </w:trPr>
        <w:tc>
          <w:tcPr>
            <w:tcW w:w="1422" w:type="dxa"/>
            <w:vAlign w:val="center"/>
          </w:tcPr>
          <w:p w:rsidR="00BA2EAB" w:rsidRPr="00BA2EAB" w:rsidRDefault="00BA2EAB" w:rsidP="00BA2EAB">
            <w:pPr>
              <w:jc w:val="center"/>
              <w:rPr>
                <w:rFonts w:asciiTheme="minorHAnsi" w:hAnsiTheme="minorHAnsi" w:cstheme="minorHAnsi"/>
                <w:b/>
                <w:bCs/>
                <w:sz w:val="18"/>
                <w:szCs w:val="18"/>
                <w:lang w:val="fr-FR"/>
              </w:rPr>
            </w:pPr>
            <w:r w:rsidRPr="00BA2EAB">
              <w:rPr>
                <w:rFonts w:asciiTheme="minorHAnsi" w:hAnsiTheme="minorHAnsi" w:cstheme="minorHAnsi"/>
                <w:b/>
                <w:bCs/>
                <w:sz w:val="18"/>
                <w:szCs w:val="18"/>
                <w:lang w:val="fr-FR"/>
              </w:rPr>
              <w:t>Agences</w:t>
            </w:r>
            <w:r>
              <w:rPr>
                <w:rFonts w:asciiTheme="minorHAnsi" w:hAnsiTheme="minorHAnsi" w:cstheme="minorHAnsi"/>
                <w:b/>
                <w:bCs/>
                <w:sz w:val="18"/>
                <w:szCs w:val="18"/>
                <w:lang w:val="fr-FR"/>
              </w:rPr>
              <w:t xml:space="preserve"> /</w:t>
            </w:r>
          </w:p>
          <w:p w:rsidR="00BA2EAB" w:rsidRPr="00BA2EAB" w:rsidRDefault="00BA2EAB" w:rsidP="00BA2EAB">
            <w:pPr>
              <w:jc w:val="center"/>
              <w:rPr>
                <w:rFonts w:asciiTheme="minorHAnsi" w:hAnsiTheme="minorHAnsi" w:cstheme="minorHAnsi"/>
                <w:b/>
                <w:bCs/>
                <w:sz w:val="18"/>
                <w:szCs w:val="18"/>
                <w:lang w:val="fr-FR"/>
              </w:rPr>
            </w:pPr>
            <w:r w:rsidRPr="00BA2EAB">
              <w:rPr>
                <w:rFonts w:asciiTheme="minorHAnsi" w:hAnsiTheme="minorHAnsi" w:cstheme="minorHAnsi"/>
                <w:b/>
                <w:bCs/>
                <w:sz w:val="18"/>
                <w:szCs w:val="18"/>
                <w:lang w:val="fr-FR"/>
              </w:rPr>
              <w:t>Institutions</w:t>
            </w:r>
          </w:p>
        </w:tc>
        <w:tc>
          <w:tcPr>
            <w:tcW w:w="2766" w:type="dxa"/>
            <w:vAlign w:val="center"/>
          </w:tcPr>
          <w:p w:rsidR="00BA2EAB" w:rsidRPr="00BA2EAB" w:rsidRDefault="00BA2EAB" w:rsidP="00BA2EAB">
            <w:pPr>
              <w:jc w:val="center"/>
              <w:rPr>
                <w:rFonts w:asciiTheme="minorHAnsi" w:hAnsiTheme="minorHAnsi" w:cstheme="minorHAnsi"/>
                <w:b/>
                <w:bCs/>
                <w:sz w:val="18"/>
                <w:szCs w:val="18"/>
                <w:lang w:val="fr-FR"/>
              </w:rPr>
            </w:pPr>
            <w:r>
              <w:rPr>
                <w:rFonts w:asciiTheme="minorHAnsi" w:hAnsiTheme="minorHAnsi" w:cstheme="minorHAnsi"/>
                <w:b/>
                <w:bCs/>
                <w:sz w:val="18"/>
                <w:szCs w:val="18"/>
                <w:lang w:val="fr-FR"/>
              </w:rPr>
              <w:t>Nom</w:t>
            </w:r>
          </w:p>
        </w:tc>
        <w:tc>
          <w:tcPr>
            <w:tcW w:w="4949" w:type="dxa"/>
            <w:vAlign w:val="center"/>
          </w:tcPr>
          <w:p w:rsidR="00BA2EAB" w:rsidRPr="00BA2EAB" w:rsidRDefault="00BA2EAB" w:rsidP="00BA2EAB">
            <w:pPr>
              <w:jc w:val="center"/>
              <w:rPr>
                <w:rFonts w:asciiTheme="minorHAnsi" w:hAnsiTheme="minorHAnsi" w:cstheme="minorHAnsi"/>
                <w:b/>
                <w:bCs/>
                <w:sz w:val="18"/>
                <w:szCs w:val="18"/>
                <w:lang w:val="fr-FR"/>
              </w:rPr>
            </w:pPr>
            <w:r w:rsidRPr="00BA2EAB">
              <w:rPr>
                <w:rFonts w:asciiTheme="minorHAnsi" w:hAnsiTheme="minorHAnsi" w:cstheme="minorHAnsi"/>
                <w:b/>
                <w:bCs/>
                <w:sz w:val="18"/>
                <w:szCs w:val="18"/>
                <w:lang w:val="fr-FR"/>
              </w:rPr>
              <w:t>Fonction</w:t>
            </w:r>
          </w:p>
        </w:tc>
        <w:tc>
          <w:tcPr>
            <w:tcW w:w="2811" w:type="dxa"/>
            <w:vAlign w:val="center"/>
          </w:tcPr>
          <w:p w:rsidR="00BA2EAB" w:rsidRPr="00BA2EAB" w:rsidRDefault="00BA2EAB" w:rsidP="00BA2EAB">
            <w:pPr>
              <w:jc w:val="center"/>
              <w:rPr>
                <w:rFonts w:asciiTheme="minorHAnsi" w:hAnsiTheme="minorHAnsi" w:cstheme="minorHAnsi"/>
                <w:b/>
                <w:bCs/>
                <w:sz w:val="18"/>
                <w:szCs w:val="18"/>
                <w:lang w:val="fr-FR"/>
              </w:rPr>
            </w:pPr>
            <w:r w:rsidRPr="00BA2EAB">
              <w:rPr>
                <w:rFonts w:asciiTheme="minorHAnsi" w:hAnsiTheme="minorHAnsi" w:cstheme="minorHAnsi"/>
                <w:b/>
                <w:bCs/>
                <w:sz w:val="18"/>
                <w:szCs w:val="18"/>
                <w:lang w:val="fr-FR"/>
              </w:rPr>
              <w:t xml:space="preserve">Adresse </w:t>
            </w:r>
            <w:r>
              <w:rPr>
                <w:rFonts w:asciiTheme="minorHAnsi" w:hAnsiTheme="minorHAnsi" w:cstheme="minorHAnsi"/>
                <w:b/>
                <w:bCs/>
                <w:sz w:val="18"/>
                <w:szCs w:val="18"/>
                <w:lang w:val="fr-FR"/>
              </w:rPr>
              <w:t>e-mail</w:t>
            </w:r>
          </w:p>
        </w:tc>
      </w:tr>
      <w:tr w:rsidR="00BA2EAB" w:rsidRPr="0052245B" w:rsidTr="00BA2EAB">
        <w:trPr>
          <w:trHeight w:val="257"/>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PNUD</w:t>
            </w:r>
          </w:p>
        </w:tc>
        <w:tc>
          <w:tcPr>
            <w:tcW w:w="2766" w:type="dxa"/>
            <w:vAlign w:val="center"/>
          </w:tcPr>
          <w:p w:rsidR="00BA2EAB" w:rsidRPr="00BA2EAB" w:rsidRDefault="00BA2EAB" w:rsidP="0038607C">
            <w:pPr>
              <w:pStyle w:val="ListParagraph"/>
              <w:numPr>
                <w:ilvl w:val="0"/>
                <w:numId w:val="13"/>
              </w:numPr>
              <w:rPr>
                <w:rFonts w:asciiTheme="minorHAnsi" w:hAnsiTheme="minorHAnsi" w:cstheme="minorHAnsi"/>
                <w:sz w:val="18"/>
                <w:szCs w:val="18"/>
              </w:rPr>
            </w:pPr>
            <w:r w:rsidRPr="003A3F00">
              <w:rPr>
                <w:rFonts w:asciiTheme="minorHAnsi" w:hAnsiTheme="minorHAnsi" w:cstheme="minorHAnsi"/>
                <w:sz w:val="18"/>
                <w:szCs w:val="18"/>
                <w:lang w:val="fr-FR"/>
              </w:rPr>
              <w:t>E</w:t>
            </w:r>
            <w:r w:rsidRPr="00BA2EAB">
              <w:rPr>
                <w:rFonts w:asciiTheme="minorHAnsi" w:hAnsiTheme="minorHAnsi" w:cstheme="minorHAnsi"/>
                <w:sz w:val="18"/>
                <w:szCs w:val="18"/>
              </w:rPr>
              <w:t>duardo Lopez-Mancisidor</w:t>
            </w:r>
          </w:p>
          <w:p w:rsidR="00BA2EAB" w:rsidRPr="00BA2EAB" w:rsidRDefault="00BA2EAB" w:rsidP="0038607C">
            <w:pPr>
              <w:pStyle w:val="ListParagraph"/>
              <w:numPr>
                <w:ilvl w:val="0"/>
                <w:numId w:val="13"/>
              </w:numPr>
              <w:rPr>
                <w:rFonts w:asciiTheme="minorHAnsi" w:hAnsiTheme="minorHAnsi" w:cstheme="minorHAnsi"/>
                <w:sz w:val="18"/>
                <w:szCs w:val="18"/>
              </w:rPr>
            </w:pPr>
            <w:r w:rsidRPr="00BA2EAB">
              <w:rPr>
                <w:rFonts w:asciiTheme="minorHAnsi" w:hAnsiTheme="minorHAnsi" w:cstheme="minorHAnsi"/>
                <w:sz w:val="18"/>
                <w:szCs w:val="18"/>
              </w:rPr>
              <w:t>Karima Osmani</w:t>
            </w:r>
          </w:p>
        </w:tc>
        <w:tc>
          <w:tcPr>
            <w:tcW w:w="4949" w:type="dxa"/>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rPr>
              <w:t>Chargé</w:t>
            </w:r>
            <w:r w:rsidRPr="00BA2EAB">
              <w:rPr>
                <w:rFonts w:asciiTheme="minorHAnsi" w:hAnsiTheme="minorHAnsi" w:cstheme="minorHAnsi"/>
                <w:sz w:val="18"/>
                <w:szCs w:val="18"/>
                <w:lang w:val="fr-FR"/>
              </w:rPr>
              <w:t xml:space="preserve"> de Programme</w:t>
            </w:r>
            <w:r>
              <w:rPr>
                <w:rFonts w:asciiTheme="minorHAnsi" w:hAnsiTheme="minorHAnsi" w:cstheme="minorHAnsi"/>
                <w:sz w:val="18"/>
                <w:szCs w:val="18"/>
                <w:lang w:val="fr-FR"/>
              </w:rPr>
              <w:t xml:space="preserve"> </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rPr>
              <w:t>Associée</w:t>
            </w:r>
            <w:r w:rsidRPr="00BA2EAB">
              <w:rPr>
                <w:rFonts w:asciiTheme="minorHAnsi" w:hAnsiTheme="minorHAnsi" w:cstheme="minorHAnsi"/>
                <w:sz w:val="18"/>
                <w:szCs w:val="18"/>
                <w:lang w:val="fr-FR"/>
              </w:rPr>
              <w:t xml:space="preserve"> au Programme</w:t>
            </w:r>
          </w:p>
        </w:tc>
        <w:tc>
          <w:tcPr>
            <w:tcW w:w="2811" w:type="dxa"/>
            <w:vAlign w:val="center"/>
          </w:tcPr>
          <w:p w:rsidR="00BA2EAB" w:rsidRPr="00BA2EAB" w:rsidRDefault="00DB3349" w:rsidP="00BA2EAB">
            <w:pPr>
              <w:rPr>
                <w:rFonts w:asciiTheme="minorHAnsi" w:hAnsiTheme="minorHAnsi" w:cstheme="minorHAnsi"/>
                <w:sz w:val="18"/>
                <w:szCs w:val="18"/>
                <w:lang w:val="fr-FR"/>
              </w:rPr>
            </w:pPr>
            <w:hyperlink r:id="rId29" w:history="1">
              <w:r w:rsidR="00BA2EAB" w:rsidRPr="00BA2EAB">
                <w:rPr>
                  <w:rStyle w:val="Hyperlink"/>
                  <w:rFonts w:asciiTheme="minorHAnsi" w:hAnsiTheme="minorHAnsi" w:cstheme="minorHAnsi"/>
                  <w:color w:val="auto"/>
                  <w:sz w:val="18"/>
                  <w:szCs w:val="18"/>
                  <w:lang w:val="fr-FR"/>
                </w:rPr>
                <w:t>Eduardo.lopez-mancisidor@undp.org</w:t>
              </w:r>
            </w:hyperlink>
          </w:p>
        </w:tc>
      </w:tr>
      <w:tr w:rsidR="00BA2EAB" w:rsidRPr="00BA2EAB" w:rsidTr="00BA2EAB">
        <w:trPr>
          <w:trHeight w:val="70"/>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ONU Femmes</w:t>
            </w:r>
          </w:p>
        </w:tc>
        <w:tc>
          <w:tcPr>
            <w:tcW w:w="2766" w:type="dxa"/>
            <w:vAlign w:val="center"/>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Imane Hayef</w:t>
            </w:r>
          </w:p>
        </w:tc>
        <w:tc>
          <w:tcPr>
            <w:tcW w:w="4949" w:type="dxa"/>
            <w:vAlign w:val="center"/>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Coordonnatrice Programme Pays</w:t>
            </w:r>
          </w:p>
        </w:tc>
        <w:tc>
          <w:tcPr>
            <w:tcW w:w="2811" w:type="dxa"/>
            <w:vAlign w:val="center"/>
          </w:tcPr>
          <w:p w:rsidR="00BA2EAB" w:rsidRPr="00BA2EAB" w:rsidRDefault="00DB3349" w:rsidP="00BA2EAB">
            <w:pPr>
              <w:rPr>
                <w:rFonts w:asciiTheme="minorHAnsi" w:hAnsiTheme="minorHAnsi" w:cstheme="minorHAnsi"/>
                <w:sz w:val="18"/>
                <w:szCs w:val="18"/>
                <w:lang w:val="fr-FR"/>
              </w:rPr>
            </w:pPr>
            <w:hyperlink r:id="rId30" w:history="1">
              <w:r w:rsidR="00BA2EAB" w:rsidRPr="00BA2EAB">
                <w:rPr>
                  <w:rStyle w:val="Hyperlink"/>
                  <w:rFonts w:asciiTheme="minorHAnsi" w:hAnsiTheme="minorHAnsi" w:cstheme="minorHAnsi"/>
                  <w:color w:val="auto"/>
                  <w:sz w:val="18"/>
                  <w:szCs w:val="18"/>
                  <w:lang w:val="fr-FR"/>
                </w:rPr>
                <w:t>Imane.hayef@unifem.org</w:t>
              </w:r>
            </w:hyperlink>
          </w:p>
        </w:tc>
      </w:tr>
      <w:tr w:rsidR="00BA2EAB" w:rsidRPr="00BA2EAB" w:rsidTr="00BA2EAB">
        <w:trPr>
          <w:trHeight w:val="83"/>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FNUAP</w:t>
            </w:r>
          </w:p>
        </w:tc>
        <w:tc>
          <w:tcPr>
            <w:tcW w:w="2766" w:type="dxa"/>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Mustapha Omrane</w:t>
            </w:r>
          </w:p>
        </w:tc>
        <w:tc>
          <w:tcPr>
            <w:tcW w:w="4949" w:type="dxa"/>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 xml:space="preserve">Programme Officer </w:t>
            </w:r>
          </w:p>
        </w:tc>
        <w:tc>
          <w:tcPr>
            <w:tcW w:w="2811" w:type="dxa"/>
            <w:vAlign w:val="center"/>
          </w:tcPr>
          <w:p w:rsidR="00BA2EAB" w:rsidRPr="00BA2EAB" w:rsidRDefault="00DB3349" w:rsidP="00BA2EAB">
            <w:pPr>
              <w:rPr>
                <w:rFonts w:asciiTheme="minorHAnsi" w:hAnsiTheme="minorHAnsi" w:cstheme="minorHAnsi"/>
                <w:sz w:val="18"/>
                <w:szCs w:val="18"/>
                <w:lang w:val="fr-FR"/>
              </w:rPr>
            </w:pPr>
            <w:hyperlink r:id="rId31" w:history="1">
              <w:r w:rsidR="00BA2EAB" w:rsidRPr="00BA2EAB">
                <w:rPr>
                  <w:rStyle w:val="Hyperlink"/>
                  <w:rFonts w:asciiTheme="minorHAnsi" w:hAnsiTheme="minorHAnsi" w:cstheme="minorHAnsi"/>
                  <w:color w:val="auto"/>
                  <w:sz w:val="18"/>
                  <w:szCs w:val="18"/>
                  <w:lang w:val="fr-FR"/>
                </w:rPr>
                <w:t>omrane@unfpa.org</w:t>
              </w:r>
            </w:hyperlink>
          </w:p>
        </w:tc>
      </w:tr>
      <w:tr w:rsidR="00BA2EAB" w:rsidRPr="00BA2EAB" w:rsidTr="00BA2EAB">
        <w:trPr>
          <w:trHeight w:val="20"/>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BIT</w:t>
            </w:r>
          </w:p>
        </w:tc>
        <w:tc>
          <w:tcPr>
            <w:tcW w:w="2766" w:type="dxa"/>
            <w:vAlign w:val="center"/>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Rosa Benyounes</w:t>
            </w:r>
          </w:p>
        </w:tc>
        <w:tc>
          <w:tcPr>
            <w:tcW w:w="4949" w:type="dxa"/>
            <w:vAlign w:val="center"/>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Assistante de Programme</w:t>
            </w:r>
          </w:p>
        </w:tc>
        <w:tc>
          <w:tcPr>
            <w:tcW w:w="2811" w:type="dxa"/>
            <w:vAlign w:val="center"/>
          </w:tcPr>
          <w:p w:rsidR="00BA2EAB" w:rsidRPr="00BA2EAB" w:rsidRDefault="00DB3349" w:rsidP="00BA2EAB">
            <w:pPr>
              <w:rPr>
                <w:rFonts w:asciiTheme="minorHAnsi" w:hAnsiTheme="minorHAnsi" w:cstheme="minorHAnsi"/>
                <w:sz w:val="18"/>
                <w:szCs w:val="18"/>
                <w:lang w:val="fr-FR"/>
              </w:rPr>
            </w:pPr>
            <w:hyperlink r:id="rId32" w:history="1">
              <w:r w:rsidR="00BA2EAB" w:rsidRPr="00BA2EAB">
                <w:rPr>
                  <w:rStyle w:val="Hyperlink"/>
                  <w:rFonts w:asciiTheme="minorHAnsi" w:hAnsiTheme="minorHAnsi" w:cstheme="minorHAnsi"/>
                  <w:color w:val="auto"/>
                  <w:sz w:val="18"/>
                  <w:szCs w:val="18"/>
                  <w:lang w:val="fr-FR"/>
                </w:rPr>
                <w:t>benyounes@ilo.org</w:t>
              </w:r>
            </w:hyperlink>
            <w:r w:rsidR="00BA2EAB" w:rsidRPr="00BA2EAB">
              <w:rPr>
                <w:rFonts w:asciiTheme="minorHAnsi" w:hAnsiTheme="minorHAnsi" w:cstheme="minorHAnsi"/>
                <w:sz w:val="18"/>
                <w:szCs w:val="18"/>
                <w:lang w:val="fr-FR"/>
              </w:rPr>
              <w:t xml:space="preserve"> </w:t>
            </w:r>
          </w:p>
        </w:tc>
      </w:tr>
      <w:tr w:rsidR="00BA2EAB" w:rsidRPr="00BA2EAB" w:rsidTr="00BA2EAB">
        <w:trPr>
          <w:trHeight w:val="20"/>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ONUSIDA</w:t>
            </w:r>
          </w:p>
        </w:tc>
        <w:tc>
          <w:tcPr>
            <w:tcW w:w="2766" w:type="dxa"/>
            <w:vAlign w:val="center"/>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Adel Zeddam</w:t>
            </w:r>
          </w:p>
        </w:tc>
        <w:tc>
          <w:tcPr>
            <w:tcW w:w="4949" w:type="dxa"/>
            <w:vAlign w:val="center"/>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Pr>
                <w:rFonts w:asciiTheme="minorHAnsi" w:hAnsiTheme="minorHAnsi" w:cstheme="minorHAnsi"/>
                <w:sz w:val="18"/>
                <w:szCs w:val="18"/>
                <w:lang w:val="fr-FR"/>
              </w:rPr>
              <w:t>Coordonnateur National</w:t>
            </w:r>
          </w:p>
        </w:tc>
        <w:tc>
          <w:tcPr>
            <w:tcW w:w="2811" w:type="dxa"/>
            <w:vAlign w:val="center"/>
          </w:tcPr>
          <w:p w:rsidR="00BA2EAB" w:rsidRPr="00BA2EAB" w:rsidRDefault="00DB3349" w:rsidP="00BA2EAB">
            <w:pPr>
              <w:rPr>
                <w:rFonts w:asciiTheme="minorHAnsi" w:hAnsiTheme="minorHAnsi" w:cstheme="minorHAnsi"/>
                <w:sz w:val="18"/>
                <w:szCs w:val="18"/>
                <w:lang w:val="fr-FR"/>
              </w:rPr>
            </w:pPr>
            <w:hyperlink r:id="rId33" w:history="1">
              <w:r w:rsidR="00BA2EAB" w:rsidRPr="00BA2EAB">
                <w:rPr>
                  <w:rStyle w:val="Hyperlink"/>
                  <w:rFonts w:asciiTheme="minorHAnsi" w:hAnsiTheme="minorHAnsi" w:cstheme="minorHAnsi"/>
                  <w:color w:val="auto"/>
                  <w:sz w:val="18"/>
                  <w:szCs w:val="18"/>
                  <w:lang w:val="fr-FR"/>
                </w:rPr>
                <w:t>zeddama@unaids.org</w:t>
              </w:r>
            </w:hyperlink>
          </w:p>
        </w:tc>
      </w:tr>
      <w:tr w:rsidR="00BA2EAB" w:rsidRPr="00BA2EAB" w:rsidTr="00BA2EAB">
        <w:trPr>
          <w:trHeight w:val="437"/>
          <w:jc w:val="center"/>
        </w:trPr>
        <w:tc>
          <w:tcPr>
            <w:tcW w:w="1422" w:type="dxa"/>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UNICEF</w:t>
            </w:r>
          </w:p>
        </w:tc>
        <w:tc>
          <w:tcPr>
            <w:tcW w:w="2766" w:type="dxa"/>
            <w:vAlign w:val="center"/>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 xml:space="preserve">Leila </w:t>
            </w:r>
            <w:r w:rsidRPr="00932959">
              <w:rPr>
                <w:rFonts w:asciiTheme="minorHAnsi" w:hAnsiTheme="minorHAnsi" w:cstheme="minorHAnsi"/>
                <w:sz w:val="18"/>
                <w:szCs w:val="18"/>
                <w:lang w:val="fr-FR"/>
              </w:rPr>
              <w:t>Dahbi</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Doria M</w:t>
            </w:r>
            <w:r w:rsidRPr="00BA2EAB">
              <w:rPr>
                <w:rFonts w:asciiTheme="minorHAnsi" w:hAnsiTheme="minorHAnsi" w:cstheme="minorHAnsi"/>
                <w:sz w:val="18"/>
                <w:szCs w:val="18"/>
                <w:lang w:val="fr-FR"/>
              </w:rPr>
              <w:t>erabtine</w:t>
            </w:r>
          </w:p>
        </w:tc>
        <w:tc>
          <w:tcPr>
            <w:tcW w:w="4949" w:type="dxa"/>
            <w:vAlign w:val="center"/>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Chargée de communication</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Spécialiste</w:t>
            </w:r>
            <w:r w:rsidRPr="00BA2EAB">
              <w:rPr>
                <w:rFonts w:asciiTheme="minorHAnsi" w:hAnsiTheme="minorHAnsi" w:cstheme="minorHAnsi"/>
                <w:sz w:val="18"/>
                <w:szCs w:val="18"/>
                <w:lang w:val="fr-FR"/>
              </w:rPr>
              <w:t xml:space="preserve"> Protection</w:t>
            </w:r>
          </w:p>
        </w:tc>
        <w:tc>
          <w:tcPr>
            <w:tcW w:w="2811" w:type="dxa"/>
          </w:tcPr>
          <w:p w:rsidR="00BA2EAB" w:rsidRPr="00BA2EAB" w:rsidRDefault="00DB3349" w:rsidP="00BA2EAB">
            <w:pPr>
              <w:rPr>
                <w:rFonts w:asciiTheme="minorHAnsi" w:hAnsiTheme="minorHAnsi" w:cstheme="minorHAnsi"/>
                <w:sz w:val="18"/>
                <w:szCs w:val="18"/>
                <w:u w:val="single"/>
                <w:lang w:val="fr-FR"/>
              </w:rPr>
            </w:pPr>
            <w:hyperlink r:id="rId34" w:history="1">
              <w:r w:rsidR="00BA2EAB" w:rsidRPr="00BA2EAB">
                <w:rPr>
                  <w:rStyle w:val="Hyperlink"/>
                  <w:rFonts w:asciiTheme="minorHAnsi" w:hAnsiTheme="minorHAnsi" w:cstheme="minorHAnsi"/>
                  <w:color w:val="auto"/>
                  <w:sz w:val="18"/>
                  <w:szCs w:val="18"/>
                  <w:lang w:val="fr-FR"/>
                </w:rPr>
                <w:t>ldaabi@unicef.org</w:t>
              </w:r>
            </w:hyperlink>
          </w:p>
          <w:p w:rsidR="00BA2EAB" w:rsidRPr="00BA2EAB" w:rsidRDefault="00BA2EAB" w:rsidP="00BA2EAB">
            <w:pPr>
              <w:rPr>
                <w:rFonts w:asciiTheme="minorHAnsi" w:hAnsiTheme="minorHAnsi" w:cstheme="minorHAnsi"/>
                <w:sz w:val="18"/>
                <w:szCs w:val="18"/>
                <w:lang w:val="fr-FR"/>
              </w:rPr>
            </w:pPr>
            <w:r w:rsidRPr="00BA2EAB">
              <w:rPr>
                <w:rFonts w:asciiTheme="minorHAnsi" w:hAnsiTheme="minorHAnsi" w:cstheme="minorHAnsi"/>
                <w:sz w:val="18"/>
                <w:szCs w:val="18"/>
                <w:u w:val="single"/>
                <w:lang w:val="fr-FR"/>
              </w:rPr>
              <w:t>dmerabtine@unicef.org</w:t>
            </w:r>
          </w:p>
        </w:tc>
      </w:tr>
      <w:tr w:rsidR="00BA2EAB" w:rsidRPr="00BA2EAB" w:rsidTr="00BA2EAB">
        <w:trPr>
          <w:trHeight w:val="838"/>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MDCFCF</w:t>
            </w:r>
          </w:p>
        </w:tc>
        <w:tc>
          <w:tcPr>
            <w:tcW w:w="2766" w:type="dxa"/>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Hassiba Houacine</w:t>
            </w:r>
          </w:p>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Farida Bellahcène</w:t>
            </w:r>
          </w:p>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Karima Megtef Mehali</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Nabila</w:t>
            </w:r>
            <w:r w:rsidRPr="00BA2EAB">
              <w:rPr>
                <w:rFonts w:asciiTheme="minorHAnsi" w:hAnsiTheme="minorHAnsi" w:cstheme="minorHAnsi"/>
                <w:sz w:val="18"/>
                <w:szCs w:val="18"/>
                <w:lang w:val="fr-FR"/>
              </w:rPr>
              <w:t xml:space="preserve"> Medjbeur</w:t>
            </w:r>
          </w:p>
        </w:tc>
        <w:tc>
          <w:tcPr>
            <w:tcW w:w="4949" w:type="dxa"/>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Chef de Cabinet et Directrice Nationale du Programme</w:t>
            </w:r>
          </w:p>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CES</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CES</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Administrateur</w:t>
            </w:r>
          </w:p>
        </w:tc>
        <w:tc>
          <w:tcPr>
            <w:tcW w:w="2811" w:type="dxa"/>
            <w:vAlign w:val="center"/>
          </w:tcPr>
          <w:p w:rsidR="00BA2EAB" w:rsidRPr="00BA2EAB" w:rsidRDefault="00DB3349" w:rsidP="00BA2EAB">
            <w:pPr>
              <w:rPr>
                <w:rFonts w:asciiTheme="minorHAnsi" w:hAnsiTheme="minorHAnsi" w:cstheme="minorHAnsi"/>
                <w:sz w:val="18"/>
                <w:szCs w:val="18"/>
                <w:lang w:val="fr-FR"/>
              </w:rPr>
            </w:pPr>
            <w:hyperlink r:id="rId35" w:history="1">
              <w:r w:rsidR="00BA2EAB" w:rsidRPr="00BA2EAB">
                <w:rPr>
                  <w:rStyle w:val="Hyperlink"/>
                  <w:rFonts w:asciiTheme="minorHAnsi" w:hAnsiTheme="minorHAnsi" w:cstheme="minorHAnsi"/>
                  <w:color w:val="auto"/>
                  <w:sz w:val="18"/>
                  <w:szCs w:val="18"/>
                  <w:lang w:val="fr-FR"/>
                </w:rPr>
                <w:t>okkarama@yahoo.fr</w:t>
              </w:r>
            </w:hyperlink>
          </w:p>
          <w:p w:rsidR="00BA2EAB" w:rsidRPr="00BA2EAB" w:rsidRDefault="00DB3349" w:rsidP="00BA2EAB">
            <w:pPr>
              <w:rPr>
                <w:rFonts w:asciiTheme="minorHAnsi" w:hAnsiTheme="minorHAnsi" w:cstheme="minorHAnsi"/>
                <w:sz w:val="18"/>
                <w:szCs w:val="18"/>
                <w:lang w:val="fr-FR"/>
              </w:rPr>
            </w:pPr>
            <w:hyperlink r:id="rId36" w:history="1">
              <w:r w:rsidR="00BA2EAB" w:rsidRPr="00BA2EAB">
                <w:rPr>
                  <w:rStyle w:val="Hyperlink"/>
                  <w:rFonts w:asciiTheme="minorHAnsi" w:hAnsiTheme="minorHAnsi" w:cstheme="minorHAnsi"/>
                  <w:color w:val="auto"/>
                  <w:sz w:val="18"/>
                  <w:szCs w:val="18"/>
                  <w:lang w:val="fr-FR"/>
                </w:rPr>
                <w:t>faridas18@hotmail.com</w:t>
              </w:r>
            </w:hyperlink>
          </w:p>
          <w:p w:rsidR="00BA2EAB" w:rsidRPr="00BA2EAB" w:rsidRDefault="00DB3349" w:rsidP="00BA2EAB">
            <w:pPr>
              <w:rPr>
                <w:rFonts w:asciiTheme="minorHAnsi" w:hAnsiTheme="minorHAnsi" w:cstheme="minorHAnsi"/>
                <w:sz w:val="18"/>
                <w:szCs w:val="18"/>
                <w:lang w:val="fr-FR"/>
              </w:rPr>
            </w:pPr>
            <w:hyperlink r:id="rId37" w:history="1">
              <w:r w:rsidR="00BA2EAB" w:rsidRPr="00BA2EAB">
                <w:rPr>
                  <w:rStyle w:val="Hyperlink"/>
                  <w:rFonts w:asciiTheme="minorHAnsi" w:hAnsiTheme="minorHAnsi" w:cstheme="minorHAnsi"/>
                  <w:color w:val="auto"/>
                  <w:sz w:val="18"/>
                  <w:szCs w:val="18"/>
                  <w:lang w:val="fr-FR"/>
                </w:rPr>
                <w:t>karmenmimi@yahoo.fr</w:t>
              </w:r>
            </w:hyperlink>
          </w:p>
          <w:p w:rsidR="00BA2EAB" w:rsidRPr="00BA2EAB" w:rsidRDefault="00DB3349" w:rsidP="00BA2EAB">
            <w:pPr>
              <w:rPr>
                <w:rFonts w:asciiTheme="minorHAnsi" w:hAnsiTheme="minorHAnsi" w:cstheme="minorHAnsi"/>
                <w:sz w:val="18"/>
                <w:szCs w:val="18"/>
                <w:lang w:val="fr-FR"/>
              </w:rPr>
            </w:pPr>
            <w:hyperlink r:id="rId38" w:history="1">
              <w:r w:rsidR="00BA2EAB" w:rsidRPr="00BA2EAB">
                <w:rPr>
                  <w:rStyle w:val="Hyperlink"/>
                  <w:rFonts w:asciiTheme="minorHAnsi" w:hAnsiTheme="minorHAnsi" w:cstheme="minorHAnsi"/>
                  <w:color w:val="auto"/>
                  <w:sz w:val="18"/>
                  <w:szCs w:val="18"/>
                  <w:lang w:val="fr-FR"/>
                </w:rPr>
                <w:t>medjbeurnabila@yahoo.fr</w:t>
              </w:r>
            </w:hyperlink>
          </w:p>
        </w:tc>
      </w:tr>
      <w:tr w:rsidR="00BA2EAB" w:rsidRPr="00BA2EAB" w:rsidTr="00BA2EAB">
        <w:trPr>
          <w:trHeight w:val="20"/>
          <w:jc w:val="center"/>
        </w:trPr>
        <w:tc>
          <w:tcPr>
            <w:tcW w:w="1422" w:type="dxa"/>
            <w:vAlign w:val="center"/>
          </w:tcPr>
          <w:p w:rsidR="00BA2EAB" w:rsidRPr="00BA2EAB" w:rsidRDefault="00BA2EAB" w:rsidP="00BA2EAB">
            <w:pPr>
              <w:rPr>
                <w:rFonts w:asciiTheme="minorHAnsi" w:hAnsiTheme="minorHAnsi" w:cstheme="minorHAnsi"/>
                <w:b/>
                <w:bCs/>
                <w:sz w:val="18"/>
                <w:szCs w:val="18"/>
                <w:lang w:val="fr-FR"/>
              </w:rPr>
            </w:pPr>
            <w:r w:rsidRPr="00BA2EAB">
              <w:rPr>
                <w:rFonts w:asciiTheme="minorHAnsi" w:hAnsiTheme="minorHAnsi" w:cstheme="minorHAnsi"/>
                <w:b/>
                <w:sz w:val="18"/>
                <w:szCs w:val="18"/>
                <w:lang w:val="fr-FR"/>
              </w:rPr>
              <w:t>PNUD/ MDCFCF</w:t>
            </w:r>
          </w:p>
        </w:tc>
        <w:tc>
          <w:tcPr>
            <w:tcW w:w="2766" w:type="dxa"/>
            <w:vAlign w:val="center"/>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Mohamed-Oudris Benouali</w:t>
            </w:r>
          </w:p>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Arim Merouane</w:t>
            </w:r>
          </w:p>
        </w:tc>
        <w:tc>
          <w:tcPr>
            <w:tcW w:w="4949" w:type="dxa"/>
            <w:vAlign w:val="center"/>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Coordonnateur du Programme</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Assis</w:t>
            </w:r>
            <w:r w:rsidRPr="00BA2EAB">
              <w:rPr>
                <w:rFonts w:asciiTheme="minorHAnsi" w:hAnsiTheme="minorHAnsi" w:cstheme="minorHAnsi"/>
                <w:sz w:val="18"/>
                <w:szCs w:val="18"/>
                <w:lang w:val="fr-FR"/>
              </w:rPr>
              <w:t>tant au Programme</w:t>
            </w:r>
          </w:p>
        </w:tc>
        <w:tc>
          <w:tcPr>
            <w:tcW w:w="2811" w:type="dxa"/>
            <w:vAlign w:val="center"/>
          </w:tcPr>
          <w:p w:rsidR="00BA2EAB" w:rsidRPr="00BA2EAB" w:rsidRDefault="00DB3349" w:rsidP="00BA2EAB">
            <w:pPr>
              <w:rPr>
                <w:rFonts w:asciiTheme="minorHAnsi" w:hAnsiTheme="minorHAnsi" w:cstheme="minorHAnsi"/>
                <w:sz w:val="18"/>
                <w:szCs w:val="18"/>
                <w:lang w:val="fr-FR"/>
              </w:rPr>
            </w:pPr>
            <w:hyperlink r:id="rId39" w:history="1">
              <w:r w:rsidR="00BA2EAB" w:rsidRPr="00BA2EAB">
                <w:rPr>
                  <w:rStyle w:val="Hyperlink"/>
                  <w:rFonts w:asciiTheme="minorHAnsi" w:hAnsiTheme="minorHAnsi" w:cstheme="minorHAnsi"/>
                  <w:color w:val="auto"/>
                  <w:sz w:val="18"/>
                  <w:szCs w:val="18"/>
                  <w:lang w:val="fr-FR"/>
                </w:rPr>
                <w:t>mohamed-oudris.benouali@undpaffiliates.org</w:t>
              </w:r>
            </w:hyperlink>
          </w:p>
          <w:p w:rsidR="00BA2EAB" w:rsidRPr="00BA2EAB" w:rsidRDefault="00BA2EAB" w:rsidP="00BA2EAB">
            <w:pPr>
              <w:rPr>
                <w:rFonts w:asciiTheme="minorHAnsi" w:hAnsiTheme="minorHAnsi" w:cstheme="minorHAnsi"/>
                <w:sz w:val="18"/>
                <w:szCs w:val="18"/>
                <w:lang w:val="fr-FR"/>
              </w:rPr>
            </w:pPr>
            <w:r w:rsidRPr="00BA2EAB">
              <w:rPr>
                <w:rFonts w:asciiTheme="minorHAnsi" w:hAnsiTheme="minorHAnsi" w:cstheme="minorHAnsi"/>
                <w:sz w:val="18"/>
                <w:szCs w:val="18"/>
                <w:u w:val="single"/>
                <w:lang w:val="fr-FR"/>
              </w:rPr>
              <w:t>arim_merouane@yahoo.fr</w:t>
            </w:r>
          </w:p>
        </w:tc>
      </w:tr>
      <w:tr w:rsidR="00BA2EAB" w:rsidRPr="00BA2EAB" w:rsidTr="00BA2EAB">
        <w:trPr>
          <w:trHeight w:val="20"/>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MAE</w:t>
            </w:r>
          </w:p>
        </w:tc>
        <w:tc>
          <w:tcPr>
            <w:tcW w:w="2766" w:type="dxa"/>
            <w:vAlign w:val="center"/>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Mohamed Moussaoui</w:t>
            </w:r>
          </w:p>
        </w:tc>
        <w:tc>
          <w:tcPr>
            <w:tcW w:w="4949" w:type="dxa"/>
            <w:vAlign w:val="center"/>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Chef de bureau</w:t>
            </w:r>
          </w:p>
        </w:tc>
        <w:tc>
          <w:tcPr>
            <w:tcW w:w="2811" w:type="dxa"/>
            <w:vAlign w:val="center"/>
          </w:tcPr>
          <w:p w:rsidR="00BA2EAB" w:rsidRPr="00BA2EAB" w:rsidRDefault="00BA2EAB" w:rsidP="00BA2EAB">
            <w:pPr>
              <w:rPr>
                <w:rFonts w:asciiTheme="minorHAnsi" w:hAnsiTheme="minorHAnsi" w:cstheme="minorHAnsi"/>
                <w:sz w:val="18"/>
                <w:szCs w:val="18"/>
                <w:lang w:val="fr-FR"/>
              </w:rPr>
            </w:pPr>
            <w:r w:rsidRPr="00BA2EAB">
              <w:rPr>
                <w:rFonts w:asciiTheme="minorHAnsi" w:hAnsiTheme="minorHAnsi" w:cstheme="minorHAnsi"/>
                <w:sz w:val="18"/>
                <w:szCs w:val="18"/>
                <w:u w:val="single"/>
                <w:lang w:val="fr-FR"/>
              </w:rPr>
              <w:t>m1.moussaoui@gmail.com</w:t>
            </w:r>
          </w:p>
        </w:tc>
      </w:tr>
      <w:tr w:rsidR="00BA2EAB" w:rsidRPr="00BA2EAB" w:rsidTr="00BA2EAB">
        <w:trPr>
          <w:trHeight w:val="20"/>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MTESS</w:t>
            </w:r>
          </w:p>
        </w:tc>
        <w:tc>
          <w:tcPr>
            <w:tcW w:w="2766" w:type="dxa"/>
            <w:vAlign w:val="center"/>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 xml:space="preserve">Meriem </w:t>
            </w:r>
            <w:r w:rsidRPr="00932959">
              <w:rPr>
                <w:rFonts w:asciiTheme="minorHAnsi" w:hAnsiTheme="minorHAnsi" w:cstheme="minorHAnsi"/>
                <w:sz w:val="18"/>
                <w:szCs w:val="18"/>
                <w:lang w:val="fr-FR"/>
              </w:rPr>
              <w:t>Loukriz</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Hamida Djide</w:t>
            </w:r>
            <w:r w:rsidRPr="00BA2EAB">
              <w:rPr>
                <w:rFonts w:asciiTheme="minorHAnsi" w:hAnsiTheme="minorHAnsi" w:cstheme="minorHAnsi"/>
                <w:sz w:val="18"/>
                <w:szCs w:val="18"/>
                <w:lang w:val="fr-FR"/>
              </w:rPr>
              <w:t>l</w:t>
            </w:r>
          </w:p>
        </w:tc>
        <w:tc>
          <w:tcPr>
            <w:tcW w:w="4949" w:type="dxa"/>
            <w:vAlign w:val="center"/>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Directrice d’études</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Inspe</w:t>
            </w:r>
            <w:r w:rsidRPr="00BA2EAB">
              <w:rPr>
                <w:rFonts w:asciiTheme="minorHAnsi" w:hAnsiTheme="minorHAnsi" w:cstheme="minorHAnsi"/>
                <w:sz w:val="18"/>
                <w:szCs w:val="18"/>
                <w:lang w:val="fr-FR"/>
              </w:rPr>
              <w:t>ctrice</w:t>
            </w:r>
          </w:p>
        </w:tc>
        <w:tc>
          <w:tcPr>
            <w:tcW w:w="2811" w:type="dxa"/>
          </w:tcPr>
          <w:p w:rsidR="00BA2EAB" w:rsidRPr="00BA2EAB" w:rsidRDefault="00DB3349" w:rsidP="00BA2EAB">
            <w:pPr>
              <w:rPr>
                <w:rFonts w:asciiTheme="minorHAnsi" w:hAnsiTheme="minorHAnsi" w:cstheme="minorHAnsi"/>
                <w:sz w:val="18"/>
                <w:szCs w:val="18"/>
                <w:lang w:val="fr-FR"/>
              </w:rPr>
            </w:pPr>
            <w:hyperlink r:id="rId40" w:history="1">
              <w:r w:rsidR="00BA2EAB" w:rsidRPr="00BA2EAB">
                <w:rPr>
                  <w:rStyle w:val="Hyperlink"/>
                  <w:rFonts w:asciiTheme="minorHAnsi" w:hAnsiTheme="minorHAnsi" w:cstheme="minorHAnsi"/>
                  <w:color w:val="auto"/>
                  <w:sz w:val="18"/>
                  <w:szCs w:val="18"/>
                  <w:lang w:val="fr-FR"/>
                </w:rPr>
                <w:t>mloukriz@yahoo.fr</w:t>
              </w:r>
            </w:hyperlink>
          </w:p>
        </w:tc>
      </w:tr>
      <w:tr w:rsidR="00BA2EAB" w:rsidRPr="0052245B" w:rsidTr="00BA2EAB">
        <w:trPr>
          <w:trHeight w:val="325"/>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MFEP</w:t>
            </w:r>
          </w:p>
        </w:tc>
        <w:tc>
          <w:tcPr>
            <w:tcW w:w="2766" w:type="dxa"/>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 xml:space="preserve">Akila </w:t>
            </w:r>
            <w:r w:rsidRPr="00932959">
              <w:rPr>
                <w:rFonts w:asciiTheme="minorHAnsi" w:hAnsiTheme="minorHAnsi" w:cstheme="minorHAnsi"/>
                <w:sz w:val="18"/>
                <w:szCs w:val="18"/>
                <w:lang w:val="fr-FR"/>
              </w:rPr>
              <w:t>Chergou</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Yacine Abd</w:t>
            </w:r>
            <w:r w:rsidRPr="00BA2EAB">
              <w:rPr>
                <w:rFonts w:asciiTheme="minorHAnsi" w:hAnsiTheme="minorHAnsi" w:cstheme="minorHAnsi"/>
                <w:sz w:val="18"/>
                <w:szCs w:val="18"/>
                <w:lang w:val="fr-FR"/>
              </w:rPr>
              <w:t>elgarfi</w:t>
            </w:r>
          </w:p>
        </w:tc>
        <w:tc>
          <w:tcPr>
            <w:tcW w:w="4949" w:type="dxa"/>
          </w:tcPr>
          <w:p w:rsidR="00BA2EAB" w:rsidRPr="00BE5AB3" w:rsidRDefault="00BA2EAB" w:rsidP="0038607C">
            <w:pPr>
              <w:pStyle w:val="ListParagraph"/>
              <w:numPr>
                <w:ilvl w:val="0"/>
                <w:numId w:val="13"/>
              </w:numPr>
              <w:rPr>
                <w:rFonts w:asciiTheme="minorHAnsi" w:hAnsiTheme="minorHAnsi" w:cstheme="minorHAnsi"/>
                <w:sz w:val="18"/>
                <w:szCs w:val="18"/>
                <w:lang w:val="fr-FR"/>
              </w:rPr>
            </w:pPr>
            <w:r w:rsidRPr="00BE5AB3">
              <w:rPr>
                <w:rFonts w:asciiTheme="minorHAnsi" w:hAnsiTheme="minorHAnsi" w:cstheme="minorHAnsi"/>
                <w:sz w:val="18"/>
                <w:szCs w:val="18"/>
                <w:lang w:val="fr-FR"/>
              </w:rPr>
              <w:t>Directrice de la Formation Continue et des Relations intersectorielles</w:t>
            </w:r>
          </w:p>
        </w:tc>
        <w:tc>
          <w:tcPr>
            <w:tcW w:w="2811" w:type="dxa"/>
          </w:tcPr>
          <w:p w:rsidR="00BA2EAB" w:rsidRPr="00BA2EAB" w:rsidRDefault="00DB3349" w:rsidP="00BA2EAB">
            <w:pPr>
              <w:rPr>
                <w:rFonts w:asciiTheme="minorHAnsi" w:hAnsiTheme="minorHAnsi" w:cstheme="minorHAnsi"/>
                <w:sz w:val="18"/>
                <w:szCs w:val="18"/>
                <w:lang w:val="fr-FR"/>
              </w:rPr>
            </w:pPr>
            <w:hyperlink r:id="rId41" w:history="1">
              <w:r w:rsidR="00BA2EAB" w:rsidRPr="00BA2EAB">
                <w:rPr>
                  <w:rStyle w:val="Hyperlink"/>
                  <w:rFonts w:asciiTheme="minorHAnsi" w:hAnsiTheme="minorHAnsi" w:cstheme="minorHAnsi"/>
                  <w:color w:val="auto"/>
                  <w:sz w:val="18"/>
                  <w:szCs w:val="18"/>
                  <w:lang w:val="fr-FR"/>
                </w:rPr>
                <w:t>chergou@yahoo.fr</w:t>
              </w:r>
            </w:hyperlink>
          </w:p>
          <w:p w:rsidR="00BA2EAB" w:rsidRPr="00BA2EAB" w:rsidRDefault="00BA2EAB" w:rsidP="00BA2EAB">
            <w:pPr>
              <w:rPr>
                <w:rFonts w:asciiTheme="minorHAnsi" w:hAnsiTheme="minorHAnsi" w:cstheme="minorHAnsi"/>
                <w:sz w:val="18"/>
                <w:szCs w:val="18"/>
                <w:lang w:val="fr-FR"/>
              </w:rPr>
            </w:pPr>
            <w:r w:rsidRPr="00BA2EAB">
              <w:rPr>
                <w:rFonts w:asciiTheme="minorHAnsi" w:hAnsiTheme="minorHAnsi" w:cstheme="minorHAnsi"/>
                <w:sz w:val="18"/>
                <w:szCs w:val="18"/>
                <w:u w:val="single"/>
                <w:lang w:val="fr-FR"/>
              </w:rPr>
              <w:t>yabdelguerfi@yahoo.fr</w:t>
            </w:r>
          </w:p>
        </w:tc>
      </w:tr>
      <w:tr w:rsidR="00BA2EAB" w:rsidRPr="00BA2EAB" w:rsidTr="00BA2EAB">
        <w:trPr>
          <w:trHeight w:val="181"/>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MSNF</w:t>
            </w:r>
          </w:p>
        </w:tc>
        <w:tc>
          <w:tcPr>
            <w:tcW w:w="2766" w:type="dxa"/>
            <w:vAlign w:val="center"/>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 xml:space="preserve">Malika </w:t>
            </w:r>
            <w:r w:rsidRPr="00932959">
              <w:rPr>
                <w:rFonts w:asciiTheme="minorHAnsi" w:hAnsiTheme="minorHAnsi" w:cstheme="minorHAnsi"/>
                <w:sz w:val="18"/>
                <w:szCs w:val="18"/>
                <w:lang w:val="fr-FR"/>
              </w:rPr>
              <w:t>Moussaoui</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Houria M</w:t>
            </w:r>
            <w:r w:rsidRPr="00BA2EAB">
              <w:rPr>
                <w:rFonts w:asciiTheme="minorHAnsi" w:hAnsiTheme="minorHAnsi" w:cstheme="minorHAnsi"/>
                <w:sz w:val="18"/>
                <w:szCs w:val="18"/>
                <w:lang w:val="fr-FR"/>
              </w:rPr>
              <w:t>eziani</w:t>
            </w:r>
          </w:p>
        </w:tc>
        <w:tc>
          <w:tcPr>
            <w:tcW w:w="4949" w:type="dxa"/>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Directrice de la Protection et de la Promotion de la femme</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Inspectrice</w:t>
            </w:r>
            <w:r w:rsidRPr="00BA2EAB">
              <w:rPr>
                <w:rFonts w:asciiTheme="minorHAnsi" w:hAnsiTheme="minorHAnsi" w:cstheme="minorHAnsi"/>
                <w:sz w:val="18"/>
                <w:szCs w:val="18"/>
                <w:lang w:val="fr-FR"/>
              </w:rPr>
              <w:t xml:space="preserve"> Centrale</w:t>
            </w:r>
          </w:p>
        </w:tc>
        <w:tc>
          <w:tcPr>
            <w:tcW w:w="2811" w:type="dxa"/>
          </w:tcPr>
          <w:p w:rsidR="00BA2EAB" w:rsidRPr="00BA2EAB" w:rsidRDefault="002C4A61" w:rsidP="00BA2EAB">
            <w:pPr>
              <w:rPr>
                <w:rFonts w:asciiTheme="minorHAnsi" w:hAnsiTheme="minorHAnsi" w:cstheme="minorHAnsi"/>
                <w:sz w:val="18"/>
                <w:szCs w:val="18"/>
                <w:lang w:val="fr-FR"/>
              </w:rPr>
            </w:pPr>
            <w:r w:rsidRPr="002C4A61">
              <w:rPr>
                <w:rFonts w:asciiTheme="minorHAnsi" w:hAnsiTheme="minorHAnsi" w:cstheme="minorHAnsi"/>
                <w:sz w:val="18"/>
                <w:szCs w:val="18"/>
                <w:lang w:val="fr-FR"/>
              </w:rPr>
              <w:t>malikamoussaoui11@yahoo</w:t>
            </w:r>
            <w:r>
              <w:rPr>
                <w:rFonts w:asciiTheme="minorHAnsi" w:hAnsiTheme="minorHAnsi" w:cstheme="minorHAnsi"/>
                <w:sz w:val="18"/>
                <w:szCs w:val="18"/>
                <w:lang w:val="fr-FR"/>
              </w:rPr>
              <w:t>.com</w:t>
            </w:r>
          </w:p>
        </w:tc>
      </w:tr>
      <w:tr w:rsidR="00BA2EAB" w:rsidRPr="00BA2EAB" w:rsidTr="00BA2EAB">
        <w:trPr>
          <w:trHeight w:val="166"/>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MESRS</w:t>
            </w:r>
          </w:p>
        </w:tc>
        <w:tc>
          <w:tcPr>
            <w:tcW w:w="2766" w:type="dxa"/>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 xml:space="preserve">Rabia </w:t>
            </w:r>
            <w:r w:rsidRPr="00932959">
              <w:rPr>
                <w:rFonts w:asciiTheme="minorHAnsi" w:hAnsiTheme="minorHAnsi" w:cstheme="minorHAnsi"/>
                <w:sz w:val="18"/>
                <w:szCs w:val="18"/>
                <w:lang w:val="fr-FR"/>
              </w:rPr>
              <w:t>Seray</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Malika</w:t>
            </w:r>
            <w:r w:rsidRPr="00BA2EAB">
              <w:rPr>
                <w:rFonts w:asciiTheme="minorHAnsi" w:hAnsiTheme="minorHAnsi" w:cstheme="minorHAnsi"/>
                <w:sz w:val="18"/>
                <w:szCs w:val="18"/>
                <w:lang w:val="fr-FR"/>
              </w:rPr>
              <w:t xml:space="preserve"> Larid</w:t>
            </w:r>
          </w:p>
        </w:tc>
        <w:tc>
          <w:tcPr>
            <w:tcW w:w="4949" w:type="dxa"/>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S/</w:t>
            </w:r>
            <w:r w:rsidRPr="00932959">
              <w:rPr>
                <w:rFonts w:asciiTheme="minorHAnsi" w:hAnsiTheme="minorHAnsi" w:cstheme="minorHAnsi"/>
                <w:sz w:val="18"/>
                <w:szCs w:val="18"/>
                <w:lang w:val="fr-FR"/>
              </w:rPr>
              <w:t>Directrice</w:t>
            </w:r>
          </w:p>
          <w:p w:rsidR="00BA2EAB" w:rsidRPr="00BA2EAB" w:rsidRDefault="00BA2EAB" w:rsidP="00BA2EAB">
            <w:pPr>
              <w:rPr>
                <w:rFonts w:asciiTheme="minorHAnsi" w:hAnsiTheme="minorHAnsi" w:cstheme="minorHAnsi"/>
                <w:sz w:val="18"/>
                <w:szCs w:val="18"/>
                <w:lang w:val="fr-FR"/>
              </w:rPr>
            </w:pPr>
          </w:p>
        </w:tc>
        <w:tc>
          <w:tcPr>
            <w:tcW w:w="2811" w:type="dxa"/>
          </w:tcPr>
          <w:p w:rsidR="00BA2EAB" w:rsidRPr="00BA2EAB" w:rsidRDefault="00DB3349" w:rsidP="00BA2EAB">
            <w:pPr>
              <w:rPr>
                <w:rFonts w:asciiTheme="minorHAnsi" w:hAnsiTheme="minorHAnsi" w:cstheme="minorHAnsi"/>
                <w:sz w:val="18"/>
                <w:szCs w:val="18"/>
                <w:u w:val="single"/>
                <w:lang w:val="fr-FR"/>
              </w:rPr>
            </w:pPr>
            <w:hyperlink r:id="rId42" w:history="1">
              <w:r w:rsidR="00BA2EAB" w:rsidRPr="00BA2EAB">
                <w:rPr>
                  <w:rStyle w:val="Hyperlink"/>
                  <w:rFonts w:asciiTheme="minorHAnsi" w:hAnsiTheme="minorHAnsi" w:cstheme="minorHAnsi"/>
                  <w:color w:val="auto"/>
                  <w:sz w:val="18"/>
                  <w:szCs w:val="18"/>
                  <w:lang w:val="fr-FR"/>
                </w:rPr>
                <w:t>formesr@yahoo.fr</w:t>
              </w:r>
            </w:hyperlink>
            <w:r w:rsidR="00BA2EAB" w:rsidRPr="00BA2EAB">
              <w:rPr>
                <w:rFonts w:asciiTheme="minorHAnsi" w:hAnsiTheme="minorHAnsi" w:cstheme="minorHAnsi"/>
                <w:sz w:val="18"/>
                <w:szCs w:val="18"/>
                <w:lang w:val="fr-FR"/>
              </w:rPr>
              <w:t xml:space="preserve"> </w:t>
            </w:r>
          </w:p>
          <w:p w:rsidR="00BA2EAB" w:rsidRPr="00BA2EAB" w:rsidRDefault="00DB3349" w:rsidP="00BA2EAB">
            <w:pPr>
              <w:rPr>
                <w:rFonts w:asciiTheme="minorHAnsi" w:hAnsiTheme="minorHAnsi" w:cstheme="minorHAnsi"/>
                <w:sz w:val="18"/>
                <w:szCs w:val="18"/>
                <w:lang w:val="fr-FR"/>
              </w:rPr>
            </w:pPr>
            <w:hyperlink r:id="rId43" w:history="1">
              <w:r w:rsidR="00BA2EAB" w:rsidRPr="00BA2EAB">
                <w:rPr>
                  <w:rStyle w:val="Hyperlink"/>
                  <w:rFonts w:asciiTheme="minorHAnsi" w:hAnsiTheme="minorHAnsi" w:cstheme="minorHAnsi"/>
                  <w:color w:val="auto"/>
                  <w:sz w:val="18"/>
                  <w:szCs w:val="18"/>
                  <w:lang w:val="fr-FR"/>
                </w:rPr>
                <w:t>m.larid@mesrs.dz</w:t>
              </w:r>
            </w:hyperlink>
            <w:r w:rsidR="00BA2EAB" w:rsidRPr="00BA2EAB">
              <w:rPr>
                <w:rFonts w:asciiTheme="minorHAnsi" w:hAnsiTheme="minorHAnsi" w:cstheme="minorHAnsi"/>
                <w:sz w:val="18"/>
                <w:szCs w:val="18"/>
                <w:lang w:val="fr-FR"/>
              </w:rPr>
              <w:t xml:space="preserve"> </w:t>
            </w:r>
          </w:p>
        </w:tc>
      </w:tr>
      <w:tr w:rsidR="00BA2EAB" w:rsidRPr="00BA2EAB" w:rsidTr="00BA2EAB">
        <w:trPr>
          <w:trHeight w:val="380"/>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MTA</w:t>
            </w:r>
          </w:p>
        </w:tc>
        <w:tc>
          <w:tcPr>
            <w:tcW w:w="2766" w:type="dxa"/>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 xml:space="preserve">Ouahiba </w:t>
            </w:r>
            <w:r w:rsidRPr="00932959">
              <w:rPr>
                <w:rFonts w:asciiTheme="minorHAnsi" w:hAnsiTheme="minorHAnsi" w:cstheme="minorHAnsi"/>
                <w:sz w:val="18"/>
                <w:szCs w:val="18"/>
                <w:lang w:val="fr-FR"/>
              </w:rPr>
              <w:t>Moumen</w:t>
            </w:r>
          </w:p>
          <w:p w:rsidR="00BA2EAB" w:rsidRPr="00BA2EAB" w:rsidRDefault="009E7A0B" w:rsidP="0038607C">
            <w:pPr>
              <w:pStyle w:val="ListParagraph"/>
              <w:numPr>
                <w:ilvl w:val="0"/>
                <w:numId w:val="13"/>
              </w:numPr>
              <w:rPr>
                <w:rFonts w:asciiTheme="minorHAnsi" w:hAnsiTheme="minorHAnsi" w:cstheme="minorHAnsi"/>
                <w:sz w:val="18"/>
                <w:szCs w:val="18"/>
                <w:lang w:val="fr-FR"/>
              </w:rPr>
            </w:pPr>
            <w:r>
              <w:rPr>
                <w:rFonts w:asciiTheme="minorHAnsi" w:hAnsiTheme="minorHAnsi" w:cstheme="minorHAnsi"/>
                <w:sz w:val="18"/>
                <w:szCs w:val="18"/>
                <w:lang w:val="fr-FR"/>
              </w:rPr>
              <w:t>Koliai Saida</w:t>
            </w:r>
          </w:p>
        </w:tc>
        <w:tc>
          <w:tcPr>
            <w:tcW w:w="4949" w:type="dxa"/>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Directrice d’études</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Sous</w:t>
            </w:r>
            <w:r w:rsidRPr="00BA2EAB">
              <w:rPr>
                <w:rFonts w:asciiTheme="minorHAnsi" w:hAnsiTheme="minorHAnsi" w:cstheme="minorHAnsi"/>
                <w:sz w:val="18"/>
                <w:szCs w:val="18"/>
                <w:lang w:val="fr-FR"/>
              </w:rPr>
              <w:t>-Directrice</w:t>
            </w:r>
          </w:p>
        </w:tc>
        <w:tc>
          <w:tcPr>
            <w:tcW w:w="2811" w:type="dxa"/>
          </w:tcPr>
          <w:p w:rsidR="00BA2EAB" w:rsidRPr="00BA2EAB" w:rsidRDefault="00BA2EAB" w:rsidP="00BA2EAB">
            <w:pPr>
              <w:rPr>
                <w:rFonts w:asciiTheme="minorHAnsi" w:hAnsiTheme="minorHAnsi" w:cstheme="minorHAnsi"/>
                <w:sz w:val="18"/>
                <w:szCs w:val="18"/>
                <w:lang w:val="fr-FR"/>
              </w:rPr>
            </w:pPr>
            <w:r w:rsidRPr="00BA2EAB">
              <w:rPr>
                <w:rFonts w:asciiTheme="minorHAnsi" w:hAnsiTheme="minorHAnsi" w:cstheme="minorHAnsi"/>
                <w:sz w:val="18"/>
                <w:szCs w:val="18"/>
                <w:lang w:val="fr-FR"/>
              </w:rPr>
              <w:t xml:space="preserve"> </w:t>
            </w:r>
            <w:hyperlink r:id="rId44" w:history="1">
              <w:r w:rsidRPr="00BA2EAB">
                <w:rPr>
                  <w:rStyle w:val="Hyperlink"/>
                  <w:rFonts w:asciiTheme="minorHAnsi" w:hAnsiTheme="minorHAnsi" w:cstheme="minorHAnsi"/>
                  <w:color w:val="auto"/>
                  <w:sz w:val="18"/>
                  <w:szCs w:val="18"/>
                  <w:lang w:val="fr-FR"/>
                </w:rPr>
                <w:t>moumenouahiba@yahoo.fr</w:t>
              </w:r>
            </w:hyperlink>
          </w:p>
          <w:p w:rsidR="00BA2EAB" w:rsidRPr="00BA2EAB" w:rsidRDefault="00DB3349" w:rsidP="00BA2EAB">
            <w:pPr>
              <w:rPr>
                <w:rFonts w:asciiTheme="minorHAnsi" w:hAnsiTheme="minorHAnsi" w:cstheme="minorHAnsi"/>
                <w:sz w:val="18"/>
                <w:szCs w:val="18"/>
                <w:lang w:val="fr-FR"/>
              </w:rPr>
            </w:pPr>
            <w:hyperlink r:id="rId45" w:history="1">
              <w:r w:rsidR="00BA2EAB" w:rsidRPr="00BA2EAB">
                <w:rPr>
                  <w:rStyle w:val="Hyperlink"/>
                  <w:rFonts w:asciiTheme="minorHAnsi" w:hAnsiTheme="minorHAnsi" w:cstheme="minorHAnsi"/>
                  <w:color w:val="auto"/>
                  <w:sz w:val="18"/>
                  <w:szCs w:val="18"/>
                  <w:lang w:val="fr-FR"/>
                </w:rPr>
                <w:t>benchaouilatifa@yahoo.fr</w:t>
              </w:r>
            </w:hyperlink>
          </w:p>
        </w:tc>
      </w:tr>
      <w:tr w:rsidR="00BA2EAB" w:rsidRPr="00BA2EAB" w:rsidTr="00BA2EAB">
        <w:trPr>
          <w:trHeight w:val="20"/>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MPS</w:t>
            </w:r>
          </w:p>
        </w:tc>
        <w:tc>
          <w:tcPr>
            <w:tcW w:w="2766" w:type="dxa"/>
            <w:vAlign w:val="center"/>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 xml:space="preserve">Mounia </w:t>
            </w:r>
            <w:r w:rsidRPr="00932959">
              <w:rPr>
                <w:rFonts w:asciiTheme="minorHAnsi" w:hAnsiTheme="minorHAnsi" w:cstheme="minorHAnsi"/>
                <w:sz w:val="18"/>
                <w:szCs w:val="18"/>
                <w:lang w:val="fr-FR"/>
              </w:rPr>
              <w:t>Bouterfa</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Zahida Nabti</w:t>
            </w:r>
            <w:r w:rsidRPr="00BA2EAB">
              <w:rPr>
                <w:rFonts w:asciiTheme="minorHAnsi" w:hAnsiTheme="minorHAnsi" w:cstheme="minorHAnsi"/>
                <w:sz w:val="18"/>
                <w:szCs w:val="18"/>
                <w:lang w:val="fr-FR"/>
              </w:rPr>
              <w:t xml:space="preserve"> </w:t>
            </w:r>
          </w:p>
        </w:tc>
        <w:tc>
          <w:tcPr>
            <w:tcW w:w="4949" w:type="dxa"/>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Chargé</w:t>
            </w:r>
            <w:r w:rsidRPr="00BA2EAB">
              <w:rPr>
                <w:rFonts w:asciiTheme="minorHAnsi" w:hAnsiTheme="minorHAnsi" w:cstheme="minorHAnsi"/>
                <w:sz w:val="18"/>
                <w:szCs w:val="18"/>
                <w:lang w:val="fr-FR"/>
              </w:rPr>
              <w:t xml:space="preserve"> d’études</w:t>
            </w:r>
          </w:p>
        </w:tc>
        <w:tc>
          <w:tcPr>
            <w:tcW w:w="2811" w:type="dxa"/>
          </w:tcPr>
          <w:p w:rsidR="00BA2EAB" w:rsidRPr="00BA2EAB" w:rsidRDefault="00DB3349" w:rsidP="00BA2EAB">
            <w:pPr>
              <w:rPr>
                <w:rFonts w:asciiTheme="minorHAnsi" w:hAnsiTheme="minorHAnsi" w:cstheme="minorHAnsi"/>
                <w:sz w:val="18"/>
                <w:szCs w:val="18"/>
                <w:lang w:val="fr-FR"/>
              </w:rPr>
            </w:pPr>
            <w:hyperlink r:id="rId46" w:history="1">
              <w:r w:rsidR="00BA2EAB" w:rsidRPr="00BA2EAB">
                <w:rPr>
                  <w:rStyle w:val="Hyperlink"/>
                  <w:rFonts w:asciiTheme="minorHAnsi" w:hAnsiTheme="minorHAnsi" w:cstheme="minorHAnsi"/>
                  <w:color w:val="auto"/>
                  <w:sz w:val="18"/>
                  <w:szCs w:val="18"/>
                  <w:lang w:val="fr-FR"/>
                </w:rPr>
                <w:t>mounaplan@yahoo.fr</w:t>
              </w:r>
            </w:hyperlink>
          </w:p>
          <w:p w:rsidR="00BA2EAB" w:rsidRPr="00BA2EAB" w:rsidRDefault="00BA2EAB" w:rsidP="00BA2EAB">
            <w:pPr>
              <w:rPr>
                <w:rFonts w:asciiTheme="minorHAnsi" w:hAnsiTheme="minorHAnsi" w:cstheme="minorHAnsi"/>
                <w:sz w:val="18"/>
                <w:szCs w:val="18"/>
                <w:lang w:val="fr-FR"/>
              </w:rPr>
            </w:pPr>
          </w:p>
        </w:tc>
      </w:tr>
      <w:tr w:rsidR="00BA2EAB" w:rsidRPr="00BA2EAB" w:rsidTr="00BA2EAB">
        <w:trPr>
          <w:trHeight w:val="166"/>
          <w:jc w:val="center"/>
        </w:trPr>
        <w:tc>
          <w:tcPr>
            <w:tcW w:w="1422" w:type="dxa"/>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MF</w:t>
            </w:r>
          </w:p>
        </w:tc>
        <w:tc>
          <w:tcPr>
            <w:tcW w:w="2766" w:type="dxa"/>
            <w:vAlign w:val="center"/>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 xml:space="preserve">Mourad </w:t>
            </w:r>
            <w:r w:rsidRPr="00932959">
              <w:rPr>
                <w:rFonts w:asciiTheme="minorHAnsi" w:hAnsiTheme="minorHAnsi" w:cstheme="minorHAnsi"/>
                <w:sz w:val="18"/>
                <w:szCs w:val="18"/>
                <w:lang w:val="fr-FR"/>
              </w:rPr>
              <w:t>Mouhoubi</w:t>
            </w:r>
          </w:p>
          <w:p w:rsidR="00BA2EAB" w:rsidRPr="00106F6C" w:rsidRDefault="00BA2EAB" w:rsidP="00106F6C">
            <w:pPr>
              <w:rPr>
                <w:rFonts w:asciiTheme="minorHAnsi" w:hAnsiTheme="minorHAnsi" w:cstheme="minorHAnsi"/>
                <w:sz w:val="18"/>
                <w:szCs w:val="18"/>
                <w:lang w:val="fr-FR"/>
              </w:rPr>
            </w:pPr>
          </w:p>
        </w:tc>
        <w:tc>
          <w:tcPr>
            <w:tcW w:w="4949" w:type="dxa"/>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Inspecteur</w:t>
            </w:r>
            <w:r w:rsidRPr="00BA2EAB">
              <w:rPr>
                <w:rFonts w:asciiTheme="minorHAnsi" w:hAnsiTheme="minorHAnsi" w:cstheme="minorHAnsi"/>
                <w:sz w:val="18"/>
                <w:szCs w:val="18"/>
                <w:lang w:val="fr-FR"/>
              </w:rPr>
              <w:t xml:space="preserve"> Central</w:t>
            </w:r>
          </w:p>
        </w:tc>
        <w:tc>
          <w:tcPr>
            <w:tcW w:w="2811" w:type="dxa"/>
          </w:tcPr>
          <w:p w:rsidR="00BA2EAB" w:rsidRPr="00BA2EAB" w:rsidRDefault="00DB3349" w:rsidP="00BA2EAB">
            <w:pPr>
              <w:rPr>
                <w:rFonts w:asciiTheme="minorHAnsi" w:hAnsiTheme="minorHAnsi" w:cstheme="minorHAnsi"/>
                <w:sz w:val="18"/>
                <w:szCs w:val="18"/>
                <w:lang w:val="fr-FR"/>
              </w:rPr>
            </w:pPr>
            <w:hyperlink r:id="rId47" w:history="1">
              <w:r w:rsidR="00BA2EAB" w:rsidRPr="00BA2EAB">
                <w:rPr>
                  <w:rStyle w:val="Hyperlink"/>
                  <w:rFonts w:asciiTheme="minorHAnsi" w:hAnsiTheme="minorHAnsi" w:cstheme="minorHAnsi"/>
                  <w:color w:val="auto"/>
                  <w:sz w:val="18"/>
                  <w:szCs w:val="18"/>
                  <w:lang w:val="fr-FR"/>
                </w:rPr>
                <w:t>mouhoubi_mourad@hotmail.fr</w:t>
              </w:r>
            </w:hyperlink>
          </w:p>
        </w:tc>
      </w:tr>
      <w:tr w:rsidR="00BA2EAB" w:rsidRPr="00BA2EAB" w:rsidTr="00BA2EAB">
        <w:trPr>
          <w:trHeight w:val="173"/>
          <w:jc w:val="center"/>
        </w:trPr>
        <w:tc>
          <w:tcPr>
            <w:tcW w:w="1422" w:type="dxa"/>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MSPRH</w:t>
            </w:r>
          </w:p>
        </w:tc>
        <w:tc>
          <w:tcPr>
            <w:tcW w:w="2766" w:type="dxa"/>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Kamel Ait Oubelli</w:t>
            </w:r>
          </w:p>
        </w:tc>
        <w:tc>
          <w:tcPr>
            <w:tcW w:w="4949" w:type="dxa"/>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Chef de Programme IST/VIH/SIDA</w:t>
            </w:r>
          </w:p>
        </w:tc>
        <w:tc>
          <w:tcPr>
            <w:tcW w:w="2811" w:type="dxa"/>
          </w:tcPr>
          <w:p w:rsidR="00BA2EAB" w:rsidRPr="00BA2EAB" w:rsidRDefault="00DB3349" w:rsidP="00BA2EAB">
            <w:pPr>
              <w:rPr>
                <w:rFonts w:asciiTheme="minorHAnsi" w:hAnsiTheme="minorHAnsi" w:cstheme="minorHAnsi"/>
                <w:sz w:val="18"/>
                <w:szCs w:val="18"/>
                <w:lang w:val="fr-FR"/>
              </w:rPr>
            </w:pPr>
            <w:hyperlink r:id="rId48" w:history="1">
              <w:r w:rsidR="00BA2EAB" w:rsidRPr="00BA2EAB">
                <w:rPr>
                  <w:rStyle w:val="Hyperlink"/>
                  <w:rFonts w:asciiTheme="minorHAnsi" w:hAnsiTheme="minorHAnsi" w:cstheme="minorHAnsi"/>
                  <w:color w:val="auto"/>
                  <w:sz w:val="18"/>
                  <w:szCs w:val="18"/>
                  <w:lang w:val="fr-FR"/>
                </w:rPr>
                <w:t>kaitoub@hotmail.com</w:t>
              </w:r>
            </w:hyperlink>
          </w:p>
        </w:tc>
      </w:tr>
      <w:tr w:rsidR="00BA2EAB" w:rsidRPr="00BA2EAB" w:rsidTr="00BA2EAB">
        <w:trPr>
          <w:trHeight w:val="20"/>
          <w:jc w:val="center"/>
        </w:trPr>
        <w:tc>
          <w:tcPr>
            <w:tcW w:w="1422" w:type="dxa"/>
            <w:vAlign w:val="center"/>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MIPIPME</w:t>
            </w:r>
          </w:p>
        </w:tc>
        <w:tc>
          <w:tcPr>
            <w:tcW w:w="2766" w:type="dxa"/>
            <w:vAlign w:val="center"/>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Nassima Benhabiles</w:t>
            </w:r>
          </w:p>
        </w:tc>
        <w:tc>
          <w:tcPr>
            <w:tcW w:w="4949" w:type="dxa"/>
            <w:vAlign w:val="center"/>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S/Directrice</w:t>
            </w:r>
          </w:p>
        </w:tc>
        <w:tc>
          <w:tcPr>
            <w:tcW w:w="2811" w:type="dxa"/>
            <w:vAlign w:val="center"/>
          </w:tcPr>
          <w:p w:rsidR="00BA2EAB" w:rsidRPr="00BA2EAB" w:rsidRDefault="00DB3349" w:rsidP="00BA2EAB">
            <w:pPr>
              <w:rPr>
                <w:rFonts w:asciiTheme="minorHAnsi" w:hAnsiTheme="minorHAnsi" w:cstheme="minorHAnsi"/>
                <w:sz w:val="18"/>
                <w:szCs w:val="18"/>
                <w:lang w:val="fr-FR"/>
              </w:rPr>
            </w:pPr>
            <w:hyperlink r:id="rId49" w:history="1">
              <w:r w:rsidR="00BA2EAB" w:rsidRPr="00BA2EAB">
                <w:rPr>
                  <w:rStyle w:val="Hyperlink"/>
                  <w:rFonts w:asciiTheme="minorHAnsi" w:hAnsiTheme="minorHAnsi" w:cstheme="minorHAnsi"/>
                  <w:color w:val="auto"/>
                  <w:sz w:val="18"/>
                  <w:szCs w:val="18"/>
                  <w:lang w:val="fr-FR"/>
                </w:rPr>
                <w:t>Benhabiles_nassima@yahoo.fr</w:t>
              </w:r>
            </w:hyperlink>
          </w:p>
        </w:tc>
      </w:tr>
      <w:tr w:rsidR="00BA2EAB" w:rsidRPr="00BA2EAB" w:rsidTr="00BA2EAB">
        <w:trPr>
          <w:trHeight w:val="166"/>
          <w:jc w:val="center"/>
        </w:trPr>
        <w:tc>
          <w:tcPr>
            <w:tcW w:w="1422" w:type="dxa"/>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MADR</w:t>
            </w:r>
          </w:p>
        </w:tc>
        <w:tc>
          <w:tcPr>
            <w:tcW w:w="2766" w:type="dxa"/>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 xml:space="preserve">Fatiha   </w:t>
            </w:r>
            <w:r w:rsidRPr="00932959">
              <w:rPr>
                <w:rFonts w:asciiTheme="minorHAnsi" w:hAnsiTheme="minorHAnsi" w:cstheme="minorHAnsi"/>
                <w:sz w:val="18"/>
                <w:szCs w:val="18"/>
                <w:lang w:val="fr-FR"/>
              </w:rPr>
              <w:t xml:space="preserve">Djehiche    </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 xml:space="preserve">  Nadjma Rahmani</w:t>
            </w:r>
          </w:p>
        </w:tc>
        <w:tc>
          <w:tcPr>
            <w:tcW w:w="4949" w:type="dxa"/>
          </w:tcPr>
          <w:p w:rsidR="00BA2EAB" w:rsidRPr="00932959"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 xml:space="preserve">Chargée d’études et de Synthèse             </w:t>
            </w:r>
          </w:p>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932959">
              <w:rPr>
                <w:rFonts w:asciiTheme="minorHAnsi" w:hAnsiTheme="minorHAnsi" w:cstheme="minorHAnsi"/>
                <w:sz w:val="18"/>
                <w:szCs w:val="18"/>
                <w:lang w:val="fr-FR"/>
              </w:rPr>
              <w:t>Sous-Directrice</w:t>
            </w:r>
          </w:p>
        </w:tc>
        <w:tc>
          <w:tcPr>
            <w:tcW w:w="2811" w:type="dxa"/>
          </w:tcPr>
          <w:p w:rsidR="00BA2EAB" w:rsidRPr="00BA2EAB" w:rsidRDefault="00DB3349" w:rsidP="00BA2EAB">
            <w:pPr>
              <w:rPr>
                <w:rFonts w:asciiTheme="minorHAnsi" w:hAnsiTheme="minorHAnsi" w:cstheme="minorHAnsi"/>
                <w:sz w:val="18"/>
                <w:szCs w:val="18"/>
                <w:u w:val="single"/>
                <w:lang w:val="fr-FR"/>
              </w:rPr>
            </w:pPr>
            <w:hyperlink r:id="rId50" w:history="1">
              <w:r w:rsidR="00630FB6" w:rsidRPr="003E097E">
                <w:rPr>
                  <w:rStyle w:val="Hyperlink"/>
                  <w:rFonts w:asciiTheme="minorHAnsi" w:hAnsiTheme="minorHAnsi" w:cstheme="minorHAnsi"/>
                  <w:sz w:val="18"/>
                  <w:szCs w:val="18"/>
                  <w:lang w:val="fr-FR"/>
                </w:rPr>
                <w:t xml:space="preserve"> Fdjehiche1962@yahoo.fr</w:t>
              </w:r>
            </w:hyperlink>
          </w:p>
        </w:tc>
      </w:tr>
      <w:tr w:rsidR="00BA2EAB" w:rsidRPr="00BA2EAB" w:rsidTr="00BA2EAB">
        <w:trPr>
          <w:trHeight w:val="263"/>
          <w:jc w:val="center"/>
        </w:trPr>
        <w:tc>
          <w:tcPr>
            <w:tcW w:w="1422" w:type="dxa"/>
            <w:tcBorders>
              <w:bottom w:val="single" w:sz="4" w:space="0" w:color="auto"/>
            </w:tcBorders>
          </w:tcPr>
          <w:p w:rsidR="00BA2EAB" w:rsidRPr="00BA2EAB" w:rsidRDefault="00BA2EAB" w:rsidP="00BA2EAB">
            <w:pPr>
              <w:rPr>
                <w:rFonts w:asciiTheme="minorHAnsi" w:hAnsiTheme="minorHAnsi" w:cstheme="minorHAnsi"/>
                <w:b/>
                <w:sz w:val="18"/>
                <w:szCs w:val="18"/>
                <w:lang w:val="fr-FR"/>
              </w:rPr>
            </w:pPr>
            <w:r w:rsidRPr="00BA2EAB">
              <w:rPr>
                <w:rFonts w:asciiTheme="minorHAnsi" w:hAnsiTheme="minorHAnsi" w:cstheme="minorHAnsi"/>
                <w:b/>
                <w:sz w:val="18"/>
                <w:szCs w:val="18"/>
                <w:lang w:val="fr-FR"/>
              </w:rPr>
              <w:t>ONS</w:t>
            </w:r>
          </w:p>
        </w:tc>
        <w:tc>
          <w:tcPr>
            <w:tcW w:w="2766" w:type="dxa"/>
            <w:tcBorders>
              <w:bottom w:val="single" w:sz="4" w:space="0" w:color="auto"/>
            </w:tcBorders>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Amal Lakehal</w:t>
            </w:r>
          </w:p>
        </w:tc>
        <w:tc>
          <w:tcPr>
            <w:tcW w:w="4949" w:type="dxa"/>
            <w:tcBorders>
              <w:bottom w:val="single" w:sz="4" w:space="0" w:color="auto"/>
            </w:tcBorders>
          </w:tcPr>
          <w:p w:rsidR="00BA2EAB" w:rsidRPr="00BA2EAB" w:rsidRDefault="00BA2EAB" w:rsidP="0038607C">
            <w:pPr>
              <w:pStyle w:val="ListParagraph"/>
              <w:numPr>
                <w:ilvl w:val="0"/>
                <w:numId w:val="13"/>
              </w:numPr>
              <w:rPr>
                <w:rFonts w:asciiTheme="minorHAnsi" w:hAnsiTheme="minorHAnsi" w:cstheme="minorHAnsi"/>
                <w:sz w:val="18"/>
                <w:szCs w:val="18"/>
                <w:lang w:val="fr-FR"/>
              </w:rPr>
            </w:pPr>
            <w:r w:rsidRPr="00BA2EAB">
              <w:rPr>
                <w:rFonts w:asciiTheme="minorHAnsi" w:hAnsiTheme="minorHAnsi" w:cstheme="minorHAnsi"/>
                <w:sz w:val="18"/>
                <w:szCs w:val="18"/>
                <w:lang w:val="fr-FR"/>
              </w:rPr>
              <w:t>Directrice</w:t>
            </w:r>
          </w:p>
        </w:tc>
        <w:tc>
          <w:tcPr>
            <w:tcW w:w="2811" w:type="dxa"/>
            <w:tcBorders>
              <w:bottom w:val="single" w:sz="4" w:space="0" w:color="auto"/>
            </w:tcBorders>
          </w:tcPr>
          <w:p w:rsidR="00BA2EAB" w:rsidRPr="00BA2EAB" w:rsidRDefault="00DB3349" w:rsidP="00BA2EAB">
            <w:pPr>
              <w:rPr>
                <w:rFonts w:asciiTheme="minorHAnsi" w:hAnsiTheme="minorHAnsi" w:cstheme="minorHAnsi"/>
                <w:sz w:val="18"/>
                <w:szCs w:val="18"/>
                <w:lang w:val="fr-FR"/>
              </w:rPr>
            </w:pPr>
            <w:hyperlink r:id="rId51" w:history="1">
              <w:r w:rsidR="00BA2EAB" w:rsidRPr="00BA2EAB">
                <w:rPr>
                  <w:rStyle w:val="Hyperlink"/>
                  <w:rFonts w:asciiTheme="minorHAnsi" w:hAnsiTheme="minorHAnsi" w:cstheme="minorHAnsi"/>
                  <w:color w:val="auto"/>
                  <w:sz w:val="18"/>
                  <w:szCs w:val="18"/>
                  <w:lang w:val="fr-FR"/>
                </w:rPr>
                <w:t>lakehal@ons.dz</w:t>
              </w:r>
            </w:hyperlink>
          </w:p>
        </w:tc>
      </w:tr>
    </w:tbl>
    <w:p w:rsidR="00FD534C" w:rsidRPr="0031650C" w:rsidRDefault="00FD534C" w:rsidP="009E37BA">
      <w:pPr>
        <w:pStyle w:val="Heading1"/>
        <w:numPr>
          <w:ilvl w:val="0"/>
          <w:numId w:val="0"/>
        </w:numPr>
        <w:ind w:left="720"/>
        <w:rPr>
          <w:rFonts w:cs="Calibri"/>
          <w:color w:val="FF0000"/>
          <w:sz w:val="21"/>
          <w:szCs w:val="21"/>
          <w:lang w:val="fr-CA"/>
        </w:rPr>
        <w:sectPr w:rsidR="00FD534C" w:rsidRPr="0031650C" w:rsidSect="00FD534C">
          <w:pgSz w:w="16838" w:h="11906" w:orient="landscape"/>
          <w:pgMar w:top="1411" w:right="1411" w:bottom="1354" w:left="1411" w:header="706" w:footer="706" w:gutter="0"/>
          <w:cols w:space="708"/>
          <w:docGrid w:linePitch="360"/>
        </w:sectPr>
      </w:pPr>
    </w:p>
    <w:p w:rsidR="00637E87" w:rsidRPr="00B27FE1" w:rsidRDefault="00637E87" w:rsidP="00637E87">
      <w:pPr>
        <w:pStyle w:val="Heading1"/>
        <w:numPr>
          <w:ilvl w:val="0"/>
          <w:numId w:val="0"/>
        </w:numPr>
        <w:ind w:left="720"/>
        <w:rPr>
          <w:lang w:val="fr-CA"/>
        </w:rPr>
      </w:pPr>
      <w:bookmarkStart w:id="41" w:name="_Toc322342029"/>
      <w:r w:rsidRPr="000841F3">
        <w:rPr>
          <w:lang w:val="fr-CA"/>
        </w:rPr>
        <w:lastRenderedPageBreak/>
        <w:t xml:space="preserve">Annexe </w:t>
      </w:r>
      <w:r w:rsidR="00C07262">
        <w:rPr>
          <w:lang w:val="fr-CA"/>
        </w:rPr>
        <w:t>5</w:t>
      </w:r>
      <w:r w:rsidRPr="000841F3">
        <w:rPr>
          <w:lang w:val="fr-CA"/>
        </w:rPr>
        <w:t xml:space="preserve"> – Programme la mission d’évaluation</w:t>
      </w:r>
      <w:bookmarkEnd w:id="41"/>
    </w:p>
    <w:p w:rsidR="00637E87" w:rsidRPr="00637E87" w:rsidRDefault="00637E87" w:rsidP="00637E87">
      <w:pPr>
        <w:rPr>
          <w:highlight w:val="lightGray"/>
          <w:lang w:val="fr-FR"/>
        </w:rPr>
      </w:pPr>
    </w:p>
    <w:tbl>
      <w:tblPr>
        <w:tblW w:w="8390" w:type="dxa"/>
        <w:tblInd w:w="93" w:type="dxa"/>
        <w:tblBorders>
          <w:insideH w:val="dotted" w:sz="4" w:space="0" w:color="auto"/>
          <w:insideV w:val="dotted" w:sz="4" w:space="0" w:color="auto"/>
        </w:tblBorders>
        <w:tblLook w:val="04A0" w:firstRow="1" w:lastRow="0" w:firstColumn="1" w:lastColumn="0" w:noHBand="0" w:noVBand="1"/>
      </w:tblPr>
      <w:tblGrid>
        <w:gridCol w:w="1208"/>
        <w:gridCol w:w="1282"/>
        <w:gridCol w:w="5900"/>
      </w:tblGrid>
      <w:tr w:rsidR="00637E87" w:rsidRPr="0052245B" w:rsidTr="007776CF">
        <w:trPr>
          <w:trHeight w:val="255"/>
        </w:trPr>
        <w:tc>
          <w:tcPr>
            <w:tcW w:w="1208" w:type="dxa"/>
            <w:shd w:val="clear" w:color="auto" w:fill="auto"/>
            <w:noWrap/>
            <w:vAlign w:val="center"/>
            <w:hideMark/>
          </w:tcPr>
          <w:p w:rsidR="00637E87" w:rsidRPr="007B3BD8" w:rsidRDefault="00637E87" w:rsidP="007776CF">
            <w:pPr>
              <w:jc w:val="center"/>
              <w:rPr>
                <w:rFonts w:ascii="Calibri" w:hAnsi="Calibri" w:cs="Calibri"/>
                <w:b/>
                <w:bCs/>
                <w:color w:val="000000"/>
                <w:sz w:val="20"/>
                <w:szCs w:val="20"/>
                <w:lang w:val="fr-FR"/>
              </w:rPr>
            </w:pPr>
            <w:r w:rsidRPr="007B3BD8">
              <w:rPr>
                <w:rFonts w:ascii="Calibri" w:hAnsi="Calibri" w:cs="Calibri"/>
                <w:b/>
                <w:bCs/>
                <w:color w:val="000000"/>
                <w:sz w:val="20"/>
                <w:szCs w:val="20"/>
                <w:lang w:val="fr-FR"/>
              </w:rPr>
              <w:t>Date</w:t>
            </w:r>
          </w:p>
        </w:tc>
        <w:tc>
          <w:tcPr>
            <w:tcW w:w="1282" w:type="dxa"/>
            <w:shd w:val="clear" w:color="auto" w:fill="auto"/>
            <w:noWrap/>
            <w:vAlign w:val="center"/>
            <w:hideMark/>
          </w:tcPr>
          <w:p w:rsidR="00637E87" w:rsidRPr="007B3BD8" w:rsidRDefault="00637E87" w:rsidP="007776CF">
            <w:pPr>
              <w:jc w:val="center"/>
              <w:rPr>
                <w:rFonts w:ascii="Calibri" w:hAnsi="Calibri" w:cs="Calibri"/>
                <w:b/>
                <w:bCs/>
                <w:color w:val="000000"/>
                <w:sz w:val="20"/>
                <w:szCs w:val="20"/>
                <w:lang w:val="fr-FR"/>
              </w:rPr>
            </w:pPr>
            <w:r w:rsidRPr="007B3BD8">
              <w:rPr>
                <w:rFonts w:ascii="Calibri" w:hAnsi="Calibri" w:cs="Calibri"/>
                <w:b/>
                <w:bCs/>
                <w:color w:val="000000"/>
                <w:sz w:val="20"/>
                <w:szCs w:val="20"/>
                <w:lang w:val="fr-FR"/>
              </w:rPr>
              <w:t>Ville</w:t>
            </w:r>
          </w:p>
        </w:tc>
        <w:tc>
          <w:tcPr>
            <w:tcW w:w="5900" w:type="dxa"/>
            <w:shd w:val="clear" w:color="auto" w:fill="auto"/>
            <w:noWrap/>
            <w:vAlign w:val="bottom"/>
            <w:hideMark/>
          </w:tcPr>
          <w:p w:rsidR="00637E87" w:rsidRPr="007B3BD8" w:rsidRDefault="00637E87" w:rsidP="007776CF">
            <w:pPr>
              <w:jc w:val="center"/>
              <w:rPr>
                <w:rFonts w:ascii="Calibri" w:hAnsi="Calibri" w:cs="Calibri"/>
                <w:b/>
                <w:bCs/>
                <w:color w:val="000000"/>
                <w:sz w:val="20"/>
                <w:szCs w:val="20"/>
                <w:lang w:val="fr-FR"/>
              </w:rPr>
            </w:pPr>
            <w:r w:rsidRPr="007B3BD8">
              <w:rPr>
                <w:rFonts w:ascii="Calibri" w:hAnsi="Calibri" w:cs="Calibri"/>
                <w:b/>
                <w:bCs/>
                <w:color w:val="000000"/>
                <w:sz w:val="20"/>
                <w:szCs w:val="20"/>
                <w:lang w:val="fr-FR"/>
              </w:rPr>
              <w:t>Programme</w:t>
            </w:r>
            <w:r>
              <w:rPr>
                <w:rFonts w:ascii="Calibri" w:hAnsi="Calibri" w:cs="Calibri"/>
                <w:b/>
                <w:bCs/>
                <w:color w:val="000000"/>
                <w:sz w:val="20"/>
                <w:szCs w:val="20"/>
                <w:lang w:val="fr-FR"/>
              </w:rPr>
              <w:t xml:space="preserve"> des réunions, entretiens et visites</w:t>
            </w:r>
          </w:p>
        </w:tc>
      </w:tr>
      <w:tr w:rsidR="00637E87" w:rsidRPr="007B3BD8" w:rsidTr="007776CF">
        <w:trPr>
          <w:trHeight w:val="255"/>
        </w:trPr>
        <w:tc>
          <w:tcPr>
            <w:tcW w:w="1208" w:type="dxa"/>
            <w:shd w:val="clear" w:color="auto" w:fill="auto"/>
            <w:noWrap/>
            <w:vAlign w:val="center"/>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15 janvier</w:t>
            </w:r>
          </w:p>
        </w:tc>
        <w:tc>
          <w:tcPr>
            <w:tcW w:w="1282" w:type="dxa"/>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r>
              <w:rPr>
                <w:rFonts w:ascii="Calibri" w:hAnsi="Calibri" w:cs="Calibri"/>
                <w:color w:val="000000"/>
                <w:sz w:val="20"/>
                <w:szCs w:val="20"/>
                <w:lang w:val="fr-FR"/>
              </w:rPr>
              <w:t>Alger</w:t>
            </w: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Arrivée de la consultante</w:t>
            </w:r>
          </w:p>
        </w:tc>
      </w:tr>
      <w:tr w:rsidR="00637E87" w:rsidRPr="007B3BD8" w:rsidTr="007776CF">
        <w:trPr>
          <w:trHeight w:val="255"/>
        </w:trPr>
        <w:tc>
          <w:tcPr>
            <w:tcW w:w="1208" w:type="dxa"/>
            <w:vMerge w:val="restart"/>
            <w:shd w:val="clear" w:color="auto" w:fill="auto"/>
            <w:noWrap/>
            <w:vAlign w:val="center"/>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16 janvier</w:t>
            </w:r>
          </w:p>
        </w:tc>
        <w:tc>
          <w:tcPr>
            <w:tcW w:w="1282" w:type="dxa"/>
            <w:vMerge w:val="restart"/>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r w:rsidRPr="00E645C5">
              <w:rPr>
                <w:rFonts w:ascii="Calibri" w:hAnsi="Calibri" w:cs="Calibri"/>
                <w:color w:val="000000"/>
                <w:sz w:val="20"/>
                <w:szCs w:val="20"/>
                <w:lang w:val="fr-FR"/>
              </w:rPr>
              <w:t>Alger</w:t>
            </w: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Pr>
                <w:rFonts w:ascii="Calibri" w:hAnsi="Calibri" w:cs="Calibri"/>
                <w:color w:val="000000"/>
                <w:sz w:val="20"/>
                <w:szCs w:val="20"/>
                <w:lang w:val="fr-FR"/>
              </w:rPr>
              <w:t xml:space="preserve">Equipe de Programme : </w:t>
            </w:r>
            <w:r w:rsidRPr="00E645C5">
              <w:rPr>
                <w:rFonts w:ascii="Calibri" w:hAnsi="Calibri" w:cs="Calibri"/>
                <w:color w:val="000000"/>
                <w:sz w:val="20"/>
                <w:szCs w:val="20"/>
                <w:lang w:val="fr-FR"/>
              </w:rPr>
              <w:t>Hassiba Houacine</w:t>
            </w:r>
            <w:r>
              <w:rPr>
                <w:rFonts w:ascii="Calibri" w:hAnsi="Calibri" w:cs="Calibri"/>
                <w:color w:val="000000"/>
                <w:sz w:val="20"/>
                <w:szCs w:val="20"/>
                <w:lang w:val="fr-FR"/>
              </w:rPr>
              <w:t xml:space="preserve">, </w:t>
            </w:r>
            <w:r w:rsidRPr="00E645C5">
              <w:rPr>
                <w:rFonts w:ascii="Calibri" w:hAnsi="Calibri" w:cs="Calibri"/>
                <w:color w:val="000000"/>
                <w:sz w:val="20"/>
                <w:szCs w:val="20"/>
                <w:lang w:val="fr-FR"/>
              </w:rPr>
              <w:t>Mohamed-Oudris Benouali</w:t>
            </w:r>
            <w:r>
              <w:rPr>
                <w:rFonts w:ascii="Calibri" w:hAnsi="Calibri" w:cs="Calibri"/>
                <w:color w:val="000000"/>
                <w:sz w:val="20"/>
                <w:szCs w:val="20"/>
                <w:lang w:val="fr-FR"/>
              </w:rPr>
              <w:t xml:space="preserve">, </w:t>
            </w:r>
            <w:r w:rsidRPr="00E645C5">
              <w:rPr>
                <w:rFonts w:ascii="Calibri" w:hAnsi="Calibri" w:cs="Calibri"/>
                <w:color w:val="000000"/>
                <w:sz w:val="20"/>
                <w:szCs w:val="20"/>
                <w:lang w:val="fr-FR"/>
              </w:rPr>
              <w:t>Mohamed-Oudris Benouali</w:t>
            </w:r>
          </w:p>
        </w:tc>
      </w:tr>
      <w:tr w:rsidR="00637E87" w:rsidRPr="0052245B"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Pr>
                <w:rFonts w:ascii="Calibri" w:hAnsi="Calibri" w:cs="Calibri"/>
                <w:color w:val="000000"/>
                <w:sz w:val="20"/>
                <w:szCs w:val="20"/>
                <w:lang w:val="fr-FR"/>
              </w:rPr>
              <w:t>G</w:t>
            </w:r>
            <w:r w:rsidRPr="007B3BD8">
              <w:rPr>
                <w:rFonts w:ascii="Calibri" w:hAnsi="Calibri" w:cs="Calibri"/>
                <w:color w:val="000000"/>
                <w:sz w:val="20"/>
                <w:szCs w:val="20"/>
                <w:lang w:val="fr-FR"/>
              </w:rPr>
              <w:t>roupe de référence de l’évaluation</w:t>
            </w:r>
          </w:p>
        </w:tc>
      </w:tr>
      <w:tr w:rsidR="00637E87" w:rsidRPr="007B3BD8"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Résident Coordonnateur du SNU</w:t>
            </w:r>
          </w:p>
        </w:tc>
      </w:tr>
      <w:tr w:rsidR="00637E87" w:rsidRPr="007B3BD8" w:rsidTr="007776CF">
        <w:trPr>
          <w:trHeight w:val="255"/>
        </w:trPr>
        <w:tc>
          <w:tcPr>
            <w:tcW w:w="1208" w:type="dxa"/>
            <w:vMerge w:val="restart"/>
            <w:shd w:val="clear" w:color="auto" w:fill="auto"/>
            <w:noWrap/>
            <w:vAlign w:val="center"/>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17 janvier</w:t>
            </w:r>
          </w:p>
        </w:tc>
        <w:tc>
          <w:tcPr>
            <w:tcW w:w="1282" w:type="dxa"/>
            <w:vMerge w:val="restart"/>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r w:rsidRPr="00E645C5">
              <w:rPr>
                <w:rFonts w:ascii="Calibri" w:hAnsi="Calibri" w:cs="Calibri"/>
                <w:color w:val="000000"/>
                <w:sz w:val="20"/>
                <w:szCs w:val="20"/>
                <w:lang w:val="fr-FR"/>
              </w:rPr>
              <w:t>Alger</w:t>
            </w: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MIPIPME</w:t>
            </w:r>
            <w:r>
              <w:rPr>
                <w:rFonts w:ascii="Calibri" w:hAnsi="Calibri" w:cs="Calibri"/>
                <w:color w:val="000000"/>
                <w:sz w:val="20"/>
                <w:szCs w:val="20"/>
                <w:lang w:val="fr-FR"/>
              </w:rPr>
              <w:t> </w:t>
            </w:r>
            <w:r>
              <w:rPr>
                <w:rFonts w:asciiTheme="minorHAnsi" w:hAnsiTheme="minorHAnsi" w:cstheme="minorHAnsi"/>
                <w:color w:val="000000" w:themeColor="text1"/>
                <w:sz w:val="20"/>
                <w:szCs w:val="20"/>
                <w:lang w:val="fr-FR"/>
              </w:rPr>
              <w:t xml:space="preserve">: </w:t>
            </w:r>
            <w:r w:rsidRPr="007D3EDD">
              <w:rPr>
                <w:rFonts w:asciiTheme="minorHAnsi" w:hAnsiTheme="minorHAnsi" w:cstheme="minorHAnsi"/>
                <w:color w:val="000000" w:themeColor="text1"/>
                <w:sz w:val="20"/>
                <w:szCs w:val="20"/>
                <w:lang w:val="fr-FR"/>
              </w:rPr>
              <w:t>Nassima Benhabiles</w:t>
            </w:r>
            <w:r>
              <w:rPr>
                <w:rFonts w:ascii="Calibri" w:hAnsi="Calibri" w:cs="Calibri"/>
                <w:color w:val="000000"/>
                <w:sz w:val="20"/>
                <w:szCs w:val="20"/>
                <w:lang w:val="fr-FR"/>
              </w:rPr>
              <w:t xml:space="preserve">, </w:t>
            </w:r>
          </w:p>
        </w:tc>
      </w:tr>
      <w:tr w:rsidR="00637E87" w:rsidRPr="0052245B"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MDCFCF</w:t>
            </w:r>
            <w:r>
              <w:rPr>
                <w:rFonts w:ascii="Calibri" w:hAnsi="Calibri" w:cs="Calibri"/>
                <w:color w:val="000000"/>
                <w:sz w:val="20"/>
                <w:szCs w:val="20"/>
                <w:lang w:val="fr-FR"/>
              </w:rPr>
              <w:t xml:space="preserve"> : Farida Bellahcène, </w:t>
            </w:r>
            <w:r w:rsidRPr="004D27A8">
              <w:rPr>
                <w:rFonts w:ascii="Calibri" w:hAnsi="Calibri" w:cs="Calibri"/>
                <w:color w:val="000000"/>
                <w:sz w:val="20"/>
                <w:szCs w:val="20"/>
                <w:lang w:val="fr-FR"/>
              </w:rPr>
              <w:t xml:space="preserve">Karima Megtef Mehali, </w:t>
            </w:r>
            <w:r>
              <w:rPr>
                <w:rFonts w:ascii="Calibri" w:hAnsi="Calibri" w:cs="Calibri"/>
                <w:color w:val="000000"/>
                <w:sz w:val="20"/>
                <w:szCs w:val="20"/>
                <w:lang w:val="fr-FR"/>
              </w:rPr>
              <w:t>Nabila Medjbeur</w:t>
            </w:r>
          </w:p>
        </w:tc>
      </w:tr>
      <w:tr w:rsidR="00637E87" w:rsidRPr="0052245B"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MSNF/ANGEM</w:t>
            </w:r>
            <w:r>
              <w:rPr>
                <w:rFonts w:asciiTheme="minorHAnsi" w:hAnsiTheme="minorHAnsi" w:cstheme="minorHAnsi"/>
                <w:color w:val="000000" w:themeColor="text1"/>
                <w:sz w:val="20"/>
                <w:szCs w:val="20"/>
                <w:lang w:val="fr-FR"/>
              </w:rPr>
              <w:t xml:space="preserve">: </w:t>
            </w:r>
            <w:r w:rsidRPr="007D3EDD">
              <w:rPr>
                <w:rFonts w:asciiTheme="minorHAnsi" w:hAnsiTheme="minorHAnsi" w:cstheme="minorHAnsi"/>
                <w:color w:val="000000" w:themeColor="text1"/>
                <w:sz w:val="20"/>
                <w:szCs w:val="20"/>
                <w:lang w:val="fr-FR"/>
              </w:rPr>
              <w:t>Malika Moussaoui</w:t>
            </w:r>
            <w:r w:rsidRPr="007B3BD8">
              <w:rPr>
                <w:rFonts w:ascii="Calibri" w:hAnsi="Calibri" w:cs="Calibri"/>
                <w:color w:val="000000"/>
                <w:sz w:val="20"/>
                <w:szCs w:val="20"/>
                <w:lang w:val="fr-FR"/>
              </w:rPr>
              <w:t xml:space="preserve"> </w:t>
            </w:r>
            <w:r>
              <w:rPr>
                <w:rFonts w:ascii="Calibri" w:hAnsi="Calibri" w:cs="Calibri"/>
                <w:color w:val="000000"/>
                <w:sz w:val="20"/>
                <w:szCs w:val="20"/>
                <w:lang w:val="fr-FR"/>
              </w:rPr>
              <w:t xml:space="preserve">et </w:t>
            </w:r>
            <w:r w:rsidRPr="007D3EDD">
              <w:rPr>
                <w:rFonts w:asciiTheme="minorHAnsi" w:hAnsiTheme="minorHAnsi" w:cstheme="minorHAnsi"/>
                <w:color w:val="000000" w:themeColor="text1"/>
                <w:sz w:val="20"/>
                <w:szCs w:val="20"/>
                <w:lang w:val="fr-FR"/>
              </w:rPr>
              <w:t>Kamel Ait Oubelli</w:t>
            </w:r>
          </w:p>
        </w:tc>
      </w:tr>
      <w:tr w:rsidR="00637E87" w:rsidRPr="0052245B"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UNFPA</w:t>
            </w:r>
            <w:r>
              <w:rPr>
                <w:rFonts w:ascii="Calibri" w:hAnsi="Calibri" w:cs="Calibri"/>
                <w:color w:val="000000"/>
                <w:sz w:val="20"/>
                <w:szCs w:val="20"/>
                <w:lang w:val="fr-FR"/>
              </w:rPr>
              <w:t xml:space="preserve"> : </w:t>
            </w:r>
            <w:r w:rsidRPr="004D27A8">
              <w:rPr>
                <w:rFonts w:ascii="Calibri" w:hAnsi="Calibri" w:cs="Calibri"/>
                <w:color w:val="000000"/>
                <w:sz w:val="20"/>
                <w:szCs w:val="20"/>
                <w:lang w:val="fr-FR"/>
              </w:rPr>
              <w:t>Badia Hadouche</w:t>
            </w:r>
            <w:r>
              <w:rPr>
                <w:rFonts w:ascii="Calibri" w:hAnsi="Calibri" w:cs="Calibri"/>
                <w:color w:val="000000"/>
                <w:sz w:val="20"/>
                <w:szCs w:val="20"/>
                <w:lang w:val="fr-FR"/>
              </w:rPr>
              <w:t xml:space="preserve"> et </w:t>
            </w:r>
            <w:r w:rsidRPr="007D3EDD">
              <w:rPr>
                <w:rFonts w:asciiTheme="minorHAnsi" w:hAnsiTheme="minorHAnsi" w:cstheme="minorHAnsi"/>
                <w:color w:val="000000" w:themeColor="text1"/>
                <w:sz w:val="20"/>
                <w:szCs w:val="20"/>
                <w:lang w:val="fr-FR"/>
              </w:rPr>
              <w:t>Mustapha Omrane</w:t>
            </w:r>
          </w:p>
        </w:tc>
      </w:tr>
      <w:tr w:rsidR="00637E87" w:rsidRPr="007B3BD8"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ONUSIDA</w:t>
            </w:r>
            <w:r>
              <w:rPr>
                <w:rFonts w:ascii="Calibri" w:hAnsi="Calibri" w:cs="Calibri"/>
                <w:color w:val="000000"/>
                <w:sz w:val="20"/>
                <w:szCs w:val="20"/>
                <w:lang w:val="fr-FR"/>
              </w:rPr>
              <w:t> :</w:t>
            </w:r>
            <w:r w:rsidRPr="004D27A8">
              <w:rPr>
                <w:rFonts w:asciiTheme="minorHAnsi" w:hAnsiTheme="minorHAnsi" w:cstheme="minorHAnsi"/>
                <w:color w:val="000000" w:themeColor="text1"/>
                <w:sz w:val="20"/>
                <w:szCs w:val="20"/>
                <w:lang w:val="fr-FR"/>
              </w:rPr>
              <w:t xml:space="preserve"> </w:t>
            </w:r>
            <w:r w:rsidRPr="004D27A8">
              <w:rPr>
                <w:rFonts w:ascii="Calibri" w:hAnsi="Calibri" w:cs="Calibri"/>
                <w:color w:val="000000"/>
                <w:sz w:val="20"/>
                <w:szCs w:val="20"/>
                <w:lang w:val="fr-FR"/>
              </w:rPr>
              <w:t>Adel Zeddam</w:t>
            </w:r>
          </w:p>
        </w:tc>
      </w:tr>
      <w:tr w:rsidR="00637E87" w:rsidRPr="007B3BD8" w:rsidTr="007776CF">
        <w:trPr>
          <w:trHeight w:val="255"/>
        </w:trPr>
        <w:tc>
          <w:tcPr>
            <w:tcW w:w="1208" w:type="dxa"/>
            <w:vMerge w:val="restart"/>
            <w:shd w:val="clear" w:color="auto" w:fill="auto"/>
            <w:noWrap/>
            <w:vAlign w:val="center"/>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18 janvier</w:t>
            </w:r>
          </w:p>
        </w:tc>
        <w:tc>
          <w:tcPr>
            <w:tcW w:w="1282" w:type="dxa"/>
            <w:vMerge w:val="restart"/>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r w:rsidRPr="00E645C5">
              <w:rPr>
                <w:rFonts w:ascii="Calibri" w:hAnsi="Calibri" w:cs="Calibri"/>
                <w:color w:val="000000"/>
                <w:sz w:val="20"/>
                <w:szCs w:val="20"/>
                <w:lang w:val="fr-FR"/>
              </w:rPr>
              <w:t>Alger</w:t>
            </w: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MF</w:t>
            </w:r>
            <w:r>
              <w:rPr>
                <w:rFonts w:ascii="Calibri" w:hAnsi="Calibri" w:cs="Calibri"/>
                <w:color w:val="000000"/>
                <w:sz w:val="20"/>
                <w:szCs w:val="20"/>
                <w:lang w:val="fr-FR"/>
              </w:rPr>
              <w:t> : M. Mouhoubi</w:t>
            </w:r>
          </w:p>
        </w:tc>
      </w:tr>
      <w:tr w:rsidR="00637E87" w:rsidRPr="007B3BD8"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MESRS</w:t>
            </w:r>
            <w:r>
              <w:rPr>
                <w:rFonts w:ascii="Calibri" w:hAnsi="Calibri" w:cs="Calibri"/>
                <w:color w:val="000000"/>
                <w:sz w:val="20"/>
                <w:szCs w:val="20"/>
                <w:lang w:val="fr-FR"/>
              </w:rPr>
              <w:t> :</w:t>
            </w:r>
            <w:r w:rsidRPr="004D27A8">
              <w:rPr>
                <w:rFonts w:asciiTheme="minorHAnsi" w:hAnsiTheme="minorHAnsi" w:cstheme="minorHAnsi"/>
                <w:color w:val="000000" w:themeColor="text1"/>
                <w:sz w:val="20"/>
                <w:szCs w:val="20"/>
                <w:lang w:val="fr-FR"/>
              </w:rPr>
              <w:t xml:space="preserve"> </w:t>
            </w:r>
            <w:r w:rsidRPr="004D27A8">
              <w:rPr>
                <w:rFonts w:ascii="Calibri" w:hAnsi="Calibri" w:cs="Calibri"/>
                <w:color w:val="000000"/>
                <w:sz w:val="20"/>
                <w:szCs w:val="20"/>
                <w:lang w:val="fr-FR"/>
              </w:rPr>
              <w:t>Rabia Seray</w:t>
            </w:r>
          </w:p>
        </w:tc>
      </w:tr>
      <w:tr w:rsidR="00637E87" w:rsidRPr="007B3BD8"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MPS</w:t>
            </w:r>
            <w:r>
              <w:rPr>
                <w:rFonts w:ascii="Calibri" w:hAnsi="Calibri" w:cs="Calibri"/>
                <w:color w:val="000000"/>
                <w:sz w:val="20"/>
                <w:szCs w:val="20"/>
                <w:lang w:val="fr-FR"/>
              </w:rPr>
              <w:t> :</w:t>
            </w:r>
            <w:r w:rsidRPr="004D27A8">
              <w:rPr>
                <w:rFonts w:asciiTheme="minorHAnsi" w:hAnsiTheme="minorHAnsi" w:cstheme="minorHAnsi"/>
                <w:color w:val="000000" w:themeColor="text1"/>
                <w:sz w:val="20"/>
                <w:szCs w:val="20"/>
                <w:lang w:val="fr-FR"/>
              </w:rPr>
              <w:t xml:space="preserve"> </w:t>
            </w:r>
            <w:r w:rsidRPr="004D27A8">
              <w:rPr>
                <w:rFonts w:ascii="Calibri" w:hAnsi="Calibri" w:cs="Calibri"/>
                <w:color w:val="000000"/>
                <w:sz w:val="20"/>
                <w:szCs w:val="20"/>
                <w:lang w:val="fr-FR"/>
              </w:rPr>
              <w:t>Mounia Bouterfa</w:t>
            </w:r>
          </w:p>
        </w:tc>
      </w:tr>
      <w:tr w:rsidR="00637E87" w:rsidRPr="007B3BD8"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MFEP</w:t>
            </w:r>
            <w:r>
              <w:rPr>
                <w:rFonts w:ascii="Calibri" w:hAnsi="Calibri" w:cs="Calibri"/>
                <w:color w:val="000000"/>
                <w:sz w:val="20"/>
                <w:szCs w:val="20"/>
                <w:lang w:val="fr-FR"/>
              </w:rPr>
              <w:t xml:space="preserve"> : </w:t>
            </w:r>
            <w:r w:rsidRPr="004D27A8">
              <w:rPr>
                <w:rFonts w:ascii="Calibri" w:hAnsi="Calibri" w:cs="Calibri"/>
                <w:color w:val="000000"/>
                <w:sz w:val="20"/>
                <w:szCs w:val="20"/>
                <w:lang w:val="fr-FR"/>
              </w:rPr>
              <w:t>Yacine Abdelgarfi</w:t>
            </w:r>
          </w:p>
        </w:tc>
      </w:tr>
      <w:tr w:rsidR="00637E87" w:rsidRPr="007B3BD8"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ONS</w:t>
            </w:r>
            <w:r>
              <w:rPr>
                <w:rFonts w:ascii="Calibri" w:hAnsi="Calibri" w:cs="Calibri"/>
                <w:color w:val="000000"/>
                <w:sz w:val="20"/>
                <w:szCs w:val="20"/>
                <w:lang w:val="fr-FR"/>
              </w:rPr>
              <w:t xml:space="preserve"> : </w:t>
            </w:r>
            <w:r w:rsidRPr="004D27A8">
              <w:rPr>
                <w:rFonts w:ascii="Calibri" w:hAnsi="Calibri" w:cs="Calibri"/>
                <w:color w:val="000000"/>
                <w:sz w:val="20"/>
                <w:szCs w:val="20"/>
                <w:lang w:val="fr-FR"/>
              </w:rPr>
              <w:t>Amal Lakehal</w:t>
            </w:r>
          </w:p>
        </w:tc>
      </w:tr>
      <w:tr w:rsidR="00637E87" w:rsidRPr="0052245B" w:rsidTr="007776CF">
        <w:trPr>
          <w:trHeight w:val="255"/>
        </w:trPr>
        <w:tc>
          <w:tcPr>
            <w:tcW w:w="1208" w:type="dxa"/>
            <w:vMerge w:val="restart"/>
            <w:shd w:val="clear" w:color="auto" w:fill="auto"/>
            <w:noWrap/>
            <w:vAlign w:val="center"/>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19 janvier</w:t>
            </w:r>
          </w:p>
        </w:tc>
        <w:tc>
          <w:tcPr>
            <w:tcW w:w="1282" w:type="dxa"/>
            <w:vMerge w:val="restart"/>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r w:rsidRPr="00E645C5">
              <w:rPr>
                <w:rFonts w:ascii="Calibri" w:hAnsi="Calibri" w:cs="Calibri"/>
                <w:color w:val="000000"/>
                <w:sz w:val="20"/>
                <w:szCs w:val="20"/>
                <w:lang w:val="fr-FR"/>
              </w:rPr>
              <w:t>Alger</w:t>
            </w: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MTA</w:t>
            </w:r>
            <w:r>
              <w:rPr>
                <w:rFonts w:ascii="Calibri" w:hAnsi="Calibri" w:cs="Calibri"/>
                <w:color w:val="000000"/>
                <w:sz w:val="20"/>
                <w:szCs w:val="20"/>
                <w:lang w:val="fr-FR"/>
              </w:rPr>
              <w:t> :</w:t>
            </w:r>
            <w:r w:rsidRPr="004D27A8">
              <w:rPr>
                <w:rFonts w:asciiTheme="minorHAnsi" w:hAnsiTheme="minorHAnsi" w:cstheme="minorHAnsi"/>
                <w:color w:val="000000" w:themeColor="text1"/>
                <w:sz w:val="20"/>
                <w:szCs w:val="20"/>
                <w:lang w:val="fr-FR"/>
              </w:rPr>
              <w:t xml:space="preserve"> </w:t>
            </w:r>
            <w:r w:rsidRPr="004D27A8">
              <w:rPr>
                <w:rFonts w:ascii="Calibri" w:hAnsi="Calibri" w:cs="Calibri"/>
                <w:color w:val="000000"/>
                <w:sz w:val="20"/>
                <w:szCs w:val="20"/>
                <w:lang w:val="fr-FR"/>
              </w:rPr>
              <w:t>Ouahiba Moumen</w:t>
            </w:r>
            <w:r>
              <w:rPr>
                <w:rFonts w:ascii="Calibri" w:hAnsi="Calibri" w:cs="Calibri"/>
                <w:color w:val="000000"/>
                <w:sz w:val="20"/>
                <w:szCs w:val="20"/>
                <w:lang w:val="fr-FR"/>
              </w:rPr>
              <w:t xml:space="preserve"> et Koliai Saida</w:t>
            </w:r>
          </w:p>
        </w:tc>
      </w:tr>
      <w:tr w:rsidR="00637E87" w:rsidRPr="0052245B"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Association El Hayet</w:t>
            </w:r>
            <w:r>
              <w:rPr>
                <w:rFonts w:ascii="Calibri" w:hAnsi="Calibri" w:cs="Calibri"/>
                <w:color w:val="000000"/>
                <w:sz w:val="20"/>
                <w:szCs w:val="20"/>
                <w:lang w:val="fr-FR"/>
              </w:rPr>
              <w:t> :</w:t>
            </w:r>
            <w:r w:rsidRPr="004D27A8">
              <w:rPr>
                <w:rFonts w:asciiTheme="minorHAnsi" w:hAnsiTheme="minorHAnsi" w:cstheme="minorHAnsi"/>
                <w:sz w:val="20"/>
                <w:szCs w:val="20"/>
                <w:lang w:val="fr-FR"/>
              </w:rPr>
              <w:t xml:space="preserve"> </w:t>
            </w:r>
            <w:r w:rsidRPr="004D27A8">
              <w:rPr>
                <w:rFonts w:ascii="Calibri" w:hAnsi="Calibri" w:cs="Calibri"/>
                <w:color w:val="000000"/>
                <w:sz w:val="20"/>
                <w:szCs w:val="20"/>
                <w:lang w:val="fr-FR"/>
              </w:rPr>
              <w:t>Mme Lahouel</w:t>
            </w:r>
          </w:p>
        </w:tc>
      </w:tr>
      <w:tr w:rsidR="00637E87" w:rsidRPr="0052245B"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52245B" w:rsidRDefault="00637E87" w:rsidP="007776CF">
            <w:pPr>
              <w:rPr>
                <w:rFonts w:ascii="Calibri" w:hAnsi="Calibri" w:cs="Calibri"/>
                <w:color w:val="000000"/>
                <w:sz w:val="20"/>
                <w:szCs w:val="20"/>
                <w:lang w:val="es-ES"/>
              </w:rPr>
            </w:pPr>
            <w:r w:rsidRPr="0052245B">
              <w:rPr>
                <w:rFonts w:ascii="Calibri" w:hAnsi="Calibri" w:cs="Calibri"/>
                <w:color w:val="000000"/>
                <w:sz w:val="20"/>
                <w:szCs w:val="20"/>
                <w:lang w:val="es-ES"/>
              </w:rPr>
              <w:t>AECID :</w:t>
            </w:r>
            <w:r w:rsidRPr="0052245B">
              <w:rPr>
                <w:rFonts w:asciiTheme="minorHAnsi" w:hAnsiTheme="minorHAnsi" w:cstheme="minorHAnsi"/>
                <w:sz w:val="20"/>
                <w:szCs w:val="20"/>
                <w:lang w:val="es-ES"/>
              </w:rPr>
              <w:t xml:space="preserve"> </w:t>
            </w:r>
            <w:r w:rsidRPr="0052245B">
              <w:rPr>
                <w:rFonts w:ascii="Calibri" w:hAnsi="Calibri" w:cs="Calibri"/>
                <w:color w:val="000000"/>
                <w:sz w:val="20"/>
                <w:szCs w:val="20"/>
                <w:lang w:val="es-ES"/>
              </w:rPr>
              <w:t>José María Troncoso Perera, Maribel Gil, Sergio Blanco</w:t>
            </w:r>
          </w:p>
        </w:tc>
      </w:tr>
      <w:tr w:rsidR="00637E87" w:rsidRPr="007B3BD8" w:rsidTr="007776CF">
        <w:trPr>
          <w:trHeight w:val="255"/>
        </w:trPr>
        <w:tc>
          <w:tcPr>
            <w:tcW w:w="1208" w:type="dxa"/>
            <w:vMerge/>
            <w:shd w:val="clear" w:color="auto" w:fill="auto"/>
            <w:noWrap/>
            <w:vAlign w:val="center"/>
            <w:hideMark/>
          </w:tcPr>
          <w:p w:rsidR="00637E87" w:rsidRPr="0052245B" w:rsidRDefault="00637E87" w:rsidP="007776CF">
            <w:pPr>
              <w:rPr>
                <w:rFonts w:ascii="Calibri" w:hAnsi="Calibri" w:cs="Calibri"/>
                <w:color w:val="000000"/>
                <w:sz w:val="20"/>
                <w:szCs w:val="20"/>
                <w:lang w:val="es-ES"/>
              </w:rPr>
            </w:pPr>
          </w:p>
        </w:tc>
        <w:tc>
          <w:tcPr>
            <w:tcW w:w="1282" w:type="dxa"/>
            <w:vMerge/>
            <w:shd w:val="clear" w:color="auto" w:fill="auto"/>
            <w:noWrap/>
            <w:vAlign w:val="center"/>
            <w:hideMark/>
          </w:tcPr>
          <w:p w:rsidR="00637E87" w:rsidRPr="0052245B" w:rsidRDefault="00637E87" w:rsidP="007776CF">
            <w:pPr>
              <w:jc w:val="center"/>
              <w:rPr>
                <w:rFonts w:ascii="Calibri" w:hAnsi="Calibri" w:cs="Calibri"/>
                <w:color w:val="000000"/>
                <w:sz w:val="20"/>
                <w:szCs w:val="20"/>
                <w:lang w:val="es-ES"/>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BIT</w:t>
            </w:r>
            <w:r>
              <w:rPr>
                <w:rFonts w:ascii="Calibri" w:hAnsi="Calibri" w:cs="Calibri"/>
                <w:color w:val="000000"/>
                <w:sz w:val="20"/>
                <w:szCs w:val="20"/>
                <w:lang w:val="fr-FR"/>
              </w:rPr>
              <w:t> :</w:t>
            </w:r>
            <w:r w:rsidRPr="004D27A8">
              <w:rPr>
                <w:rFonts w:asciiTheme="minorHAnsi" w:hAnsiTheme="minorHAnsi" w:cstheme="minorHAnsi"/>
                <w:color w:val="000000" w:themeColor="text1"/>
                <w:sz w:val="20"/>
                <w:szCs w:val="20"/>
                <w:lang w:val="fr-FR"/>
              </w:rPr>
              <w:t xml:space="preserve"> </w:t>
            </w:r>
            <w:r w:rsidRPr="004D27A8">
              <w:rPr>
                <w:rFonts w:ascii="Calibri" w:hAnsi="Calibri" w:cs="Calibri"/>
                <w:color w:val="000000"/>
                <w:sz w:val="20"/>
                <w:szCs w:val="20"/>
                <w:lang w:val="fr-FR"/>
              </w:rPr>
              <w:t>Rosa Benyounes</w:t>
            </w:r>
          </w:p>
        </w:tc>
      </w:tr>
      <w:tr w:rsidR="00637E87" w:rsidRPr="007B3BD8"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ONUDI</w:t>
            </w:r>
            <w:r>
              <w:rPr>
                <w:rFonts w:ascii="Calibri" w:hAnsi="Calibri" w:cs="Calibri"/>
                <w:color w:val="000000"/>
                <w:sz w:val="20"/>
                <w:szCs w:val="20"/>
                <w:lang w:val="fr-FR"/>
              </w:rPr>
              <w:t> : Guillermo Jimenez</w:t>
            </w:r>
          </w:p>
        </w:tc>
      </w:tr>
      <w:tr w:rsidR="00637E87" w:rsidRPr="007B3BD8" w:rsidTr="007776CF">
        <w:trPr>
          <w:trHeight w:val="255"/>
        </w:trPr>
        <w:tc>
          <w:tcPr>
            <w:tcW w:w="1208" w:type="dxa"/>
            <w:shd w:val="clear" w:color="auto" w:fill="auto"/>
            <w:noWrap/>
            <w:vAlign w:val="center"/>
          </w:tcPr>
          <w:p w:rsidR="00637E87" w:rsidRPr="007B3BD8" w:rsidRDefault="00637E87" w:rsidP="007776CF">
            <w:pPr>
              <w:rPr>
                <w:rFonts w:ascii="Calibri" w:hAnsi="Calibri" w:cs="Calibri"/>
                <w:color w:val="000000"/>
                <w:sz w:val="20"/>
                <w:szCs w:val="20"/>
                <w:lang w:val="fr-FR"/>
              </w:rPr>
            </w:pPr>
            <w:r>
              <w:rPr>
                <w:rFonts w:ascii="Calibri" w:hAnsi="Calibri" w:cs="Calibri"/>
                <w:color w:val="000000"/>
                <w:sz w:val="20"/>
                <w:szCs w:val="20"/>
                <w:lang w:val="fr-FR"/>
              </w:rPr>
              <w:t>20 janvier</w:t>
            </w:r>
          </w:p>
        </w:tc>
        <w:tc>
          <w:tcPr>
            <w:tcW w:w="1282" w:type="dxa"/>
            <w:shd w:val="clear" w:color="auto" w:fill="auto"/>
            <w:noWrap/>
            <w:vAlign w:val="center"/>
          </w:tcPr>
          <w:p w:rsidR="00637E87" w:rsidRPr="00E645C5" w:rsidRDefault="00637E87" w:rsidP="007776CF">
            <w:pPr>
              <w:jc w:val="center"/>
              <w:rPr>
                <w:rFonts w:ascii="Calibri" w:hAnsi="Calibri" w:cs="Calibri"/>
                <w:color w:val="000000"/>
                <w:sz w:val="20"/>
                <w:szCs w:val="20"/>
                <w:lang w:val="fr-FR"/>
              </w:rPr>
            </w:pPr>
            <w:r w:rsidRPr="00E645C5">
              <w:rPr>
                <w:rFonts w:ascii="Calibri" w:hAnsi="Calibri" w:cs="Calibri"/>
                <w:color w:val="000000"/>
                <w:sz w:val="20"/>
                <w:szCs w:val="20"/>
                <w:lang w:val="fr-FR"/>
              </w:rPr>
              <w:t>Alger</w:t>
            </w:r>
          </w:p>
        </w:tc>
        <w:tc>
          <w:tcPr>
            <w:tcW w:w="5900" w:type="dxa"/>
            <w:shd w:val="clear" w:color="auto" w:fill="auto"/>
            <w:noWrap/>
            <w:vAlign w:val="bottom"/>
          </w:tcPr>
          <w:p w:rsidR="00637E87" w:rsidRPr="007B3BD8" w:rsidRDefault="00637E87" w:rsidP="007776CF">
            <w:pPr>
              <w:rPr>
                <w:rFonts w:ascii="Calibri" w:hAnsi="Calibri" w:cs="Calibri"/>
                <w:color w:val="000000"/>
                <w:sz w:val="20"/>
                <w:szCs w:val="20"/>
                <w:lang w:val="fr-FR"/>
              </w:rPr>
            </w:pPr>
            <w:r>
              <w:rPr>
                <w:rFonts w:ascii="Calibri" w:hAnsi="Calibri" w:cs="Calibri"/>
                <w:color w:val="000000"/>
                <w:sz w:val="20"/>
                <w:szCs w:val="20"/>
                <w:lang w:val="fr-FR"/>
              </w:rPr>
              <w:t>Départ pour Tamanrasset</w:t>
            </w:r>
          </w:p>
        </w:tc>
      </w:tr>
      <w:tr w:rsidR="00637E87" w:rsidRPr="0052245B" w:rsidTr="007776CF">
        <w:trPr>
          <w:trHeight w:val="255"/>
        </w:trPr>
        <w:tc>
          <w:tcPr>
            <w:tcW w:w="1208" w:type="dxa"/>
            <w:vMerge w:val="restart"/>
            <w:shd w:val="clear" w:color="auto" w:fill="auto"/>
            <w:noWrap/>
            <w:vAlign w:val="center"/>
            <w:hideMark/>
          </w:tcPr>
          <w:p w:rsidR="00637E87" w:rsidRPr="007B3BD8" w:rsidRDefault="00637E87" w:rsidP="007776CF">
            <w:pPr>
              <w:jc w:val="center"/>
              <w:rPr>
                <w:rFonts w:ascii="Calibri" w:hAnsi="Calibri" w:cs="Calibri"/>
                <w:color w:val="000000"/>
                <w:sz w:val="20"/>
                <w:szCs w:val="20"/>
                <w:lang w:val="fr-FR"/>
              </w:rPr>
            </w:pPr>
            <w:r w:rsidRPr="007B3BD8">
              <w:rPr>
                <w:rFonts w:ascii="Calibri" w:hAnsi="Calibri" w:cs="Calibri"/>
                <w:color w:val="000000"/>
                <w:sz w:val="20"/>
                <w:szCs w:val="20"/>
                <w:lang w:val="fr-FR"/>
              </w:rPr>
              <w:t>21 janvier</w:t>
            </w:r>
          </w:p>
        </w:tc>
        <w:tc>
          <w:tcPr>
            <w:tcW w:w="1282" w:type="dxa"/>
            <w:vMerge w:val="restart"/>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r w:rsidRPr="00E645C5">
              <w:rPr>
                <w:rFonts w:ascii="Calibri" w:hAnsi="Calibri" w:cs="Calibri"/>
                <w:color w:val="000000"/>
                <w:sz w:val="20"/>
                <w:szCs w:val="20"/>
                <w:lang w:val="fr-FR"/>
              </w:rPr>
              <w:t>Tamanrasset</w:t>
            </w: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 xml:space="preserve">Entretiens individuels avec quatre </w:t>
            </w:r>
            <w:r>
              <w:rPr>
                <w:rFonts w:ascii="Calibri" w:hAnsi="Calibri" w:cs="Calibri"/>
                <w:color w:val="000000"/>
                <w:sz w:val="20"/>
                <w:szCs w:val="20"/>
                <w:lang w:val="fr-FR"/>
              </w:rPr>
              <w:t xml:space="preserve">femmes </w:t>
            </w:r>
            <w:r w:rsidRPr="007B3BD8">
              <w:rPr>
                <w:rFonts w:ascii="Calibri" w:hAnsi="Calibri" w:cs="Calibri"/>
                <w:color w:val="000000"/>
                <w:sz w:val="20"/>
                <w:szCs w:val="20"/>
                <w:lang w:val="fr-FR"/>
              </w:rPr>
              <w:t>bénéficiaires de formation et de micro-crédit</w:t>
            </w:r>
          </w:p>
        </w:tc>
      </w:tr>
      <w:tr w:rsidR="00637E87" w:rsidRPr="0052245B" w:rsidTr="007776CF">
        <w:trPr>
          <w:trHeight w:val="255"/>
        </w:trPr>
        <w:tc>
          <w:tcPr>
            <w:tcW w:w="1208" w:type="dxa"/>
            <w:vMerge/>
            <w:shd w:val="clear" w:color="auto" w:fill="auto"/>
            <w:noWrap/>
            <w:vAlign w:val="center"/>
            <w:hideMark/>
          </w:tcPr>
          <w:p w:rsidR="00637E87" w:rsidRPr="007B3BD8" w:rsidRDefault="00637E87" w:rsidP="007776CF">
            <w:pPr>
              <w:jc w:val="cente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Visite de l'hôpital</w:t>
            </w:r>
            <w:r>
              <w:rPr>
                <w:rFonts w:ascii="Calibri" w:hAnsi="Calibri" w:cs="Calibri"/>
                <w:color w:val="000000"/>
                <w:sz w:val="20"/>
                <w:szCs w:val="20"/>
                <w:lang w:val="fr-FR"/>
              </w:rPr>
              <w:t xml:space="preserve"> et entretiens avec le Directeur et le Médecin chef</w:t>
            </w:r>
          </w:p>
        </w:tc>
      </w:tr>
      <w:tr w:rsidR="00637E87" w:rsidRPr="0052245B" w:rsidTr="007776CF">
        <w:trPr>
          <w:trHeight w:val="255"/>
        </w:trPr>
        <w:tc>
          <w:tcPr>
            <w:tcW w:w="1208" w:type="dxa"/>
            <w:vMerge/>
            <w:shd w:val="clear" w:color="auto" w:fill="auto"/>
            <w:noWrap/>
            <w:vAlign w:val="center"/>
            <w:hideMark/>
          </w:tcPr>
          <w:p w:rsidR="00637E87" w:rsidRPr="007B3BD8" w:rsidRDefault="00637E87" w:rsidP="007776CF">
            <w:pPr>
              <w:jc w:val="cente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Entretien avec un groupe d'une vingtaine de bénéficiaires</w:t>
            </w:r>
          </w:p>
        </w:tc>
      </w:tr>
      <w:tr w:rsidR="00637E87" w:rsidRPr="0052245B" w:rsidTr="007776CF">
        <w:trPr>
          <w:trHeight w:val="255"/>
        </w:trPr>
        <w:tc>
          <w:tcPr>
            <w:tcW w:w="1208" w:type="dxa"/>
            <w:vMerge w:val="restart"/>
            <w:shd w:val="clear" w:color="auto" w:fill="auto"/>
            <w:noWrap/>
            <w:vAlign w:val="center"/>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22 janvier</w:t>
            </w:r>
          </w:p>
        </w:tc>
        <w:tc>
          <w:tcPr>
            <w:tcW w:w="1282" w:type="dxa"/>
            <w:vMerge w:val="restart"/>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r w:rsidRPr="00E645C5">
              <w:rPr>
                <w:rFonts w:ascii="Calibri" w:hAnsi="Calibri" w:cs="Calibri"/>
                <w:color w:val="000000"/>
                <w:sz w:val="20"/>
                <w:szCs w:val="20"/>
                <w:lang w:val="fr-FR"/>
              </w:rPr>
              <w:t>Tamanrasset</w:t>
            </w: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Visite du Centre de formation professionnelle</w:t>
            </w:r>
            <w:r>
              <w:rPr>
                <w:rFonts w:ascii="Calibri" w:hAnsi="Calibri" w:cs="Calibri"/>
                <w:color w:val="000000"/>
                <w:sz w:val="20"/>
                <w:szCs w:val="20"/>
                <w:lang w:val="fr-FR"/>
              </w:rPr>
              <w:t xml:space="preserve"> et entretien avec le Directeur (Mr. Abderahmane)</w:t>
            </w:r>
          </w:p>
        </w:tc>
      </w:tr>
      <w:tr w:rsidR="00637E87" w:rsidRPr="0052245B"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Visite de l'ANGEM</w:t>
            </w:r>
            <w:r>
              <w:rPr>
                <w:rFonts w:ascii="Calibri" w:hAnsi="Calibri" w:cs="Calibri"/>
                <w:color w:val="000000"/>
                <w:sz w:val="20"/>
                <w:szCs w:val="20"/>
                <w:lang w:val="fr-FR"/>
              </w:rPr>
              <w:t xml:space="preserve"> et entretien avec le Directeur (Mr. Moulay)</w:t>
            </w:r>
          </w:p>
        </w:tc>
      </w:tr>
      <w:tr w:rsidR="00637E87" w:rsidRPr="007B3BD8" w:rsidTr="007776CF">
        <w:trPr>
          <w:trHeight w:val="255"/>
        </w:trPr>
        <w:tc>
          <w:tcPr>
            <w:tcW w:w="1208" w:type="dxa"/>
            <w:vMerge/>
            <w:shd w:val="clear" w:color="auto" w:fill="auto"/>
            <w:noWrap/>
            <w:vAlign w:val="center"/>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tcPr>
          <w:p w:rsidR="00637E87" w:rsidRPr="00E645C5" w:rsidRDefault="00637E87" w:rsidP="007776CF">
            <w:pPr>
              <w:jc w:val="center"/>
              <w:rPr>
                <w:rFonts w:ascii="Calibri" w:hAnsi="Calibri" w:cs="Calibri"/>
                <w:color w:val="000000"/>
                <w:sz w:val="20"/>
                <w:szCs w:val="20"/>
                <w:lang w:val="fr-FR"/>
              </w:rPr>
            </w:pPr>
          </w:p>
        </w:tc>
        <w:tc>
          <w:tcPr>
            <w:tcW w:w="5900" w:type="dxa"/>
            <w:shd w:val="clear" w:color="auto" w:fill="auto"/>
            <w:noWrap/>
            <w:vAlign w:val="bottom"/>
          </w:tcPr>
          <w:p w:rsidR="00637E87" w:rsidRPr="007B3BD8" w:rsidRDefault="00637E87" w:rsidP="007776CF">
            <w:pPr>
              <w:rPr>
                <w:rFonts w:ascii="Calibri" w:hAnsi="Calibri" w:cs="Calibri"/>
                <w:color w:val="000000"/>
                <w:sz w:val="20"/>
                <w:szCs w:val="20"/>
                <w:lang w:val="fr-FR"/>
              </w:rPr>
            </w:pPr>
            <w:r>
              <w:rPr>
                <w:rFonts w:ascii="Calibri" w:hAnsi="Calibri" w:cs="Calibri"/>
                <w:color w:val="000000"/>
                <w:sz w:val="20"/>
                <w:szCs w:val="20"/>
                <w:lang w:val="fr-FR"/>
              </w:rPr>
              <w:t>Retour à Alger</w:t>
            </w:r>
          </w:p>
        </w:tc>
      </w:tr>
      <w:tr w:rsidR="00637E87" w:rsidRPr="007B3BD8" w:rsidTr="007776CF">
        <w:trPr>
          <w:trHeight w:val="255"/>
        </w:trPr>
        <w:tc>
          <w:tcPr>
            <w:tcW w:w="1208" w:type="dxa"/>
            <w:vMerge w:val="restart"/>
            <w:shd w:val="clear" w:color="auto" w:fill="auto"/>
            <w:noWrap/>
            <w:vAlign w:val="center"/>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23 janvier</w:t>
            </w:r>
          </w:p>
        </w:tc>
        <w:tc>
          <w:tcPr>
            <w:tcW w:w="1282" w:type="dxa"/>
            <w:vMerge w:val="restart"/>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r w:rsidRPr="00E645C5">
              <w:rPr>
                <w:rFonts w:ascii="Calibri" w:hAnsi="Calibri" w:cs="Calibri"/>
                <w:color w:val="000000"/>
                <w:sz w:val="20"/>
                <w:szCs w:val="20"/>
                <w:lang w:val="fr-FR"/>
              </w:rPr>
              <w:t>Alger</w:t>
            </w: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PNUD</w:t>
            </w:r>
            <w:r>
              <w:rPr>
                <w:rFonts w:ascii="Calibri" w:hAnsi="Calibri" w:cs="Calibri"/>
                <w:color w:val="000000"/>
                <w:sz w:val="20"/>
                <w:szCs w:val="20"/>
                <w:lang w:val="fr-FR"/>
              </w:rPr>
              <w:t xml:space="preserve"> : </w:t>
            </w:r>
            <w:r w:rsidRPr="00E645C5">
              <w:rPr>
                <w:rFonts w:ascii="Calibri" w:hAnsi="Calibri" w:cs="Calibri"/>
                <w:color w:val="000000"/>
                <w:sz w:val="20"/>
                <w:szCs w:val="20"/>
                <w:lang w:val="fr-FR"/>
              </w:rPr>
              <w:t>Aychanie Medagangoda-Labe</w:t>
            </w:r>
          </w:p>
        </w:tc>
      </w:tr>
      <w:tr w:rsidR="00637E87" w:rsidRPr="007B3BD8"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PNUD</w:t>
            </w:r>
            <w:r>
              <w:rPr>
                <w:rFonts w:ascii="Calibri" w:hAnsi="Calibri" w:cs="Calibri"/>
                <w:color w:val="000000"/>
                <w:sz w:val="20"/>
                <w:szCs w:val="20"/>
                <w:lang w:val="fr-FR"/>
              </w:rPr>
              <w:t xml:space="preserve"> : </w:t>
            </w:r>
            <w:r w:rsidRPr="007D3EDD">
              <w:rPr>
                <w:rFonts w:asciiTheme="minorHAnsi" w:hAnsiTheme="minorHAnsi" w:cstheme="minorHAnsi"/>
                <w:color w:val="000000" w:themeColor="text1"/>
                <w:sz w:val="20"/>
                <w:szCs w:val="20"/>
                <w:lang w:val="fr-FR"/>
              </w:rPr>
              <w:t>Eduardo Lopez-Mancisidor</w:t>
            </w:r>
          </w:p>
        </w:tc>
      </w:tr>
      <w:tr w:rsidR="00637E87" w:rsidRPr="007B3BD8" w:rsidTr="007776CF">
        <w:trPr>
          <w:trHeight w:val="255"/>
        </w:trPr>
        <w:tc>
          <w:tcPr>
            <w:tcW w:w="1208" w:type="dxa"/>
            <w:vMerge/>
            <w:shd w:val="clear" w:color="auto" w:fill="auto"/>
            <w:noWrap/>
            <w:vAlign w:val="center"/>
            <w:hideMark/>
          </w:tcPr>
          <w:p w:rsidR="00637E87" w:rsidRPr="007B3BD8" w:rsidRDefault="00637E87" w:rsidP="007776CF">
            <w:pPr>
              <w:rPr>
                <w:rFonts w:ascii="Calibri" w:hAnsi="Calibri" w:cs="Calibri"/>
                <w:color w:val="000000"/>
                <w:sz w:val="20"/>
                <w:szCs w:val="20"/>
                <w:lang w:val="fr-FR"/>
              </w:rPr>
            </w:pPr>
          </w:p>
        </w:tc>
        <w:tc>
          <w:tcPr>
            <w:tcW w:w="1282" w:type="dxa"/>
            <w:vMerge/>
            <w:shd w:val="clear" w:color="auto" w:fill="auto"/>
            <w:noWrap/>
            <w:vAlign w:val="center"/>
            <w:hideMark/>
          </w:tcPr>
          <w:p w:rsidR="00637E87" w:rsidRPr="00E645C5" w:rsidRDefault="00637E87" w:rsidP="007776CF">
            <w:pP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MADR</w:t>
            </w:r>
            <w:r>
              <w:rPr>
                <w:rFonts w:ascii="Calibri" w:hAnsi="Calibri" w:cs="Calibri"/>
                <w:color w:val="000000"/>
                <w:sz w:val="20"/>
                <w:szCs w:val="20"/>
                <w:lang w:val="fr-FR"/>
              </w:rPr>
              <w:t xml:space="preserve"> : Fatiha </w:t>
            </w:r>
            <w:r w:rsidRPr="00E645C5">
              <w:rPr>
                <w:rFonts w:ascii="Calibri" w:hAnsi="Calibri" w:cs="Calibri"/>
                <w:color w:val="000000"/>
                <w:sz w:val="20"/>
                <w:szCs w:val="20"/>
                <w:lang w:val="fr-FR"/>
              </w:rPr>
              <w:t>Djehiche</w:t>
            </w:r>
          </w:p>
        </w:tc>
      </w:tr>
      <w:tr w:rsidR="00637E87" w:rsidRPr="007B3BD8" w:rsidTr="007776CF">
        <w:trPr>
          <w:trHeight w:val="255"/>
        </w:trPr>
        <w:tc>
          <w:tcPr>
            <w:tcW w:w="1208" w:type="dxa"/>
            <w:shd w:val="clear" w:color="auto" w:fill="auto"/>
            <w:noWrap/>
            <w:vAlign w:val="center"/>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24 janvier</w:t>
            </w:r>
          </w:p>
        </w:tc>
        <w:tc>
          <w:tcPr>
            <w:tcW w:w="1282" w:type="dxa"/>
            <w:shd w:val="clear" w:color="auto" w:fill="auto"/>
            <w:noWrap/>
            <w:vAlign w:val="center"/>
            <w:hideMark/>
          </w:tcPr>
          <w:p w:rsidR="00637E87" w:rsidRPr="00E645C5" w:rsidRDefault="00637E87" w:rsidP="007776CF">
            <w:pPr>
              <w:jc w:val="center"/>
              <w:rPr>
                <w:rFonts w:ascii="Calibri" w:hAnsi="Calibri" w:cs="Calibri"/>
                <w:color w:val="000000"/>
                <w:sz w:val="20"/>
                <w:szCs w:val="20"/>
                <w:lang w:val="fr-FR"/>
              </w:rPr>
            </w:pPr>
            <w:r w:rsidRPr="00E645C5">
              <w:rPr>
                <w:rFonts w:ascii="Calibri" w:hAnsi="Calibri" w:cs="Calibri"/>
                <w:color w:val="000000"/>
                <w:sz w:val="20"/>
                <w:szCs w:val="20"/>
                <w:lang w:val="fr-FR"/>
              </w:rPr>
              <w:t>Alger</w:t>
            </w: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Réunion de restitution</w:t>
            </w:r>
          </w:p>
        </w:tc>
      </w:tr>
      <w:tr w:rsidR="00637E87" w:rsidRPr="0052245B" w:rsidTr="007776CF">
        <w:trPr>
          <w:trHeight w:val="255"/>
        </w:trPr>
        <w:tc>
          <w:tcPr>
            <w:tcW w:w="1208" w:type="dxa"/>
            <w:shd w:val="clear" w:color="auto" w:fill="auto"/>
            <w:noWrap/>
            <w:vAlign w:val="center"/>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25 janvier</w:t>
            </w:r>
          </w:p>
        </w:tc>
        <w:tc>
          <w:tcPr>
            <w:tcW w:w="1282" w:type="dxa"/>
            <w:shd w:val="clear" w:color="auto" w:fill="auto"/>
            <w:noWrap/>
            <w:vAlign w:val="center"/>
            <w:hideMark/>
          </w:tcPr>
          <w:p w:rsidR="00637E87" w:rsidRPr="00E645C5" w:rsidRDefault="00637E87" w:rsidP="007776CF">
            <w:pPr>
              <w:rPr>
                <w:rFonts w:ascii="Calibri" w:hAnsi="Calibri" w:cs="Calibri"/>
                <w:color w:val="000000"/>
                <w:sz w:val="20"/>
                <w:szCs w:val="20"/>
                <w:lang w:val="fr-FR"/>
              </w:rPr>
            </w:pPr>
          </w:p>
        </w:tc>
        <w:tc>
          <w:tcPr>
            <w:tcW w:w="5900" w:type="dxa"/>
            <w:shd w:val="clear" w:color="auto" w:fill="auto"/>
            <w:noWrap/>
            <w:vAlign w:val="bottom"/>
            <w:hideMark/>
          </w:tcPr>
          <w:p w:rsidR="00637E87" w:rsidRPr="007B3BD8" w:rsidRDefault="00637E87" w:rsidP="007776CF">
            <w:pPr>
              <w:rPr>
                <w:rFonts w:ascii="Calibri" w:hAnsi="Calibri" w:cs="Calibri"/>
                <w:color w:val="000000"/>
                <w:sz w:val="20"/>
                <w:szCs w:val="20"/>
                <w:lang w:val="fr-FR"/>
              </w:rPr>
            </w:pPr>
            <w:r w:rsidRPr="007B3BD8">
              <w:rPr>
                <w:rFonts w:ascii="Calibri" w:hAnsi="Calibri" w:cs="Calibri"/>
                <w:color w:val="000000"/>
                <w:sz w:val="20"/>
                <w:szCs w:val="20"/>
                <w:lang w:val="fr-FR"/>
              </w:rPr>
              <w:t>Fin de la mission et départ de la consultante</w:t>
            </w:r>
          </w:p>
        </w:tc>
      </w:tr>
    </w:tbl>
    <w:p w:rsidR="00637E87" w:rsidRDefault="00637E87" w:rsidP="00637E87">
      <w:pPr>
        <w:rPr>
          <w:rFonts w:ascii="Calibri" w:hAnsi="Calibri"/>
          <w:b/>
          <w:bCs/>
          <w:kern w:val="32"/>
          <w:sz w:val="28"/>
          <w:szCs w:val="32"/>
          <w:highlight w:val="lightGray"/>
          <w:lang w:val="fr-CA"/>
        </w:rPr>
      </w:pPr>
      <w:r>
        <w:rPr>
          <w:highlight w:val="lightGray"/>
          <w:lang w:val="fr-CA"/>
        </w:rPr>
        <w:br w:type="page"/>
      </w:r>
    </w:p>
    <w:p w:rsidR="00637E87" w:rsidRDefault="00637E87" w:rsidP="00637E87">
      <w:pPr>
        <w:pStyle w:val="Heading1"/>
        <w:numPr>
          <w:ilvl w:val="0"/>
          <w:numId w:val="0"/>
        </w:numPr>
        <w:ind w:left="720"/>
        <w:rPr>
          <w:highlight w:val="lightGray"/>
          <w:lang w:val="fr-CA"/>
        </w:rPr>
        <w:sectPr w:rsidR="00637E87" w:rsidSect="00D75943">
          <w:pgSz w:w="11906" w:h="16838"/>
          <w:pgMar w:top="1417" w:right="1417" w:bottom="1417" w:left="1350" w:header="708" w:footer="708" w:gutter="0"/>
          <w:cols w:space="708"/>
          <w:docGrid w:linePitch="360"/>
        </w:sectPr>
      </w:pPr>
    </w:p>
    <w:p w:rsidR="00637E87" w:rsidRPr="00AE26BC" w:rsidRDefault="00637E87" w:rsidP="00637E87">
      <w:pPr>
        <w:rPr>
          <w:lang w:val="fr-FR"/>
        </w:rPr>
      </w:pPr>
    </w:p>
    <w:p w:rsidR="009E37BA" w:rsidRPr="00630FB6" w:rsidRDefault="009E37BA" w:rsidP="00257F30">
      <w:pPr>
        <w:pStyle w:val="Heading1"/>
        <w:numPr>
          <w:ilvl w:val="0"/>
          <w:numId w:val="0"/>
        </w:numPr>
        <w:ind w:left="720"/>
        <w:rPr>
          <w:rFonts w:cs="Calibri"/>
          <w:szCs w:val="28"/>
          <w:lang w:val="fr-CA"/>
        </w:rPr>
      </w:pPr>
      <w:bookmarkStart w:id="42" w:name="_Toc322342030"/>
      <w:r w:rsidRPr="00630FB6">
        <w:rPr>
          <w:rFonts w:cs="Calibri"/>
          <w:szCs w:val="28"/>
          <w:lang w:val="fr-CA"/>
        </w:rPr>
        <w:t xml:space="preserve">Annexe </w:t>
      </w:r>
      <w:r w:rsidR="00C07262">
        <w:rPr>
          <w:rFonts w:cs="Calibri"/>
          <w:szCs w:val="28"/>
          <w:lang w:val="fr-CA"/>
        </w:rPr>
        <w:t>6</w:t>
      </w:r>
      <w:r w:rsidR="00637E87">
        <w:rPr>
          <w:rFonts w:cs="Calibri"/>
          <w:szCs w:val="28"/>
          <w:lang w:val="fr-CA"/>
        </w:rPr>
        <w:t xml:space="preserve"> </w:t>
      </w:r>
      <w:r w:rsidRPr="00630FB6">
        <w:rPr>
          <w:rFonts w:cs="Calibri"/>
          <w:szCs w:val="28"/>
          <w:lang w:val="fr-CA"/>
        </w:rPr>
        <w:t xml:space="preserve"> – Liste des personnes </w:t>
      </w:r>
      <w:r w:rsidR="008D4905" w:rsidRPr="00630FB6">
        <w:rPr>
          <w:rFonts w:cs="Calibri"/>
          <w:szCs w:val="28"/>
          <w:lang w:val="fr-CA"/>
        </w:rPr>
        <w:t>rencontrées</w:t>
      </w:r>
      <w:bookmarkEnd w:id="42"/>
    </w:p>
    <w:p w:rsidR="00A24E98" w:rsidRDefault="00A24E98">
      <w:pPr>
        <w:rPr>
          <w:rFonts w:ascii="Calibri" w:hAnsi="Calibri" w:cs="Calibri"/>
          <w:sz w:val="21"/>
          <w:szCs w:val="21"/>
          <w:highlight w:val="lightGray"/>
          <w:lang w:val="fr-CA"/>
        </w:rPr>
      </w:pPr>
    </w:p>
    <w:p w:rsidR="0044150A" w:rsidRPr="007D3EDD" w:rsidRDefault="0044150A" w:rsidP="0044150A">
      <w:pPr>
        <w:tabs>
          <w:tab w:val="left" w:pos="2580"/>
          <w:tab w:val="left" w:pos="5876"/>
        </w:tabs>
        <w:rPr>
          <w:rFonts w:asciiTheme="minorHAnsi" w:hAnsiTheme="minorHAnsi" w:cstheme="minorHAnsi"/>
          <w:b/>
          <w:sz w:val="20"/>
          <w:szCs w:val="20"/>
          <w:lang w:val="fr-FR"/>
        </w:rPr>
      </w:pPr>
      <w:r w:rsidRPr="007D3EDD">
        <w:rPr>
          <w:rFonts w:asciiTheme="minorHAnsi" w:hAnsiTheme="minorHAnsi" w:cstheme="minorHAnsi"/>
          <w:b/>
          <w:sz w:val="20"/>
          <w:szCs w:val="20"/>
          <w:lang w:val="fr-FR"/>
        </w:rPr>
        <w:t>Equipe de Programme :</w:t>
      </w:r>
    </w:p>
    <w:p w:rsidR="0044150A" w:rsidRPr="007D3EDD"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 xml:space="preserve">Hassiba Houacine, </w:t>
      </w:r>
      <w:r w:rsidR="000316DD" w:rsidRPr="007D3EDD">
        <w:rPr>
          <w:rFonts w:asciiTheme="minorHAnsi" w:hAnsiTheme="minorHAnsi" w:cstheme="minorHAnsi"/>
          <w:color w:val="000000" w:themeColor="text1"/>
          <w:sz w:val="20"/>
          <w:szCs w:val="20"/>
          <w:lang w:val="fr-FR"/>
        </w:rPr>
        <w:t xml:space="preserve">Directrice Nationale du Programme </w:t>
      </w:r>
      <w:r w:rsidR="000316DD">
        <w:rPr>
          <w:rFonts w:asciiTheme="minorHAnsi" w:hAnsiTheme="minorHAnsi" w:cstheme="minorHAnsi"/>
          <w:color w:val="000000" w:themeColor="text1"/>
          <w:sz w:val="20"/>
          <w:szCs w:val="20"/>
          <w:lang w:val="fr-FR"/>
        </w:rPr>
        <w:t xml:space="preserve">et </w:t>
      </w:r>
      <w:r w:rsidRPr="007D3EDD">
        <w:rPr>
          <w:rFonts w:asciiTheme="minorHAnsi" w:hAnsiTheme="minorHAnsi" w:cstheme="minorHAnsi"/>
          <w:color w:val="000000" w:themeColor="text1"/>
          <w:sz w:val="20"/>
          <w:szCs w:val="20"/>
          <w:lang w:val="fr-FR"/>
        </w:rPr>
        <w:t xml:space="preserve">Chef de Cabinet </w:t>
      </w:r>
      <w:r w:rsidR="00C901EF" w:rsidRPr="007D3EDD">
        <w:rPr>
          <w:rFonts w:asciiTheme="minorHAnsi" w:hAnsiTheme="minorHAnsi" w:cstheme="minorHAnsi"/>
          <w:color w:val="000000" w:themeColor="text1"/>
          <w:sz w:val="20"/>
          <w:szCs w:val="20"/>
          <w:lang w:val="fr-FR"/>
        </w:rPr>
        <w:t xml:space="preserve">de la Ministre (MDCFCF) </w:t>
      </w:r>
    </w:p>
    <w:p w:rsidR="00C901EF" w:rsidRPr="007D3EDD"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Mohamed-Oudris Benouali, Coordonnateur du Programme</w:t>
      </w:r>
    </w:p>
    <w:p w:rsidR="0044150A" w:rsidRPr="007D3EDD" w:rsidRDefault="00E645C5"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 xml:space="preserve">Mohamed-Oudris Benouali </w:t>
      </w:r>
      <w:r w:rsidR="0044150A" w:rsidRPr="007D3EDD">
        <w:rPr>
          <w:rFonts w:asciiTheme="minorHAnsi" w:hAnsiTheme="minorHAnsi" w:cstheme="minorHAnsi"/>
          <w:color w:val="000000" w:themeColor="text1"/>
          <w:sz w:val="20"/>
          <w:szCs w:val="20"/>
          <w:lang w:val="fr-FR"/>
        </w:rPr>
        <w:t>Assistant au Programme</w:t>
      </w:r>
    </w:p>
    <w:p w:rsidR="0044150A" w:rsidRPr="007D3EDD" w:rsidRDefault="0044150A">
      <w:pPr>
        <w:rPr>
          <w:rFonts w:asciiTheme="minorHAnsi" w:hAnsiTheme="minorHAnsi" w:cstheme="minorHAnsi"/>
          <w:b/>
          <w:color w:val="FF0000"/>
          <w:sz w:val="20"/>
          <w:szCs w:val="20"/>
          <w:lang w:val="fr-FR"/>
        </w:rPr>
      </w:pPr>
    </w:p>
    <w:p w:rsidR="00A24E98" w:rsidRPr="007D3EDD" w:rsidRDefault="002C4A61">
      <w:pPr>
        <w:rPr>
          <w:rFonts w:asciiTheme="minorHAnsi" w:hAnsiTheme="minorHAnsi" w:cstheme="minorHAnsi"/>
          <w:b/>
          <w:color w:val="000000" w:themeColor="text1"/>
          <w:sz w:val="20"/>
          <w:szCs w:val="20"/>
          <w:lang w:val="fr-CA"/>
        </w:rPr>
      </w:pPr>
      <w:r>
        <w:rPr>
          <w:rFonts w:asciiTheme="minorHAnsi" w:hAnsiTheme="minorHAnsi" w:cstheme="minorHAnsi"/>
          <w:b/>
          <w:color w:val="000000" w:themeColor="text1"/>
          <w:sz w:val="20"/>
          <w:szCs w:val="20"/>
          <w:lang w:val="fr-CA"/>
        </w:rPr>
        <w:t>Système</w:t>
      </w:r>
      <w:r w:rsidR="0044150A" w:rsidRPr="007D3EDD">
        <w:rPr>
          <w:rFonts w:asciiTheme="minorHAnsi" w:hAnsiTheme="minorHAnsi" w:cstheme="minorHAnsi"/>
          <w:b/>
          <w:color w:val="000000" w:themeColor="text1"/>
          <w:sz w:val="20"/>
          <w:szCs w:val="20"/>
          <w:lang w:val="fr-CA"/>
        </w:rPr>
        <w:t xml:space="preserve"> des Nations Unies</w:t>
      </w:r>
      <w:r w:rsidR="00500323">
        <w:rPr>
          <w:rFonts w:asciiTheme="minorHAnsi" w:hAnsiTheme="minorHAnsi" w:cstheme="minorHAnsi"/>
          <w:b/>
          <w:color w:val="000000" w:themeColor="text1"/>
          <w:sz w:val="20"/>
          <w:szCs w:val="20"/>
          <w:lang w:val="fr-CA"/>
        </w:rPr>
        <w:t> :</w:t>
      </w:r>
    </w:p>
    <w:p w:rsidR="002C4A61" w:rsidRPr="002C4A61" w:rsidRDefault="002C4A61" w:rsidP="002C4A61">
      <w:pPr>
        <w:pStyle w:val="ListParagraph"/>
        <w:numPr>
          <w:ilvl w:val="0"/>
          <w:numId w:val="34"/>
        </w:numPr>
        <w:rPr>
          <w:rFonts w:asciiTheme="minorHAnsi" w:hAnsiTheme="minorHAnsi" w:cstheme="minorHAnsi"/>
          <w:color w:val="000000" w:themeColor="text1"/>
          <w:sz w:val="20"/>
          <w:szCs w:val="20"/>
          <w:lang w:val="fr-FR"/>
        </w:rPr>
      </w:pPr>
      <w:r w:rsidRPr="002C4A61">
        <w:rPr>
          <w:rFonts w:asciiTheme="minorHAnsi" w:hAnsiTheme="minorHAnsi" w:cstheme="minorHAnsi"/>
          <w:color w:val="000000" w:themeColor="text1"/>
          <w:sz w:val="20"/>
          <w:szCs w:val="20"/>
          <w:lang w:val="fr-FR"/>
        </w:rPr>
        <w:t>Mamadou Mbaye</w:t>
      </w:r>
      <w:r>
        <w:rPr>
          <w:rFonts w:asciiTheme="minorHAnsi" w:hAnsiTheme="minorHAnsi" w:cstheme="minorHAnsi"/>
          <w:color w:val="000000" w:themeColor="text1"/>
          <w:sz w:val="20"/>
          <w:szCs w:val="20"/>
          <w:lang w:val="fr-FR"/>
        </w:rPr>
        <w:t>, Coordonateur Résident</w:t>
      </w:r>
      <w:r w:rsidRPr="002C4A61">
        <w:rPr>
          <w:rFonts w:asciiTheme="minorHAnsi" w:hAnsiTheme="minorHAnsi" w:cstheme="minorHAnsi"/>
          <w:color w:val="000000" w:themeColor="text1"/>
          <w:sz w:val="20"/>
          <w:szCs w:val="20"/>
          <w:lang w:val="fr-FR"/>
        </w:rPr>
        <w:t xml:space="preserve"> du Système des Nations Unies en Algérie</w:t>
      </w:r>
    </w:p>
    <w:p w:rsidR="002C4A61" w:rsidRPr="002C4A61" w:rsidRDefault="002C4A61" w:rsidP="002C4A61">
      <w:pPr>
        <w:pStyle w:val="ListParagraph"/>
        <w:numPr>
          <w:ilvl w:val="0"/>
          <w:numId w:val="34"/>
        </w:numPr>
        <w:rPr>
          <w:rFonts w:asciiTheme="minorHAnsi" w:hAnsiTheme="minorHAnsi" w:cstheme="minorHAnsi"/>
          <w:color w:val="000000" w:themeColor="text1"/>
          <w:sz w:val="20"/>
          <w:szCs w:val="20"/>
          <w:lang w:val="fr-FR"/>
        </w:rPr>
      </w:pPr>
      <w:r w:rsidRPr="002C4A61">
        <w:rPr>
          <w:rFonts w:asciiTheme="minorHAnsi" w:hAnsiTheme="minorHAnsi" w:cstheme="minorHAnsi"/>
          <w:color w:val="000000" w:themeColor="text1"/>
          <w:sz w:val="20"/>
          <w:szCs w:val="20"/>
          <w:lang w:val="fr-FR"/>
        </w:rPr>
        <w:t>Aychanie Medagangoda-Labe, Représentant Résidente, PNUD</w:t>
      </w:r>
    </w:p>
    <w:p w:rsidR="0044150A" w:rsidRPr="007D3EDD" w:rsidRDefault="00C901EF"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Eduardo Lopez-Mancisidor,</w:t>
      </w:r>
      <w:r w:rsidR="0044150A" w:rsidRPr="007D3EDD">
        <w:rPr>
          <w:rFonts w:asciiTheme="minorHAnsi" w:hAnsiTheme="minorHAnsi" w:cstheme="minorHAnsi"/>
          <w:color w:val="000000" w:themeColor="text1"/>
          <w:sz w:val="20"/>
          <w:szCs w:val="20"/>
          <w:lang w:val="fr-FR"/>
        </w:rPr>
        <w:t xml:space="preserve"> Chargé</w:t>
      </w:r>
      <w:r w:rsidRPr="007D3EDD">
        <w:rPr>
          <w:rFonts w:asciiTheme="minorHAnsi" w:hAnsiTheme="minorHAnsi" w:cstheme="minorHAnsi"/>
          <w:color w:val="000000" w:themeColor="text1"/>
          <w:sz w:val="20"/>
          <w:szCs w:val="20"/>
          <w:lang w:val="fr-FR"/>
        </w:rPr>
        <w:t xml:space="preserve"> de Programme</w:t>
      </w:r>
      <w:r w:rsidR="0044150A" w:rsidRPr="007D3EDD">
        <w:rPr>
          <w:rFonts w:asciiTheme="minorHAnsi" w:hAnsiTheme="minorHAnsi" w:cstheme="minorHAnsi"/>
          <w:color w:val="000000" w:themeColor="text1"/>
          <w:sz w:val="20"/>
          <w:szCs w:val="20"/>
          <w:lang w:val="fr-FR"/>
        </w:rPr>
        <w:t>, PNUD</w:t>
      </w:r>
    </w:p>
    <w:p w:rsidR="0044150A" w:rsidRPr="007D3EDD"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 xml:space="preserve">Imane Hayef, Coordonnatrice Programme Pays, </w:t>
      </w:r>
      <w:r w:rsidR="000316DD">
        <w:rPr>
          <w:rFonts w:asciiTheme="minorHAnsi" w:hAnsiTheme="minorHAnsi" w:cstheme="minorHAnsi"/>
          <w:color w:val="000000" w:themeColor="text1"/>
          <w:sz w:val="20"/>
          <w:szCs w:val="20"/>
          <w:lang w:val="fr-FR"/>
        </w:rPr>
        <w:t xml:space="preserve">ONU </w:t>
      </w:r>
      <w:r w:rsidRPr="007D3EDD">
        <w:rPr>
          <w:rFonts w:asciiTheme="minorHAnsi" w:hAnsiTheme="minorHAnsi" w:cstheme="minorHAnsi"/>
          <w:color w:val="000000" w:themeColor="text1"/>
          <w:sz w:val="20"/>
          <w:szCs w:val="20"/>
          <w:lang w:val="fr-FR"/>
        </w:rPr>
        <w:t>Femmes</w:t>
      </w:r>
    </w:p>
    <w:p w:rsidR="0044150A"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 xml:space="preserve">Mustapha Omrane, </w:t>
      </w:r>
      <w:r w:rsidR="000316DD">
        <w:rPr>
          <w:rFonts w:asciiTheme="minorHAnsi" w:hAnsiTheme="minorHAnsi" w:cstheme="minorHAnsi"/>
          <w:color w:val="000000" w:themeColor="text1"/>
          <w:sz w:val="20"/>
          <w:szCs w:val="20"/>
          <w:lang w:val="fr-FR"/>
        </w:rPr>
        <w:t>Chargé de Programme</w:t>
      </w:r>
      <w:r w:rsidRPr="007D3EDD">
        <w:rPr>
          <w:rFonts w:asciiTheme="minorHAnsi" w:hAnsiTheme="minorHAnsi" w:cstheme="minorHAnsi"/>
          <w:color w:val="000000" w:themeColor="text1"/>
          <w:sz w:val="20"/>
          <w:szCs w:val="20"/>
          <w:lang w:val="fr-FR"/>
        </w:rPr>
        <w:t xml:space="preserve">, </w:t>
      </w:r>
      <w:r w:rsidR="000316DD">
        <w:rPr>
          <w:rFonts w:asciiTheme="minorHAnsi" w:hAnsiTheme="minorHAnsi" w:cstheme="minorHAnsi"/>
          <w:color w:val="000000" w:themeColor="text1"/>
          <w:sz w:val="20"/>
          <w:szCs w:val="20"/>
          <w:lang w:val="fr-FR"/>
        </w:rPr>
        <w:t>UNFPA</w:t>
      </w:r>
    </w:p>
    <w:p w:rsidR="000316DD" w:rsidRPr="007D3EDD" w:rsidRDefault="00500323"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Pr>
          <w:rFonts w:asciiTheme="minorHAnsi" w:hAnsiTheme="minorHAnsi" w:cstheme="minorHAnsi"/>
          <w:color w:val="000000" w:themeColor="text1"/>
          <w:sz w:val="20"/>
          <w:szCs w:val="20"/>
          <w:lang w:val="fr-FR"/>
        </w:rPr>
        <w:t>Badia</w:t>
      </w:r>
      <w:r w:rsidR="000316DD">
        <w:rPr>
          <w:rFonts w:asciiTheme="minorHAnsi" w:hAnsiTheme="minorHAnsi" w:cstheme="minorHAnsi"/>
          <w:color w:val="000000" w:themeColor="text1"/>
          <w:sz w:val="20"/>
          <w:szCs w:val="20"/>
          <w:lang w:val="fr-FR"/>
        </w:rPr>
        <w:t xml:space="preserve"> Hadouche, </w:t>
      </w:r>
      <w:r>
        <w:rPr>
          <w:rFonts w:asciiTheme="minorHAnsi" w:hAnsiTheme="minorHAnsi" w:cstheme="minorHAnsi"/>
          <w:color w:val="000000" w:themeColor="text1"/>
          <w:sz w:val="20"/>
          <w:szCs w:val="20"/>
          <w:lang w:val="fr-FR"/>
        </w:rPr>
        <w:t>Associée au Programme et Point focal genre, UNFPA</w:t>
      </w:r>
    </w:p>
    <w:p w:rsidR="0044150A" w:rsidRPr="007D3EDD"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Rosa Benyounes, Assistante de Programme, BIT</w:t>
      </w:r>
    </w:p>
    <w:p w:rsidR="0044150A" w:rsidRPr="007D3EDD"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Adel Zeddam, Coordonnateur National, ONUSIDA</w:t>
      </w:r>
    </w:p>
    <w:p w:rsidR="0044150A"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Doria Merabtine, Spécialiste Protection, UNICEF</w:t>
      </w:r>
    </w:p>
    <w:p w:rsidR="004D27A8" w:rsidRPr="007D3EDD" w:rsidRDefault="004D27A8"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Pr>
          <w:rFonts w:asciiTheme="minorHAnsi" w:hAnsiTheme="minorHAnsi" w:cstheme="minorHAnsi"/>
          <w:color w:val="000000" w:themeColor="text1"/>
          <w:sz w:val="20"/>
          <w:szCs w:val="20"/>
          <w:lang w:val="fr-FR"/>
        </w:rPr>
        <w:t>Guillermo Jimenez, Représentant en Algérie, ONUDI</w:t>
      </w:r>
    </w:p>
    <w:p w:rsidR="0044150A" w:rsidRPr="007D3EDD" w:rsidRDefault="0044150A" w:rsidP="00500323">
      <w:pPr>
        <w:pStyle w:val="ListParagraph"/>
        <w:tabs>
          <w:tab w:val="left" w:pos="2580"/>
          <w:tab w:val="left" w:pos="5876"/>
        </w:tabs>
        <w:ind w:left="360"/>
        <w:rPr>
          <w:rFonts w:asciiTheme="minorHAnsi" w:hAnsiTheme="minorHAnsi" w:cstheme="minorHAnsi"/>
          <w:color w:val="FF0000"/>
          <w:sz w:val="20"/>
          <w:szCs w:val="20"/>
          <w:lang w:val="fr-FR"/>
        </w:rPr>
      </w:pPr>
    </w:p>
    <w:p w:rsidR="0044150A" w:rsidRPr="00500323" w:rsidRDefault="00C901EF" w:rsidP="005D034C">
      <w:pPr>
        <w:tabs>
          <w:tab w:val="left" w:pos="2580"/>
          <w:tab w:val="left" w:pos="5876"/>
        </w:tabs>
        <w:rPr>
          <w:rFonts w:asciiTheme="minorHAnsi" w:hAnsiTheme="minorHAnsi" w:cstheme="minorHAnsi"/>
          <w:b/>
          <w:sz w:val="20"/>
          <w:szCs w:val="20"/>
          <w:lang w:val="fr-FR"/>
        </w:rPr>
      </w:pPr>
      <w:r w:rsidRPr="00500323">
        <w:rPr>
          <w:rFonts w:asciiTheme="minorHAnsi" w:hAnsiTheme="minorHAnsi" w:cstheme="minorHAnsi"/>
          <w:b/>
          <w:sz w:val="20"/>
          <w:szCs w:val="20"/>
          <w:lang w:val="fr-FR"/>
        </w:rPr>
        <w:t>MDCFCF :</w:t>
      </w:r>
    </w:p>
    <w:p w:rsidR="0044150A" w:rsidRPr="00500323" w:rsidRDefault="0044150A" w:rsidP="00C901EF">
      <w:pPr>
        <w:pStyle w:val="ListParagraph"/>
        <w:numPr>
          <w:ilvl w:val="0"/>
          <w:numId w:val="34"/>
        </w:numPr>
        <w:tabs>
          <w:tab w:val="left" w:pos="2580"/>
          <w:tab w:val="left" w:pos="5876"/>
        </w:tabs>
        <w:rPr>
          <w:rFonts w:asciiTheme="minorHAnsi" w:hAnsiTheme="minorHAnsi" w:cstheme="minorHAnsi"/>
          <w:sz w:val="20"/>
          <w:szCs w:val="20"/>
          <w:lang w:val="fr-FR"/>
        </w:rPr>
      </w:pPr>
      <w:r w:rsidRPr="00500323">
        <w:rPr>
          <w:rFonts w:asciiTheme="minorHAnsi" w:hAnsiTheme="minorHAnsi" w:cstheme="minorHAnsi"/>
          <w:sz w:val="20"/>
          <w:szCs w:val="20"/>
          <w:lang w:val="fr-FR"/>
        </w:rPr>
        <w:t>Farida Bellahcène, CES, MDCFCF</w:t>
      </w:r>
    </w:p>
    <w:p w:rsidR="0044150A" w:rsidRPr="00500323" w:rsidRDefault="0044150A" w:rsidP="00C901EF">
      <w:pPr>
        <w:pStyle w:val="ListParagraph"/>
        <w:numPr>
          <w:ilvl w:val="0"/>
          <w:numId w:val="34"/>
        </w:numPr>
        <w:tabs>
          <w:tab w:val="left" w:pos="2580"/>
          <w:tab w:val="left" w:pos="5876"/>
        </w:tabs>
        <w:rPr>
          <w:rFonts w:asciiTheme="minorHAnsi" w:hAnsiTheme="minorHAnsi" w:cstheme="minorHAnsi"/>
          <w:sz w:val="20"/>
          <w:szCs w:val="20"/>
          <w:lang w:val="fr-FR"/>
        </w:rPr>
      </w:pPr>
      <w:r w:rsidRPr="00500323">
        <w:rPr>
          <w:rFonts w:asciiTheme="minorHAnsi" w:hAnsiTheme="minorHAnsi" w:cstheme="minorHAnsi"/>
          <w:sz w:val="20"/>
          <w:szCs w:val="20"/>
          <w:lang w:val="fr-FR"/>
        </w:rPr>
        <w:t>Karima Megtef Mehali, CES, MDCFCF</w:t>
      </w:r>
    </w:p>
    <w:p w:rsidR="0044150A" w:rsidRPr="00500323" w:rsidRDefault="0044150A" w:rsidP="00C901EF">
      <w:pPr>
        <w:pStyle w:val="ListParagraph"/>
        <w:numPr>
          <w:ilvl w:val="0"/>
          <w:numId w:val="34"/>
        </w:numPr>
        <w:tabs>
          <w:tab w:val="left" w:pos="2580"/>
          <w:tab w:val="left" w:pos="5876"/>
        </w:tabs>
        <w:rPr>
          <w:rFonts w:asciiTheme="minorHAnsi" w:hAnsiTheme="minorHAnsi" w:cstheme="minorHAnsi"/>
          <w:sz w:val="20"/>
          <w:szCs w:val="20"/>
          <w:lang w:val="fr-FR"/>
        </w:rPr>
      </w:pPr>
      <w:r w:rsidRPr="00500323">
        <w:rPr>
          <w:rFonts w:asciiTheme="minorHAnsi" w:hAnsiTheme="minorHAnsi" w:cstheme="minorHAnsi"/>
          <w:sz w:val="20"/>
          <w:szCs w:val="20"/>
          <w:lang w:val="fr-FR"/>
        </w:rPr>
        <w:t>Nabila Medjbeur, Administrateur, MDCFCF</w:t>
      </w:r>
    </w:p>
    <w:p w:rsidR="0044150A" w:rsidRPr="007D3EDD" w:rsidRDefault="0044150A" w:rsidP="005D034C">
      <w:pPr>
        <w:tabs>
          <w:tab w:val="left" w:pos="2580"/>
          <w:tab w:val="left" w:pos="5876"/>
        </w:tabs>
        <w:rPr>
          <w:rFonts w:asciiTheme="minorHAnsi" w:hAnsiTheme="minorHAnsi" w:cstheme="minorHAnsi"/>
          <w:color w:val="FF0000"/>
          <w:sz w:val="20"/>
          <w:szCs w:val="20"/>
          <w:lang w:val="fr-FR"/>
        </w:rPr>
      </w:pPr>
    </w:p>
    <w:p w:rsidR="00C901EF" w:rsidRPr="007D3EDD" w:rsidRDefault="00500323" w:rsidP="005D034C">
      <w:pPr>
        <w:tabs>
          <w:tab w:val="left" w:pos="2580"/>
          <w:tab w:val="left" w:pos="5876"/>
        </w:tabs>
        <w:rPr>
          <w:rFonts w:asciiTheme="minorHAnsi" w:hAnsiTheme="minorHAnsi" w:cstheme="minorHAnsi"/>
          <w:b/>
          <w:color w:val="000000" w:themeColor="text1"/>
          <w:sz w:val="20"/>
          <w:szCs w:val="20"/>
          <w:lang w:val="fr-FR"/>
        </w:rPr>
      </w:pPr>
      <w:r>
        <w:rPr>
          <w:rFonts w:asciiTheme="minorHAnsi" w:hAnsiTheme="minorHAnsi" w:cstheme="minorHAnsi"/>
          <w:b/>
          <w:color w:val="000000" w:themeColor="text1"/>
          <w:sz w:val="20"/>
          <w:szCs w:val="20"/>
          <w:lang w:val="fr-FR"/>
        </w:rPr>
        <w:t>Ministères partenaires</w:t>
      </w:r>
      <w:r w:rsidR="00C901EF" w:rsidRPr="007D3EDD">
        <w:rPr>
          <w:rFonts w:asciiTheme="minorHAnsi" w:hAnsiTheme="minorHAnsi" w:cstheme="minorHAnsi"/>
          <w:b/>
          <w:color w:val="000000" w:themeColor="text1"/>
          <w:sz w:val="20"/>
          <w:szCs w:val="20"/>
          <w:lang w:val="fr-FR"/>
        </w:rPr>
        <w:t>:</w:t>
      </w:r>
    </w:p>
    <w:p w:rsidR="0044150A" w:rsidRPr="007D3EDD"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Akila Chergou, Directrice de la Formation Continue et des Relations intersectorielles, MFEP</w:t>
      </w:r>
    </w:p>
    <w:p w:rsidR="0044150A" w:rsidRPr="007D3EDD"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Yacine Abdelgarfi</w:t>
      </w:r>
      <w:r w:rsidR="00C901EF" w:rsidRPr="007D3EDD">
        <w:rPr>
          <w:rFonts w:asciiTheme="minorHAnsi" w:hAnsiTheme="minorHAnsi" w:cstheme="minorHAnsi"/>
          <w:color w:val="000000" w:themeColor="text1"/>
          <w:sz w:val="20"/>
          <w:szCs w:val="20"/>
          <w:lang w:val="fr-FR"/>
        </w:rPr>
        <w:t xml:space="preserve">, </w:t>
      </w:r>
      <w:r w:rsidRPr="007D3EDD">
        <w:rPr>
          <w:rFonts w:asciiTheme="minorHAnsi" w:hAnsiTheme="minorHAnsi" w:cstheme="minorHAnsi"/>
          <w:color w:val="000000" w:themeColor="text1"/>
          <w:sz w:val="20"/>
          <w:szCs w:val="20"/>
          <w:lang w:val="fr-FR"/>
        </w:rPr>
        <w:t>MFEP</w:t>
      </w:r>
    </w:p>
    <w:p w:rsidR="0044150A" w:rsidRPr="007D3EDD"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Malika Moussaoui, Directrice de la Protection et de la Promotion de la femme, MSNF</w:t>
      </w:r>
    </w:p>
    <w:p w:rsidR="0044150A" w:rsidRPr="007D3EDD"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Rabia Seray, S/Directrice, MESRS</w:t>
      </w:r>
    </w:p>
    <w:p w:rsidR="0044150A" w:rsidRPr="007D3EDD"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Ouahiba Moumen, Directrice d’études, MTA</w:t>
      </w:r>
    </w:p>
    <w:p w:rsidR="0044150A" w:rsidRPr="007D3EDD" w:rsidRDefault="00547B09"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Pr>
          <w:rFonts w:asciiTheme="minorHAnsi" w:hAnsiTheme="minorHAnsi" w:cstheme="minorHAnsi"/>
          <w:color w:val="000000" w:themeColor="text1"/>
          <w:sz w:val="20"/>
          <w:szCs w:val="20"/>
          <w:lang w:val="fr-FR"/>
        </w:rPr>
        <w:t>Koliai Saida</w:t>
      </w:r>
      <w:r w:rsidR="0044150A" w:rsidRPr="007D3EDD">
        <w:rPr>
          <w:rFonts w:asciiTheme="minorHAnsi" w:hAnsiTheme="minorHAnsi" w:cstheme="minorHAnsi"/>
          <w:color w:val="000000" w:themeColor="text1"/>
          <w:sz w:val="20"/>
          <w:szCs w:val="20"/>
          <w:lang w:val="fr-FR"/>
        </w:rPr>
        <w:t xml:space="preserve">, </w:t>
      </w:r>
      <w:r>
        <w:rPr>
          <w:rFonts w:asciiTheme="minorHAnsi" w:hAnsiTheme="minorHAnsi" w:cstheme="minorHAnsi"/>
          <w:color w:val="000000" w:themeColor="text1"/>
          <w:sz w:val="20"/>
          <w:szCs w:val="20"/>
          <w:lang w:val="fr-FR"/>
        </w:rPr>
        <w:t>Conseillère</w:t>
      </w:r>
      <w:r w:rsidR="0044150A" w:rsidRPr="007D3EDD">
        <w:rPr>
          <w:rFonts w:asciiTheme="minorHAnsi" w:hAnsiTheme="minorHAnsi" w:cstheme="minorHAnsi"/>
          <w:color w:val="000000" w:themeColor="text1"/>
          <w:sz w:val="20"/>
          <w:szCs w:val="20"/>
          <w:lang w:val="fr-FR"/>
        </w:rPr>
        <w:t>, MTA</w:t>
      </w:r>
    </w:p>
    <w:p w:rsidR="0044150A" w:rsidRPr="007D3EDD"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Mounia Bouterfa, Chargé</w:t>
      </w:r>
      <w:r w:rsidR="00272D69" w:rsidRPr="007D3EDD">
        <w:rPr>
          <w:rFonts w:asciiTheme="minorHAnsi" w:hAnsiTheme="minorHAnsi" w:cstheme="minorHAnsi"/>
          <w:color w:val="000000" w:themeColor="text1"/>
          <w:sz w:val="20"/>
          <w:szCs w:val="20"/>
          <w:lang w:val="fr-FR"/>
        </w:rPr>
        <w:t>e</w:t>
      </w:r>
      <w:r w:rsidRPr="007D3EDD">
        <w:rPr>
          <w:rFonts w:asciiTheme="minorHAnsi" w:hAnsiTheme="minorHAnsi" w:cstheme="minorHAnsi"/>
          <w:color w:val="000000" w:themeColor="text1"/>
          <w:sz w:val="20"/>
          <w:szCs w:val="20"/>
          <w:lang w:val="fr-FR"/>
        </w:rPr>
        <w:t xml:space="preserve"> d’études, MPS</w:t>
      </w:r>
    </w:p>
    <w:p w:rsidR="0044150A" w:rsidRPr="007D3EDD"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Mourad Mouhoubi, Inspecteur Central, MF</w:t>
      </w:r>
    </w:p>
    <w:p w:rsidR="0044150A" w:rsidRPr="007D3EDD" w:rsidRDefault="002C4A61"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Pr>
          <w:rFonts w:asciiTheme="minorHAnsi" w:hAnsiTheme="minorHAnsi" w:cstheme="minorHAnsi"/>
          <w:color w:val="000000" w:themeColor="text1"/>
          <w:sz w:val="20"/>
          <w:szCs w:val="20"/>
          <w:lang w:val="fr-FR"/>
        </w:rPr>
        <w:t>Said Azzoug</w:t>
      </w:r>
      <w:r w:rsidR="0044150A" w:rsidRPr="007D3EDD">
        <w:rPr>
          <w:rFonts w:asciiTheme="minorHAnsi" w:hAnsiTheme="minorHAnsi" w:cstheme="minorHAnsi"/>
          <w:color w:val="000000" w:themeColor="text1"/>
          <w:sz w:val="20"/>
          <w:szCs w:val="20"/>
          <w:lang w:val="fr-FR"/>
        </w:rPr>
        <w:t>, Chef de Programme IST/VIH/SIDA, MSPRH</w:t>
      </w:r>
    </w:p>
    <w:p w:rsidR="0044150A" w:rsidRPr="007D3EDD" w:rsidRDefault="0044150A"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sidRPr="007D3EDD">
        <w:rPr>
          <w:rFonts w:asciiTheme="minorHAnsi" w:hAnsiTheme="minorHAnsi" w:cstheme="minorHAnsi"/>
          <w:color w:val="000000" w:themeColor="text1"/>
          <w:sz w:val="20"/>
          <w:szCs w:val="20"/>
          <w:lang w:val="fr-FR"/>
        </w:rPr>
        <w:t>Nassima Benhabiles, S/Directrice, MIPIPME</w:t>
      </w:r>
    </w:p>
    <w:p w:rsidR="0044150A" w:rsidRPr="007D3EDD" w:rsidRDefault="00E645C5"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Pr>
          <w:rFonts w:asciiTheme="minorHAnsi" w:hAnsiTheme="minorHAnsi" w:cstheme="minorHAnsi"/>
          <w:color w:val="000000" w:themeColor="text1"/>
          <w:sz w:val="20"/>
          <w:szCs w:val="20"/>
          <w:lang w:val="fr-FR"/>
        </w:rPr>
        <w:t xml:space="preserve">Fatiha </w:t>
      </w:r>
      <w:r w:rsidR="00C901EF" w:rsidRPr="007D3EDD">
        <w:rPr>
          <w:rFonts w:asciiTheme="minorHAnsi" w:hAnsiTheme="minorHAnsi" w:cstheme="minorHAnsi"/>
          <w:color w:val="000000" w:themeColor="text1"/>
          <w:sz w:val="20"/>
          <w:szCs w:val="20"/>
          <w:lang w:val="fr-FR"/>
        </w:rPr>
        <w:t xml:space="preserve">Djehiche, </w:t>
      </w:r>
      <w:r w:rsidR="0044150A" w:rsidRPr="007D3EDD">
        <w:rPr>
          <w:rFonts w:asciiTheme="minorHAnsi" w:hAnsiTheme="minorHAnsi" w:cstheme="minorHAnsi"/>
          <w:color w:val="000000" w:themeColor="text1"/>
          <w:sz w:val="20"/>
          <w:szCs w:val="20"/>
          <w:lang w:val="fr-FR"/>
        </w:rPr>
        <w:t>Ch</w:t>
      </w:r>
      <w:r w:rsidR="00C901EF" w:rsidRPr="007D3EDD">
        <w:rPr>
          <w:rFonts w:asciiTheme="minorHAnsi" w:hAnsiTheme="minorHAnsi" w:cstheme="minorHAnsi"/>
          <w:color w:val="000000" w:themeColor="text1"/>
          <w:sz w:val="20"/>
          <w:szCs w:val="20"/>
          <w:lang w:val="fr-FR"/>
        </w:rPr>
        <w:t>argée d’études et de Synthèse</w:t>
      </w:r>
      <w:r w:rsidR="0044150A" w:rsidRPr="007D3EDD">
        <w:rPr>
          <w:rFonts w:asciiTheme="minorHAnsi" w:hAnsiTheme="minorHAnsi" w:cstheme="minorHAnsi"/>
          <w:color w:val="000000" w:themeColor="text1"/>
          <w:sz w:val="20"/>
          <w:szCs w:val="20"/>
          <w:lang w:val="fr-FR"/>
        </w:rPr>
        <w:t>, MADR</w:t>
      </w:r>
    </w:p>
    <w:p w:rsidR="0044150A" w:rsidRPr="007D3EDD" w:rsidRDefault="00E645C5" w:rsidP="00C901EF">
      <w:pPr>
        <w:pStyle w:val="ListParagraph"/>
        <w:numPr>
          <w:ilvl w:val="0"/>
          <w:numId w:val="34"/>
        </w:numPr>
        <w:tabs>
          <w:tab w:val="left" w:pos="2580"/>
          <w:tab w:val="left" w:pos="5876"/>
        </w:tabs>
        <w:rPr>
          <w:rFonts w:asciiTheme="minorHAnsi" w:hAnsiTheme="minorHAnsi" w:cstheme="minorHAnsi"/>
          <w:color w:val="000000" w:themeColor="text1"/>
          <w:sz w:val="20"/>
          <w:szCs w:val="20"/>
          <w:lang w:val="fr-FR"/>
        </w:rPr>
      </w:pPr>
      <w:r>
        <w:rPr>
          <w:rFonts w:asciiTheme="minorHAnsi" w:hAnsiTheme="minorHAnsi" w:cstheme="minorHAnsi"/>
          <w:color w:val="000000" w:themeColor="text1"/>
          <w:sz w:val="20"/>
          <w:szCs w:val="20"/>
          <w:lang w:val="fr-FR"/>
        </w:rPr>
        <w:t xml:space="preserve">Amal </w:t>
      </w:r>
      <w:r w:rsidR="0044150A" w:rsidRPr="007D3EDD">
        <w:rPr>
          <w:rFonts w:asciiTheme="minorHAnsi" w:hAnsiTheme="minorHAnsi" w:cstheme="minorHAnsi"/>
          <w:color w:val="000000" w:themeColor="text1"/>
          <w:sz w:val="20"/>
          <w:szCs w:val="20"/>
          <w:lang w:val="fr-FR"/>
        </w:rPr>
        <w:t>Lakehal, Directrice, ONS</w:t>
      </w:r>
    </w:p>
    <w:p w:rsidR="00C901EF" w:rsidRPr="007D3EDD" w:rsidRDefault="00C901EF" w:rsidP="005D034C">
      <w:pPr>
        <w:tabs>
          <w:tab w:val="left" w:pos="2580"/>
          <w:tab w:val="left" w:pos="5876"/>
        </w:tabs>
        <w:rPr>
          <w:rFonts w:asciiTheme="minorHAnsi" w:hAnsiTheme="minorHAnsi" w:cstheme="minorHAnsi"/>
          <w:sz w:val="20"/>
          <w:szCs w:val="20"/>
          <w:lang w:val="fr-FR"/>
        </w:rPr>
      </w:pPr>
    </w:p>
    <w:p w:rsidR="00C901EF" w:rsidRPr="007D3EDD" w:rsidRDefault="00C901EF" w:rsidP="005D034C">
      <w:pPr>
        <w:tabs>
          <w:tab w:val="left" w:pos="2580"/>
          <w:tab w:val="left" w:pos="5876"/>
        </w:tabs>
        <w:rPr>
          <w:rFonts w:asciiTheme="minorHAnsi" w:hAnsiTheme="minorHAnsi" w:cstheme="minorHAnsi"/>
          <w:b/>
          <w:sz w:val="20"/>
          <w:szCs w:val="20"/>
          <w:lang w:val="fr-FR"/>
        </w:rPr>
      </w:pPr>
      <w:r w:rsidRPr="007D3EDD">
        <w:rPr>
          <w:rFonts w:asciiTheme="minorHAnsi" w:hAnsiTheme="minorHAnsi" w:cstheme="minorHAnsi"/>
          <w:b/>
          <w:sz w:val="20"/>
          <w:szCs w:val="20"/>
          <w:lang w:val="fr-FR"/>
        </w:rPr>
        <w:t>AECID :</w:t>
      </w:r>
    </w:p>
    <w:p w:rsidR="00500323" w:rsidRPr="007D3EDD" w:rsidRDefault="00500323" w:rsidP="00500323">
      <w:pPr>
        <w:pStyle w:val="ListParagraph"/>
        <w:numPr>
          <w:ilvl w:val="0"/>
          <w:numId w:val="34"/>
        </w:numPr>
        <w:tabs>
          <w:tab w:val="left" w:pos="2580"/>
          <w:tab w:val="left" w:pos="5876"/>
        </w:tabs>
        <w:rPr>
          <w:rFonts w:asciiTheme="minorHAnsi" w:hAnsiTheme="minorHAnsi" w:cstheme="minorHAnsi"/>
          <w:sz w:val="20"/>
          <w:szCs w:val="20"/>
          <w:lang w:val="fr-FR"/>
        </w:rPr>
      </w:pPr>
      <w:r w:rsidRPr="007D3EDD">
        <w:rPr>
          <w:rFonts w:asciiTheme="minorHAnsi" w:hAnsiTheme="minorHAnsi" w:cstheme="minorHAnsi"/>
          <w:sz w:val="20"/>
          <w:szCs w:val="20"/>
          <w:lang w:val="fr-FR"/>
        </w:rPr>
        <w:t>José María Troncoso Perera, Coordinateur Général, AECID</w:t>
      </w:r>
    </w:p>
    <w:p w:rsidR="00500323" w:rsidRPr="007D3EDD" w:rsidRDefault="00500323" w:rsidP="00500323">
      <w:pPr>
        <w:pStyle w:val="yiv312452891msonormal"/>
        <w:numPr>
          <w:ilvl w:val="0"/>
          <w:numId w:val="34"/>
        </w:numPr>
        <w:rPr>
          <w:rFonts w:asciiTheme="minorHAnsi" w:hAnsiTheme="minorHAnsi" w:cstheme="minorHAnsi"/>
          <w:sz w:val="20"/>
          <w:szCs w:val="20"/>
          <w:lang w:val="fr-FR"/>
        </w:rPr>
      </w:pPr>
      <w:r w:rsidRPr="007D3EDD">
        <w:rPr>
          <w:rFonts w:asciiTheme="minorHAnsi" w:hAnsiTheme="minorHAnsi" w:cstheme="minorHAnsi"/>
          <w:sz w:val="20"/>
          <w:szCs w:val="20"/>
          <w:lang w:val="fr-FR"/>
        </w:rPr>
        <w:t>Maribel Gil, Responsable de projets, AECID</w:t>
      </w:r>
    </w:p>
    <w:p w:rsidR="00C901EF" w:rsidRPr="00500323" w:rsidRDefault="00500323" w:rsidP="00500323">
      <w:pPr>
        <w:pStyle w:val="ListParagraph"/>
        <w:numPr>
          <w:ilvl w:val="0"/>
          <w:numId w:val="34"/>
        </w:numPr>
        <w:tabs>
          <w:tab w:val="left" w:pos="2580"/>
          <w:tab w:val="left" w:pos="5876"/>
        </w:tabs>
        <w:rPr>
          <w:rFonts w:asciiTheme="minorHAnsi" w:hAnsiTheme="minorHAnsi" w:cstheme="minorHAnsi"/>
          <w:sz w:val="20"/>
          <w:szCs w:val="20"/>
          <w:lang w:val="fr-FR"/>
        </w:rPr>
      </w:pPr>
      <w:r w:rsidRPr="007D3EDD">
        <w:rPr>
          <w:rFonts w:asciiTheme="minorHAnsi" w:hAnsiTheme="minorHAnsi" w:cstheme="minorHAnsi"/>
          <w:sz w:val="20"/>
          <w:szCs w:val="20"/>
          <w:lang w:val="fr-FR"/>
        </w:rPr>
        <w:t>Sergio Blanco, Coordonnateur Adjoint, AECID</w:t>
      </w:r>
    </w:p>
    <w:p w:rsidR="00C901EF" w:rsidRPr="007D3EDD" w:rsidRDefault="00C901EF" w:rsidP="005D034C">
      <w:pPr>
        <w:tabs>
          <w:tab w:val="left" w:pos="2580"/>
          <w:tab w:val="left" w:pos="5876"/>
        </w:tabs>
        <w:rPr>
          <w:rFonts w:asciiTheme="minorHAnsi" w:hAnsiTheme="minorHAnsi" w:cstheme="minorHAnsi"/>
          <w:sz w:val="20"/>
          <w:szCs w:val="20"/>
          <w:lang w:val="fr-FR"/>
        </w:rPr>
      </w:pPr>
    </w:p>
    <w:p w:rsidR="00C901EF" w:rsidRPr="007D3EDD" w:rsidRDefault="00C901EF" w:rsidP="005D034C">
      <w:pPr>
        <w:tabs>
          <w:tab w:val="left" w:pos="2580"/>
          <w:tab w:val="left" w:pos="5876"/>
        </w:tabs>
        <w:rPr>
          <w:rFonts w:asciiTheme="minorHAnsi" w:hAnsiTheme="minorHAnsi" w:cstheme="minorHAnsi"/>
          <w:b/>
          <w:sz w:val="20"/>
          <w:szCs w:val="20"/>
          <w:lang w:val="fr-FR"/>
        </w:rPr>
      </w:pPr>
      <w:r w:rsidRPr="007D3EDD">
        <w:rPr>
          <w:rFonts w:asciiTheme="minorHAnsi" w:hAnsiTheme="minorHAnsi" w:cstheme="minorHAnsi"/>
          <w:b/>
          <w:sz w:val="20"/>
          <w:szCs w:val="20"/>
          <w:lang w:val="fr-FR"/>
        </w:rPr>
        <w:t>Autres personnes ressources :</w:t>
      </w:r>
    </w:p>
    <w:p w:rsidR="005D64A1" w:rsidRPr="00500323" w:rsidRDefault="005D64A1" w:rsidP="00500323">
      <w:pPr>
        <w:pStyle w:val="ListParagraph"/>
        <w:numPr>
          <w:ilvl w:val="0"/>
          <w:numId w:val="34"/>
        </w:numPr>
        <w:tabs>
          <w:tab w:val="left" w:pos="2580"/>
          <w:tab w:val="left" w:pos="5876"/>
        </w:tabs>
        <w:rPr>
          <w:rFonts w:asciiTheme="minorHAnsi" w:hAnsiTheme="minorHAnsi" w:cstheme="minorHAnsi"/>
          <w:sz w:val="20"/>
          <w:szCs w:val="20"/>
          <w:lang w:val="fr-FR"/>
        </w:rPr>
      </w:pPr>
      <w:r w:rsidRPr="007D3EDD">
        <w:rPr>
          <w:rFonts w:asciiTheme="minorHAnsi" w:hAnsiTheme="minorHAnsi" w:cstheme="minorHAnsi"/>
          <w:sz w:val="20"/>
          <w:szCs w:val="20"/>
          <w:lang w:val="fr-FR"/>
        </w:rPr>
        <w:t>Mme Lahouel, Directrice fondatrice, Association El Hayat</w:t>
      </w:r>
    </w:p>
    <w:p w:rsidR="00C901EF" w:rsidRPr="002C4A61" w:rsidRDefault="00C901EF" w:rsidP="002C4A61">
      <w:pPr>
        <w:tabs>
          <w:tab w:val="left" w:pos="2580"/>
          <w:tab w:val="left" w:pos="5876"/>
        </w:tabs>
        <w:rPr>
          <w:rFonts w:asciiTheme="minorHAnsi" w:hAnsiTheme="minorHAnsi" w:cstheme="minorHAnsi"/>
          <w:sz w:val="20"/>
          <w:szCs w:val="20"/>
          <w:lang w:val="fr-FR"/>
        </w:rPr>
      </w:pPr>
    </w:p>
    <w:p w:rsidR="00272D69" w:rsidRPr="00500323" w:rsidRDefault="00272D69" w:rsidP="005D034C">
      <w:pPr>
        <w:tabs>
          <w:tab w:val="left" w:pos="2580"/>
          <w:tab w:val="left" w:pos="5876"/>
        </w:tabs>
        <w:rPr>
          <w:rFonts w:asciiTheme="minorHAnsi" w:hAnsiTheme="minorHAnsi" w:cstheme="minorHAnsi"/>
          <w:b/>
          <w:sz w:val="20"/>
          <w:szCs w:val="20"/>
          <w:lang w:val="fr-FR"/>
        </w:rPr>
      </w:pPr>
      <w:r w:rsidRPr="00500323">
        <w:rPr>
          <w:rFonts w:asciiTheme="minorHAnsi" w:hAnsiTheme="minorHAnsi" w:cstheme="minorHAnsi"/>
          <w:b/>
          <w:sz w:val="20"/>
          <w:szCs w:val="20"/>
          <w:lang w:val="fr-FR"/>
        </w:rPr>
        <w:t>Tamanrasset</w:t>
      </w:r>
      <w:r w:rsidR="00500323">
        <w:rPr>
          <w:rFonts w:asciiTheme="minorHAnsi" w:hAnsiTheme="minorHAnsi" w:cstheme="minorHAnsi"/>
          <w:b/>
          <w:sz w:val="20"/>
          <w:szCs w:val="20"/>
          <w:lang w:val="fr-FR"/>
        </w:rPr>
        <w:t> :</w:t>
      </w:r>
    </w:p>
    <w:p w:rsidR="00272D69" w:rsidRPr="007D3EDD" w:rsidRDefault="00272D69" w:rsidP="00272D69">
      <w:pPr>
        <w:pStyle w:val="ListParagraph"/>
        <w:numPr>
          <w:ilvl w:val="0"/>
          <w:numId w:val="34"/>
        </w:numPr>
        <w:tabs>
          <w:tab w:val="left" w:pos="2580"/>
          <w:tab w:val="left" w:pos="5876"/>
        </w:tabs>
        <w:rPr>
          <w:rFonts w:asciiTheme="minorHAnsi" w:hAnsiTheme="minorHAnsi" w:cstheme="minorHAnsi"/>
          <w:sz w:val="20"/>
          <w:szCs w:val="20"/>
          <w:lang w:val="fr-FR"/>
        </w:rPr>
      </w:pPr>
      <w:r w:rsidRPr="007D3EDD">
        <w:rPr>
          <w:rFonts w:asciiTheme="minorHAnsi" w:hAnsiTheme="minorHAnsi" w:cstheme="minorHAnsi"/>
          <w:sz w:val="20"/>
          <w:szCs w:val="20"/>
          <w:lang w:val="fr-FR"/>
        </w:rPr>
        <w:t>Mr. Moulay, Directeur Agence locale de l’ANGEM</w:t>
      </w:r>
    </w:p>
    <w:p w:rsidR="00272D69" w:rsidRPr="007D3EDD" w:rsidRDefault="00272D69" w:rsidP="00272D69">
      <w:pPr>
        <w:pStyle w:val="ListParagraph"/>
        <w:numPr>
          <w:ilvl w:val="0"/>
          <w:numId w:val="34"/>
        </w:numPr>
        <w:tabs>
          <w:tab w:val="left" w:pos="2580"/>
          <w:tab w:val="left" w:pos="5876"/>
        </w:tabs>
        <w:rPr>
          <w:rFonts w:asciiTheme="minorHAnsi" w:hAnsiTheme="minorHAnsi" w:cstheme="minorHAnsi"/>
          <w:sz w:val="20"/>
          <w:szCs w:val="20"/>
          <w:lang w:val="fr-FR"/>
        </w:rPr>
      </w:pPr>
      <w:r w:rsidRPr="007D3EDD">
        <w:rPr>
          <w:rFonts w:asciiTheme="minorHAnsi" w:hAnsiTheme="minorHAnsi" w:cstheme="minorHAnsi"/>
          <w:sz w:val="20"/>
          <w:szCs w:val="20"/>
          <w:lang w:val="fr-FR"/>
        </w:rPr>
        <w:t>Mr. Babrahim Abderahmane, Directeur du Centre de Formation Professionnelles</w:t>
      </w:r>
    </w:p>
    <w:p w:rsidR="00272D69" w:rsidRPr="007D3EDD" w:rsidRDefault="00272D69" w:rsidP="00272D69">
      <w:pPr>
        <w:pStyle w:val="ListParagraph"/>
        <w:numPr>
          <w:ilvl w:val="0"/>
          <w:numId w:val="34"/>
        </w:numPr>
        <w:tabs>
          <w:tab w:val="left" w:pos="2580"/>
          <w:tab w:val="left" w:pos="5876"/>
        </w:tabs>
        <w:rPr>
          <w:rFonts w:asciiTheme="minorHAnsi" w:hAnsiTheme="minorHAnsi" w:cstheme="minorHAnsi"/>
          <w:sz w:val="20"/>
          <w:szCs w:val="20"/>
          <w:lang w:val="fr-FR"/>
        </w:rPr>
      </w:pPr>
      <w:r w:rsidRPr="007D3EDD">
        <w:rPr>
          <w:rFonts w:asciiTheme="minorHAnsi" w:hAnsiTheme="minorHAnsi" w:cstheme="minorHAnsi"/>
          <w:sz w:val="20"/>
          <w:szCs w:val="20"/>
          <w:lang w:val="fr-FR"/>
        </w:rPr>
        <w:t>Mr, Abdelouahad, Directeur de l’hôpital</w:t>
      </w:r>
    </w:p>
    <w:p w:rsidR="00272D69" w:rsidRPr="007D3EDD" w:rsidRDefault="00272D69" w:rsidP="00272D69">
      <w:pPr>
        <w:pStyle w:val="ListParagraph"/>
        <w:numPr>
          <w:ilvl w:val="0"/>
          <w:numId w:val="34"/>
        </w:numPr>
        <w:tabs>
          <w:tab w:val="left" w:pos="2580"/>
          <w:tab w:val="left" w:pos="5876"/>
        </w:tabs>
        <w:rPr>
          <w:rFonts w:asciiTheme="minorHAnsi" w:hAnsiTheme="minorHAnsi" w:cstheme="minorHAnsi"/>
          <w:sz w:val="20"/>
          <w:szCs w:val="20"/>
          <w:lang w:val="fr-FR"/>
        </w:rPr>
      </w:pPr>
      <w:r w:rsidRPr="007D3EDD">
        <w:rPr>
          <w:rFonts w:asciiTheme="minorHAnsi" w:hAnsiTheme="minorHAnsi" w:cstheme="minorHAnsi"/>
          <w:sz w:val="20"/>
          <w:szCs w:val="20"/>
          <w:lang w:val="fr-FR"/>
        </w:rPr>
        <w:t>Médecin chef de l’hôpital</w:t>
      </w:r>
    </w:p>
    <w:p w:rsidR="00272D69" w:rsidRPr="007D3EDD" w:rsidRDefault="00272D69" w:rsidP="00272D69">
      <w:pPr>
        <w:pStyle w:val="ListParagraph"/>
        <w:numPr>
          <w:ilvl w:val="0"/>
          <w:numId w:val="34"/>
        </w:numPr>
        <w:tabs>
          <w:tab w:val="left" w:pos="2580"/>
          <w:tab w:val="left" w:pos="5876"/>
        </w:tabs>
        <w:rPr>
          <w:rFonts w:asciiTheme="minorHAnsi" w:hAnsiTheme="minorHAnsi" w:cstheme="minorHAnsi"/>
          <w:sz w:val="20"/>
          <w:szCs w:val="20"/>
          <w:lang w:val="fr-FR"/>
        </w:rPr>
      </w:pPr>
      <w:r w:rsidRPr="007D3EDD">
        <w:rPr>
          <w:rFonts w:asciiTheme="minorHAnsi" w:hAnsiTheme="minorHAnsi" w:cstheme="minorHAnsi"/>
          <w:sz w:val="20"/>
          <w:szCs w:val="20"/>
          <w:lang w:val="fr-FR"/>
        </w:rPr>
        <w:t>Femmes bénéficiaires de la formation professionnelles et d’un micro-crédit</w:t>
      </w:r>
    </w:p>
    <w:p w:rsidR="00A24E98" w:rsidRDefault="00A24E98" w:rsidP="00272D69">
      <w:pPr>
        <w:jc w:val="both"/>
        <w:rPr>
          <w:rFonts w:ascii="Calibri" w:hAnsi="Calibri" w:cs="Calibri"/>
          <w:sz w:val="21"/>
          <w:szCs w:val="21"/>
          <w:highlight w:val="lightGray"/>
          <w:lang w:val="fr-CA"/>
        </w:rPr>
      </w:pPr>
      <w:r>
        <w:rPr>
          <w:rFonts w:ascii="Calibri" w:hAnsi="Calibri" w:cs="Calibri"/>
          <w:sz w:val="21"/>
          <w:szCs w:val="21"/>
          <w:highlight w:val="lightGray"/>
          <w:lang w:val="fr-CA"/>
        </w:rPr>
        <w:br w:type="page"/>
      </w:r>
    </w:p>
    <w:p w:rsidR="009E37BA" w:rsidRPr="00257F30" w:rsidRDefault="009E37BA" w:rsidP="00257F30">
      <w:pPr>
        <w:ind w:firstLine="708"/>
        <w:rPr>
          <w:rFonts w:ascii="Calibri" w:hAnsi="Calibri" w:cs="Calibri"/>
          <w:sz w:val="21"/>
          <w:szCs w:val="21"/>
          <w:highlight w:val="lightGray"/>
          <w:lang w:val="fr-CA"/>
        </w:rPr>
      </w:pPr>
    </w:p>
    <w:p w:rsidR="00547B09" w:rsidRDefault="00637E87" w:rsidP="00637E87">
      <w:pPr>
        <w:pStyle w:val="Heading1"/>
        <w:numPr>
          <w:ilvl w:val="0"/>
          <w:numId w:val="0"/>
        </w:numPr>
        <w:ind w:left="720"/>
        <w:rPr>
          <w:szCs w:val="28"/>
          <w:lang w:val="fr-CA"/>
        </w:rPr>
      </w:pPr>
      <w:r>
        <w:rPr>
          <w:szCs w:val="28"/>
          <w:lang w:val="fr-CA"/>
        </w:rPr>
        <w:br w:type="page"/>
      </w:r>
    </w:p>
    <w:p w:rsidR="00637E87" w:rsidRPr="00257F30" w:rsidRDefault="00637E87" w:rsidP="00637E87">
      <w:pPr>
        <w:pStyle w:val="Heading1"/>
        <w:numPr>
          <w:ilvl w:val="0"/>
          <w:numId w:val="0"/>
        </w:numPr>
        <w:ind w:left="720"/>
        <w:rPr>
          <w:szCs w:val="28"/>
          <w:lang w:val="fr-CA"/>
        </w:rPr>
      </w:pPr>
      <w:bookmarkStart w:id="43" w:name="_Toc322342031"/>
      <w:r w:rsidRPr="007C78DA">
        <w:rPr>
          <w:szCs w:val="28"/>
          <w:lang w:val="fr-CA"/>
        </w:rPr>
        <w:t xml:space="preserve">Annexe </w:t>
      </w:r>
      <w:r w:rsidR="00C07262">
        <w:rPr>
          <w:szCs w:val="28"/>
          <w:lang w:val="fr-CA"/>
        </w:rPr>
        <w:t>7</w:t>
      </w:r>
      <w:r w:rsidRPr="007C78DA">
        <w:rPr>
          <w:szCs w:val="28"/>
          <w:lang w:val="fr-CA"/>
        </w:rPr>
        <w:t xml:space="preserve"> – Liste de la documentation consultée</w:t>
      </w:r>
      <w:bookmarkEnd w:id="43"/>
    </w:p>
    <w:p w:rsidR="00637E87" w:rsidRDefault="00637E87" w:rsidP="00637E87">
      <w:pPr>
        <w:rPr>
          <w:color w:val="FF0000"/>
          <w:lang w:val="fr-CA"/>
        </w:rPr>
      </w:pPr>
    </w:p>
    <w:p w:rsidR="00637E87" w:rsidRDefault="00637E87" w:rsidP="00637E87">
      <w:pPr>
        <w:rPr>
          <w:rFonts w:ascii="Calibri" w:hAnsi="Calibri" w:cs="Calibri"/>
          <w:b/>
          <w:sz w:val="22"/>
          <w:szCs w:val="22"/>
          <w:lang w:val="fr-CA"/>
        </w:rPr>
      </w:pPr>
    </w:p>
    <w:p w:rsidR="00637E87" w:rsidRDefault="00637E87" w:rsidP="00637E87">
      <w:pPr>
        <w:rPr>
          <w:rFonts w:ascii="Calibri" w:hAnsi="Calibri" w:cs="Calibri"/>
          <w:b/>
          <w:sz w:val="22"/>
          <w:szCs w:val="22"/>
          <w:lang w:val="fr-CA"/>
        </w:rPr>
      </w:pPr>
      <w:r>
        <w:rPr>
          <w:rFonts w:ascii="Calibri" w:hAnsi="Calibri" w:cs="Calibri"/>
          <w:b/>
          <w:sz w:val="22"/>
          <w:szCs w:val="22"/>
          <w:lang w:val="fr-CA"/>
        </w:rPr>
        <w:t>Documents relatifs au programme conjoint :</w:t>
      </w:r>
    </w:p>
    <w:p w:rsidR="00637E87" w:rsidRDefault="00637E87" w:rsidP="00637E87">
      <w:pPr>
        <w:numPr>
          <w:ilvl w:val="0"/>
          <w:numId w:val="35"/>
        </w:numPr>
        <w:rPr>
          <w:rFonts w:ascii="Calibri" w:hAnsi="Calibri" w:cs="Calibri"/>
          <w:sz w:val="22"/>
          <w:szCs w:val="22"/>
          <w:lang w:val="fr-CA"/>
        </w:rPr>
      </w:pPr>
      <w:r>
        <w:rPr>
          <w:rFonts w:ascii="Calibri" w:hAnsi="Calibri" w:cs="Calibri"/>
          <w:sz w:val="22"/>
          <w:szCs w:val="22"/>
          <w:lang w:val="fr-CA"/>
        </w:rPr>
        <w:t>Document de projet</w:t>
      </w:r>
    </w:p>
    <w:p w:rsidR="00637E87" w:rsidRDefault="00637E87" w:rsidP="00637E87">
      <w:pPr>
        <w:numPr>
          <w:ilvl w:val="0"/>
          <w:numId w:val="35"/>
        </w:numPr>
        <w:rPr>
          <w:rFonts w:ascii="Calibri" w:hAnsi="Calibri" w:cs="Calibri"/>
          <w:sz w:val="22"/>
          <w:szCs w:val="22"/>
          <w:lang w:val="fr-CA"/>
        </w:rPr>
      </w:pPr>
      <w:r>
        <w:rPr>
          <w:rFonts w:ascii="Calibri" w:hAnsi="Calibri" w:cs="Calibri"/>
          <w:sz w:val="22"/>
          <w:szCs w:val="22"/>
          <w:lang w:val="fr-CA"/>
        </w:rPr>
        <w:t>Compte rendu final de l’atelier de lancement</w:t>
      </w:r>
    </w:p>
    <w:p w:rsidR="00637E87" w:rsidRDefault="00637E87" w:rsidP="00637E87">
      <w:pPr>
        <w:numPr>
          <w:ilvl w:val="0"/>
          <w:numId w:val="35"/>
        </w:numPr>
        <w:rPr>
          <w:rFonts w:ascii="Calibri" w:hAnsi="Calibri" w:cs="Calibri"/>
          <w:sz w:val="22"/>
          <w:szCs w:val="22"/>
          <w:lang w:val="fr-CA"/>
        </w:rPr>
      </w:pPr>
      <w:r>
        <w:rPr>
          <w:rFonts w:ascii="Calibri" w:hAnsi="Calibri" w:cs="Calibri"/>
          <w:sz w:val="22"/>
          <w:szCs w:val="22"/>
          <w:lang w:val="fr-CA"/>
        </w:rPr>
        <w:t>Rapport de l’atelier de la revue annuelle du programme, décembre 2011</w:t>
      </w:r>
    </w:p>
    <w:p w:rsidR="00637E87" w:rsidRDefault="00637E87" w:rsidP="00637E87">
      <w:pPr>
        <w:numPr>
          <w:ilvl w:val="0"/>
          <w:numId w:val="35"/>
        </w:numPr>
        <w:rPr>
          <w:rFonts w:ascii="Calibri" w:hAnsi="Calibri" w:cs="Calibri"/>
          <w:sz w:val="22"/>
          <w:szCs w:val="22"/>
          <w:lang w:val="fr-CA"/>
        </w:rPr>
      </w:pPr>
      <w:r>
        <w:rPr>
          <w:rFonts w:ascii="Calibri" w:hAnsi="Calibri" w:cs="Calibri"/>
          <w:sz w:val="22"/>
          <w:szCs w:val="22"/>
          <w:lang w:val="fr-CA"/>
        </w:rPr>
        <w:t>Rapports d’activités au 31/12/2010; 31/03/2011; 30/11/2011</w:t>
      </w:r>
    </w:p>
    <w:p w:rsidR="00637E87" w:rsidRDefault="00637E87" w:rsidP="00637E87">
      <w:pPr>
        <w:numPr>
          <w:ilvl w:val="0"/>
          <w:numId w:val="35"/>
        </w:numPr>
        <w:rPr>
          <w:rFonts w:ascii="Calibri" w:hAnsi="Calibri" w:cs="Calibri"/>
          <w:sz w:val="22"/>
          <w:szCs w:val="22"/>
          <w:lang w:val="fr-CA"/>
        </w:rPr>
      </w:pPr>
      <w:r>
        <w:rPr>
          <w:rFonts w:ascii="Calibri" w:hAnsi="Calibri" w:cs="Calibri"/>
          <w:sz w:val="22"/>
          <w:szCs w:val="22"/>
          <w:lang w:val="fr-CA"/>
        </w:rPr>
        <w:t>Rapport d’avancement pour le Secrétariat du Fonds-OMD, 2</w:t>
      </w:r>
      <w:r w:rsidRPr="007C78DA">
        <w:rPr>
          <w:rFonts w:ascii="Calibri" w:hAnsi="Calibri" w:cs="Calibri"/>
          <w:sz w:val="22"/>
          <w:szCs w:val="22"/>
          <w:vertAlign w:val="superscript"/>
          <w:lang w:val="fr-CA"/>
        </w:rPr>
        <w:t>ème</w:t>
      </w:r>
      <w:r>
        <w:rPr>
          <w:rFonts w:ascii="Calibri" w:hAnsi="Calibri" w:cs="Calibri"/>
          <w:sz w:val="22"/>
          <w:szCs w:val="22"/>
          <w:lang w:val="fr-CA"/>
        </w:rPr>
        <w:t xml:space="preserve"> semestre 2011, 1</w:t>
      </w:r>
      <w:r>
        <w:rPr>
          <w:rFonts w:ascii="Calibri" w:hAnsi="Calibri" w:cs="Calibri"/>
          <w:sz w:val="22"/>
          <w:szCs w:val="22"/>
          <w:vertAlign w:val="superscript"/>
          <w:lang w:val="fr-CA"/>
        </w:rPr>
        <w:t>er</w:t>
      </w:r>
      <w:r>
        <w:rPr>
          <w:rFonts w:ascii="Calibri" w:hAnsi="Calibri" w:cs="Calibri"/>
          <w:sz w:val="22"/>
          <w:szCs w:val="22"/>
          <w:lang w:val="fr-CA"/>
        </w:rPr>
        <w:t xml:space="preserve"> semestre 2011, 2</w:t>
      </w:r>
      <w:r w:rsidRPr="007C78DA">
        <w:rPr>
          <w:rFonts w:ascii="Calibri" w:hAnsi="Calibri" w:cs="Calibri"/>
          <w:sz w:val="22"/>
          <w:szCs w:val="22"/>
          <w:vertAlign w:val="superscript"/>
          <w:lang w:val="fr-CA"/>
        </w:rPr>
        <w:t>ème</w:t>
      </w:r>
      <w:r>
        <w:rPr>
          <w:rFonts w:ascii="Calibri" w:hAnsi="Calibri" w:cs="Calibri"/>
          <w:sz w:val="22"/>
          <w:szCs w:val="22"/>
          <w:lang w:val="fr-CA"/>
        </w:rPr>
        <w:t xml:space="preserve"> semestre 2011</w:t>
      </w:r>
    </w:p>
    <w:p w:rsidR="00637E87" w:rsidRDefault="00637E87" w:rsidP="00637E87">
      <w:pPr>
        <w:numPr>
          <w:ilvl w:val="0"/>
          <w:numId w:val="35"/>
        </w:numPr>
        <w:rPr>
          <w:rFonts w:ascii="Calibri" w:hAnsi="Calibri" w:cs="Calibri"/>
          <w:sz w:val="22"/>
          <w:szCs w:val="22"/>
          <w:lang w:val="fr-CA"/>
        </w:rPr>
      </w:pPr>
      <w:r>
        <w:rPr>
          <w:rFonts w:ascii="Calibri" w:hAnsi="Calibri" w:cs="Calibri"/>
          <w:sz w:val="22"/>
          <w:szCs w:val="22"/>
          <w:lang w:val="fr-CA"/>
        </w:rPr>
        <w:t xml:space="preserve">Rapports sur les formations : </w:t>
      </w:r>
    </w:p>
    <w:p w:rsidR="00637E87" w:rsidRDefault="00637E87" w:rsidP="00637E87">
      <w:pPr>
        <w:numPr>
          <w:ilvl w:val="1"/>
          <w:numId w:val="35"/>
        </w:numPr>
        <w:rPr>
          <w:rFonts w:ascii="Calibri" w:hAnsi="Calibri" w:cs="Calibri"/>
          <w:sz w:val="22"/>
          <w:szCs w:val="22"/>
          <w:lang w:val="fr-CA"/>
        </w:rPr>
      </w:pPr>
      <w:r>
        <w:rPr>
          <w:rFonts w:ascii="Calibri" w:hAnsi="Calibri" w:cs="Calibri"/>
          <w:sz w:val="22"/>
          <w:szCs w:val="22"/>
          <w:lang w:val="fr-CA"/>
        </w:rPr>
        <w:t>Compte rendu de l’atelier sur la BSG</w:t>
      </w:r>
    </w:p>
    <w:p w:rsidR="00637E87" w:rsidRDefault="00637E87" w:rsidP="00637E87">
      <w:pPr>
        <w:numPr>
          <w:ilvl w:val="1"/>
          <w:numId w:val="35"/>
        </w:numPr>
        <w:rPr>
          <w:rFonts w:ascii="Calibri" w:hAnsi="Calibri" w:cs="Calibri"/>
          <w:sz w:val="22"/>
          <w:szCs w:val="22"/>
          <w:lang w:val="fr-CA"/>
        </w:rPr>
      </w:pPr>
      <w:r>
        <w:rPr>
          <w:rFonts w:ascii="Calibri" w:hAnsi="Calibri" w:cs="Calibri"/>
          <w:sz w:val="22"/>
          <w:szCs w:val="22"/>
          <w:lang w:val="fr-CA"/>
        </w:rPr>
        <w:t>Rapport de formation Genre et plaidoyer</w:t>
      </w:r>
    </w:p>
    <w:p w:rsidR="00637E87" w:rsidRDefault="00637E87" w:rsidP="00637E87">
      <w:pPr>
        <w:numPr>
          <w:ilvl w:val="1"/>
          <w:numId w:val="35"/>
        </w:numPr>
        <w:rPr>
          <w:rFonts w:ascii="Calibri" w:hAnsi="Calibri" w:cs="Calibri"/>
          <w:sz w:val="22"/>
          <w:szCs w:val="22"/>
          <w:lang w:val="fr-CA"/>
        </w:rPr>
      </w:pPr>
      <w:r>
        <w:rPr>
          <w:rFonts w:ascii="Calibri" w:hAnsi="Calibri" w:cs="Calibri"/>
          <w:sz w:val="22"/>
          <w:szCs w:val="22"/>
          <w:lang w:val="fr-CA"/>
        </w:rPr>
        <w:t>Rapport de formation Tlemcen (UNFPA)</w:t>
      </w:r>
    </w:p>
    <w:p w:rsidR="00637E87" w:rsidRDefault="00637E87" w:rsidP="00637E87">
      <w:pPr>
        <w:numPr>
          <w:ilvl w:val="1"/>
          <w:numId w:val="35"/>
        </w:numPr>
        <w:rPr>
          <w:rFonts w:ascii="Calibri" w:hAnsi="Calibri" w:cs="Calibri"/>
          <w:sz w:val="22"/>
          <w:szCs w:val="22"/>
          <w:lang w:val="fr-CA"/>
        </w:rPr>
      </w:pPr>
      <w:r>
        <w:rPr>
          <w:rFonts w:ascii="Calibri" w:hAnsi="Calibri" w:cs="Calibri"/>
          <w:sz w:val="22"/>
          <w:szCs w:val="22"/>
          <w:lang w:val="fr-CA"/>
        </w:rPr>
        <w:t xml:space="preserve">Rapport Atelier Ghardaïa </w:t>
      </w:r>
    </w:p>
    <w:p w:rsidR="00637E87" w:rsidRDefault="00637E87" w:rsidP="00637E87">
      <w:pPr>
        <w:numPr>
          <w:ilvl w:val="1"/>
          <w:numId w:val="35"/>
        </w:numPr>
        <w:rPr>
          <w:rFonts w:ascii="Calibri" w:hAnsi="Calibri" w:cs="Calibri"/>
          <w:sz w:val="22"/>
          <w:szCs w:val="22"/>
          <w:lang w:val="fr-CA"/>
        </w:rPr>
      </w:pPr>
      <w:r>
        <w:rPr>
          <w:rFonts w:ascii="Calibri" w:hAnsi="Calibri" w:cs="Calibri"/>
          <w:sz w:val="22"/>
          <w:szCs w:val="22"/>
          <w:lang w:val="fr-CA"/>
        </w:rPr>
        <w:t>Rapport 1</w:t>
      </w:r>
      <w:r>
        <w:rPr>
          <w:rFonts w:ascii="Calibri" w:hAnsi="Calibri" w:cs="Calibri"/>
          <w:sz w:val="22"/>
          <w:szCs w:val="22"/>
          <w:vertAlign w:val="superscript"/>
          <w:lang w:val="fr-CA"/>
        </w:rPr>
        <w:t>er</w:t>
      </w:r>
      <w:r>
        <w:rPr>
          <w:rFonts w:ascii="Calibri" w:hAnsi="Calibri" w:cs="Calibri"/>
          <w:sz w:val="22"/>
          <w:szCs w:val="22"/>
          <w:lang w:val="fr-CA"/>
        </w:rPr>
        <w:t xml:space="preserve"> atelier de Djelfa</w:t>
      </w:r>
    </w:p>
    <w:p w:rsidR="00637E87" w:rsidRDefault="00637E87" w:rsidP="00637E87">
      <w:pPr>
        <w:numPr>
          <w:ilvl w:val="1"/>
          <w:numId w:val="35"/>
        </w:numPr>
        <w:rPr>
          <w:rFonts w:ascii="Calibri" w:hAnsi="Calibri" w:cs="Calibri"/>
          <w:sz w:val="22"/>
          <w:szCs w:val="22"/>
          <w:lang w:val="fr-CA"/>
        </w:rPr>
      </w:pPr>
      <w:r>
        <w:rPr>
          <w:rFonts w:ascii="Calibri" w:hAnsi="Calibri" w:cs="Calibri"/>
          <w:sz w:val="22"/>
          <w:szCs w:val="22"/>
          <w:lang w:val="fr-CA"/>
        </w:rPr>
        <w:t>Rapport 2</w:t>
      </w:r>
      <w:r>
        <w:rPr>
          <w:rFonts w:ascii="Calibri" w:hAnsi="Calibri" w:cs="Calibri"/>
          <w:sz w:val="22"/>
          <w:szCs w:val="22"/>
          <w:vertAlign w:val="superscript"/>
          <w:lang w:val="fr-CA"/>
        </w:rPr>
        <w:t>ème</w:t>
      </w:r>
      <w:r>
        <w:rPr>
          <w:rFonts w:ascii="Calibri" w:hAnsi="Calibri" w:cs="Calibri"/>
          <w:sz w:val="22"/>
          <w:szCs w:val="22"/>
          <w:lang w:val="fr-CA"/>
        </w:rPr>
        <w:t xml:space="preserve"> atelier de Djelfa</w:t>
      </w:r>
    </w:p>
    <w:p w:rsidR="00637E87" w:rsidRDefault="00637E87" w:rsidP="00637E87">
      <w:pPr>
        <w:numPr>
          <w:ilvl w:val="0"/>
          <w:numId w:val="35"/>
        </w:numPr>
        <w:rPr>
          <w:rFonts w:ascii="Calibri" w:hAnsi="Calibri" w:cs="Calibri"/>
          <w:sz w:val="22"/>
          <w:szCs w:val="22"/>
          <w:lang w:val="fr-CA"/>
        </w:rPr>
      </w:pPr>
      <w:r>
        <w:rPr>
          <w:rFonts w:ascii="Calibri" w:hAnsi="Calibri" w:cs="Calibri"/>
          <w:sz w:val="22"/>
          <w:szCs w:val="22"/>
          <w:lang w:val="fr-CA"/>
        </w:rPr>
        <w:t>Rapports de mission du Secrétariat du MDG-F (mai 2010 et juillet 2011)</w:t>
      </w:r>
    </w:p>
    <w:p w:rsidR="00637E87" w:rsidRDefault="00637E87" w:rsidP="00637E87">
      <w:pPr>
        <w:numPr>
          <w:ilvl w:val="0"/>
          <w:numId w:val="35"/>
        </w:numPr>
        <w:rPr>
          <w:rFonts w:ascii="Calibri" w:hAnsi="Calibri" w:cs="Calibri"/>
          <w:sz w:val="22"/>
          <w:szCs w:val="22"/>
          <w:lang w:val="fr-CA"/>
        </w:rPr>
      </w:pPr>
      <w:r>
        <w:rPr>
          <w:rFonts w:ascii="Calibri" w:hAnsi="Calibri" w:cs="Calibri"/>
          <w:sz w:val="22"/>
          <w:szCs w:val="22"/>
          <w:lang w:val="fr-CA"/>
        </w:rPr>
        <w:t>Minutes des réunions du Comité National de Pilotage du 28/02/2011, 16/11/2011 et déc. 2011.</w:t>
      </w:r>
    </w:p>
    <w:p w:rsidR="00637E87" w:rsidRDefault="00637E87" w:rsidP="00637E87">
      <w:pPr>
        <w:numPr>
          <w:ilvl w:val="0"/>
          <w:numId w:val="35"/>
        </w:numPr>
        <w:rPr>
          <w:rFonts w:ascii="Calibri" w:hAnsi="Calibri" w:cs="Calibri"/>
          <w:sz w:val="22"/>
          <w:szCs w:val="22"/>
          <w:lang w:val="fr-CA"/>
        </w:rPr>
      </w:pPr>
      <w:r>
        <w:rPr>
          <w:rFonts w:ascii="Calibri" w:hAnsi="Calibri" w:cs="Calibri"/>
          <w:sz w:val="22"/>
          <w:szCs w:val="22"/>
          <w:lang w:val="fr-CA"/>
        </w:rPr>
        <w:t>Compte rendu de la réunion du Comité de Gestion du Programme du 27/09/2011</w:t>
      </w:r>
    </w:p>
    <w:p w:rsidR="00637E87" w:rsidRDefault="00637E87" w:rsidP="00637E87">
      <w:pPr>
        <w:numPr>
          <w:ilvl w:val="0"/>
          <w:numId w:val="35"/>
        </w:numPr>
        <w:rPr>
          <w:rFonts w:ascii="Calibri" w:hAnsi="Calibri" w:cs="Calibri"/>
          <w:sz w:val="22"/>
          <w:szCs w:val="22"/>
          <w:lang w:val="fr-CA"/>
        </w:rPr>
      </w:pPr>
      <w:r>
        <w:rPr>
          <w:rFonts w:ascii="Calibri" w:hAnsi="Calibri" w:cs="Calibri"/>
          <w:sz w:val="22"/>
          <w:szCs w:val="22"/>
          <w:lang w:val="fr-CA"/>
        </w:rPr>
        <w:t>Termes de Référence préparés par le PNUD, UNFPA, ONUFEMMES, UNICEF et BIT.</w:t>
      </w:r>
    </w:p>
    <w:p w:rsidR="00637E87" w:rsidRDefault="00637E87" w:rsidP="00637E87">
      <w:pPr>
        <w:numPr>
          <w:ilvl w:val="0"/>
          <w:numId w:val="35"/>
        </w:numPr>
        <w:rPr>
          <w:rFonts w:ascii="Calibri" w:hAnsi="Calibri" w:cs="Calibri"/>
          <w:sz w:val="22"/>
          <w:szCs w:val="22"/>
          <w:lang w:val="fr-CA"/>
        </w:rPr>
      </w:pPr>
      <w:r>
        <w:rPr>
          <w:rFonts w:ascii="Calibri" w:hAnsi="Calibri" w:cs="Calibri"/>
          <w:sz w:val="22"/>
          <w:szCs w:val="22"/>
          <w:lang w:val="fr-CA"/>
        </w:rPr>
        <w:t>Plans de travail 2011 de l’ONUFEMMES, UNFPA, PNUD, ONUSIDA et BIT</w:t>
      </w:r>
    </w:p>
    <w:p w:rsidR="00637E87" w:rsidRDefault="00637E87" w:rsidP="00637E87">
      <w:pPr>
        <w:numPr>
          <w:ilvl w:val="0"/>
          <w:numId w:val="35"/>
        </w:numPr>
        <w:rPr>
          <w:rFonts w:ascii="Calibri" w:hAnsi="Calibri" w:cs="Calibri"/>
          <w:sz w:val="22"/>
          <w:szCs w:val="22"/>
          <w:lang w:val="fr-CA"/>
        </w:rPr>
      </w:pPr>
      <w:r>
        <w:rPr>
          <w:rFonts w:ascii="Calibri" w:hAnsi="Calibri" w:cs="Calibri"/>
          <w:sz w:val="22"/>
          <w:szCs w:val="22"/>
          <w:lang w:val="fr-CA"/>
        </w:rPr>
        <w:t>Termes de Référence du Coordinateur du programme et de la DNP</w:t>
      </w:r>
    </w:p>
    <w:p w:rsidR="00637E87" w:rsidRDefault="00637E87" w:rsidP="00637E87">
      <w:pPr>
        <w:numPr>
          <w:ilvl w:val="0"/>
          <w:numId w:val="35"/>
        </w:numPr>
        <w:rPr>
          <w:rFonts w:ascii="Calibri" w:hAnsi="Calibri" w:cs="Calibri"/>
          <w:sz w:val="22"/>
          <w:szCs w:val="22"/>
          <w:lang w:val="fr-CA"/>
        </w:rPr>
      </w:pPr>
      <w:r>
        <w:rPr>
          <w:rFonts w:ascii="Calibri" w:hAnsi="Calibri" w:cs="Calibri"/>
          <w:sz w:val="22"/>
          <w:szCs w:val="22"/>
          <w:lang w:val="fr-FR"/>
        </w:rPr>
        <w:t>E</w:t>
      </w:r>
      <w:r w:rsidRPr="000841F3">
        <w:rPr>
          <w:rFonts w:ascii="Calibri" w:hAnsi="Calibri" w:cs="Calibri"/>
          <w:sz w:val="22"/>
          <w:szCs w:val="22"/>
          <w:lang w:val="fr-FR"/>
        </w:rPr>
        <w:t xml:space="preserve">tude de faisabilité de la budgétisation sensible au genre en Algérie </w:t>
      </w:r>
      <w:r>
        <w:rPr>
          <w:rFonts w:ascii="Calibri" w:hAnsi="Calibri" w:cs="Calibri"/>
          <w:sz w:val="22"/>
          <w:szCs w:val="22"/>
          <w:lang w:val="fr-FR"/>
        </w:rPr>
        <w:t xml:space="preserve"> - </w:t>
      </w:r>
      <w:r w:rsidRPr="000841F3">
        <w:rPr>
          <w:rFonts w:ascii="Calibri" w:hAnsi="Calibri" w:cs="Calibri"/>
          <w:i/>
          <w:sz w:val="22"/>
          <w:szCs w:val="22"/>
          <w:lang w:val="fr-FR"/>
        </w:rPr>
        <w:t>Partie 1 : le système budgétaire algérien</w:t>
      </w:r>
      <w:r w:rsidRPr="000841F3">
        <w:rPr>
          <w:rFonts w:ascii="Calibri" w:hAnsi="Calibri" w:cs="Calibri"/>
          <w:sz w:val="22"/>
          <w:szCs w:val="22"/>
          <w:lang w:val="fr-CA"/>
        </w:rPr>
        <w:t xml:space="preserve"> </w:t>
      </w:r>
    </w:p>
    <w:p w:rsidR="00637E87" w:rsidRPr="000841F3" w:rsidRDefault="00637E87" w:rsidP="00637E87">
      <w:pPr>
        <w:numPr>
          <w:ilvl w:val="0"/>
          <w:numId w:val="35"/>
        </w:numPr>
        <w:rPr>
          <w:rFonts w:ascii="Calibri" w:hAnsi="Calibri" w:cs="Calibri"/>
          <w:sz w:val="22"/>
          <w:szCs w:val="22"/>
          <w:lang w:val="fr-CA"/>
        </w:rPr>
      </w:pPr>
      <w:r>
        <w:rPr>
          <w:rFonts w:ascii="Calibri" w:hAnsi="Calibri" w:cs="Calibri"/>
          <w:sz w:val="22"/>
          <w:szCs w:val="22"/>
          <w:lang w:val="fr-CA"/>
        </w:rPr>
        <w:t>Plan de communication du programme (version provisoire de janvier 2012)</w:t>
      </w:r>
    </w:p>
    <w:p w:rsidR="00637E87" w:rsidRDefault="00637E87" w:rsidP="00637E87">
      <w:pPr>
        <w:pStyle w:val="ListParagraph"/>
        <w:ind w:left="0"/>
        <w:rPr>
          <w:rFonts w:ascii="Calibri" w:hAnsi="Calibri" w:cs="Calibri"/>
          <w:sz w:val="22"/>
          <w:szCs w:val="22"/>
          <w:lang w:val="fr-FR"/>
        </w:rPr>
      </w:pPr>
    </w:p>
    <w:p w:rsidR="00637E87" w:rsidRDefault="00637E87" w:rsidP="00637E87">
      <w:pPr>
        <w:pStyle w:val="ListParagraph"/>
        <w:ind w:left="0"/>
        <w:rPr>
          <w:rFonts w:ascii="Calibri" w:hAnsi="Calibri" w:cs="Calibri"/>
          <w:b/>
          <w:sz w:val="22"/>
          <w:szCs w:val="22"/>
          <w:lang w:val="fr-FR"/>
        </w:rPr>
      </w:pPr>
      <w:r>
        <w:rPr>
          <w:rFonts w:ascii="Calibri" w:hAnsi="Calibri" w:cs="Calibri"/>
          <w:b/>
          <w:sz w:val="22"/>
          <w:szCs w:val="22"/>
          <w:lang w:val="fr-FR"/>
        </w:rPr>
        <w:t>Autres documents:</w:t>
      </w:r>
    </w:p>
    <w:p w:rsidR="00637E87" w:rsidRDefault="00637E87" w:rsidP="00637E87">
      <w:pPr>
        <w:numPr>
          <w:ilvl w:val="0"/>
          <w:numId w:val="36"/>
        </w:numPr>
        <w:rPr>
          <w:lang w:val="fr-FR"/>
        </w:rPr>
      </w:pPr>
      <w:r>
        <w:rPr>
          <w:rFonts w:ascii="Calibri" w:hAnsi="Calibri" w:cs="Calibri"/>
          <w:lang w:val="fr-FR"/>
        </w:rPr>
        <w:t>2</w:t>
      </w:r>
      <w:r>
        <w:rPr>
          <w:rFonts w:ascii="Calibri" w:hAnsi="Calibri" w:cs="Calibri"/>
          <w:vertAlign w:val="superscript"/>
          <w:lang w:val="fr-FR"/>
        </w:rPr>
        <w:t>ème</w:t>
      </w:r>
      <w:r>
        <w:rPr>
          <w:rFonts w:ascii="Calibri" w:hAnsi="Calibri" w:cs="Calibri"/>
          <w:lang w:val="fr-FR"/>
        </w:rPr>
        <w:t xml:space="preserve"> Rapport national sur les OMD, Gouvernement Algérien, Septembre 2010</w:t>
      </w:r>
    </w:p>
    <w:p w:rsidR="00637E87" w:rsidRDefault="00637E87" w:rsidP="00637E87">
      <w:pPr>
        <w:numPr>
          <w:ilvl w:val="0"/>
          <w:numId w:val="36"/>
        </w:numPr>
        <w:rPr>
          <w:rFonts w:ascii="Calibri" w:hAnsi="Calibri" w:cs="Calibri"/>
          <w:sz w:val="22"/>
          <w:szCs w:val="22"/>
          <w:lang w:val="fr-CA"/>
        </w:rPr>
      </w:pPr>
      <w:r>
        <w:rPr>
          <w:rFonts w:ascii="Calibri" w:hAnsi="Calibri" w:cs="Calibri"/>
          <w:lang w:val="fr-FR"/>
        </w:rPr>
        <w:t xml:space="preserve">Bilan Commun de Pays (2007-2011), Système des Nations Unies, Septembre 2005 </w:t>
      </w:r>
    </w:p>
    <w:p w:rsidR="00637E87" w:rsidRDefault="00637E87" w:rsidP="00637E87">
      <w:pPr>
        <w:numPr>
          <w:ilvl w:val="0"/>
          <w:numId w:val="36"/>
        </w:numPr>
        <w:rPr>
          <w:rFonts w:ascii="Calibri" w:hAnsi="Calibri" w:cs="Calibri"/>
          <w:sz w:val="22"/>
          <w:szCs w:val="22"/>
          <w:lang w:val="fr-CA"/>
        </w:rPr>
      </w:pPr>
      <w:r>
        <w:rPr>
          <w:rFonts w:ascii="Verdana" w:hAnsi="Verdana"/>
          <w:sz w:val="20"/>
          <w:szCs w:val="20"/>
          <w:lang w:val="fr-FR"/>
        </w:rPr>
        <w:t>Rapport National sur le Développement Humain (2008), PNUD</w:t>
      </w:r>
    </w:p>
    <w:p w:rsidR="00637E87" w:rsidRDefault="00637E87" w:rsidP="00637E87">
      <w:pPr>
        <w:numPr>
          <w:ilvl w:val="0"/>
          <w:numId w:val="36"/>
        </w:numPr>
        <w:rPr>
          <w:rFonts w:ascii="Calibri" w:hAnsi="Calibri" w:cs="Calibri"/>
          <w:sz w:val="22"/>
          <w:szCs w:val="22"/>
          <w:lang w:val="fr-CA"/>
        </w:rPr>
      </w:pPr>
      <w:r>
        <w:rPr>
          <w:rFonts w:ascii="Calibri" w:hAnsi="Calibri" w:cs="Calibri"/>
          <w:lang w:val="fr-FR"/>
        </w:rPr>
        <w:t xml:space="preserve">Rapport périodique des Etats parties, Algérie, Convention sur l’élimination de toutes les formes de discrimination à l’égard des femmes, Février 2003 </w:t>
      </w:r>
    </w:p>
    <w:p w:rsidR="00637E87" w:rsidRPr="000841F3" w:rsidRDefault="00637E87" w:rsidP="00637E87">
      <w:pPr>
        <w:numPr>
          <w:ilvl w:val="0"/>
          <w:numId w:val="36"/>
        </w:numPr>
      </w:pPr>
      <w:r>
        <w:rPr>
          <w:rFonts w:ascii="Calibri" w:hAnsi="Calibri" w:cs="Calibri"/>
        </w:rPr>
        <w:t>Report of the independent panel on safety and security of UN personnel and premises worldwide, 2008</w:t>
      </w:r>
    </w:p>
    <w:p w:rsidR="00637E87" w:rsidRPr="000841F3" w:rsidRDefault="00637E87" w:rsidP="00637E87">
      <w:pPr>
        <w:numPr>
          <w:ilvl w:val="0"/>
          <w:numId w:val="36"/>
        </w:numPr>
        <w:rPr>
          <w:lang w:val="fr-FR"/>
        </w:rPr>
      </w:pPr>
      <w:r w:rsidRPr="000841F3">
        <w:rPr>
          <w:rFonts w:ascii="Calibri" w:hAnsi="Calibri" w:cs="Calibri"/>
          <w:lang w:val="fr-FR"/>
        </w:rPr>
        <w:t>Evaluation à mi-parcours du programme</w:t>
      </w:r>
      <w:r>
        <w:rPr>
          <w:rFonts w:ascii="Calibri" w:hAnsi="Calibri" w:cs="Calibri"/>
          <w:lang w:val="fr-FR"/>
        </w:rPr>
        <w:t xml:space="preserve"> de</w:t>
      </w:r>
      <w:r w:rsidRPr="000841F3">
        <w:rPr>
          <w:rFonts w:ascii="Calibri" w:hAnsi="Calibri" w:cs="Calibri"/>
          <w:lang w:val="fr-FR"/>
        </w:rPr>
        <w:t xml:space="preserve"> pay</w:t>
      </w:r>
      <w:r>
        <w:rPr>
          <w:rFonts w:ascii="Calibri" w:hAnsi="Calibri" w:cs="Calibri"/>
          <w:lang w:val="fr-FR"/>
        </w:rPr>
        <w:t>s du PNUD pour l’Algérie (2007-2010), avril 2010</w:t>
      </w:r>
    </w:p>
    <w:p w:rsidR="00637E87" w:rsidRPr="000841F3" w:rsidRDefault="00637E87" w:rsidP="00637E87">
      <w:pPr>
        <w:rPr>
          <w:color w:val="FF0000"/>
          <w:lang w:val="fr-FR"/>
        </w:rPr>
      </w:pPr>
    </w:p>
    <w:p w:rsidR="00637E87" w:rsidRPr="000841F3" w:rsidRDefault="00637E87" w:rsidP="00637E87">
      <w:pPr>
        <w:rPr>
          <w:color w:val="FF0000"/>
          <w:lang w:val="fr-FR"/>
        </w:rPr>
      </w:pPr>
    </w:p>
    <w:p w:rsidR="00637E87" w:rsidRPr="000841F3" w:rsidRDefault="00637E87" w:rsidP="00637E87">
      <w:pPr>
        <w:rPr>
          <w:color w:val="FF0000"/>
          <w:lang w:val="fr-FR"/>
        </w:rPr>
      </w:pPr>
    </w:p>
    <w:p w:rsidR="00637E87" w:rsidRPr="000841F3" w:rsidRDefault="00637E87" w:rsidP="00637E87">
      <w:pPr>
        <w:rPr>
          <w:color w:val="FF0000"/>
          <w:lang w:val="fr-FR"/>
        </w:rPr>
      </w:pPr>
    </w:p>
    <w:p w:rsidR="00637E87" w:rsidRPr="000841F3" w:rsidRDefault="00637E87" w:rsidP="00637E87">
      <w:pPr>
        <w:rPr>
          <w:color w:val="FF0000"/>
          <w:lang w:val="fr-FR"/>
        </w:rPr>
      </w:pPr>
    </w:p>
    <w:p w:rsidR="00637E87" w:rsidRPr="000841F3" w:rsidRDefault="00637E87" w:rsidP="00637E87">
      <w:pPr>
        <w:rPr>
          <w:color w:val="FF0000"/>
          <w:lang w:val="fr-FR"/>
        </w:rPr>
      </w:pPr>
    </w:p>
    <w:p w:rsidR="00637E87" w:rsidRPr="000841F3" w:rsidRDefault="00637E87" w:rsidP="00637E87">
      <w:pPr>
        <w:rPr>
          <w:rFonts w:ascii="Calibri" w:hAnsi="Calibri"/>
          <w:b/>
          <w:bCs/>
          <w:kern w:val="32"/>
          <w:sz w:val="28"/>
          <w:szCs w:val="32"/>
          <w:highlight w:val="lightGray"/>
          <w:lang w:val="fr-FR"/>
        </w:rPr>
      </w:pPr>
      <w:r w:rsidRPr="000841F3">
        <w:rPr>
          <w:highlight w:val="lightGray"/>
          <w:lang w:val="fr-FR"/>
        </w:rPr>
        <w:br w:type="page"/>
      </w:r>
    </w:p>
    <w:p w:rsidR="00637E87" w:rsidRDefault="00637E87" w:rsidP="00637E87">
      <w:pPr>
        <w:pStyle w:val="Heading1"/>
        <w:numPr>
          <w:ilvl w:val="0"/>
          <w:numId w:val="0"/>
        </w:numPr>
        <w:ind w:left="720"/>
        <w:jc w:val="center"/>
        <w:rPr>
          <w:rFonts w:cs="Calibri"/>
          <w:szCs w:val="28"/>
          <w:lang w:val="fr-CA"/>
        </w:rPr>
      </w:pPr>
      <w:bookmarkStart w:id="44" w:name="_Toc322342032"/>
      <w:r w:rsidRPr="000F5E82">
        <w:rPr>
          <w:rFonts w:cs="Calibri"/>
          <w:szCs w:val="28"/>
          <w:lang w:val="fr-CA"/>
        </w:rPr>
        <w:t xml:space="preserve">Annexe </w:t>
      </w:r>
      <w:r w:rsidR="00C07262">
        <w:rPr>
          <w:rFonts w:cs="Calibri"/>
          <w:szCs w:val="28"/>
          <w:lang w:val="fr-CA"/>
        </w:rPr>
        <w:t>8</w:t>
      </w:r>
      <w:r>
        <w:rPr>
          <w:rFonts w:cs="Calibri"/>
          <w:szCs w:val="28"/>
          <w:lang w:val="fr-CA"/>
        </w:rPr>
        <w:t>a</w:t>
      </w:r>
      <w:r w:rsidRPr="000F5E82">
        <w:rPr>
          <w:rFonts w:cs="Calibri"/>
          <w:szCs w:val="28"/>
          <w:lang w:val="fr-CA"/>
        </w:rPr>
        <w:t xml:space="preserve"> – Liste des participants à la formations des cadres des OSC</w:t>
      </w:r>
      <w:bookmarkEnd w:id="44"/>
      <w:r w:rsidRPr="000F5E82">
        <w:rPr>
          <w:rFonts w:cs="Calibri"/>
          <w:szCs w:val="28"/>
          <w:lang w:val="fr-CA"/>
        </w:rPr>
        <w:t xml:space="preserve"> </w:t>
      </w:r>
    </w:p>
    <w:p w:rsidR="00637E87" w:rsidRPr="00DC3F3A" w:rsidRDefault="00637E87" w:rsidP="00637E87">
      <w:pPr>
        <w:jc w:val="center"/>
        <w:rPr>
          <w:lang w:val="fr-FR"/>
        </w:rPr>
      </w:pPr>
    </w:p>
    <w:p w:rsidR="00637E87" w:rsidRPr="000F5E82" w:rsidRDefault="00637E87" w:rsidP="00637E87">
      <w:pPr>
        <w:jc w:val="center"/>
        <w:rPr>
          <w:rFonts w:asciiTheme="minorHAnsi" w:hAnsiTheme="minorHAnsi" w:cstheme="minorHAnsi"/>
          <w:b/>
          <w:i/>
          <w:color w:val="000000"/>
          <w:sz w:val="22"/>
          <w:szCs w:val="22"/>
          <w:lang w:val="fr-FR"/>
        </w:rPr>
      </w:pPr>
      <w:r w:rsidRPr="000F5E82">
        <w:rPr>
          <w:rFonts w:asciiTheme="minorHAnsi" w:hAnsiTheme="minorHAnsi" w:cstheme="minorHAnsi"/>
          <w:b/>
          <w:i/>
          <w:color w:val="000000"/>
          <w:sz w:val="22"/>
          <w:szCs w:val="22"/>
          <w:lang w:val="fr-FR"/>
        </w:rPr>
        <w:t>(Activité A11 – UNFPA/MDCFCF)</w:t>
      </w:r>
    </w:p>
    <w:p w:rsidR="00637E87" w:rsidRDefault="00637E87" w:rsidP="00637E87">
      <w:pPr>
        <w:autoSpaceDE w:val="0"/>
        <w:autoSpaceDN w:val="0"/>
        <w:adjustRightInd w:val="0"/>
        <w:jc w:val="center"/>
        <w:rPr>
          <w:rFonts w:asciiTheme="minorHAnsi" w:hAnsiTheme="minorHAnsi" w:cstheme="minorHAnsi"/>
          <w:b/>
          <w:color w:val="000000"/>
          <w:sz w:val="22"/>
          <w:szCs w:val="22"/>
          <w:lang w:val="fr-FR"/>
        </w:rPr>
      </w:pPr>
    </w:p>
    <w:p w:rsidR="00637E87" w:rsidRDefault="00637E87" w:rsidP="00637E87">
      <w:pPr>
        <w:autoSpaceDE w:val="0"/>
        <w:autoSpaceDN w:val="0"/>
        <w:adjustRightInd w:val="0"/>
        <w:rPr>
          <w:rFonts w:asciiTheme="minorHAnsi" w:hAnsiTheme="minorHAnsi" w:cstheme="minorHAnsi"/>
          <w:color w:val="000000"/>
          <w:sz w:val="22"/>
          <w:szCs w:val="22"/>
          <w:lang w:val="fr-FR"/>
        </w:rPr>
      </w:pPr>
    </w:p>
    <w:p w:rsidR="00637E87" w:rsidRDefault="00637E87" w:rsidP="00637E87">
      <w:pPr>
        <w:autoSpaceDE w:val="0"/>
        <w:autoSpaceDN w:val="0"/>
        <w:adjustRightInd w:val="0"/>
        <w:rPr>
          <w:rFonts w:asciiTheme="minorHAnsi" w:hAnsiTheme="minorHAnsi" w:cstheme="minorHAnsi"/>
          <w:b/>
          <w:color w:val="000000"/>
          <w:sz w:val="22"/>
          <w:szCs w:val="22"/>
          <w:lang w:val="fr-FR"/>
        </w:rPr>
      </w:pPr>
    </w:p>
    <w:p w:rsidR="00637E87" w:rsidRPr="000F5E82" w:rsidRDefault="00637E87" w:rsidP="00637E87">
      <w:pPr>
        <w:autoSpaceDE w:val="0"/>
        <w:autoSpaceDN w:val="0"/>
        <w:adjustRightInd w:val="0"/>
        <w:rPr>
          <w:rFonts w:asciiTheme="minorHAnsi" w:hAnsiTheme="minorHAnsi" w:cstheme="minorHAnsi"/>
          <w:b/>
          <w:color w:val="000000"/>
          <w:sz w:val="22"/>
          <w:szCs w:val="22"/>
          <w:u w:val="single"/>
          <w:lang w:val="fr-FR"/>
        </w:rPr>
      </w:pPr>
      <w:r w:rsidRPr="000F5E82">
        <w:rPr>
          <w:rFonts w:asciiTheme="minorHAnsi" w:hAnsiTheme="minorHAnsi" w:cstheme="minorHAnsi"/>
          <w:b/>
          <w:color w:val="000000"/>
          <w:sz w:val="22"/>
          <w:szCs w:val="22"/>
          <w:u w:val="single"/>
          <w:lang w:val="fr-FR"/>
        </w:rPr>
        <w:t>Session d’Alger – 15-19 mai 2011 </w:t>
      </w:r>
    </w:p>
    <w:p w:rsidR="00637E87" w:rsidRPr="00DA7E21" w:rsidRDefault="00637E87" w:rsidP="00637E87">
      <w:pPr>
        <w:autoSpaceDE w:val="0"/>
        <w:autoSpaceDN w:val="0"/>
        <w:adjustRightInd w:val="0"/>
        <w:rPr>
          <w:rFonts w:asciiTheme="minorHAnsi" w:hAnsiTheme="minorHAnsi" w:cstheme="minorHAnsi"/>
          <w:b/>
          <w:color w:val="000000"/>
          <w:sz w:val="22"/>
          <w:szCs w:val="22"/>
          <w:lang w:val="fr-FR"/>
        </w:rPr>
      </w:pP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1. ARIB Amina</w:t>
      </w:r>
      <w:r>
        <w:rPr>
          <w:rFonts w:asciiTheme="minorHAnsi" w:hAnsiTheme="minorHAnsi" w:cstheme="minorHAnsi"/>
          <w:color w:val="000000"/>
          <w:sz w:val="20"/>
          <w:szCs w:val="20"/>
          <w:lang w:val="fr-FR"/>
        </w:rPr>
        <w:t> ;</w:t>
      </w:r>
      <w:r w:rsidRPr="000F5E82">
        <w:rPr>
          <w:rFonts w:asciiTheme="minorHAnsi" w:hAnsiTheme="minorHAnsi" w:cstheme="minorHAnsi"/>
          <w:color w:val="000000"/>
          <w:sz w:val="20"/>
          <w:szCs w:val="20"/>
          <w:lang w:val="fr-FR"/>
        </w:rPr>
        <w:t xml:space="preserve"> Ligue des Droits de l’Homme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2. AZIZOU Kheira, ; U GTA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3. BACHA El Ghalia ; UN des cadres pour l’Algérie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4. BELLACHE Sonia ;</w:t>
      </w:r>
      <w:r>
        <w:rPr>
          <w:rFonts w:asciiTheme="minorHAnsi" w:hAnsiTheme="minorHAnsi" w:cstheme="minorHAnsi"/>
          <w:color w:val="000000"/>
          <w:sz w:val="20"/>
          <w:szCs w:val="20"/>
          <w:lang w:val="fr-FR"/>
        </w:rPr>
        <w:t xml:space="preserve"> A</w:t>
      </w:r>
      <w:r w:rsidRPr="000F5E82">
        <w:rPr>
          <w:rFonts w:asciiTheme="minorHAnsi" w:hAnsiTheme="minorHAnsi" w:cstheme="minorHAnsi"/>
          <w:color w:val="000000"/>
          <w:sz w:val="20"/>
          <w:szCs w:val="20"/>
          <w:lang w:val="fr-FR"/>
        </w:rPr>
        <w:t xml:space="preserve">NFEDR </w:t>
      </w:r>
    </w:p>
    <w:p w:rsidR="00637E87" w:rsidRPr="000F5E82" w:rsidRDefault="00637E87" w:rsidP="00637E87">
      <w:pPr>
        <w:autoSpaceDE w:val="0"/>
        <w:autoSpaceDN w:val="0"/>
        <w:adjustRightInd w:val="0"/>
        <w:rPr>
          <w:rFonts w:asciiTheme="minorHAnsi" w:hAnsiTheme="minorHAnsi" w:cstheme="minorHAnsi"/>
          <w:color w:val="0000FF"/>
          <w:sz w:val="20"/>
          <w:szCs w:val="20"/>
          <w:lang w:val="fr-FR"/>
        </w:rPr>
      </w:pPr>
      <w:r w:rsidRPr="000F5E82">
        <w:rPr>
          <w:rFonts w:asciiTheme="minorHAnsi" w:hAnsiTheme="minorHAnsi" w:cstheme="minorHAnsi"/>
          <w:color w:val="000000"/>
          <w:sz w:val="20"/>
          <w:szCs w:val="20"/>
          <w:lang w:val="fr-FR"/>
        </w:rPr>
        <w:t xml:space="preserve">5. BENYAHIA Zohra ; Aids Algérie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6. BOUNEMER Yamina ; Assoc</w:t>
      </w:r>
      <w:r>
        <w:rPr>
          <w:rFonts w:asciiTheme="minorHAnsi" w:hAnsiTheme="minorHAnsi" w:cstheme="minorHAnsi"/>
          <w:color w:val="000000"/>
          <w:sz w:val="20"/>
          <w:szCs w:val="20"/>
          <w:lang w:val="fr-FR"/>
        </w:rPr>
        <w:t>iation</w:t>
      </w:r>
      <w:r w:rsidRPr="000F5E82">
        <w:rPr>
          <w:rFonts w:asciiTheme="minorHAnsi" w:hAnsiTheme="minorHAnsi" w:cstheme="minorHAnsi"/>
          <w:color w:val="000000"/>
          <w:sz w:val="20"/>
          <w:szCs w:val="20"/>
          <w:lang w:val="fr-FR"/>
        </w:rPr>
        <w:t xml:space="preserve"> Nationale Horizon de la femme Algérienne</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7. FILALI Ferial ; Association ASSALA</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8. DRIDI Nadia ; Association Nationale de la Protection de la femme et de la jeunesse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9. GHOZLANE Soraya ;  Radio Chaine III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10. GHRIB Noura ; Association Nationale de la Protection de la femme et de la jeunesse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11. HACHEMI Houda ; Association NOUBA / SEVE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12. KHARCHICHE HAKEM Z’hor ; Mouvement Solidarité Familles Rurales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13. KOURDALI Rafea ; Association Kafil El Yatim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14. LAHLOUEL Nawel ; Association ELHAYAT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15. MADI Nadia ; Femmes Rurales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16. MAFFERT Lea ; </w:t>
      </w:r>
      <w:r>
        <w:rPr>
          <w:rFonts w:asciiTheme="minorHAnsi" w:hAnsiTheme="minorHAnsi" w:cstheme="minorHAnsi"/>
          <w:color w:val="000000"/>
          <w:sz w:val="20"/>
          <w:szCs w:val="20"/>
          <w:lang w:val="fr-FR"/>
        </w:rPr>
        <w:t>ONU</w:t>
      </w:r>
      <w:r w:rsidRPr="000F5E82">
        <w:rPr>
          <w:rFonts w:asciiTheme="minorHAnsi" w:hAnsiTheme="minorHAnsi" w:cstheme="minorHAnsi"/>
          <w:color w:val="000000"/>
          <w:sz w:val="20"/>
          <w:szCs w:val="20"/>
          <w:lang w:val="fr-FR"/>
        </w:rPr>
        <w:t xml:space="preserve">Femmes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17. MEDJBEUR Nabila ; M D C F C F </w:t>
      </w:r>
    </w:p>
    <w:p w:rsidR="00637E87" w:rsidRPr="00DC3F3A" w:rsidRDefault="00637E87" w:rsidP="00637E87">
      <w:pPr>
        <w:autoSpaceDE w:val="0"/>
        <w:autoSpaceDN w:val="0"/>
        <w:adjustRightInd w:val="0"/>
        <w:rPr>
          <w:rFonts w:asciiTheme="minorHAnsi" w:hAnsiTheme="minorHAnsi" w:cstheme="minorHAnsi"/>
          <w:color w:val="000000"/>
          <w:sz w:val="20"/>
          <w:szCs w:val="20"/>
          <w:lang w:val="fr-FR"/>
        </w:rPr>
      </w:pPr>
      <w:r w:rsidRPr="00DC3F3A">
        <w:rPr>
          <w:rFonts w:asciiTheme="minorHAnsi" w:hAnsiTheme="minorHAnsi" w:cstheme="minorHAnsi"/>
          <w:color w:val="000000"/>
          <w:sz w:val="20"/>
          <w:szCs w:val="20"/>
          <w:lang w:val="fr-FR"/>
        </w:rPr>
        <w:t xml:space="preserve">18. MEKHAREF Saliha ; Association IQRAA </w:t>
      </w:r>
    </w:p>
    <w:p w:rsidR="00637E87" w:rsidRPr="00DC3F3A" w:rsidRDefault="00637E87" w:rsidP="00637E87">
      <w:pPr>
        <w:autoSpaceDE w:val="0"/>
        <w:autoSpaceDN w:val="0"/>
        <w:adjustRightInd w:val="0"/>
        <w:rPr>
          <w:rFonts w:asciiTheme="minorHAnsi" w:hAnsiTheme="minorHAnsi" w:cstheme="minorHAnsi"/>
          <w:color w:val="000000"/>
          <w:sz w:val="20"/>
          <w:szCs w:val="20"/>
          <w:lang w:val="fr-FR"/>
        </w:rPr>
      </w:pPr>
      <w:r w:rsidRPr="00DC3F3A">
        <w:rPr>
          <w:rFonts w:asciiTheme="minorHAnsi" w:hAnsiTheme="minorHAnsi" w:cstheme="minorHAnsi"/>
          <w:color w:val="000000"/>
          <w:sz w:val="20"/>
          <w:szCs w:val="20"/>
          <w:lang w:val="fr-FR"/>
        </w:rPr>
        <w:t xml:space="preserve">19. MEROUANE Zineb; Asso ciation IQRAA </w:t>
      </w:r>
    </w:p>
    <w:p w:rsidR="00637E87" w:rsidRPr="000F5E82" w:rsidRDefault="00637E87" w:rsidP="00637E87">
      <w:pPr>
        <w:autoSpaceDE w:val="0"/>
        <w:autoSpaceDN w:val="0"/>
        <w:adjustRightInd w:val="0"/>
        <w:rPr>
          <w:rFonts w:asciiTheme="minorHAnsi" w:hAnsiTheme="minorHAnsi" w:cstheme="minorHAnsi"/>
          <w:color w:val="0000FF"/>
          <w:sz w:val="20"/>
          <w:szCs w:val="20"/>
          <w:lang w:val="fr-FR"/>
        </w:rPr>
      </w:pPr>
      <w:r w:rsidRPr="000F5E82">
        <w:rPr>
          <w:rFonts w:asciiTheme="minorHAnsi" w:hAnsiTheme="minorHAnsi" w:cstheme="minorHAnsi"/>
          <w:color w:val="000000"/>
          <w:sz w:val="20"/>
          <w:szCs w:val="20"/>
          <w:lang w:val="fr-FR"/>
        </w:rPr>
        <w:t xml:space="preserve">20. NASRI Dounia ; ONVT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21. OUARED Sabrina ; SOS Femmes en détresse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22. SALHI Taous</w:t>
      </w:r>
      <w:r>
        <w:rPr>
          <w:rFonts w:asciiTheme="minorHAnsi" w:hAnsiTheme="minorHAnsi" w:cstheme="minorHAnsi"/>
          <w:color w:val="000000"/>
          <w:sz w:val="20"/>
          <w:szCs w:val="20"/>
          <w:lang w:val="fr-FR"/>
        </w:rPr>
        <w:t> ;</w:t>
      </w:r>
      <w:r w:rsidRPr="000F5E82">
        <w:rPr>
          <w:rFonts w:asciiTheme="minorHAnsi" w:hAnsiTheme="minorHAnsi" w:cstheme="minorHAnsi"/>
          <w:color w:val="000000"/>
          <w:sz w:val="20"/>
          <w:szCs w:val="20"/>
          <w:lang w:val="fr-FR"/>
        </w:rPr>
        <w:t xml:space="preserve"> Confédération Algérienne du Patronat</w:t>
      </w:r>
      <w:r>
        <w:rPr>
          <w:rFonts w:asciiTheme="minorHAnsi" w:hAnsiTheme="minorHAnsi" w:cstheme="minorHAnsi"/>
          <w:color w:val="000000"/>
          <w:sz w:val="20"/>
          <w:szCs w:val="20"/>
          <w:lang w:val="fr-FR"/>
        </w:rPr>
        <w:t> ;</w:t>
      </w:r>
      <w:r w:rsidRPr="000F5E82">
        <w:rPr>
          <w:rFonts w:asciiTheme="minorHAnsi" w:hAnsiTheme="minorHAnsi" w:cstheme="minorHAnsi"/>
          <w:color w:val="000000"/>
          <w:sz w:val="20"/>
          <w:szCs w:val="20"/>
          <w:lang w:val="fr-FR"/>
        </w:rPr>
        <w:t xml:space="preserve"> Section coiffure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23. SERANDI Naima ; FEC</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 xml:space="preserve">24. ZERHOUNI Fatma ; Association Nationale de la Protection de la femme et de la jeunesse </w:t>
      </w:r>
    </w:p>
    <w:p w:rsidR="00637E87" w:rsidRPr="000F5E82" w:rsidRDefault="00637E87" w:rsidP="00637E87">
      <w:pPr>
        <w:autoSpaceDE w:val="0"/>
        <w:autoSpaceDN w:val="0"/>
        <w:adjustRightInd w:val="0"/>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25. ZERROUKI Assia</w:t>
      </w:r>
      <w:r>
        <w:rPr>
          <w:rFonts w:asciiTheme="minorHAnsi" w:hAnsiTheme="minorHAnsi" w:cstheme="minorHAnsi"/>
          <w:color w:val="000000"/>
          <w:sz w:val="20"/>
          <w:szCs w:val="20"/>
          <w:lang w:val="fr-FR"/>
        </w:rPr>
        <w:t xml:space="preserve"> ; </w:t>
      </w:r>
      <w:r w:rsidRPr="000F5E82">
        <w:rPr>
          <w:rFonts w:asciiTheme="minorHAnsi" w:hAnsiTheme="minorHAnsi" w:cstheme="minorHAnsi"/>
          <w:color w:val="000000"/>
          <w:sz w:val="20"/>
          <w:szCs w:val="20"/>
          <w:lang w:val="fr-FR"/>
        </w:rPr>
        <w:t xml:space="preserve">Association d’aides et de soutien aux personnes âgés </w:t>
      </w:r>
    </w:p>
    <w:p w:rsidR="00637E87" w:rsidRPr="000F5E82" w:rsidRDefault="00637E87" w:rsidP="00637E87">
      <w:pPr>
        <w:autoSpaceDE w:val="0"/>
        <w:autoSpaceDN w:val="0"/>
        <w:adjustRightInd w:val="0"/>
        <w:rPr>
          <w:rFonts w:asciiTheme="minorHAnsi" w:hAnsiTheme="minorHAnsi" w:cstheme="minorHAnsi"/>
          <w:color w:val="0000FF"/>
          <w:sz w:val="20"/>
          <w:szCs w:val="20"/>
          <w:lang w:val="fr-FR"/>
        </w:rPr>
      </w:pPr>
      <w:r w:rsidRPr="000F5E82">
        <w:rPr>
          <w:rFonts w:asciiTheme="minorHAnsi" w:hAnsiTheme="minorHAnsi" w:cstheme="minorHAnsi"/>
          <w:color w:val="000000"/>
          <w:sz w:val="20"/>
          <w:szCs w:val="20"/>
          <w:lang w:val="fr-FR"/>
        </w:rPr>
        <w:t>26. ZITOUNE Baya</w:t>
      </w:r>
      <w:r>
        <w:rPr>
          <w:rFonts w:asciiTheme="minorHAnsi" w:hAnsiTheme="minorHAnsi" w:cstheme="minorHAnsi"/>
          <w:color w:val="000000"/>
          <w:sz w:val="20"/>
          <w:szCs w:val="20"/>
          <w:lang w:val="fr-FR"/>
        </w:rPr>
        <w:t> ;</w:t>
      </w:r>
      <w:r w:rsidRPr="000F5E82">
        <w:rPr>
          <w:rFonts w:asciiTheme="minorHAnsi" w:hAnsiTheme="minorHAnsi" w:cstheme="minorHAnsi"/>
          <w:color w:val="000000"/>
          <w:sz w:val="20"/>
          <w:szCs w:val="20"/>
          <w:lang w:val="fr-FR"/>
        </w:rPr>
        <w:t xml:space="preserve"> ANFEDR </w:t>
      </w:r>
    </w:p>
    <w:p w:rsidR="00637E87" w:rsidRPr="000F5E82" w:rsidRDefault="00637E87" w:rsidP="00637E87">
      <w:pPr>
        <w:autoSpaceDE w:val="0"/>
        <w:autoSpaceDN w:val="0"/>
        <w:adjustRightInd w:val="0"/>
        <w:rPr>
          <w:rFonts w:asciiTheme="minorHAnsi" w:hAnsiTheme="minorHAnsi" w:cstheme="minorHAnsi"/>
          <w:color w:val="0000FF"/>
          <w:sz w:val="20"/>
          <w:szCs w:val="20"/>
          <w:lang w:val="fr-FR"/>
        </w:rPr>
      </w:pPr>
      <w:r w:rsidRPr="000F5E82">
        <w:rPr>
          <w:rFonts w:asciiTheme="minorHAnsi" w:hAnsiTheme="minorHAnsi" w:cstheme="minorHAnsi"/>
          <w:color w:val="000000"/>
          <w:sz w:val="20"/>
          <w:szCs w:val="20"/>
          <w:lang w:val="fr-FR"/>
        </w:rPr>
        <w:t>27. HAMAILI RIVIERE Hassina</w:t>
      </w:r>
      <w:r>
        <w:rPr>
          <w:rFonts w:asciiTheme="minorHAnsi" w:hAnsiTheme="minorHAnsi" w:cstheme="minorHAnsi"/>
          <w:color w:val="000000"/>
          <w:sz w:val="20"/>
          <w:szCs w:val="20"/>
          <w:lang w:val="fr-FR"/>
        </w:rPr>
        <w:t> ;</w:t>
      </w:r>
      <w:r w:rsidRPr="000F5E82">
        <w:rPr>
          <w:rFonts w:asciiTheme="minorHAnsi" w:hAnsiTheme="minorHAnsi" w:cstheme="minorHAnsi"/>
          <w:color w:val="000000"/>
          <w:sz w:val="20"/>
          <w:szCs w:val="20"/>
          <w:lang w:val="fr-FR"/>
        </w:rPr>
        <w:t xml:space="preserve"> Directrice CRP ALGERIE</w:t>
      </w:r>
      <w:r>
        <w:rPr>
          <w:rFonts w:asciiTheme="minorHAnsi" w:hAnsiTheme="minorHAnsi" w:cstheme="minorHAnsi"/>
          <w:color w:val="000000"/>
          <w:sz w:val="20"/>
          <w:szCs w:val="20"/>
          <w:lang w:val="fr-FR"/>
        </w:rPr>
        <w:t> ;</w:t>
      </w:r>
      <w:r w:rsidRPr="000F5E82">
        <w:rPr>
          <w:rFonts w:asciiTheme="minorHAnsi" w:hAnsiTheme="minorHAnsi" w:cstheme="minorHAnsi"/>
          <w:color w:val="000000"/>
          <w:sz w:val="20"/>
          <w:szCs w:val="20"/>
          <w:lang w:val="fr-FR"/>
        </w:rPr>
        <w:t xml:space="preserve"> Formatrice Genre et Développement / Plaidoyer pour le Genre </w:t>
      </w:r>
    </w:p>
    <w:p w:rsidR="00637E87" w:rsidRPr="000F5E82" w:rsidRDefault="00637E87" w:rsidP="00637E87">
      <w:pPr>
        <w:rPr>
          <w:rFonts w:asciiTheme="minorHAnsi" w:hAnsiTheme="minorHAnsi" w:cstheme="minorHAnsi"/>
          <w:color w:val="000000"/>
          <w:sz w:val="20"/>
          <w:szCs w:val="20"/>
          <w:lang w:val="fr-FR"/>
        </w:rPr>
      </w:pPr>
      <w:r w:rsidRPr="000F5E82">
        <w:rPr>
          <w:rFonts w:asciiTheme="minorHAnsi" w:hAnsiTheme="minorHAnsi" w:cstheme="minorHAnsi"/>
          <w:color w:val="000000"/>
          <w:sz w:val="20"/>
          <w:szCs w:val="20"/>
          <w:lang w:val="fr-FR"/>
        </w:rPr>
        <w:t>28. BOUFENIK Fatma</w:t>
      </w:r>
      <w:r>
        <w:rPr>
          <w:rFonts w:asciiTheme="minorHAnsi" w:hAnsiTheme="minorHAnsi" w:cstheme="minorHAnsi"/>
          <w:color w:val="000000"/>
          <w:sz w:val="20"/>
          <w:szCs w:val="20"/>
          <w:lang w:val="fr-FR"/>
        </w:rPr>
        <w:t xml:space="preserve"> ; </w:t>
      </w:r>
      <w:r w:rsidRPr="000F5E82">
        <w:rPr>
          <w:rFonts w:asciiTheme="minorHAnsi" w:hAnsiTheme="minorHAnsi" w:cstheme="minorHAnsi"/>
          <w:color w:val="000000"/>
          <w:sz w:val="20"/>
          <w:szCs w:val="20"/>
          <w:lang w:val="fr-FR"/>
        </w:rPr>
        <w:t xml:space="preserve">Experte - Formatrice </w:t>
      </w:r>
    </w:p>
    <w:p w:rsidR="00637E87" w:rsidRPr="000F5E82" w:rsidRDefault="00637E87" w:rsidP="00637E87">
      <w:pPr>
        <w:rPr>
          <w:rFonts w:asciiTheme="minorHAnsi" w:hAnsiTheme="minorHAnsi" w:cstheme="minorHAnsi"/>
          <w:color w:val="000000"/>
          <w:sz w:val="20"/>
          <w:szCs w:val="20"/>
          <w:lang w:val="fr-FR"/>
        </w:rPr>
      </w:pPr>
    </w:p>
    <w:p w:rsidR="00637E87" w:rsidRPr="000F5E82" w:rsidRDefault="00637E87" w:rsidP="00637E87">
      <w:pPr>
        <w:autoSpaceDE w:val="0"/>
        <w:autoSpaceDN w:val="0"/>
        <w:adjustRightInd w:val="0"/>
        <w:rPr>
          <w:rFonts w:asciiTheme="minorHAnsi" w:hAnsiTheme="minorHAnsi" w:cstheme="minorHAnsi"/>
          <w:b/>
          <w:color w:val="000000"/>
          <w:sz w:val="22"/>
          <w:szCs w:val="22"/>
          <w:u w:val="single"/>
          <w:lang w:val="fr-FR"/>
        </w:rPr>
      </w:pPr>
      <w:r w:rsidRPr="000F5E82">
        <w:rPr>
          <w:rFonts w:asciiTheme="minorHAnsi" w:hAnsiTheme="minorHAnsi" w:cstheme="minorHAnsi"/>
          <w:b/>
          <w:color w:val="000000"/>
          <w:sz w:val="22"/>
          <w:szCs w:val="22"/>
          <w:u w:val="single"/>
          <w:lang w:val="fr-FR"/>
        </w:rPr>
        <w:t>Session de Tlemcen – 2-6 octobre 2011 </w:t>
      </w:r>
    </w:p>
    <w:p w:rsidR="00637E87" w:rsidRPr="000F5E82" w:rsidRDefault="00637E87" w:rsidP="00637E87">
      <w:pPr>
        <w:autoSpaceDE w:val="0"/>
        <w:autoSpaceDN w:val="0"/>
        <w:adjustRightInd w:val="0"/>
        <w:rPr>
          <w:rFonts w:asciiTheme="minorHAnsi" w:hAnsiTheme="minorHAnsi" w:cstheme="minorHAnsi"/>
          <w:b/>
          <w:color w:val="000000"/>
          <w:sz w:val="20"/>
          <w:szCs w:val="20"/>
          <w:lang w:val="fr-FR"/>
        </w:rPr>
      </w:pPr>
    </w:p>
    <w:p w:rsidR="00637E87" w:rsidRPr="00E22425"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E22425">
        <w:rPr>
          <w:rFonts w:asciiTheme="minorHAnsi" w:hAnsiTheme="minorHAnsi" w:cstheme="minorHAnsi"/>
          <w:sz w:val="20"/>
          <w:szCs w:val="20"/>
          <w:lang w:val="fr-FR"/>
        </w:rPr>
        <w:t>HOUACINE Hassiba Chef de Cabinet</w:t>
      </w:r>
      <w:r>
        <w:rPr>
          <w:rFonts w:asciiTheme="minorHAnsi" w:hAnsiTheme="minorHAnsi" w:cstheme="minorHAnsi"/>
          <w:sz w:val="20"/>
          <w:szCs w:val="20"/>
          <w:lang w:val="fr-FR"/>
        </w:rPr>
        <w:t> ;</w:t>
      </w:r>
      <w:r w:rsidRPr="00E22425">
        <w:rPr>
          <w:rFonts w:asciiTheme="minorHAnsi" w:hAnsiTheme="minorHAnsi" w:cstheme="minorHAnsi"/>
          <w:sz w:val="20"/>
          <w:szCs w:val="20"/>
          <w:lang w:val="fr-FR"/>
        </w:rPr>
        <w:t xml:space="preserve"> MDCFCF</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OMRANE Mustapha</w:t>
      </w:r>
      <w:r>
        <w:rPr>
          <w:rFonts w:asciiTheme="minorHAnsi" w:hAnsiTheme="minorHAnsi" w:cstheme="minorHAnsi"/>
          <w:sz w:val="20"/>
          <w:szCs w:val="20"/>
          <w:lang w:val="fr-FR"/>
        </w:rPr>
        <w:t> ;</w:t>
      </w:r>
      <w:r w:rsidRPr="000F5E82">
        <w:rPr>
          <w:rFonts w:asciiTheme="minorHAnsi" w:hAnsiTheme="minorHAnsi" w:cstheme="minorHAnsi"/>
          <w:sz w:val="20"/>
          <w:szCs w:val="20"/>
          <w:lang w:val="fr-FR"/>
        </w:rPr>
        <w:t xml:space="preserve"> UNFPA Alger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DJAADJAA Nadia</w:t>
      </w:r>
      <w:r>
        <w:rPr>
          <w:rFonts w:asciiTheme="minorHAnsi" w:hAnsiTheme="minorHAnsi" w:cstheme="minorHAnsi"/>
          <w:sz w:val="20"/>
          <w:szCs w:val="20"/>
          <w:lang w:val="fr-FR"/>
        </w:rPr>
        <w:t> ;</w:t>
      </w:r>
      <w:r w:rsidRPr="000F5E82">
        <w:rPr>
          <w:rFonts w:asciiTheme="minorHAnsi" w:hAnsiTheme="minorHAnsi" w:cstheme="minorHAnsi"/>
          <w:sz w:val="20"/>
          <w:szCs w:val="20"/>
          <w:lang w:val="fr-FR"/>
        </w:rPr>
        <w:t xml:space="preserve"> UNICEF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DAABI Leila</w:t>
      </w:r>
      <w:r>
        <w:rPr>
          <w:rFonts w:asciiTheme="minorHAnsi" w:hAnsiTheme="minorHAnsi" w:cstheme="minorHAnsi"/>
          <w:sz w:val="20"/>
          <w:szCs w:val="20"/>
          <w:lang w:val="fr-FR"/>
        </w:rPr>
        <w:t xml:space="preserve"> ; </w:t>
      </w:r>
      <w:r w:rsidRPr="000F5E82">
        <w:rPr>
          <w:rFonts w:asciiTheme="minorHAnsi" w:hAnsiTheme="minorHAnsi" w:cstheme="minorHAnsi"/>
          <w:sz w:val="20"/>
          <w:szCs w:val="20"/>
          <w:lang w:val="fr-FR"/>
        </w:rPr>
        <w:t xml:space="preserve">UNICEF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BOULOUFA Touria</w:t>
      </w:r>
      <w:r>
        <w:rPr>
          <w:rFonts w:asciiTheme="minorHAnsi" w:hAnsiTheme="minorHAnsi" w:cstheme="minorHAnsi"/>
          <w:sz w:val="20"/>
          <w:szCs w:val="20"/>
          <w:lang w:val="fr-FR"/>
        </w:rPr>
        <w:t xml:space="preserve"> ; </w:t>
      </w:r>
      <w:r w:rsidRPr="000F5E82">
        <w:rPr>
          <w:rFonts w:asciiTheme="minorHAnsi" w:hAnsiTheme="minorHAnsi" w:cstheme="minorHAnsi"/>
          <w:sz w:val="20"/>
          <w:szCs w:val="20"/>
          <w:lang w:val="fr-FR"/>
        </w:rPr>
        <w:t xml:space="preserve">Association Protection de la femme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rPr>
      </w:pPr>
      <w:r w:rsidRPr="000F5E82">
        <w:rPr>
          <w:rFonts w:asciiTheme="minorHAnsi" w:hAnsiTheme="minorHAnsi" w:cstheme="minorHAnsi"/>
          <w:sz w:val="20"/>
          <w:szCs w:val="20"/>
        </w:rPr>
        <w:t xml:space="preserve">BOUZID Mebarka </w:t>
      </w:r>
      <w:r>
        <w:rPr>
          <w:rFonts w:asciiTheme="minorHAnsi" w:hAnsiTheme="minorHAnsi" w:cstheme="minorHAnsi"/>
          <w:sz w:val="20"/>
          <w:szCs w:val="20"/>
        </w:rPr>
        <w:t xml:space="preserve">; </w:t>
      </w:r>
      <w:r w:rsidRPr="000F5E82">
        <w:rPr>
          <w:rFonts w:asciiTheme="minorHAnsi" w:hAnsiTheme="minorHAnsi" w:cstheme="minorHAnsi"/>
          <w:sz w:val="20"/>
          <w:szCs w:val="20"/>
        </w:rPr>
        <w:t xml:space="preserve">SMA </w:t>
      </w:r>
      <w:r>
        <w:rPr>
          <w:rFonts w:asciiTheme="minorHAnsi" w:hAnsiTheme="minorHAnsi" w:cstheme="minorHAnsi"/>
          <w:sz w:val="20"/>
          <w:szCs w:val="20"/>
        </w:rPr>
        <w:t>;</w:t>
      </w:r>
      <w:r w:rsidRPr="000F5E82">
        <w:rPr>
          <w:rFonts w:asciiTheme="minorHAnsi" w:hAnsiTheme="minorHAnsi" w:cstheme="minorHAnsi"/>
          <w:sz w:val="20"/>
          <w:szCs w:val="20"/>
        </w:rPr>
        <w:t xml:space="preserve"> El Bayadh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MAHI Cherifa</w:t>
      </w:r>
      <w:r>
        <w:rPr>
          <w:rFonts w:asciiTheme="minorHAnsi" w:hAnsiTheme="minorHAnsi" w:cstheme="minorHAnsi"/>
          <w:sz w:val="20"/>
          <w:szCs w:val="20"/>
          <w:lang w:val="fr-FR"/>
        </w:rPr>
        <w:t xml:space="preserve"> ; </w:t>
      </w:r>
      <w:r w:rsidRPr="000F5E82">
        <w:rPr>
          <w:rFonts w:asciiTheme="minorHAnsi" w:hAnsiTheme="minorHAnsi" w:cstheme="minorHAnsi"/>
          <w:sz w:val="20"/>
          <w:szCs w:val="20"/>
          <w:lang w:val="fr-FR"/>
        </w:rPr>
        <w:t xml:space="preserve">Association pour la promotion et l’insertion de la jeune fille - Oran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rPr>
      </w:pPr>
      <w:r w:rsidRPr="000F5E82">
        <w:rPr>
          <w:rFonts w:asciiTheme="minorHAnsi" w:hAnsiTheme="minorHAnsi" w:cstheme="minorHAnsi"/>
          <w:sz w:val="20"/>
          <w:szCs w:val="20"/>
        </w:rPr>
        <w:t xml:space="preserve">HADJOU Fawzia </w:t>
      </w:r>
      <w:r>
        <w:rPr>
          <w:rFonts w:asciiTheme="minorHAnsi" w:hAnsiTheme="minorHAnsi" w:cstheme="minorHAnsi"/>
          <w:sz w:val="20"/>
          <w:szCs w:val="20"/>
        </w:rPr>
        <w:t xml:space="preserve">; </w:t>
      </w:r>
      <w:r w:rsidRPr="000F5E82">
        <w:rPr>
          <w:rFonts w:asciiTheme="minorHAnsi" w:hAnsiTheme="minorHAnsi" w:cstheme="minorHAnsi"/>
          <w:sz w:val="20"/>
          <w:szCs w:val="20"/>
        </w:rPr>
        <w:t xml:space="preserve">Association El Feth </w:t>
      </w:r>
      <w:r>
        <w:rPr>
          <w:rFonts w:asciiTheme="minorHAnsi" w:hAnsiTheme="minorHAnsi" w:cstheme="minorHAnsi"/>
          <w:sz w:val="20"/>
          <w:szCs w:val="20"/>
        </w:rPr>
        <w:t>;</w:t>
      </w:r>
      <w:r w:rsidRPr="000F5E82">
        <w:rPr>
          <w:rFonts w:asciiTheme="minorHAnsi" w:hAnsiTheme="minorHAnsi" w:cstheme="minorHAnsi"/>
          <w:sz w:val="20"/>
          <w:szCs w:val="20"/>
        </w:rPr>
        <w:t xml:space="preserve"> Tlemcen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MEZIANE Fadéla</w:t>
      </w:r>
      <w:r>
        <w:rPr>
          <w:rFonts w:asciiTheme="minorHAnsi" w:hAnsiTheme="minorHAnsi" w:cstheme="minorHAnsi"/>
          <w:sz w:val="20"/>
          <w:szCs w:val="20"/>
          <w:lang w:val="fr-FR"/>
        </w:rPr>
        <w:t> ;</w:t>
      </w:r>
      <w:r w:rsidRPr="000F5E82">
        <w:rPr>
          <w:rFonts w:asciiTheme="minorHAnsi" w:hAnsiTheme="minorHAnsi" w:cstheme="minorHAnsi"/>
          <w:sz w:val="20"/>
          <w:szCs w:val="20"/>
          <w:lang w:val="fr-FR"/>
        </w:rPr>
        <w:t xml:space="preserve"> Association de la femme et de l’enfant - Tlemcen</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KHARBOUCHE Malika UNFA</w:t>
      </w:r>
      <w:r>
        <w:rPr>
          <w:rFonts w:asciiTheme="minorHAnsi" w:hAnsiTheme="minorHAnsi" w:cstheme="minorHAnsi"/>
          <w:sz w:val="20"/>
          <w:szCs w:val="20"/>
          <w:lang w:val="fr-FR"/>
        </w:rPr>
        <w:t> ;</w:t>
      </w:r>
      <w:r w:rsidRPr="000F5E82">
        <w:rPr>
          <w:rFonts w:asciiTheme="minorHAnsi" w:hAnsiTheme="minorHAnsi" w:cstheme="minorHAnsi"/>
          <w:sz w:val="20"/>
          <w:szCs w:val="20"/>
          <w:lang w:val="fr-FR"/>
        </w:rPr>
        <w:t xml:space="preserve"> Tlemcen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 xml:space="preserve">MESLEM Abassia ; Association 8 mars ; Sidi Bel Abbès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 xml:space="preserve">HAMMADI Aouicha ; Association AMEL Fille et Femme Rurale ;  Mostaganem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Association AMEL Fille et Femme Rurale ;  Mostaganem</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OUHASSINE Karima ; Fondation Algérienne de la Sauvegarde des Droits de l’enfant et de la femme ; Ain Temouchent</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 xml:space="preserve">KHELIL Bensalem ; SOEMO ; Tlemcen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 xml:space="preserve">MOKADEM Samira; SOEMO ; Tlemcen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ZAOUI Kheira ; Association ASMA Promotion de la jeune fille – Adrar</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BAHADI Amel ;  Association El Rahma Maternelle et enfants Abandonnés, Adrar</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 xml:space="preserve">SEDDIKI Karima ; DASS ; Tlemcen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 xml:space="preserve">MEGHOUFEL  Zahéra ; Association protection de la jeune fille ; Mostaganem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NADOR Fatma ; Association CRI de FILLE ; Béchar</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BOUCHENAF Farida ; Association Féministe pour l’épanouissement de la personne et l’exercice de la citoyenneté AFEPEC ; Oran</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 xml:space="preserve">BENAICHA Bouhadjar ; SCOUT ; Ain Temouchent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 xml:space="preserve">BENRAIS Mounir ; Association pour la Promotion de la femme Rurale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 xml:space="preserve">HAMAILI RIVIERE Hassina ; Directrice CRP ALGERIE – « Consultante Genre et Plaidoyer » </w:t>
      </w:r>
    </w:p>
    <w:p w:rsidR="00637E87" w:rsidRPr="000F5E82" w:rsidRDefault="00637E87" w:rsidP="00637E87">
      <w:pPr>
        <w:pStyle w:val="ListParagraph"/>
        <w:widowControl w:val="0"/>
        <w:numPr>
          <w:ilvl w:val="0"/>
          <w:numId w:val="16"/>
        </w:numPr>
        <w:contextualSpacing/>
        <w:rPr>
          <w:rFonts w:asciiTheme="minorHAnsi" w:hAnsiTheme="minorHAnsi" w:cstheme="minorHAnsi"/>
          <w:sz w:val="20"/>
          <w:szCs w:val="20"/>
          <w:lang w:val="fr-FR"/>
        </w:rPr>
      </w:pPr>
      <w:r w:rsidRPr="000F5E82">
        <w:rPr>
          <w:rFonts w:asciiTheme="minorHAnsi" w:hAnsiTheme="minorHAnsi" w:cstheme="minorHAnsi"/>
          <w:sz w:val="20"/>
          <w:szCs w:val="20"/>
          <w:lang w:val="fr-FR"/>
        </w:rPr>
        <w:t xml:space="preserve">BOUFENIk Fatma Experte – Formatrice – Consultante Genre et développement </w:t>
      </w:r>
    </w:p>
    <w:p w:rsidR="00637E87" w:rsidRDefault="00637E87" w:rsidP="00637E87">
      <w:pPr>
        <w:rPr>
          <w:rFonts w:cs="Calibri"/>
          <w:color w:val="FF0000"/>
          <w:sz w:val="21"/>
          <w:szCs w:val="21"/>
          <w:lang w:val="fr-CA"/>
        </w:rPr>
      </w:pPr>
      <w:r w:rsidRPr="0031650C">
        <w:rPr>
          <w:rFonts w:cs="Calibri"/>
          <w:color w:val="FF0000"/>
          <w:sz w:val="21"/>
          <w:szCs w:val="21"/>
          <w:lang w:val="fr-CA"/>
        </w:rPr>
        <w:br w:type="page"/>
      </w:r>
    </w:p>
    <w:p w:rsidR="00637E87" w:rsidRDefault="00637E87" w:rsidP="00637E87">
      <w:pPr>
        <w:pStyle w:val="Heading1"/>
        <w:numPr>
          <w:ilvl w:val="0"/>
          <w:numId w:val="0"/>
        </w:numPr>
        <w:ind w:left="720"/>
        <w:jc w:val="center"/>
        <w:rPr>
          <w:rFonts w:cs="Calibri"/>
          <w:szCs w:val="28"/>
          <w:lang w:val="fr-CA"/>
        </w:rPr>
      </w:pPr>
      <w:bookmarkStart w:id="45" w:name="_Toc322342033"/>
      <w:r w:rsidRPr="000F5E82">
        <w:rPr>
          <w:rFonts w:cs="Calibri"/>
          <w:szCs w:val="28"/>
          <w:lang w:val="fr-CA"/>
        </w:rPr>
        <w:t xml:space="preserve">Annexe </w:t>
      </w:r>
      <w:r w:rsidR="00C07262">
        <w:rPr>
          <w:rFonts w:cs="Calibri"/>
          <w:szCs w:val="28"/>
          <w:lang w:val="fr-CA"/>
        </w:rPr>
        <w:t>8</w:t>
      </w:r>
      <w:r>
        <w:rPr>
          <w:rFonts w:cs="Calibri"/>
          <w:szCs w:val="28"/>
          <w:lang w:val="fr-CA"/>
        </w:rPr>
        <w:t>b</w:t>
      </w:r>
      <w:r w:rsidRPr="000F5E82">
        <w:rPr>
          <w:rFonts w:cs="Calibri"/>
          <w:szCs w:val="28"/>
          <w:lang w:val="fr-CA"/>
        </w:rPr>
        <w:t xml:space="preserve"> – </w:t>
      </w:r>
      <w:r>
        <w:rPr>
          <w:rFonts w:cs="Calibri"/>
          <w:szCs w:val="28"/>
          <w:lang w:val="fr-CA"/>
        </w:rPr>
        <w:t>Conditions des prêts de l’ANGEM</w:t>
      </w:r>
      <w:bookmarkEnd w:id="45"/>
      <w:r w:rsidRPr="000F5E82">
        <w:rPr>
          <w:rFonts w:cs="Calibri"/>
          <w:szCs w:val="28"/>
          <w:lang w:val="fr-CA"/>
        </w:rPr>
        <w:t xml:space="preserve"> </w:t>
      </w:r>
    </w:p>
    <w:p w:rsidR="00637E87" w:rsidRPr="00637E87" w:rsidRDefault="00637E87" w:rsidP="00637E87">
      <w:pPr>
        <w:rPr>
          <w:rFonts w:ascii="Calibri" w:hAnsi="Calibri"/>
          <w:b/>
          <w:bCs/>
          <w:kern w:val="32"/>
          <w:sz w:val="22"/>
          <w:szCs w:val="22"/>
          <w:lang w:val="fr-CA"/>
        </w:rPr>
      </w:pPr>
    </w:p>
    <w:p w:rsidR="00637E87" w:rsidRDefault="00637E87" w:rsidP="00637E87">
      <w:pPr>
        <w:tabs>
          <w:tab w:val="left" w:pos="-88"/>
        </w:tabs>
        <w:spacing w:after="200" w:line="276" w:lineRule="auto"/>
        <w:ind w:left="720" w:right="360"/>
        <w:contextualSpacing/>
        <w:jc w:val="both"/>
        <w:rPr>
          <w:rFonts w:ascii="Calibri" w:eastAsia="Calibri" w:hAnsi="Calibri" w:cs="Calibri"/>
          <w:sz w:val="22"/>
          <w:szCs w:val="22"/>
          <w:lang w:val="fr-FR"/>
        </w:rPr>
      </w:pPr>
      <w:r>
        <w:rPr>
          <w:rFonts w:ascii="Calibri" w:eastAsia="Calibri" w:hAnsi="Calibri" w:cs="Calibri"/>
          <w:sz w:val="22"/>
          <w:szCs w:val="22"/>
          <w:lang w:val="fr-FR"/>
        </w:rPr>
        <w:t>Il existe deux formules :</w:t>
      </w:r>
    </w:p>
    <w:p w:rsidR="00637E87" w:rsidRPr="00637E87" w:rsidRDefault="00637E87" w:rsidP="00637E87">
      <w:pPr>
        <w:numPr>
          <w:ilvl w:val="0"/>
          <w:numId w:val="42"/>
        </w:numPr>
        <w:tabs>
          <w:tab w:val="left" w:pos="-88"/>
        </w:tabs>
        <w:spacing w:after="200" w:line="276" w:lineRule="auto"/>
        <w:ind w:right="360"/>
        <w:contextualSpacing/>
        <w:jc w:val="both"/>
        <w:rPr>
          <w:rFonts w:ascii="Calibri" w:eastAsia="Calibri" w:hAnsi="Calibri" w:cs="Calibri"/>
          <w:sz w:val="22"/>
          <w:szCs w:val="22"/>
          <w:lang w:val="fr-FR"/>
        </w:rPr>
      </w:pPr>
      <w:r w:rsidRPr="00637E87">
        <w:rPr>
          <w:rFonts w:ascii="Calibri" w:eastAsia="Calibri" w:hAnsi="Calibri" w:cs="Calibri"/>
          <w:sz w:val="22"/>
          <w:szCs w:val="22"/>
          <w:u w:val="single"/>
          <w:lang w:val="fr-FR"/>
        </w:rPr>
        <w:t>1</w:t>
      </w:r>
      <w:r w:rsidRPr="00637E87">
        <w:rPr>
          <w:rFonts w:ascii="Calibri" w:eastAsia="Calibri" w:hAnsi="Calibri" w:cs="Calibri"/>
          <w:sz w:val="22"/>
          <w:szCs w:val="22"/>
          <w:u w:val="single"/>
          <w:vertAlign w:val="superscript"/>
          <w:lang w:val="fr-FR"/>
        </w:rPr>
        <w:t>ère</w:t>
      </w:r>
      <w:r w:rsidRPr="00637E87">
        <w:rPr>
          <w:rFonts w:ascii="Calibri" w:eastAsia="Calibri" w:hAnsi="Calibri" w:cs="Calibri"/>
          <w:sz w:val="22"/>
          <w:szCs w:val="22"/>
          <w:u w:val="single"/>
          <w:lang w:val="fr-FR"/>
        </w:rPr>
        <w:t xml:space="preserve"> formule</w:t>
      </w:r>
      <w:r w:rsidRPr="00637E87">
        <w:rPr>
          <w:rFonts w:ascii="Calibri" w:eastAsia="Calibri" w:hAnsi="Calibri" w:cs="Calibri"/>
          <w:sz w:val="22"/>
          <w:szCs w:val="22"/>
          <w:lang w:val="fr-FR"/>
        </w:rPr>
        <w:t> </w:t>
      </w:r>
      <w:r>
        <w:rPr>
          <w:rFonts w:ascii="Calibri" w:eastAsia="Calibri" w:hAnsi="Calibri" w:cs="Calibri"/>
          <w:sz w:val="22"/>
          <w:szCs w:val="22"/>
          <w:lang w:val="fr-FR"/>
        </w:rPr>
        <w:t>-</w:t>
      </w:r>
      <w:r w:rsidRPr="00637E87">
        <w:rPr>
          <w:rFonts w:ascii="Calibri" w:eastAsia="Calibri" w:hAnsi="Calibri" w:cs="Calibri"/>
          <w:sz w:val="22"/>
          <w:szCs w:val="22"/>
          <w:lang w:val="fr-FR"/>
        </w:rPr>
        <w:t xml:space="preserve"> Financement ANGEM (Achat de matières premières)</w:t>
      </w:r>
      <w:r>
        <w:rPr>
          <w:rFonts w:ascii="Calibri" w:eastAsia="Calibri" w:hAnsi="Calibri" w:cs="Calibri"/>
          <w:sz w:val="22"/>
          <w:szCs w:val="22"/>
          <w:lang w:val="fr-FR"/>
        </w:rPr>
        <w:t> :</w:t>
      </w:r>
      <w:r w:rsidRPr="00637E87">
        <w:rPr>
          <w:rFonts w:ascii="Calibri" w:eastAsia="Calibri" w:hAnsi="Calibri" w:cs="Calibri"/>
          <w:sz w:val="22"/>
          <w:szCs w:val="22"/>
          <w:lang w:val="fr-FR"/>
        </w:rPr>
        <w:t xml:space="preserve"> ce sont des microcrédits non rémunérés octroyés par l’ANGEM au titre de l’</w:t>
      </w:r>
      <w:r>
        <w:rPr>
          <w:rFonts w:ascii="Calibri" w:eastAsia="Calibri" w:hAnsi="Calibri" w:cs="Calibri"/>
          <w:sz w:val="22"/>
          <w:szCs w:val="22"/>
          <w:lang w:val="fr-FR"/>
        </w:rPr>
        <w:t>a</w:t>
      </w:r>
      <w:r w:rsidRPr="00637E87">
        <w:rPr>
          <w:rFonts w:ascii="Calibri" w:eastAsia="Calibri" w:hAnsi="Calibri" w:cs="Calibri"/>
          <w:sz w:val="22"/>
          <w:szCs w:val="22"/>
          <w:lang w:val="fr-FR"/>
        </w:rPr>
        <w:t xml:space="preserve">chat de matière première pour les activités génératrices de revenus. Ils ne dépassent pas 100 000 da. Ils sont destinés à financer ceux ou celles disposant d’un petit équipement et outillage mais </w:t>
      </w:r>
      <w:r>
        <w:rPr>
          <w:rFonts w:ascii="Calibri" w:eastAsia="Calibri" w:hAnsi="Calibri" w:cs="Calibri"/>
          <w:sz w:val="22"/>
          <w:szCs w:val="22"/>
          <w:lang w:val="fr-FR"/>
        </w:rPr>
        <w:t>q</w:t>
      </w:r>
      <w:r w:rsidRPr="00637E87">
        <w:rPr>
          <w:rFonts w:ascii="Calibri" w:eastAsia="Calibri" w:hAnsi="Calibri" w:cs="Calibri"/>
          <w:sz w:val="22"/>
          <w:szCs w:val="22"/>
          <w:lang w:val="fr-FR"/>
        </w:rPr>
        <w:t>ui sont dépourvus de moyens financiers pour l’achat de matière</w:t>
      </w:r>
      <w:r>
        <w:rPr>
          <w:rFonts w:ascii="Calibri" w:eastAsia="Calibri" w:hAnsi="Calibri" w:cs="Calibri"/>
          <w:sz w:val="22"/>
          <w:szCs w:val="22"/>
          <w:lang w:val="fr-FR"/>
        </w:rPr>
        <w:t>s</w:t>
      </w:r>
      <w:r w:rsidRPr="00637E87">
        <w:rPr>
          <w:rFonts w:ascii="Calibri" w:eastAsia="Calibri" w:hAnsi="Calibri" w:cs="Calibri"/>
          <w:sz w:val="22"/>
          <w:szCs w:val="22"/>
          <w:lang w:val="fr-FR"/>
        </w:rPr>
        <w:t xml:space="preserve"> premières pour entreprendre une activité règlementée. La période de remboursement s’étale sur 36 mois avec 3 mois de différé.</w:t>
      </w:r>
    </w:p>
    <w:p w:rsidR="00637E87" w:rsidRPr="00637E87" w:rsidRDefault="00637E87" w:rsidP="00637E87">
      <w:pPr>
        <w:numPr>
          <w:ilvl w:val="0"/>
          <w:numId w:val="42"/>
        </w:numPr>
        <w:tabs>
          <w:tab w:val="left" w:pos="-88"/>
        </w:tabs>
        <w:spacing w:after="200" w:line="276" w:lineRule="auto"/>
        <w:ind w:right="360"/>
        <w:contextualSpacing/>
        <w:jc w:val="both"/>
        <w:rPr>
          <w:rFonts w:ascii="Calibri" w:eastAsia="Calibri" w:hAnsi="Calibri" w:cs="Calibri"/>
          <w:sz w:val="22"/>
          <w:szCs w:val="22"/>
          <w:lang w:val="fr-FR"/>
        </w:rPr>
      </w:pPr>
      <w:r w:rsidRPr="00637E87">
        <w:rPr>
          <w:rFonts w:ascii="Calibri" w:eastAsia="Calibri" w:hAnsi="Calibri" w:cs="Calibri"/>
          <w:sz w:val="22"/>
          <w:szCs w:val="22"/>
          <w:u w:val="single"/>
          <w:lang w:val="fr-FR"/>
        </w:rPr>
        <w:t>2</w:t>
      </w:r>
      <w:r w:rsidRPr="00637E87">
        <w:rPr>
          <w:rFonts w:ascii="Calibri" w:eastAsia="Calibri" w:hAnsi="Calibri" w:cs="Calibri"/>
          <w:sz w:val="22"/>
          <w:szCs w:val="22"/>
          <w:u w:val="single"/>
          <w:vertAlign w:val="superscript"/>
          <w:lang w:val="fr-FR"/>
        </w:rPr>
        <w:t>ème</w:t>
      </w:r>
      <w:r w:rsidRPr="00637E87">
        <w:rPr>
          <w:rFonts w:ascii="Calibri" w:eastAsia="Calibri" w:hAnsi="Calibri" w:cs="Calibri"/>
          <w:sz w:val="22"/>
          <w:szCs w:val="22"/>
          <w:u w:val="single"/>
          <w:lang w:val="fr-FR"/>
        </w:rPr>
        <w:t xml:space="preserve"> formule</w:t>
      </w:r>
      <w:r w:rsidRPr="00637E87">
        <w:rPr>
          <w:rFonts w:ascii="Calibri" w:eastAsia="Calibri" w:hAnsi="Calibri" w:cs="Calibri"/>
          <w:sz w:val="22"/>
          <w:szCs w:val="22"/>
          <w:lang w:val="fr-FR"/>
        </w:rPr>
        <w:t> </w:t>
      </w:r>
      <w:r>
        <w:rPr>
          <w:rFonts w:ascii="Calibri" w:eastAsia="Calibri" w:hAnsi="Calibri" w:cs="Calibri"/>
          <w:sz w:val="22"/>
          <w:szCs w:val="22"/>
          <w:lang w:val="fr-FR"/>
        </w:rPr>
        <w:t>-</w:t>
      </w:r>
      <w:r w:rsidRPr="00637E87">
        <w:rPr>
          <w:rFonts w:ascii="Calibri" w:eastAsia="Calibri" w:hAnsi="Calibri" w:cs="Calibri"/>
          <w:sz w:val="22"/>
          <w:szCs w:val="22"/>
          <w:lang w:val="fr-FR"/>
        </w:rPr>
        <w:t xml:space="preserve"> </w:t>
      </w:r>
      <w:r>
        <w:rPr>
          <w:rFonts w:ascii="Calibri" w:eastAsia="Calibri" w:hAnsi="Calibri" w:cs="Calibri"/>
          <w:sz w:val="22"/>
          <w:szCs w:val="22"/>
          <w:lang w:val="fr-FR"/>
        </w:rPr>
        <w:t>F</w:t>
      </w:r>
      <w:r w:rsidRPr="00637E87">
        <w:rPr>
          <w:rFonts w:ascii="Calibri" w:eastAsia="Calibri" w:hAnsi="Calibri" w:cs="Calibri"/>
          <w:sz w:val="22"/>
          <w:szCs w:val="22"/>
          <w:lang w:val="fr-FR"/>
        </w:rPr>
        <w:t>inancement triangulaire ANGM-banque-promoteur. Ce sont des crédits octroyés par la banque et l’ANGEM au titre de création d’activité</w:t>
      </w:r>
      <w:r>
        <w:rPr>
          <w:rFonts w:ascii="Calibri" w:eastAsia="Calibri" w:hAnsi="Calibri" w:cs="Calibri"/>
          <w:sz w:val="22"/>
          <w:szCs w:val="22"/>
          <w:lang w:val="fr-FR"/>
        </w:rPr>
        <w:t>s</w:t>
      </w:r>
      <w:r w:rsidRPr="00637E87">
        <w:rPr>
          <w:rFonts w:ascii="Calibri" w:eastAsia="Calibri" w:hAnsi="Calibri" w:cs="Calibri"/>
          <w:sz w:val="22"/>
          <w:szCs w:val="22"/>
          <w:lang w:val="fr-FR"/>
        </w:rPr>
        <w:t xml:space="preserve">. Le montant du projet ne saurait dépasser un </w:t>
      </w:r>
      <w:r>
        <w:rPr>
          <w:rFonts w:ascii="Calibri" w:eastAsia="Calibri" w:hAnsi="Calibri" w:cs="Calibri"/>
          <w:sz w:val="22"/>
          <w:szCs w:val="22"/>
          <w:lang w:val="fr-FR"/>
        </w:rPr>
        <w:t>m</w:t>
      </w:r>
      <w:r w:rsidRPr="00637E87">
        <w:rPr>
          <w:rFonts w:ascii="Calibri" w:eastAsia="Calibri" w:hAnsi="Calibri" w:cs="Calibri"/>
          <w:sz w:val="22"/>
          <w:szCs w:val="22"/>
          <w:lang w:val="fr-FR"/>
        </w:rPr>
        <w:t>illion de Dinars (1 000 000</w:t>
      </w:r>
      <w:r>
        <w:rPr>
          <w:rFonts w:ascii="Calibri" w:eastAsia="Calibri" w:hAnsi="Calibri" w:cs="Calibri"/>
          <w:sz w:val="22"/>
          <w:szCs w:val="22"/>
          <w:lang w:val="fr-FR"/>
        </w:rPr>
        <w:t xml:space="preserve"> da</w:t>
      </w:r>
      <w:r w:rsidRPr="00637E87">
        <w:rPr>
          <w:rFonts w:ascii="Calibri" w:eastAsia="Calibri" w:hAnsi="Calibri" w:cs="Calibri"/>
          <w:sz w:val="22"/>
          <w:szCs w:val="22"/>
          <w:lang w:val="fr-FR"/>
        </w:rPr>
        <w:t>)</w:t>
      </w:r>
      <w:r>
        <w:rPr>
          <w:rFonts w:ascii="Calibri" w:eastAsia="Calibri" w:hAnsi="Calibri" w:cs="Calibri"/>
          <w:sz w:val="22"/>
          <w:szCs w:val="22"/>
          <w:lang w:val="fr-FR"/>
        </w:rPr>
        <w:t xml:space="preserve">. </w:t>
      </w:r>
      <w:r w:rsidRPr="00637E87">
        <w:rPr>
          <w:rFonts w:ascii="Calibri" w:eastAsia="Calibri" w:hAnsi="Calibri" w:cs="Calibri"/>
          <w:sz w:val="22"/>
          <w:szCs w:val="22"/>
          <w:lang w:val="fr-FR"/>
        </w:rPr>
        <w:t>Il vise l’intégration économique et sociale des citoyens ciblés à travers la création d’activités de production de biens et services</w:t>
      </w:r>
      <w:r>
        <w:rPr>
          <w:rFonts w:ascii="Calibri" w:eastAsia="Calibri" w:hAnsi="Calibri" w:cs="Calibri"/>
          <w:sz w:val="22"/>
          <w:szCs w:val="22"/>
          <w:lang w:val="fr-FR"/>
        </w:rPr>
        <w:t>,</w:t>
      </w:r>
      <w:r w:rsidRPr="00637E87">
        <w:rPr>
          <w:rFonts w:ascii="Calibri" w:eastAsia="Calibri" w:hAnsi="Calibri" w:cs="Calibri"/>
          <w:sz w:val="22"/>
          <w:szCs w:val="22"/>
          <w:lang w:val="fr-FR"/>
        </w:rPr>
        <w:t xml:space="preserve"> ainsi que les activités</w:t>
      </w:r>
      <w:r>
        <w:rPr>
          <w:rFonts w:ascii="Calibri" w:eastAsia="Calibri" w:hAnsi="Calibri" w:cs="Calibri"/>
          <w:sz w:val="22"/>
          <w:szCs w:val="22"/>
          <w:lang w:val="fr-FR"/>
        </w:rPr>
        <w:t xml:space="preserve"> commerciales. Il couvre les coû</w:t>
      </w:r>
      <w:r w:rsidRPr="00637E87">
        <w:rPr>
          <w:rFonts w:ascii="Calibri" w:eastAsia="Calibri" w:hAnsi="Calibri" w:cs="Calibri"/>
          <w:sz w:val="22"/>
          <w:szCs w:val="22"/>
          <w:lang w:val="fr-FR"/>
        </w:rPr>
        <w:t xml:space="preserve">ts liés : </w:t>
      </w:r>
    </w:p>
    <w:p w:rsidR="00637E87" w:rsidRPr="00637E87" w:rsidRDefault="00637E87" w:rsidP="00637E87">
      <w:pPr>
        <w:numPr>
          <w:ilvl w:val="1"/>
          <w:numId w:val="42"/>
        </w:numPr>
        <w:tabs>
          <w:tab w:val="left" w:pos="-88"/>
        </w:tabs>
        <w:spacing w:after="200" w:line="276" w:lineRule="auto"/>
        <w:ind w:right="360"/>
        <w:contextualSpacing/>
        <w:jc w:val="both"/>
        <w:rPr>
          <w:rFonts w:ascii="Calibri" w:eastAsia="Calibri" w:hAnsi="Calibri" w:cs="Calibri"/>
          <w:sz w:val="22"/>
          <w:szCs w:val="22"/>
          <w:lang w:val="fr-FR"/>
        </w:rPr>
      </w:pPr>
      <w:r w:rsidRPr="00637E87">
        <w:rPr>
          <w:rFonts w:ascii="Calibri" w:eastAsia="Calibri" w:hAnsi="Calibri" w:cs="Calibri"/>
          <w:sz w:val="22"/>
          <w:szCs w:val="22"/>
          <w:lang w:val="fr-FR"/>
        </w:rPr>
        <w:t>A l’acquisition de petits équipements, matériels et outillages et matériels roulants</w:t>
      </w:r>
    </w:p>
    <w:p w:rsidR="00637E87" w:rsidRPr="00637E87" w:rsidRDefault="00637E87" w:rsidP="00637E87">
      <w:pPr>
        <w:numPr>
          <w:ilvl w:val="1"/>
          <w:numId w:val="42"/>
        </w:numPr>
        <w:tabs>
          <w:tab w:val="left" w:pos="-88"/>
        </w:tabs>
        <w:spacing w:after="200" w:line="276" w:lineRule="auto"/>
        <w:ind w:right="360"/>
        <w:contextualSpacing/>
        <w:jc w:val="both"/>
        <w:rPr>
          <w:rFonts w:ascii="Calibri" w:eastAsia="Calibri" w:hAnsi="Calibri" w:cs="Calibri"/>
          <w:sz w:val="22"/>
          <w:szCs w:val="22"/>
          <w:lang w:val="fr-FR"/>
        </w:rPr>
      </w:pPr>
      <w:r w:rsidRPr="00637E87">
        <w:rPr>
          <w:rFonts w:ascii="Calibri" w:eastAsia="Calibri" w:hAnsi="Calibri" w:cs="Calibri"/>
          <w:sz w:val="22"/>
          <w:szCs w:val="22"/>
          <w:lang w:val="fr-FR"/>
        </w:rPr>
        <w:t>Le fonds de roulement nécessaire au démar</w:t>
      </w:r>
      <w:r>
        <w:rPr>
          <w:rFonts w:ascii="Calibri" w:eastAsia="Calibri" w:hAnsi="Calibri" w:cs="Calibri"/>
          <w:sz w:val="22"/>
          <w:szCs w:val="22"/>
          <w:lang w:val="fr-FR"/>
        </w:rPr>
        <w:t>rage notamment pour l’achat de m</w:t>
      </w:r>
      <w:r w:rsidRPr="00637E87">
        <w:rPr>
          <w:rFonts w:ascii="Calibri" w:eastAsia="Calibri" w:hAnsi="Calibri" w:cs="Calibri"/>
          <w:sz w:val="22"/>
          <w:szCs w:val="22"/>
          <w:lang w:val="fr-FR"/>
        </w:rPr>
        <w:t>atière</w:t>
      </w:r>
      <w:r>
        <w:rPr>
          <w:rFonts w:ascii="Calibri" w:eastAsia="Calibri" w:hAnsi="Calibri" w:cs="Calibri"/>
          <w:sz w:val="22"/>
          <w:szCs w:val="22"/>
          <w:lang w:val="fr-FR"/>
        </w:rPr>
        <w:t>s</w:t>
      </w:r>
      <w:r w:rsidRPr="00637E87">
        <w:rPr>
          <w:rFonts w:ascii="Calibri" w:eastAsia="Calibri" w:hAnsi="Calibri" w:cs="Calibri"/>
          <w:sz w:val="22"/>
          <w:szCs w:val="22"/>
          <w:lang w:val="fr-FR"/>
        </w:rPr>
        <w:t xml:space="preserve"> première</w:t>
      </w:r>
      <w:r>
        <w:rPr>
          <w:rFonts w:ascii="Calibri" w:eastAsia="Calibri" w:hAnsi="Calibri" w:cs="Calibri"/>
          <w:sz w:val="22"/>
          <w:szCs w:val="22"/>
          <w:lang w:val="fr-FR"/>
        </w:rPr>
        <w:t>s</w:t>
      </w:r>
    </w:p>
    <w:p w:rsidR="00637E87" w:rsidRPr="00637E87" w:rsidRDefault="00637E87" w:rsidP="00637E87">
      <w:pPr>
        <w:numPr>
          <w:ilvl w:val="1"/>
          <w:numId w:val="42"/>
        </w:numPr>
        <w:tabs>
          <w:tab w:val="left" w:pos="-88"/>
        </w:tabs>
        <w:spacing w:after="200" w:line="276" w:lineRule="auto"/>
        <w:ind w:right="360"/>
        <w:contextualSpacing/>
        <w:jc w:val="both"/>
        <w:rPr>
          <w:rFonts w:ascii="Calibri" w:eastAsia="Calibri" w:hAnsi="Calibri" w:cs="Calibri"/>
          <w:sz w:val="22"/>
          <w:szCs w:val="22"/>
          <w:lang w:val="fr-FR"/>
        </w:rPr>
      </w:pPr>
      <w:r w:rsidRPr="00637E87">
        <w:rPr>
          <w:rFonts w:ascii="Calibri" w:eastAsia="Calibri" w:hAnsi="Calibri" w:cs="Calibri"/>
          <w:sz w:val="22"/>
          <w:szCs w:val="22"/>
          <w:lang w:val="fr-FR"/>
        </w:rPr>
        <w:t>La marchandise pour les activités commerciales (revente en l’état)</w:t>
      </w:r>
    </w:p>
    <w:p w:rsidR="00637E87" w:rsidRPr="00637E87" w:rsidRDefault="00637E87" w:rsidP="00637E87">
      <w:pPr>
        <w:numPr>
          <w:ilvl w:val="1"/>
          <w:numId w:val="42"/>
        </w:numPr>
        <w:tabs>
          <w:tab w:val="left" w:pos="-88"/>
        </w:tabs>
        <w:spacing w:after="200" w:line="276" w:lineRule="auto"/>
        <w:ind w:right="360"/>
        <w:contextualSpacing/>
        <w:jc w:val="both"/>
        <w:rPr>
          <w:rFonts w:ascii="Calibri" w:eastAsia="Calibri" w:hAnsi="Calibri" w:cs="Calibri"/>
          <w:sz w:val="22"/>
          <w:szCs w:val="22"/>
          <w:lang w:val="fr-FR"/>
        </w:rPr>
      </w:pPr>
      <w:r w:rsidRPr="00637E87">
        <w:rPr>
          <w:rFonts w:ascii="Calibri" w:eastAsia="Calibri" w:hAnsi="Calibri" w:cs="Calibri"/>
          <w:sz w:val="22"/>
          <w:szCs w:val="22"/>
          <w:lang w:val="fr-FR"/>
        </w:rPr>
        <w:t>Les petits travaux d’aménagement</w:t>
      </w:r>
      <w:r>
        <w:rPr>
          <w:rFonts w:ascii="Calibri" w:eastAsia="Calibri" w:hAnsi="Calibri" w:cs="Calibri"/>
          <w:sz w:val="22"/>
          <w:szCs w:val="22"/>
          <w:lang w:val="fr-FR"/>
        </w:rPr>
        <w:t xml:space="preserve"> et agencement des locaux et les </w:t>
      </w:r>
      <w:r w:rsidRPr="00637E87">
        <w:rPr>
          <w:rFonts w:ascii="Calibri" w:eastAsia="Calibri" w:hAnsi="Calibri" w:cs="Calibri"/>
          <w:sz w:val="22"/>
          <w:szCs w:val="22"/>
          <w:lang w:val="fr-FR"/>
        </w:rPr>
        <w:t>petits travaux agricoles</w:t>
      </w:r>
    </w:p>
    <w:p w:rsidR="00637E87" w:rsidRPr="00637E87" w:rsidRDefault="00637E87" w:rsidP="00637E87">
      <w:pPr>
        <w:numPr>
          <w:ilvl w:val="1"/>
          <w:numId w:val="42"/>
        </w:numPr>
        <w:tabs>
          <w:tab w:val="left" w:pos="-88"/>
        </w:tabs>
        <w:spacing w:after="200" w:line="276" w:lineRule="auto"/>
        <w:ind w:right="360"/>
        <w:contextualSpacing/>
        <w:jc w:val="both"/>
        <w:rPr>
          <w:rFonts w:ascii="Calibri" w:eastAsia="Calibri" w:hAnsi="Calibri" w:cs="Calibri"/>
          <w:sz w:val="22"/>
          <w:szCs w:val="22"/>
          <w:lang w:val="fr-FR"/>
        </w:rPr>
      </w:pPr>
      <w:r w:rsidRPr="00637E87">
        <w:rPr>
          <w:rFonts w:ascii="Calibri" w:eastAsia="Calibri" w:hAnsi="Calibri" w:cs="Calibri"/>
          <w:sz w:val="22"/>
          <w:szCs w:val="22"/>
          <w:lang w:val="fr-FR"/>
        </w:rPr>
        <w:t>L’assurance tous risques et</w:t>
      </w:r>
      <w:r>
        <w:rPr>
          <w:rFonts w:ascii="Calibri" w:eastAsia="Calibri" w:hAnsi="Calibri" w:cs="Calibri"/>
          <w:sz w:val="22"/>
          <w:szCs w:val="22"/>
          <w:lang w:val="fr-FR"/>
        </w:rPr>
        <w:t xml:space="preserve">/ou multirisques des équipements et </w:t>
      </w:r>
      <w:r w:rsidRPr="00637E87">
        <w:rPr>
          <w:rFonts w:ascii="Calibri" w:eastAsia="Calibri" w:hAnsi="Calibri" w:cs="Calibri"/>
          <w:sz w:val="22"/>
          <w:szCs w:val="22"/>
          <w:lang w:val="fr-FR"/>
        </w:rPr>
        <w:t>matériels à acquérir pour une année</w:t>
      </w:r>
    </w:p>
    <w:p w:rsidR="00637E87" w:rsidRPr="00637E87" w:rsidRDefault="00637E87" w:rsidP="00637E87">
      <w:pPr>
        <w:numPr>
          <w:ilvl w:val="1"/>
          <w:numId w:val="42"/>
        </w:numPr>
        <w:tabs>
          <w:tab w:val="left" w:pos="-88"/>
        </w:tabs>
        <w:spacing w:after="200" w:line="276" w:lineRule="auto"/>
        <w:ind w:right="360"/>
        <w:contextualSpacing/>
        <w:jc w:val="both"/>
        <w:rPr>
          <w:rFonts w:ascii="Calibri" w:eastAsia="Calibri" w:hAnsi="Calibri" w:cs="Calibri"/>
          <w:sz w:val="22"/>
          <w:szCs w:val="22"/>
          <w:lang w:val="fr-FR"/>
        </w:rPr>
      </w:pPr>
      <w:r w:rsidRPr="00637E87">
        <w:rPr>
          <w:rFonts w:ascii="Calibri" w:eastAsia="Calibri" w:hAnsi="Calibri" w:cs="Calibri"/>
          <w:sz w:val="22"/>
          <w:szCs w:val="22"/>
          <w:lang w:val="fr-FR"/>
        </w:rPr>
        <w:t xml:space="preserve">Les frais préliminaires pour la couverture des frais d’enregistrement et </w:t>
      </w:r>
      <w:r>
        <w:rPr>
          <w:rFonts w:ascii="Calibri" w:eastAsia="Calibri" w:hAnsi="Calibri" w:cs="Calibri"/>
          <w:sz w:val="22"/>
          <w:szCs w:val="22"/>
          <w:lang w:val="fr-FR"/>
        </w:rPr>
        <w:t xml:space="preserve">de </w:t>
      </w:r>
      <w:r w:rsidRPr="00637E87">
        <w:rPr>
          <w:rFonts w:ascii="Calibri" w:eastAsia="Calibri" w:hAnsi="Calibri" w:cs="Calibri"/>
          <w:sz w:val="22"/>
          <w:szCs w:val="22"/>
          <w:lang w:val="fr-FR"/>
        </w:rPr>
        <w:t xml:space="preserve">nantissement liés aux investissements nantissables. </w:t>
      </w:r>
    </w:p>
    <w:p w:rsidR="00637E87" w:rsidRPr="00637E87" w:rsidRDefault="00637E87" w:rsidP="00637E87">
      <w:pPr>
        <w:tabs>
          <w:tab w:val="left" w:pos="-88"/>
        </w:tabs>
        <w:spacing w:after="200" w:line="276" w:lineRule="auto"/>
        <w:ind w:left="1080" w:right="360"/>
        <w:contextualSpacing/>
        <w:jc w:val="both"/>
        <w:rPr>
          <w:rFonts w:ascii="Calibri" w:hAnsi="Calibri" w:cs="Calibri"/>
          <w:sz w:val="22"/>
          <w:szCs w:val="22"/>
          <w:lang w:val="fr-FR" w:eastAsia="fr-FR"/>
        </w:rPr>
      </w:pPr>
      <w:r w:rsidRPr="00637E87">
        <w:rPr>
          <w:rFonts w:ascii="Calibri" w:hAnsi="Calibri" w:cs="Calibri"/>
          <w:sz w:val="22"/>
          <w:szCs w:val="22"/>
          <w:lang w:val="fr-FR" w:eastAsia="fr-FR"/>
        </w:rPr>
        <w:t>Le financement se compose comme suit :</w:t>
      </w:r>
    </w:p>
    <w:p w:rsidR="00637E87" w:rsidRPr="00637E87" w:rsidRDefault="00637E87" w:rsidP="00637E87">
      <w:pPr>
        <w:numPr>
          <w:ilvl w:val="2"/>
          <w:numId w:val="42"/>
        </w:numPr>
        <w:tabs>
          <w:tab w:val="left" w:pos="-88"/>
        </w:tabs>
        <w:spacing w:after="200" w:line="276" w:lineRule="auto"/>
        <w:ind w:right="360"/>
        <w:contextualSpacing/>
        <w:jc w:val="both"/>
        <w:rPr>
          <w:rFonts w:ascii="Calibri" w:eastAsia="Calibri" w:hAnsi="Calibri" w:cs="Calibri"/>
          <w:sz w:val="22"/>
          <w:szCs w:val="22"/>
          <w:lang w:val="fr-FR"/>
        </w:rPr>
      </w:pPr>
      <w:r w:rsidRPr="00637E87">
        <w:rPr>
          <w:rFonts w:ascii="Calibri" w:eastAsia="Calibri" w:hAnsi="Calibri" w:cs="Calibri"/>
          <w:sz w:val="22"/>
          <w:szCs w:val="22"/>
          <w:lang w:val="fr-FR"/>
        </w:rPr>
        <w:t>Un prêt bancaire de 70%</w:t>
      </w:r>
    </w:p>
    <w:p w:rsidR="00637E87" w:rsidRDefault="00637E87" w:rsidP="00637E87">
      <w:pPr>
        <w:numPr>
          <w:ilvl w:val="2"/>
          <w:numId w:val="42"/>
        </w:numPr>
        <w:tabs>
          <w:tab w:val="left" w:pos="-88"/>
        </w:tabs>
        <w:spacing w:after="200" w:line="276" w:lineRule="auto"/>
        <w:ind w:right="360"/>
        <w:contextualSpacing/>
        <w:jc w:val="both"/>
        <w:rPr>
          <w:rFonts w:ascii="Calibri" w:eastAsia="Calibri" w:hAnsi="Calibri" w:cs="Calibri"/>
          <w:sz w:val="22"/>
          <w:szCs w:val="22"/>
          <w:lang w:val="fr-FR"/>
        </w:rPr>
      </w:pPr>
      <w:r w:rsidRPr="00637E87">
        <w:rPr>
          <w:rFonts w:ascii="Calibri" w:eastAsia="Calibri" w:hAnsi="Calibri" w:cs="Calibri"/>
          <w:sz w:val="22"/>
          <w:szCs w:val="22"/>
          <w:lang w:val="fr-FR"/>
        </w:rPr>
        <w:t>Un prêt ANGEM non rémunéré de 29%</w:t>
      </w:r>
    </w:p>
    <w:p w:rsidR="00637E87" w:rsidRDefault="00637E87" w:rsidP="00637E87">
      <w:pPr>
        <w:numPr>
          <w:ilvl w:val="2"/>
          <w:numId w:val="42"/>
        </w:numPr>
        <w:tabs>
          <w:tab w:val="left" w:pos="-88"/>
        </w:tabs>
        <w:spacing w:after="200" w:line="276" w:lineRule="auto"/>
        <w:ind w:right="360"/>
        <w:contextualSpacing/>
        <w:jc w:val="both"/>
        <w:rPr>
          <w:rFonts w:ascii="Calibri" w:eastAsia="Calibri" w:hAnsi="Calibri" w:cs="Calibri"/>
          <w:sz w:val="22"/>
          <w:szCs w:val="22"/>
          <w:lang w:val="fr-FR"/>
        </w:rPr>
      </w:pPr>
      <w:r w:rsidRPr="00637E87">
        <w:rPr>
          <w:rFonts w:ascii="Calibri" w:eastAsia="Calibri" w:hAnsi="Calibri" w:cs="Calibri"/>
          <w:sz w:val="22"/>
          <w:szCs w:val="22"/>
          <w:lang w:val="fr-FR"/>
        </w:rPr>
        <w:t>Un apport personnel de</w:t>
      </w:r>
      <w:r>
        <w:rPr>
          <w:rFonts w:ascii="Calibri" w:eastAsia="Calibri" w:hAnsi="Calibri" w:cs="Calibri"/>
          <w:sz w:val="22"/>
          <w:szCs w:val="22"/>
          <w:lang w:val="fr-FR"/>
        </w:rPr>
        <w:t xml:space="preserve"> </w:t>
      </w:r>
      <w:r w:rsidRPr="00637E87">
        <w:rPr>
          <w:rFonts w:ascii="Calibri" w:eastAsia="Calibri" w:hAnsi="Calibri" w:cs="Calibri"/>
          <w:sz w:val="22"/>
          <w:szCs w:val="22"/>
          <w:lang w:val="fr-FR"/>
        </w:rPr>
        <w:t>1%</w:t>
      </w:r>
      <w:r>
        <w:rPr>
          <w:rFonts w:ascii="Calibri" w:eastAsia="Calibri" w:hAnsi="Calibri" w:cs="Calibri"/>
          <w:sz w:val="22"/>
          <w:szCs w:val="22"/>
          <w:lang w:val="fr-FR"/>
        </w:rPr>
        <w:t>.</w:t>
      </w:r>
    </w:p>
    <w:p w:rsidR="00637E87" w:rsidRPr="00637E87" w:rsidRDefault="00637E87" w:rsidP="00637E87">
      <w:pPr>
        <w:numPr>
          <w:ilvl w:val="1"/>
          <w:numId w:val="42"/>
        </w:numPr>
        <w:tabs>
          <w:tab w:val="left" w:pos="-88"/>
        </w:tabs>
        <w:spacing w:after="200" w:line="276" w:lineRule="auto"/>
        <w:ind w:right="360"/>
        <w:contextualSpacing/>
        <w:jc w:val="both"/>
        <w:rPr>
          <w:rFonts w:ascii="Calibri" w:eastAsia="Calibri" w:hAnsi="Calibri" w:cs="Calibri"/>
          <w:sz w:val="22"/>
          <w:szCs w:val="22"/>
          <w:lang w:val="fr-FR"/>
        </w:rPr>
      </w:pPr>
      <w:r w:rsidRPr="00637E87">
        <w:rPr>
          <w:szCs w:val="28"/>
          <w:lang w:val="fr-CA"/>
        </w:rPr>
        <w:br w:type="page"/>
      </w:r>
    </w:p>
    <w:p w:rsidR="008D3A10" w:rsidRPr="00637E87" w:rsidRDefault="008D3A10" w:rsidP="00DB434D">
      <w:pPr>
        <w:tabs>
          <w:tab w:val="left" w:pos="-88"/>
        </w:tabs>
        <w:spacing w:after="200" w:line="276" w:lineRule="auto"/>
        <w:ind w:left="1440" w:right="360"/>
        <w:contextualSpacing/>
        <w:jc w:val="both"/>
        <w:rPr>
          <w:rFonts w:ascii="Calibri" w:eastAsia="Calibri" w:hAnsi="Calibri" w:cs="Calibri"/>
          <w:sz w:val="22"/>
          <w:szCs w:val="22"/>
          <w:lang w:val="fr-FR"/>
        </w:rPr>
      </w:pPr>
    </w:p>
    <w:sectPr w:rsidR="008D3A10" w:rsidRPr="00637E87" w:rsidSect="00637E87">
      <w:pgSz w:w="11906" w:h="16838"/>
      <w:pgMar w:top="1417" w:right="1417" w:bottom="1417" w:left="13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49" w:rsidRDefault="00DB3349" w:rsidP="00406B95">
      <w:r>
        <w:separator/>
      </w:r>
    </w:p>
    <w:p w:rsidR="00DB3349" w:rsidRDefault="00DB3349"/>
  </w:endnote>
  <w:endnote w:type="continuationSeparator" w:id="0">
    <w:p w:rsidR="00DB3349" w:rsidRDefault="00DB3349" w:rsidP="00406B95">
      <w:r>
        <w:continuationSeparator/>
      </w:r>
    </w:p>
    <w:p w:rsidR="00DB3349" w:rsidRDefault="00DB3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31" w:rsidRDefault="00743B59">
    <w:pPr>
      <w:pStyle w:val="Footer"/>
      <w:jc w:val="center"/>
    </w:pPr>
    <w:r>
      <w:fldChar w:fldCharType="begin"/>
    </w:r>
    <w:r w:rsidR="00E46B31">
      <w:instrText>PAGE   \* MERGEFORMAT</w:instrText>
    </w:r>
    <w:r>
      <w:fldChar w:fldCharType="separate"/>
    </w:r>
    <w:r w:rsidR="00B233DD" w:rsidRPr="00B233DD">
      <w:rPr>
        <w:noProof/>
        <w:lang w:val="de-DE"/>
      </w:rPr>
      <w:t>83</w:t>
    </w:r>
    <w:r>
      <w:rPr>
        <w:noProof/>
        <w:lang w:val="de-DE"/>
      </w:rPr>
      <w:fldChar w:fldCharType="end"/>
    </w:r>
  </w:p>
  <w:p w:rsidR="00E46B31" w:rsidRDefault="00E46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49" w:rsidRDefault="00DB3349" w:rsidP="00406B95">
      <w:r>
        <w:separator/>
      </w:r>
    </w:p>
    <w:p w:rsidR="00DB3349" w:rsidRDefault="00DB3349"/>
  </w:footnote>
  <w:footnote w:type="continuationSeparator" w:id="0">
    <w:p w:rsidR="00DB3349" w:rsidRDefault="00DB3349" w:rsidP="00406B95">
      <w:r>
        <w:continuationSeparator/>
      </w:r>
    </w:p>
    <w:p w:rsidR="00DB3349" w:rsidRDefault="00DB3349"/>
  </w:footnote>
  <w:footnote w:id="1">
    <w:p w:rsidR="00E46B31" w:rsidRPr="00875A2C" w:rsidRDefault="00E46B31" w:rsidP="00AE0E84">
      <w:pPr>
        <w:pStyle w:val="FootnoteText"/>
        <w:rPr>
          <w:lang w:val="fr-FR"/>
        </w:rPr>
      </w:pPr>
      <w:r>
        <w:rPr>
          <w:rStyle w:val="FootnoteReference"/>
        </w:rPr>
        <w:footnoteRef/>
      </w:r>
      <w:r w:rsidRPr="00875A2C">
        <w:rPr>
          <w:lang w:val="fr-FR"/>
        </w:rPr>
        <w:t xml:space="preserve"> </w:t>
      </w:r>
      <w:r w:rsidRPr="00875A2C">
        <w:rPr>
          <w:rFonts w:asciiTheme="minorHAnsi" w:hAnsiTheme="minorHAnsi" w:cstheme="minorHAnsi"/>
          <w:lang w:val="fr-FR"/>
        </w:rPr>
        <w:t>Constituée de Maria D</w:t>
      </w:r>
      <w:r>
        <w:rPr>
          <w:rFonts w:asciiTheme="minorHAnsi" w:hAnsiTheme="minorHAnsi" w:cstheme="minorHAnsi"/>
          <w:lang w:val="fr-FR"/>
        </w:rPr>
        <w:t>onnat, c</w:t>
      </w:r>
      <w:r w:rsidRPr="00875A2C">
        <w:rPr>
          <w:rFonts w:asciiTheme="minorHAnsi" w:hAnsiTheme="minorHAnsi" w:cstheme="minorHAnsi"/>
          <w:lang w:val="fr-FR"/>
        </w:rPr>
        <w:t>onsultante internationale</w:t>
      </w:r>
      <w:r>
        <w:rPr>
          <w:rFonts w:asciiTheme="minorHAnsi" w:hAnsiTheme="minorHAnsi" w:cstheme="minorHAnsi"/>
          <w:lang w:val="fr-FR"/>
        </w:rPr>
        <w:t>.</w:t>
      </w:r>
    </w:p>
  </w:footnote>
  <w:footnote w:id="2">
    <w:p w:rsidR="00E46B31" w:rsidRPr="00875A2C" w:rsidRDefault="00E46B31">
      <w:pPr>
        <w:pStyle w:val="FootnoteText"/>
        <w:rPr>
          <w:lang w:val="fr-FR"/>
        </w:rPr>
      </w:pPr>
      <w:r>
        <w:rPr>
          <w:rStyle w:val="FootnoteReference"/>
        </w:rPr>
        <w:footnoteRef/>
      </w:r>
      <w:r w:rsidRPr="00875A2C">
        <w:rPr>
          <w:lang w:val="fr-FR"/>
        </w:rPr>
        <w:t xml:space="preserve"> </w:t>
      </w:r>
      <w:r w:rsidRPr="00875A2C">
        <w:rPr>
          <w:rFonts w:asciiTheme="minorHAnsi" w:hAnsiTheme="minorHAnsi" w:cstheme="minorHAnsi"/>
          <w:lang w:val="fr-FR"/>
        </w:rPr>
        <w:t>Constituée de Maria D</w:t>
      </w:r>
      <w:r>
        <w:rPr>
          <w:rFonts w:asciiTheme="minorHAnsi" w:hAnsiTheme="minorHAnsi" w:cstheme="minorHAnsi"/>
          <w:lang w:val="fr-FR"/>
        </w:rPr>
        <w:t>onnat, c</w:t>
      </w:r>
      <w:r w:rsidRPr="00875A2C">
        <w:rPr>
          <w:rFonts w:asciiTheme="minorHAnsi" w:hAnsiTheme="minorHAnsi" w:cstheme="minorHAnsi"/>
          <w:lang w:val="fr-FR"/>
        </w:rPr>
        <w:t>onsultante internationale</w:t>
      </w:r>
      <w:r>
        <w:rPr>
          <w:rFonts w:asciiTheme="minorHAnsi" w:hAnsiTheme="minorHAnsi" w:cstheme="minorHAnsi"/>
          <w:lang w:val="fr-FR"/>
        </w:rPr>
        <w:t>.</w:t>
      </w:r>
    </w:p>
  </w:footnote>
  <w:footnote w:id="3">
    <w:p w:rsidR="00E46B31" w:rsidRPr="007A00B3" w:rsidRDefault="00E46B31" w:rsidP="005D64A1">
      <w:pPr>
        <w:pStyle w:val="FootnoteText"/>
        <w:jc w:val="both"/>
        <w:rPr>
          <w:lang w:val="fr-FR"/>
        </w:rPr>
      </w:pPr>
      <w:r w:rsidRPr="005D64A1">
        <w:rPr>
          <w:rStyle w:val="FootnoteReference"/>
        </w:rPr>
        <w:footnoteRef/>
      </w:r>
      <w:r w:rsidRPr="005D64A1">
        <w:rPr>
          <w:lang w:val="fr-FR"/>
        </w:rPr>
        <w:t xml:space="preserve"> </w:t>
      </w:r>
      <w:r>
        <w:rPr>
          <w:rFonts w:ascii="Calibri" w:hAnsi="Calibri" w:cs="Calibri"/>
          <w:lang w:val="fr-FR"/>
        </w:rPr>
        <w:t>Constitué</w:t>
      </w:r>
      <w:r w:rsidRPr="005D64A1">
        <w:rPr>
          <w:rFonts w:ascii="Calibri" w:hAnsi="Calibri" w:cs="Calibri"/>
          <w:lang w:val="fr-FR"/>
        </w:rPr>
        <w:t xml:space="preserve"> </w:t>
      </w:r>
      <w:r>
        <w:rPr>
          <w:rFonts w:ascii="Calibri" w:hAnsi="Calibri" w:cs="Calibri"/>
          <w:lang w:val="fr-FR"/>
        </w:rPr>
        <w:t xml:space="preserve">de la DNP et du Coordonnateur du programme, d’un représentant de l’AECID ainsi que </w:t>
      </w:r>
      <w:r w:rsidRPr="005D64A1">
        <w:rPr>
          <w:rFonts w:ascii="Calibri" w:hAnsi="Calibri" w:cs="Calibri"/>
          <w:lang w:val="fr-FR"/>
        </w:rPr>
        <w:t xml:space="preserve">des Points Focaux ou Chargés de programme des </w:t>
      </w:r>
      <w:r>
        <w:rPr>
          <w:rFonts w:ascii="Calibri" w:hAnsi="Calibri" w:cs="Calibri"/>
          <w:lang w:val="fr-FR"/>
        </w:rPr>
        <w:t xml:space="preserve">ministères </w:t>
      </w:r>
      <w:r w:rsidRPr="005D64A1">
        <w:rPr>
          <w:rFonts w:ascii="Calibri" w:hAnsi="Calibri" w:cs="Calibri"/>
          <w:lang w:val="fr-FR"/>
        </w:rPr>
        <w:t xml:space="preserve">et agences </w:t>
      </w:r>
      <w:r>
        <w:rPr>
          <w:rFonts w:ascii="Calibri" w:hAnsi="Calibri" w:cs="Calibri"/>
          <w:lang w:val="fr-FR"/>
        </w:rPr>
        <w:t xml:space="preserve">des Nations Unies </w:t>
      </w:r>
      <w:r w:rsidRPr="005D64A1">
        <w:rPr>
          <w:rFonts w:ascii="Calibri" w:hAnsi="Calibri" w:cs="Calibri"/>
          <w:lang w:val="fr-FR"/>
        </w:rPr>
        <w:t>suivantes: MAE,</w:t>
      </w:r>
      <w:r>
        <w:rPr>
          <w:rFonts w:ascii="Calibri" w:hAnsi="Calibri" w:cs="Calibri"/>
          <w:lang w:val="fr-FR"/>
        </w:rPr>
        <w:t xml:space="preserve"> MFEP, MSNF, MESRS, MTA, MPS, MF, MIPIPME, MADR, ONS, ONUFEMMES, BIT, PNUD, ONUSIDA, UNICEF, ONUDI et UNFPA.</w:t>
      </w:r>
    </w:p>
  </w:footnote>
  <w:footnote w:id="4">
    <w:p w:rsidR="00E46B31" w:rsidRPr="001D328E" w:rsidRDefault="00E46B31" w:rsidP="005D64A1">
      <w:pPr>
        <w:pStyle w:val="FootnoteText"/>
        <w:jc w:val="both"/>
        <w:rPr>
          <w:rFonts w:ascii="Calibri" w:hAnsi="Calibri" w:cs="Calibri"/>
          <w:lang w:val="fr-FR"/>
        </w:rPr>
      </w:pPr>
      <w:r w:rsidRPr="001D328E">
        <w:rPr>
          <w:rStyle w:val="FootnoteReference"/>
          <w:rFonts w:ascii="Calibri" w:hAnsi="Calibri" w:cs="Calibri"/>
        </w:rPr>
        <w:footnoteRef/>
      </w:r>
      <w:r w:rsidRPr="001D328E">
        <w:rPr>
          <w:rFonts w:ascii="Calibri" w:hAnsi="Calibri" w:cs="Calibri"/>
          <w:lang w:val="fr-FR"/>
        </w:rPr>
        <w:t xml:space="preserve"> </w:t>
      </w:r>
      <w:r>
        <w:rPr>
          <w:rFonts w:ascii="Calibri" w:hAnsi="Calibri" w:cs="Calibri"/>
          <w:lang w:val="fr-FR"/>
        </w:rPr>
        <w:t>De</w:t>
      </w:r>
      <w:r w:rsidRPr="001D328E">
        <w:rPr>
          <w:rFonts w:ascii="Calibri" w:hAnsi="Calibri" w:cs="Calibri"/>
          <w:lang w:val="fr-FR"/>
        </w:rPr>
        <w:t>puis</w:t>
      </w:r>
      <w:r>
        <w:rPr>
          <w:rFonts w:ascii="Calibri" w:hAnsi="Calibri" w:cs="Calibri"/>
          <w:lang w:val="fr-FR"/>
        </w:rPr>
        <w:t xml:space="preserve"> le 11 janvier 2011, </w:t>
      </w:r>
      <w:r w:rsidRPr="001D328E">
        <w:rPr>
          <w:rFonts w:ascii="Calibri" w:hAnsi="Calibri" w:cs="Calibri"/>
          <w:lang w:val="fr-FR"/>
        </w:rPr>
        <w:t>le Soudan a perdu une partie de son territoire suite à l’indépendance du Soudan du Sud.</w:t>
      </w:r>
    </w:p>
  </w:footnote>
  <w:footnote w:id="5">
    <w:p w:rsidR="00E46B31" w:rsidRPr="0061225E" w:rsidRDefault="00E46B31" w:rsidP="0031650C">
      <w:pPr>
        <w:pStyle w:val="FootnoteText"/>
        <w:rPr>
          <w:rFonts w:ascii="Calibri" w:hAnsi="Calibri" w:cs="Calibri"/>
          <w:lang w:val="fr-FR"/>
        </w:rPr>
      </w:pPr>
      <w:r w:rsidRPr="0061225E">
        <w:rPr>
          <w:rStyle w:val="FootnoteReference"/>
          <w:rFonts w:ascii="Calibri" w:hAnsi="Calibri" w:cs="Calibri"/>
        </w:rPr>
        <w:footnoteRef/>
      </w:r>
      <w:r w:rsidRPr="0061225E">
        <w:rPr>
          <w:rFonts w:ascii="Calibri" w:hAnsi="Calibri" w:cs="Calibri"/>
          <w:lang w:val="fr-FR"/>
        </w:rPr>
        <w:t xml:space="preserve"> 5</w:t>
      </w:r>
      <w:r w:rsidRPr="0061225E">
        <w:rPr>
          <w:rFonts w:ascii="Calibri" w:hAnsi="Calibri" w:cs="Calibri"/>
          <w:vertAlign w:val="superscript"/>
          <w:lang w:val="fr-FR"/>
        </w:rPr>
        <w:t>ème</w:t>
      </w:r>
      <w:r w:rsidRPr="0061225E">
        <w:rPr>
          <w:rFonts w:ascii="Calibri" w:hAnsi="Calibri" w:cs="Calibri"/>
          <w:lang w:val="fr-FR"/>
        </w:rPr>
        <w:t xml:space="preserve"> producteur et 4</w:t>
      </w:r>
      <w:r w:rsidRPr="0061225E">
        <w:rPr>
          <w:rFonts w:ascii="Calibri" w:hAnsi="Calibri" w:cs="Calibri"/>
          <w:vertAlign w:val="superscript"/>
          <w:lang w:val="fr-FR"/>
        </w:rPr>
        <w:t>ème</w:t>
      </w:r>
      <w:r w:rsidRPr="0061225E">
        <w:rPr>
          <w:rFonts w:ascii="Calibri" w:hAnsi="Calibri" w:cs="Calibri"/>
          <w:lang w:val="fr-FR"/>
        </w:rPr>
        <w:t xml:space="preserve"> exportateur </w:t>
      </w:r>
    </w:p>
  </w:footnote>
  <w:footnote w:id="6">
    <w:p w:rsidR="00E46B31" w:rsidRPr="0061225E" w:rsidRDefault="00E46B31" w:rsidP="0031650C">
      <w:pPr>
        <w:pStyle w:val="FootnoteText"/>
        <w:rPr>
          <w:rFonts w:ascii="Calibri" w:hAnsi="Calibri" w:cs="Calibri"/>
          <w:lang w:val="fr-FR"/>
        </w:rPr>
      </w:pPr>
      <w:r w:rsidRPr="0061225E">
        <w:rPr>
          <w:rStyle w:val="FootnoteReference"/>
          <w:rFonts w:ascii="Calibri" w:hAnsi="Calibri" w:cs="Calibri"/>
        </w:rPr>
        <w:footnoteRef/>
      </w:r>
      <w:r w:rsidRPr="0061225E">
        <w:rPr>
          <w:rFonts w:ascii="Calibri" w:hAnsi="Calibri" w:cs="Calibri"/>
          <w:lang w:val="fr-FR"/>
        </w:rPr>
        <w:t xml:space="preserve"> 13</w:t>
      </w:r>
      <w:r w:rsidRPr="0061225E">
        <w:rPr>
          <w:rFonts w:ascii="Calibri" w:hAnsi="Calibri" w:cs="Calibri"/>
          <w:vertAlign w:val="superscript"/>
          <w:lang w:val="fr-FR"/>
        </w:rPr>
        <w:t>ème</w:t>
      </w:r>
      <w:r w:rsidRPr="0061225E">
        <w:rPr>
          <w:rFonts w:ascii="Calibri" w:hAnsi="Calibri" w:cs="Calibri"/>
          <w:lang w:val="fr-FR"/>
        </w:rPr>
        <w:t xml:space="preserve">  producteur et 9</w:t>
      </w:r>
      <w:r w:rsidRPr="0061225E">
        <w:rPr>
          <w:rFonts w:ascii="Calibri" w:hAnsi="Calibri" w:cs="Calibri"/>
          <w:vertAlign w:val="superscript"/>
          <w:lang w:val="fr-FR"/>
        </w:rPr>
        <w:t>ème</w:t>
      </w:r>
      <w:r>
        <w:rPr>
          <w:rFonts w:ascii="Calibri" w:hAnsi="Calibri" w:cs="Calibri"/>
          <w:lang w:val="fr-FR"/>
        </w:rPr>
        <w:t xml:space="preserve">  exportateur mondial</w:t>
      </w:r>
    </w:p>
  </w:footnote>
  <w:footnote w:id="7">
    <w:p w:rsidR="00E46B31" w:rsidRPr="0061225E" w:rsidRDefault="00E46B31" w:rsidP="0031650C">
      <w:pPr>
        <w:pStyle w:val="FootnoteText"/>
        <w:rPr>
          <w:rFonts w:ascii="Calibri" w:hAnsi="Calibri" w:cs="Calibri"/>
          <w:i/>
          <w:lang w:val="fr-FR"/>
        </w:rPr>
      </w:pPr>
      <w:r w:rsidRPr="0061225E">
        <w:rPr>
          <w:rStyle w:val="FootnoteReference"/>
          <w:rFonts w:ascii="Calibri" w:hAnsi="Calibri" w:cs="Calibri"/>
        </w:rPr>
        <w:footnoteRef/>
      </w:r>
      <w:r w:rsidRPr="0061225E">
        <w:rPr>
          <w:rFonts w:ascii="Calibri" w:hAnsi="Calibri" w:cs="Calibri"/>
          <w:lang w:val="fr-FR"/>
        </w:rPr>
        <w:t xml:space="preserve"> </w:t>
      </w:r>
      <w:r w:rsidRPr="0061225E">
        <w:rPr>
          <w:rFonts w:ascii="Calibri" w:hAnsi="Calibri" w:cs="Calibri"/>
          <w:i/>
          <w:lang w:val="fr-FR"/>
        </w:rPr>
        <w:t>2</w:t>
      </w:r>
      <w:r w:rsidRPr="0061225E">
        <w:rPr>
          <w:rFonts w:ascii="Calibri" w:hAnsi="Calibri" w:cs="Calibri"/>
          <w:i/>
          <w:vertAlign w:val="superscript"/>
          <w:lang w:val="fr-FR"/>
        </w:rPr>
        <w:t>ème</w:t>
      </w:r>
      <w:r w:rsidRPr="0061225E">
        <w:rPr>
          <w:rFonts w:ascii="Calibri" w:hAnsi="Calibri" w:cs="Calibri"/>
          <w:i/>
          <w:lang w:val="fr-FR"/>
        </w:rPr>
        <w:t xml:space="preserve"> Rapport national sur les OMD, Gouvernement Algérien, Septembre 2010.</w:t>
      </w:r>
    </w:p>
  </w:footnote>
  <w:footnote w:id="8">
    <w:p w:rsidR="00E46B31" w:rsidRPr="005C3DA1" w:rsidRDefault="00E46B31" w:rsidP="0031650C">
      <w:pPr>
        <w:pStyle w:val="FootnoteText"/>
        <w:rPr>
          <w:rFonts w:ascii="Calibri" w:hAnsi="Calibri" w:cs="Calibri"/>
          <w:lang w:val="fr-FR"/>
        </w:rPr>
      </w:pPr>
      <w:r w:rsidRPr="005C3DA1">
        <w:rPr>
          <w:rStyle w:val="FootnoteReference"/>
          <w:rFonts w:ascii="Calibri" w:hAnsi="Calibri" w:cs="Calibri"/>
        </w:rPr>
        <w:footnoteRef/>
      </w:r>
      <w:r w:rsidRPr="005C3DA1">
        <w:rPr>
          <w:rFonts w:ascii="Calibri" w:hAnsi="Calibri" w:cs="Calibri"/>
          <w:lang w:val="fr-FR"/>
        </w:rPr>
        <w:t xml:space="preserve"> Source : </w:t>
      </w:r>
      <w:r w:rsidRPr="005C3DA1">
        <w:rPr>
          <w:rFonts w:ascii="Calibri" w:hAnsi="Calibri" w:cs="Calibri"/>
          <w:i/>
          <w:lang w:val="fr-FR"/>
        </w:rPr>
        <w:t xml:space="preserve">Bilan Commun de Pays (2007-2011), </w:t>
      </w:r>
      <w:r>
        <w:rPr>
          <w:rFonts w:ascii="Calibri" w:hAnsi="Calibri" w:cs="Calibri"/>
          <w:i/>
          <w:lang w:val="fr-FR"/>
        </w:rPr>
        <w:t>Système des Nations Unis,</w:t>
      </w:r>
      <w:r w:rsidRPr="005C3DA1">
        <w:rPr>
          <w:rFonts w:ascii="Calibri" w:hAnsi="Calibri" w:cs="Calibri"/>
          <w:i/>
          <w:lang w:val="fr-FR"/>
        </w:rPr>
        <w:t xml:space="preserve"> Septembre 2005</w:t>
      </w:r>
    </w:p>
  </w:footnote>
  <w:footnote w:id="9">
    <w:p w:rsidR="00E46B31" w:rsidRPr="0061225E" w:rsidRDefault="00E46B31" w:rsidP="0031650C">
      <w:pPr>
        <w:pStyle w:val="FootnoteText"/>
        <w:rPr>
          <w:rFonts w:ascii="Calibri" w:hAnsi="Calibri" w:cs="Calibri"/>
          <w:lang w:val="fr-FR"/>
        </w:rPr>
      </w:pPr>
      <w:r w:rsidRPr="0061225E">
        <w:rPr>
          <w:rStyle w:val="FootnoteReference"/>
          <w:rFonts w:ascii="Calibri" w:hAnsi="Calibri" w:cs="Calibri"/>
        </w:rPr>
        <w:footnoteRef/>
      </w:r>
      <w:r w:rsidRPr="0061225E">
        <w:rPr>
          <w:rFonts w:ascii="Calibri" w:hAnsi="Calibri" w:cs="Calibri"/>
          <w:lang w:val="fr-FR"/>
        </w:rPr>
        <w:t xml:space="preserve"> Idem</w:t>
      </w:r>
    </w:p>
  </w:footnote>
  <w:footnote w:id="10">
    <w:p w:rsidR="00E46B31" w:rsidRPr="00344C9F" w:rsidRDefault="00E46B31" w:rsidP="0031650C">
      <w:pPr>
        <w:pStyle w:val="FootnoteText"/>
        <w:jc w:val="both"/>
        <w:rPr>
          <w:rFonts w:ascii="Calibri" w:hAnsi="Calibri" w:cs="Calibri"/>
          <w:lang w:val="fr-FR"/>
        </w:rPr>
      </w:pPr>
      <w:r w:rsidRPr="00344C9F">
        <w:rPr>
          <w:rStyle w:val="FootnoteReference"/>
          <w:rFonts w:ascii="Calibri" w:hAnsi="Calibri" w:cs="Calibri"/>
        </w:rPr>
        <w:footnoteRef/>
      </w:r>
      <w:r w:rsidRPr="00344C9F">
        <w:rPr>
          <w:rFonts w:ascii="Calibri" w:hAnsi="Calibri" w:cs="Calibri"/>
          <w:lang w:val="fr-FR"/>
        </w:rPr>
        <w:t xml:space="preserve"> Données 2008. Cet indice combine quatre données : la probabilité à la naissance de décéder avant 40 ans ; le taux d’analphabétisme des adultes ; le % de la population privée d’accès à une source d’eau améliorée ; le % d’enfants de moins de 5 ans souffrant d’insuffisance pondérale.</w:t>
      </w:r>
    </w:p>
  </w:footnote>
  <w:footnote w:id="11">
    <w:p w:rsidR="00E46B31" w:rsidRPr="0061225E" w:rsidRDefault="00E46B31" w:rsidP="0031650C">
      <w:pPr>
        <w:pStyle w:val="FootnoteText"/>
        <w:rPr>
          <w:rFonts w:ascii="Calibri" w:hAnsi="Calibri" w:cs="Calibri"/>
          <w:lang w:val="fr-FR"/>
        </w:rPr>
      </w:pPr>
      <w:r w:rsidRPr="0061225E">
        <w:rPr>
          <w:rStyle w:val="FootnoteReference"/>
          <w:rFonts w:ascii="Calibri" w:hAnsi="Calibri" w:cs="Calibri"/>
        </w:rPr>
        <w:footnoteRef/>
      </w:r>
      <w:r w:rsidRPr="0061225E">
        <w:rPr>
          <w:rFonts w:ascii="Calibri" w:hAnsi="Calibri" w:cs="Calibri"/>
          <w:lang w:val="fr-FR"/>
        </w:rPr>
        <w:t xml:space="preserve"> Soit 99,5 décès pour cent mille naissances vivantes en 2004, contre 117,4 en 1999.</w:t>
      </w:r>
    </w:p>
  </w:footnote>
  <w:footnote w:id="12">
    <w:p w:rsidR="00E46B31" w:rsidRPr="0013473B" w:rsidRDefault="00E46B31" w:rsidP="0031650C">
      <w:pPr>
        <w:pStyle w:val="FootnoteText"/>
        <w:rPr>
          <w:rFonts w:asciiTheme="minorHAnsi" w:hAnsiTheme="minorHAnsi" w:cstheme="minorHAnsi"/>
          <w:lang w:val="fr-FR"/>
        </w:rPr>
      </w:pPr>
      <w:r w:rsidRPr="0013473B">
        <w:rPr>
          <w:rStyle w:val="FootnoteReference"/>
          <w:rFonts w:asciiTheme="minorHAnsi" w:hAnsiTheme="minorHAnsi" w:cstheme="minorHAnsi"/>
        </w:rPr>
        <w:footnoteRef/>
      </w:r>
      <w:r w:rsidRPr="0013473B">
        <w:rPr>
          <w:rFonts w:asciiTheme="minorHAnsi" w:hAnsiTheme="minorHAnsi" w:cstheme="minorHAnsi"/>
          <w:lang w:val="fr-FR"/>
        </w:rPr>
        <w:t xml:space="preserve"> Enquête réalisée en 2006 portant sur 176 communes les plus pauvres du pays identifiée par la carte de la pauvreté établie en l’an 2000.</w:t>
      </w:r>
    </w:p>
  </w:footnote>
  <w:footnote w:id="13">
    <w:p w:rsidR="00E46B31" w:rsidRPr="0013473B" w:rsidRDefault="00E46B31" w:rsidP="0013473B">
      <w:pPr>
        <w:pStyle w:val="FootnoteText"/>
        <w:jc w:val="both"/>
        <w:rPr>
          <w:rFonts w:asciiTheme="minorHAnsi" w:hAnsiTheme="minorHAnsi" w:cstheme="minorHAnsi"/>
          <w:lang w:val="fr-FR"/>
        </w:rPr>
      </w:pPr>
      <w:r w:rsidRPr="0013473B">
        <w:rPr>
          <w:rStyle w:val="FootnoteReference"/>
          <w:rFonts w:asciiTheme="minorHAnsi" w:hAnsiTheme="minorHAnsi" w:cstheme="minorHAnsi"/>
        </w:rPr>
        <w:footnoteRef/>
      </w:r>
      <w:r w:rsidRPr="0013473B">
        <w:rPr>
          <w:rFonts w:asciiTheme="minorHAnsi" w:hAnsiTheme="minorHAnsi" w:cstheme="minorHAnsi"/>
          <w:lang w:val="fr-FR"/>
        </w:rPr>
        <w:t xml:space="preserve"> L’appellation de cet organe peut prêter à confusion. Il s’agit en fait d’un Observatoire logé à la Société Nationale pour la Recherche, la Production, le Transport, la Transformation, et la Commercialisation des Hydrocarbures (Sonatrach), société de l’Etat Algérien et la plus importante compagnie du pays employant quelques 120.000 personnes et participant à hauteur de 30% à la formation du PNB. </w:t>
      </w:r>
    </w:p>
  </w:footnote>
  <w:footnote w:id="14">
    <w:p w:rsidR="00E46B31" w:rsidRPr="0061225E" w:rsidRDefault="00E46B31" w:rsidP="0031650C">
      <w:pPr>
        <w:pStyle w:val="FootnoteText"/>
        <w:jc w:val="both"/>
        <w:rPr>
          <w:rFonts w:ascii="Calibri" w:hAnsi="Calibri" w:cs="Calibri"/>
          <w:lang w:val="fr-FR"/>
        </w:rPr>
      </w:pPr>
      <w:r w:rsidRPr="0061225E">
        <w:rPr>
          <w:rStyle w:val="FootnoteReference"/>
          <w:rFonts w:ascii="Calibri" w:hAnsi="Calibri" w:cs="Calibri"/>
        </w:rPr>
        <w:footnoteRef/>
      </w:r>
      <w:r w:rsidRPr="0061225E">
        <w:rPr>
          <w:rFonts w:ascii="Calibri" w:hAnsi="Calibri" w:cs="Calibri"/>
          <w:lang w:val="fr-FR"/>
        </w:rPr>
        <w:t xml:space="preserve"> Le Résident Coordonnateur en charge au moment de l’attentat fut démis de ses fonctions et transféré peu de temps après l’attentat. </w:t>
      </w:r>
    </w:p>
  </w:footnote>
  <w:footnote w:id="15">
    <w:p w:rsidR="00E46B31" w:rsidRPr="0061225E" w:rsidRDefault="00E46B31" w:rsidP="0031650C">
      <w:pPr>
        <w:pStyle w:val="FootnoteText"/>
        <w:jc w:val="both"/>
        <w:rPr>
          <w:rFonts w:ascii="Calibri" w:hAnsi="Calibri" w:cs="Calibri"/>
          <w:lang w:val="fr-FR"/>
        </w:rPr>
      </w:pPr>
      <w:r w:rsidRPr="0061225E">
        <w:rPr>
          <w:rStyle w:val="FootnoteReference"/>
          <w:rFonts w:ascii="Calibri" w:hAnsi="Calibri" w:cs="Calibri"/>
        </w:rPr>
        <w:footnoteRef/>
      </w:r>
      <w:r w:rsidRPr="0061225E">
        <w:rPr>
          <w:rFonts w:ascii="Calibri" w:hAnsi="Calibri" w:cs="Calibri"/>
          <w:lang w:val="fr-FR"/>
        </w:rPr>
        <w:t xml:space="preserve"> Le “</w:t>
      </w:r>
      <w:r w:rsidRPr="0061225E">
        <w:rPr>
          <w:rFonts w:ascii="Calibri" w:hAnsi="Calibri" w:cs="Calibri"/>
          <w:i/>
          <w:lang w:val="fr-FR"/>
        </w:rPr>
        <w:t>Report of the independent panel on safety and security of UN personnel and premises worldwide</w:t>
      </w:r>
      <w:r w:rsidRPr="0061225E">
        <w:rPr>
          <w:rFonts w:ascii="Calibri" w:hAnsi="Calibri" w:cs="Calibri"/>
          <w:lang w:val="fr-FR"/>
        </w:rPr>
        <w:t>” de 2008, note que le recrutement tardif d’un nouveau Résident Coordonnateur, dans une période de capacité réduite du système des Nations Unies et alors que l’équipe de pays était traumatisée, a causé une grande frustration et un sentiment d’abandon au sein du personnel local. Le rapport note également l’absence d’un appui effectif du siège des Nations Unies (</w:t>
      </w:r>
      <w:r w:rsidRPr="0061225E">
        <w:rPr>
          <w:rFonts w:ascii="Calibri" w:hAnsi="Calibri" w:cs="Calibri"/>
          <w:i/>
          <w:lang w:val="fr-FR"/>
        </w:rPr>
        <w:t>UN Development Group</w:t>
      </w:r>
      <w:r w:rsidRPr="0061225E">
        <w:rPr>
          <w:rFonts w:ascii="Calibri" w:hAnsi="Calibri" w:cs="Calibri"/>
          <w:lang w:val="fr-FR"/>
        </w:rPr>
        <w:t>), notamment au niveau de la gestion de la crise, au-delà de l’appui immédiatement déployé après l’attaque.</w:t>
      </w:r>
    </w:p>
  </w:footnote>
  <w:footnote w:id="16">
    <w:p w:rsidR="00E46B31" w:rsidRPr="009A11BD" w:rsidRDefault="00E46B31" w:rsidP="0031650C">
      <w:pPr>
        <w:pStyle w:val="FootnoteText"/>
        <w:rPr>
          <w:rFonts w:ascii="Calibri" w:hAnsi="Calibri" w:cs="Calibri"/>
          <w:sz w:val="18"/>
          <w:szCs w:val="18"/>
          <w:lang w:val="fr-FR"/>
        </w:rPr>
      </w:pPr>
      <w:r w:rsidRPr="0061225E">
        <w:rPr>
          <w:rStyle w:val="FootnoteReference"/>
          <w:rFonts w:ascii="Calibri" w:hAnsi="Calibri" w:cs="Calibri"/>
          <w:sz w:val="18"/>
          <w:szCs w:val="18"/>
        </w:rPr>
        <w:footnoteRef/>
      </w:r>
      <w:r w:rsidRPr="0061225E">
        <w:rPr>
          <w:rFonts w:ascii="Calibri" w:hAnsi="Calibri" w:cs="Calibri"/>
          <w:sz w:val="18"/>
          <w:szCs w:val="18"/>
          <w:lang w:val="fr-FR"/>
        </w:rPr>
        <w:t xml:space="preserve"> Signé en octobre 2009 par le Ministre de la planification et de la coopération extérieure et les représentants du PNUD, de l’UNESCO, de l’UNIFEM, du FNUAP et de l’OIM</w:t>
      </w:r>
    </w:p>
  </w:footnote>
  <w:footnote w:id="17">
    <w:p w:rsidR="00E46B31" w:rsidRPr="007C75FB" w:rsidRDefault="00E46B31">
      <w:pPr>
        <w:pStyle w:val="FootnoteText"/>
        <w:rPr>
          <w:rFonts w:asciiTheme="minorHAnsi" w:hAnsiTheme="minorHAnsi" w:cstheme="minorHAnsi"/>
          <w:lang w:val="fr-FR"/>
        </w:rPr>
      </w:pPr>
      <w:r w:rsidRPr="007C75FB">
        <w:rPr>
          <w:rStyle w:val="FootnoteReference"/>
          <w:rFonts w:asciiTheme="minorHAnsi" w:hAnsiTheme="minorHAnsi" w:cstheme="minorHAnsi"/>
        </w:rPr>
        <w:footnoteRef/>
      </w:r>
      <w:r w:rsidRPr="007C75FB">
        <w:rPr>
          <w:rFonts w:asciiTheme="minorHAnsi" w:hAnsiTheme="minorHAnsi" w:cstheme="minorHAnsi"/>
          <w:lang w:val="fr-FR"/>
        </w:rPr>
        <w:t xml:space="preserve"> Voir </w:t>
      </w:r>
      <w:r>
        <w:rPr>
          <w:rFonts w:asciiTheme="minorHAnsi" w:hAnsiTheme="minorHAnsi" w:cstheme="minorHAnsi"/>
          <w:lang w:val="fr-FR"/>
        </w:rPr>
        <w:t>conclusions sur la</w:t>
      </w:r>
      <w:r w:rsidRPr="007C75FB">
        <w:rPr>
          <w:rFonts w:asciiTheme="minorHAnsi" w:hAnsiTheme="minorHAnsi" w:cstheme="minorHAnsi"/>
          <w:lang w:val="fr-FR"/>
        </w:rPr>
        <w:t xml:space="preserve"> conception du programme</w:t>
      </w:r>
      <w:r>
        <w:rPr>
          <w:rFonts w:asciiTheme="minorHAnsi" w:hAnsiTheme="minorHAnsi" w:cstheme="minorHAnsi"/>
          <w:lang w:val="fr-FR"/>
        </w:rPr>
        <w:t xml:space="preserve"> et la clarté de l’objectif global au chapitre III</w:t>
      </w:r>
      <w:r w:rsidRPr="007C75FB">
        <w:rPr>
          <w:rFonts w:asciiTheme="minorHAnsi" w:hAnsiTheme="minorHAnsi" w:cstheme="minorHAnsi"/>
          <w:lang w:val="fr-FR"/>
        </w:rPr>
        <w:t>.</w:t>
      </w:r>
    </w:p>
  </w:footnote>
  <w:footnote w:id="18">
    <w:p w:rsidR="00E46B31" w:rsidRPr="00A11042" w:rsidRDefault="00E46B31">
      <w:pPr>
        <w:pStyle w:val="FootnoteText"/>
        <w:rPr>
          <w:lang w:val="fr-FR"/>
        </w:rPr>
      </w:pPr>
      <w:r w:rsidRPr="0021739A">
        <w:rPr>
          <w:rStyle w:val="FootnoteReference"/>
          <w:rFonts w:asciiTheme="minorHAnsi" w:hAnsiTheme="minorHAnsi" w:cstheme="minorHAnsi"/>
        </w:rPr>
        <w:footnoteRef/>
      </w:r>
      <w:r w:rsidRPr="0021739A">
        <w:rPr>
          <w:rFonts w:asciiTheme="minorHAnsi" w:hAnsiTheme="minorHAnsi" w:cstheme="minorHAnsi"/>
          <w:lang w:val="fr-FR"/>
        </w:rPr>
        <w:t xml:space="preserve"> Selon la définition de l’OECD-DAC et les définitions du PNUD.</w:t>
      </w:r>
    </w:p>
  </w:footnote>
  <w:footnote w:id="19">
    <w:p w:rsidR="00E46B31" w:rsidRPr="002213EB" w:rsidRDefault="00E46B31">
      <w:pPr>
        <w:pStyle w:val="FootnoteText"/>
        <w:rPr>
          <w:rFonts w:asciiTheme="minorHAnsi" w:hAnsiTheme="minorHAnsi" w:cstheme="minorHAnsi"/>
          <w:lang w:val="fr-FR"/>
        </w:rPr>
      </w:pPr>
      <w:r w:rsidRPr="002213EB">
        <w:rPr>
          <w:rStyle w:val="FootnoteReference"/>
          <w:rFonts w:asciiTheme="minorHAnsi" w:hAnsiTheme="minorHAnsi" w:cstheme="minorHAnsi"/>
        </w:rPr>
        <w:footnoteRef/>
      </w:r>
      <w:r w:rsidRPr="002213EB">
        <w:rPr>
          <w:rFonts w:asciiTheme="minorHAnsi" w:hAnsiTheme="minorHAnsi" w:cstheme="minorHAnsi"/>
          <w:lang w:val="fr-FR"/>
        </w:rPr>
        <w:t xml:space="preserve"> Montant total cumulé a</w:t>
      </w:r>
      <w:r w:rsidRPr="002213EB">
        <w:rPr>
          <w:rFonts w:asciiTheme="minorHAnsi" w:hAnsiTheme="minorHAnsi" w:cstheme="minorHAnsi"/>
          <w:lang w:val="fr-CA"/>
        </w:rPr>
        <w:t>u 31 décembre 2011</w:t>
      </w:r>
    </w:p>
  </w:footnote>
  <w:footnote w:id="20">
    <w:p w:rsidR="00E46B31" w:rsidRPr="00E44983" w:rsidRDefault="00E46B31" w:rsidP="00E44983">
      <w:pPr>
        <w:pStyle w:val="FootnoteText"/>
        <w:jc w:val="both"/>
        <w:rPr>
          <w:rFonts w:asciiTheme="minorHAnsi" w:hAnsiTheme="minorHAnsi" w:cstheme="minorHAnsi"/>
          <w:lang w:val="fr-FR"/>
        </w:rPr>
      </w:pPr>
      <w:r w:rsidRPr="00E44983">
        <w:rPr>
          <w:rStyle w:val="FootnoteReference"/>
          <w:rFonts w:asciiTheme="minorHAnsi" w:hAnsiTheme="minorHAnsi" w:cstheme="minorHAnsi"/>
        </w:rPr>
        <w:footnoteRef/>
      </w:r>
      <w:r w:rsidRPr="00E44983">
        <w:rPr>
          <w:rFonts w:asciiTheme="minorHAnsi" w:hAnsiTheme="minorHAnsi" w:cstheme="minorHAnsi"/>
          <w:lang w:val="fr-FR"/>
        </w:rPr>
        <w:t xml:space="preserve"> </w:t>
      </w:r>
      <w:r w:rsidRPr="00E44983">
        <w:rPr>
          <w:rFonts w:asciiTheme="minorHAnsi" w:hAnsiTheme="minorHAnsi" w:cstheme="minorHAnsi"/>
          <w:lang w:val="fr-CA"/>
        </w:rPr>
        <w:t>L’argument dans le choix initial des deux premiers ministères était le fort taux de féminisation du personnel de ces deux ministères.</w:t>
      </w:r>
    </w:p>
  </w:footnote>
  <w:footnote w:id="21">
    <w:p w:rsidR="00E46B31" w:rsidRPr="00E44983" w:rsidRDefault="00E46B31" w:rsidP="00E44983">
      <w:pPr>
        <w:pStyle w:val="FootnoteText"/>
        <w:jc w:val="both"/>
        <w:rPr>
          <w:rFonts w:asciiTheme="minorHAnsi" w:hAnsiTheme="minorHAnsi" w:cstheme="minorHAnsi"/>
          <w:lang w:val="fr-FR"/>
        </w:rPr>
      </w:pPr>
      <w:r w:rsidRPr="00E44983">
        <w:rPr>
          <w:rStyle w:val="FootnoteReference"/>
          <w:rFonts w:asciiTheme="minorHAnsi" w:hAnsiTheme="minorHAnsi" w:cstheme="minorHAnsi"/>
        </w:rPr>
        <w:footnoteRef/>
      </w:r>
      <w:r w:rsidRPr="00E44983">
        <w:rPr>
          <w:rFonts w:asciiTheme="minorHAnsi" w:hAnsiTheme="minorHAnsi" w:cstheme="minorHAnsi"/>
          <w:lang w:val="fr-FR"/>
        </w:rPr>
        <w:t xml:space="preserve"> </w:t>
      </w:r>
      <w:r>
        <w:rPr>
          <w:rFonts w:asciiTheme="minorHAnsi" w:hAnsiTheme="minorHAnsi" w:cstheme="minorHAnsi"/>
          <w:lang w:val="fr-CA"/>
        </w:rPr>
        <w:t>A</w:t>
      </w:r>
      <w:r w:rsidRPr="00E44983">
        <w:rPr>
          <w:rFonts w:asciiTheme="minorHAnsi" w:hAnsiTheme="minorHAnsi" w:cstheme="minorHAnsi"/>
          <w:lang w:val="fr-CA"/>
        </w:rPr>
        <w:t>u motif que ces ministères sont chargés de secteurs plus pertinents par rapport à la problématique de l’emploi et de l’autonomisation des femmes (la PME, l’artisanat), ou qu’ils auraient initié des actions en direction des femmes (MADR) ou, enfin, qu’ils auraient un effectif de personnel féminin plus élevé que la moyenne (MTESS).</w:t>
      </w:r>
    </w:p>
  </w:footnote>
  <w:footnote w:id="22">
    <w:p w:rsidR="00E46B31" w:rsidRPr="00910849" w:rsidRDefault="00E46B31" w:rsidP="00E44983">
      <w:pPr>
        <w:pStyle w:val="FootnoteText"/>
        <w:jc w:val="both"/>
        <w:rPr>
          <w:rFonts w:asciiTheme="minorHAnsi" w:hAnsiTheme="minorHAnsi" w:cstheme="minorHAnsi"/>
          <w:lang w:val="fr-FR"/>
        </w:rPr>
      </w:pPr>
      <w:r w:rsidRPr="00E44983">
        <w:rPr>
          <w:rStyle w:val="FootnoteReference"/>
          <w:rFonts w:asciiTheme="minorHAnsi" w:hAnsiTheme="minorHAnsi" w:cstheme="minorHAnsi"/>
        </w:rPr>
        <w:footnoteRef/>
      </w:r>
      <w:r w:rsidRPr="00E44983">
        <w:rPr>
          <w:rFonts w:asciiTheme="minorHAnsi" w:hAnsiTheme="minorHAnsi" w:cstheme="minorHAnsi"/>
          <w:lang w:val="fr-FR"/>
        </w:rPr>
        <w:t xml:space="preserve"> Comme en atteste la première version de l’Appel à manifestation d’intérêt</w:t>
      </w:r>
    </w:p>
  </w:footnote>
  <w:footnote w:id="23">
    <w:p w:rsidR="00E46B31" w:rsidRPr="000B6DB2" w:rsidRDefault="00E46B31" w:rsidP="000B6DB2">
      <w:pPr>
        <w:pStyle w:val="FootnoteText"/>
        <w:jc w:val="both"/>
        <w:rPr>
          <w:rFonts w:asciiTheme="minorHAnsi" w:hAnsiTheme="minorHAnsi" w:cstheme="minorHAnsi"/>
          <w:lang w:val="fr-FR"/>
        </w:rPr>
      </w:pPr>
      <w:r w:rsidRPr="000B6DB2">
        <w:rPr>
          <w:rStyle w:val="FootnoteReference"/>
          <w:rFonts w:asciiTheme="minorHAnsi" w:hAnsiTheme="minorHAnsi" w:cstheme="minorHAnsi"/>
        </w:rPr>
        <w:footnoteRef/>
      </w:r>
      <w:r w:rsidRPr="000B6DB2">
        <w:rPr>
          <w:rFonts w:asciiTheme="minorHAnsi" w:hAnsiTheme="minorHAnsi" w:cstheme="minorHAnsi"/>
          <w:lang w:val="fr-FR"/>
        </w:rPr>
        <w:t xml:space="preserve"> Les 11 objectifs spécifiques définis peuvent se classer en deux catégories : ceux visant à la meilleure compréhension de la mesure dans laquelle les programmes et politiques du ministère intègre l’approche genre et leur permettent de bien appuyer les femmes Algériennes ; et ceux visant à comprendre la façon dont le ministère a introduit des mesures et systèmes internes permettant l’égalité des chances au niveau de l’accès à l’emploi au sein du ministère et de la promotion de son personnel féminin.</w:t>
      </w:r>
    </w:p>
  </w:footnote>
  <w:footnote w:id="24">
    <w:p w:rsidR="00E46B31" w:rsidRPr="00797453" w:rsidRDefault="00E46B31" w:rsidP="00737BDE">
      <w:pPr>
        <w:pStyle w:val="FootnoteText"/>
        <w:rPr>
          <w:lang w:val="fr-FR"/>
        </w:rPr>
      </w:pPr>
      <w:r>
        <w:rPr>
          <w:rStyle w:val="FootnoteReference"/>
        </w:rPr>
        <w:footnoteRef/>
      </w:r>
      <w:r w:rsidRPr="00797453">
        <w:rPr>
          <w:lang w:val="fr-FR"/>
        </w:rPr>
        <w:t xml:space="preserve"> </w:t>
      </w:r>
      <w:r>
        <w:rPr>
          <w:lang w:val="fr-FR"/>
        </w:rPr>
        <w:t xml:space="preserve"> </w:t>
      </w:r>
      <w:r>
        <w:rPr>
          <w:rFonts w:asciiTheme="minorHAnsi" w:hAnsiTheme="minorHAnsi" w:cstheme="minorHAnsi"/>
          <w:lang w:val="fr-FR"/>
        </w:rPr>
        <w:t>P</w:t>
      </w:r>
      <w:r w:rsidRPr="00797453">
        <w:rPr>
          <w:rFonts w:asciiTheme="minorHAnsi" w:hAnsiTheme="minorHAnsi" w:cstheme="minorHAnsi"/>
          <w:lang w:val="fr-FR"/>
        </w:rPr>
        <w:t>ar exemple</w:t>
      </w:r>
      <w:r>
        <w:rPr>
          <w:rFonts w:asciiTheme="minorHAnsi" w:hAnsiTheme="minorHAnsi" w:cstheme="minorHAnsi"/>
          <w:lang w:val="fr-FR"/>
        </w:rPr>
        <w:t>,</w:t>
      </w:r>
      <w:r w:rsidRPr="00797453">
        <w:rPr>
          <w:rFonts w:asciiTheme="minorHAnsi" w:hAnsiTheme="minorHAnsi" w:cstheme="minorHAnsi"/>
          <w:lang w:val="fr-FR"/>
        </w:rPr>
        <w:t xml:space="preserve"> on aurait pu nommer l’audit autrement</w:t>
      </w:r>
      <w:r>
        <w:rPr>
          <w:rFonts w:asciiTheme="minorHAnsi" w:hAnsiTheme="minorHAnsi" w:cstheme="minorHAnsi"/>
          <w:lang w:val="fr-FR"/>
        </w:rPr>
        <w:t>,</w:t>
      </w:r>
      <w:r w:rsidRPr="00797453">
        <w:rPr>
          <w:rFonts w:asciiTheme="minorHAnsi" w:hAnsiTheme="minorHAnsi" w:cstheme="minorHAnsi"/>
          <w:lang w:val="fr-FR"/>
        </w:rPr>
        <w:t xml:space="preserve"> lors de la sensibi</w:t>
      </w:r>
      <w:r>
        <w:rPr>
          <w:rFonts w:asciiTheme="minorHAnsi" w:hAnsiTheme="minorHAnsi" w:cstheme="minorHAnsi"/>
          <w:lang w:val="fr-FR"/>
        </w:rPr>
        <w:t>lisation des autres ministères, après avoir réalisé que le terme était mal compris et mal re</w:t>
      </w:r>
      <w:r>
        <w:rPr>
          <w:rFonts w:ascii="Calibri" w:hAnsi="Calibri" w:cs="Calibri"/>
          <w:lang w:val="fr-FR"/>
        </w:rPr>
        <w:t>ç</w:t>
      </w:r>
      <w:r>
        <w:rPr>
          <w:rFonts w:asciiTheme="minorHAnsi" w:hAnsiTheme="minorHAnsi" w:cstheme="minorHAnsi"/>
          <w:lang w:val="fr-FR"/>
        </w:rPr>
        <w:t>u.</w:t>
      </w:r>
    </w:p>
  </w:footnote>
  <w:footnote w:id="25">
    <w:p w:rsidR="00E46B31" w:rsidRPr="000A23E9" w:rsidRDefault="00E46B31" w:rsidP="00737BDE">
      <w:pPr>
        <w:pStyle w:val="FootnoteText"/>
        <w:jc w:val="both"/>
        <w:rPr>
          <w:rFonts w:asciiTheme="minorHAnsi" w:eastAsia="Calibri" w:hAnsiTheme="minorHAnsi" w:cstheme="minorHAnsi"/>
          <w:lang w:val="fr-FR"/>
        </w:rPr>
      </w:pPr>
      <w:r w:rsidRPr="000A23E9">
        <w:rPr>
          <w:rFonts w:asciiTheme="minorHAnsi" w:eastAsia="Calibri" w:hAnsiTheme="minorHAnsi" w:cstheme="minorHAnsi"/>
          <w:lang w:val="fr-FR"/>
        </w:rPr>
        <w:footnoteRef/>
      </w:r>
      <w:r w:rsidRPr="000A23E9">
        <w:rPr>
          <w:rFonts w:asciiTheme="minorHAnsi" w:eastAsia="Calibri" w:hAnsiTheme="minorHAnsi" w:cstheme="minorHAnsi"/>
          <w:lang w:val="fr-FR"/>
        </w:rPr>
        <w:t xml:space="preserve"> Le choix de cet institut est arbitraire</w:t>
      </w:r>
      <w:r>
        <w:rPr>
          <w:rFonts w:asciiTheme="minorHAnsi" w:eastAsia="Calibri" w:hAnsiTheme="minorHAnsi" w:cstheme="minorHAnsi"/>
          <w:lang w:val="fr-FR"/>
        </w:rPr>
        <w:t>. Les responsables de cet institut ont accepté ce principe après avoir été contactés à titre personnel par le Coordonnateur du programme qui semble posséder de nombreux liens dans les entreprises publiques pour avoir longtemps travaillé dans ce secteur.</w:t>
      </w:r>
    </w:p>
  </w:footnote>
  <w:footnote w:id="26">
    <w:p w:rsidR="00E46B31" w:rsidRPr="000313F9" w:rsidRDefault="00E46B31" w:rsidP="00737BDE">
      <w:pPr>
        <w:autoSpaceDE w:val="0"/>
        <w:autoSpaceDN w:val="0"/>
        <w:adjustRightInd w:val="0"/>
        <w:rPr>
          <w:lang w:val="fr-FR"/>
        </w:rPr>
      </w:pPr>
      <w:r>
        <w:rPr>
          <w:rStyle w:val="FootnoteReference"/>
        </w:rPr>
        <w:footnoteRef/>
      </w:r>
      <w:r w:rsidRPr="000313F9">
        <w:rPr>
          <w:lang w:val="fr-FR"/>
        </w:rPr>
        <w:t xml:space="preserve"> </w:t>
      </w:r>
      <w:r>
        <w:rPr>
          <w:rFonts w:asciiTheme="minorHAnsi" w:eastAsia="Calibri" w:hAnsiTheme="minorHAnsi" w:cstheme="minorHAnsi"/>
          <w:sz w:val="20"/>
          <w:szCs w:val="20"/>
          <w:lang w:val="fr-FR"/>
        </w:rPr>
        <w:t>D</w:t>
      </w:r>
      <w:r w:rsidRPr="0081137C">
        <w:rPr>
          <w:rFonts w:asciiTheme="minorHAnsi" w:eastAsia="Calibri" w:hAnsiTheme="minorHAnsi" w:cstheme="minorHAnsi"/>
          <w:sz w:val="20"/>
          <w:szCs w:val="20"/>
          <w:lang w:val="fr-FR"/>
        </w:rPr>
        <w:t>ans le cadre du Programme d’Appui à la mise en œuvre de l’Accord d’Association (P3A) entre</w:t>
      </w:r>
      <w:r>
        <w:rPr>
          <w:rFonts w:asciiTheme="minorHAnsi" w:eastAsia="Calibri" w:hAnsiTheme="minorHAnsi" w:cstheme="minorHAnsi"/>
          <w:sz w:val="20"/>
          <w:szCs w:val="20"/>
          <w:lang w:val="fr-FR"/>
        </w:rPr>
        <w:t xml:space="preserve"> </w:t>
      </w:r>
      <w:r w:rsidRPr="0081137C">
        <w:rPr>
          <w:rFonts w:asciiTheme="minorHAnsi" w:eastAsia="Calibri" w:hAnsiTheme="minorHAnsi" w:cstheme="minorHAnsi"/>
          <w:sz w:val="20"/>
          <w:szCs w:val="20"/>
          <w:lang w:val="fr-FR"/>
        </w:rPr>
        <w:t xml:space="preserve">l’Algérie et </w:t>
      </w:r>
      <w:r>
        <w:rPr>
          <w:rFonts w:asciiTheme="minorHAnsi" w:eastAsia="Calibri" w:hAnsiTheme="minorHAnsi" w:cstheme="minorHAnsi"/>
          <w:sz w:val="20"/>
          <w:szCs w:val="20"/>
          <w:lang w:val="fr-FR"/>
        </w:rPr>
        <w:t xml:space="preserve">de </w:t>
      </w:r>
      <w:r w:rsidRPr="0081137C">
        <w:rPr>
          <w:rFonts w:asciiTheme="minorHAnsi" w:eastAsia="Calibri" w:hAnsiTheme="minorHAnsi" w:cstheme="minorHAnsi"/>
          <w:sz w:val="20"/>
          <w:szCs w:val="20"/>
          <w:lang w:val="fr-FR"/>
        </w:rPr>
        <w:t>l’Union européenne</w:t>
      </w:r>
      <w:r w:rsidRPr="000344AB">
        <w:rPr>
          <w:rFonts w:ascii="Trebuchet MS" w:eastAsia="Calibri" w:hAnsi="Trebuchet MS" w:cs="Trebuchet MS"/>
          <w:lang w:val="fr-FR"/>
        </w:rPr>
        <w:t>.</w:t>
      </w:r>
    </w:p>
  </w:footnote>
  <w:footnote w:id="27">
    <w:p w:rsidR="00E46B31" w:rsidRPr="000344AB" w:rsidRDefault="00E46B31" w:rsidP="00737BDE">
      <w:pPr>
        <w:pStyle w:val="FootnoteText"/>
        <w:jc w:val="both"/>
        <w:rPr>
          <w:rFonts w:asciiTheme="minorHAnsi" w:hAnsiTheme="minorHAnsi" w:cstheme="minorHAnsi"/>
          <w:lang w:val="fr-FR"/>
        </w:rPr>
      </w:pPr>
      <w:r w:rsidRPr="000344AB">
        <w:rPr>
          <w:rStyle w:val="FootnoteReference"/>
          <w:rFonts w:asciiTheme="minorHAnsi" w:hAnsiTheme="minorHAnsi" w:cstheme="minorHAnsi"/>
        </w:rPr>
        <w:footnoteRef/>
      </w:r>
      <w:r w:rsidRPr="000344AB">
        <w:rPr>
          <w:rFonts w:asciiTheme="minorHAnsi" w:hAnsiTheme="minorHAnsi" w:cstheme="minorHAnsi"/>
          <w:lang w:val="fr-FR"/>
        </w:rPr>
        <w:t xml:space="preserve"> En provenance des ministères de la Moyenne entreprise et de la promotion de l’investissement, de la Solidarité et de la famille, de la Jeunesse et des sports ; du Tourisme et de l’artisanat, de l’Agriculture et du développement rural, et du MDCFCF ; du Conseil National Economique et Social ; du Programme Commun pour l’Egalité et Autonomisation des Femmes ;  d’</w:t>
      </w:r>
      <w:r>
        <w:rPr>
          <w:rFonts w:asciiTheme="minorHAnsi" w:hAnsiTheme="minorHAnsi" w:cstheme="minorHAnsi"/>
          <w:lang w:val="fr-FR"/>
        </w:rPr>
        <w:t>ONUFEMMES.</w:t>
      </w:r>
    </w:p>
    <w:p w:rsidR="00E46B31" w:rsidRPr="000344AB" w:rsidRDefault="00E46B31" w:rsidP="00737BDE">
      <w:pPr>
        <w:pStyle w:val="FootnoteText"/>
        <w:rPr>
          <w:lang w:val="fr-FR"/>
        </w:rPr>
      </w:pPr>
    </w:p>
  </w:footnote>
  <w:footnote w:id="28">
    <w:p w:rsidR="00E46B31" w:rsidRPr="00C558DC" w:rsidRDefault="00E46B31" w:rsidP="00C558DC">
      <w:pPr>
        <w:pStyle w:val="NoSpacing"/>
        <w:rPr>
          <w:sz w:val="20"/>
          <w:szCs w:val="20"/>
          <w:lang w:val="fr-CA"/>
        </w:rPr>
      </w:pPr>
      <w:r w:rsidRPr="00C558DC">
        <w:rPr>
          <w:rStyle w:val="FootnoteReference"/>
          <w:sz w:val="20"/>
          <w:szCs w:val="20"/>
        </w:rPr>
        <w:footnoteRef/>
      </w:r>
      <w:r w:rsidRPr="00C558DC">
        <w:rPr>
          <w:sz w:val="20"/>
          <w:szCs w:val="20"/>
          <w:lang w:val="fr-FR"/>
        </w:rPr>
        <w:t xml:space="preserve"> </w:t>
      </w:r>
      <w:r w:rsidRPr="00C558DC">
        <w:rPr>
          <w:bCs/>
          <w:iCs/>
          <w:sz w:val="20"/>
          <w:szCs w:val="20"/>
          <w:lang w:val="fr-CA"/>
        </w:rPr>
        <w:t>Protocole ENET entre l’ONS, le MDCFCF, l’ISGP et l’ONUFEMMES, préparé afin d’encadrer la mise en place de l’appui financier et technique</w:t>
      </w:r>
      <w:r w:rsidRPr="00C558DC">
        <w:rPr>
          <w:sz w:val="20"/>
          <w:szCs w:val="20"/>
          <w:lang w:val="fr-CA"/>
        </w:rPr>
        <w:t xml:space="preserve"> </w:t>
      </w:r>
      <w:r w:rsidRPr="00C558DC">
        <w:rPr>
          <w:bCs/>
          <w:iCs/>
          <w:sz w:val="20"/>
          <w:szCs w:val="20"/>
          <w:lang w:val="fr-CA"/>
        </w:rPr>
        <w:t>de l’enquête terrain et de la dissémination résultats.</w:t>
      </w:r>
    </w:p>
  </w:footnote>
  <w:footnote w:id="29">
    <w:p w:rsidR="00E46B31" w:rsidRPr="00C558DC" w:rsidRDefault="00E46B31" w:rsidP="00737BDE">
      <w:pPr>
        <w:pStyle w:val="FootnoteText"/>
        <w:rPr>
          <w:rFonts w:asciiTheme="minorHAnsi" w:hAnsiTheme="minorHAnsi" w:cstheme="minorHAnsi"/>
          <w:lang w:val="fr-FR"/>
        </w:rPr>
      </w:pPr>
      <w:r w:rsidRPr="00C558DC">
        <w:rPr>
          <w:rStyle w:val="FootnoteReference"/>
          <w:rFonts w:asciiTheme="minorHAnsi" w:hAnsiTheme="minorHAnsi" w:cstheme="minorHAnsi"/>
        </w:rPr>
        <w:footnoteRef/>
      </w:r>
      <w:r w:rsidRPr="00C558DC">
        <w:rPr>
          <w:rFonts w:asciiTheme="minorHAnsi" w:hAnsiTheme="minorHAnsi" w:cstheme="minorHAnsi"/>
          <w:lang w:val="fr-FR"/>
        </w:rPr>
        <w:t xml:space="preserve"> Le MDCFCF ? Les partenaires semblent avoir un moment également à l’ONS.  </w:t>
      </w:r>
    </w:p>
  </w:footnote>
  <w:footnote w:id="30">
    <w:p w:rsidR="00E46B31" w:rsidRPr="00622C99" w:rsidRDefault="00E46B31" w:rsidP="00737BDE">
      <w:pPr>
        <w:pStyle w:val="FootnoteText"/>
        <w:rPr>
          <w:rFonts w:asciiTheme="minorHAnsi" w:hAnsiTheme="minorHAnsi" w:cstheme="minorHAnsi"/>
          <w:lang w:val="fr-FR"/>
        </w:rPr>
      </w:pPr>
      <w:r w:rsidRPr="00622C99">
        <w:rPr>
          <w:rStyle w:val="FootnoteReference"/>
          <w:rFonts w:asciiTheme="minorHAnsi" w:hAnsiTheme="minorHAnsi" w:cstheme="minorHAnsi"/>
        </w:rPr>
        <w:footnoteRef/>
      </w:r>
      <w:r w:rsidRPr="00622C99">
        <w:rPr>
          <w:rFonts w:asciiTheme="minorHAnsi" w:hAnsiTheme="minorHAnsi" w:cstheme="minorHAnsi"/>
          <w:lang w:val="fr-FR"/>
        </w:rPr>
        <w:t xml:space="preserve"> Cette formation </w:t>
      </w:r>
      <w:r>
        <w:rPr>
          <w:rFonts w:asciiTheme="minorHAnsi" w:hAnsiTheme="minorHAnsi" w:cstheme="minorHAnsi"/>
          <w:lang w:val="fr-FR"/>
        </w:rPr>
        <w:t>r</w:t>
      </w:r>
      <w:r w:rsidRPr="00622C99">
        <w:rPr>
          <w:rFonts w:asciiTheme="minorHAnsi" w:hAnsiTheme="minorHAnsi" w:cstheme="minorHAnsi"/>
          <w:lang w:val="fr-FR"/>
        </w:rPr>
        <w:t>éalisée par un consultant international Indien, a apparemment consisté en 2 jours de formation pour des utilisateurs et 3 jours pour les administrateurs</w:t>
      </w:r>
      <w:r>
        <w:rPr>
          <w:rFonts w:asciiTheme="minorHAnsi" w:hAnsiTheme="minorHAnsi" w:cstheme="minorHAnsi"/>
          <w:lang w:val="fr-FR"/>
        </w:rPr>
        <w:t>.</w:t>
      </w:r>
    </w:p>
  </w:footnote>
  <w:footnote w:id="31">
    <w:p w:rsidR="00E46B31" w:rsidRPr="00B113E0" w:rsidRDefault="00E46B31" w:rsidP="00737BDE">
      <w:pPr>
        <w:pStyle w:val="FootnoteText"/>
        <w:rPr>
          <w:rFonts w:asciiTheme="minorHAnsi" w:hAnsiTheme="minorHAnsi" w:cstheme="minorHAnsi"/>
          <w:lang w:val="fr-FR"/>
        </w:rPr>
      </w:pPr>
      <w:r w:rsidRPr="00B113E0">
        <w:rPr>
          <w:rStyle w:val="FootnoteReference"/>
          <w:rFonts w:asciiTheme="minorHAnsi" w:hAnsiTheme="minorHAnsi" w:cstheme="minorHAnsi"/>
        </w:rPr>
        <w:footnoteRef/>
      </w:r>
      <w:r w:rsidRPr="00B113E0">
        <w:rPr>
          <w:rFonts w:asciiTheme="minorHAnsi" w:hAnsiTheme="minorHAnsi" w:cstheme="minorHAnsi"/>
          <w:lang w:val="fr-FR"/>
        </w:rPr>
        <w:t xml:space="preserve"> Source : Portail du Premier Ministre, RADP</w:t>
      </w:r>
      <w:r w:rsidRPr="00B113E0">
        <w:rPr>
          <w:rFonts w:asciiTheme="minorHAnsi" w:hAnsiTheme="minorHAnsi" w:cstheme="minorHAnsi"/>
          <w:color w:val="000000"/>
          <w:lang w:val="fr-FR"/>
        </w:rPr>
        <w:t xml:space="preserve"> ; </w:t>
      </w:r>
      <w:r w:rsidRPr="00B113E0">
        <w:rPr>
          <w:rFonts w:asciiTheme="minorHAnsi" w:hAnsiTheme="minorHAnsi" w:cstheme="minorHAnsi"/>
          <w:i/>
          <w:color w:val="000000"/>
          <w:lang w:val="fr-FR"/>
        </w:rPr>
        <w:t xml:space="preserve">Allocution de M. Ahmed Ouyahia, Premier Ministre, devant le Conseil de la Nation à l’occasion de la présentation du Plan d’Action du Gouvernement, </w:t>
      </w:r>
      <w:r w:rsidRPr="00B113E0">
        <w:rPr>
          <w:rFonts w:asciiTheme="minorHAnsi" w:hAnsiTheme="minorHAnsi" w:cstheme="minorHAnsi"/>
          <w:color w:val="000000"/>
          <w:lang w:val="fr-FR"/>
        </w:rPr>
        <w:t>2009.</w:t>
      </w:r>
    </w:p>
  </w:footnote>
  <w:footnote w:id="32">
    <w:p w:rsidR="00E46B31" w:rsidRPr="00876475" w:rsidRDefault="00E46B31" w:rsidP="00737BDE">
      <w:pPr>
        <w:pStyle w:val="FootnoteText"/>
        <w:rPr>
          <w:lang w:val="fr-FR"/>
        </w:rPr>
      </w:pPr>
      <w:r w:rsidRPr="00B113E0">
        <w:rPr>
          <w:rStyle w:val="FootnoteReference"/>
          <w:rFonts w:asciiTheme="minorHAnsi" w:hAnsiTheme="minorHAnsi" w:cstheme="minorHAnsi"/>
        </w:rPr>
        <w:footnoteRef/>
      </w:r>
      <w:r w:rsidRPr="00B113E0">
        <w:rPr>
          <w:rFonts w:asciiTheme="minorHAnsi" w:hAnsiTheme="minorHAnsi" w:cstheme="minorHAnsi"/>
          <w:lang w:val="fr-FR"/>
        </w:rPr>
        <w:t xml:space="preserve"> Source : Portail du Premier Ministre, RADP ; Allocution du Ministre du MPS, </w:t>
      </w:r>
      <w:r w:rsidRPr="00B113E0">
        <w:rPr>
          <w:rFonts w:asciiTheme="minorHAnsi" w:hAnsiTheme="minorHAnsi" w:cstheme="minorHAnsi"/>
          <w:bCs/>
          <w:lang w:val="fr-FR"/>
        </w:rPr>
        <w:t>décembre 2011.</w:t>
      </w:r>
    </w:p>
  </w:footnote>
  <w:footnote w:id="33">
    <w:p w:rsidR="00E46B31" w:rsidRPr="00E96671" w:rsidRDefault="00E46B31" w:rsidP="00737BDE">
      <w:pPr>
        <w:pStyle w:val="FootnoteText"/>
        <w:rPr>
          <w:rFonts w:asciiTheme="minorHAnsi" w:hAnsiTheme="minorHAnsi" w:cstheme="minorHAnsi"/>
          <w:lang w:val="fr-FR"/>
        </w:rPr>
      </w:pPr>
      <w:r w:rsidRPr="00E96671">
        <w:rPr>
          <w:rStyle w:val="FootnoteReference"/>
          <w:rFonts w:asciiTheme="minorHAnsi" w:hAnsiTheme="minorHAnsi" w:cstheme="minorHAnsi"/>
        </w:rPr>
        <w:footnoteRef/>
      </w:r>
      <w:r w:rsidRPr="00E96671">
        <w:rPr>
          <w:rFonts w:asciiTheme="minorHAnsi" w:hAnsiTheme="minorHAnsi" w:cstheme="minorHAnsi"/>
          <w:lang w:val="fr-FR"/>
        </w:rPr>
        <w:t xml:space="preserve"> Le consultant avait reçu un premier acompte de 20% du montant du contrat.</w:t>
      </w:r>
    </w:p>
  </w:footnote>
  <w:footnote w:id="34">
    <w:p w:rsidR="00E46B31" w:rsidRPr="0099406A" w:rsidRDefault="00E46B31" w:rsidP="00246E0B">
      <w:pPr>
        <w:pStyle w:val="FootnoteText"/>
        <w:jc w:val="both"/>
        <w:rPr>
          <w:rFonts w:asciiTheme="minorHAnsi" w:hAnsiTheme="minorHAnsi" w:cstheme="minorHAnsi"/>
          <w:lang w:val="fr-FR"/>
        </w:rPr>
      </w:pPr>
      <w:r w:rsidRPr="0099406A">
        <w:rPr>
          <w:rStyle w:val="FootnoteReference"/>
          <w:rFonts w:asciiTheme="minorHAnsi" w:hAnsiTheme="minorHAnsi" w:cstheme="minorHAnsi"/>
        </w:rPr>
        <w:footnoteRef/>
      </w:r>
      <w:r w:rsidRPr="0099406A">
        <w:rPr>
          <w:rFonts w:asciiTheme="minorHAnsi" w:hAnsiTheme="minorHAnsi" w:cstheme="minorHAnsi"/>
          <w:lang w:val="fr-FR"/>
        </w:rPr>
        <w:t xml:space="preserve"> Ainsi, il se pourrait que la BSG ne puisse pas être applicable sans une révision en profondeur de toutes les pratiques budgétaires</w:t>
      </w:r>
      <w:r>
        <w:rPr>
          <w:rFonts w:asciiTheme="minorHAnsi" w:hAnsiTheme="minorHAnsi" w:cstheme="minorHAnsi"/>
          <w:lang w:val="fr-FR"/>
        </w:rPr>
        <w:t xml:space="preserve"> des ministères</w:t>
      </w:r>
      <w:r w:rsidRPr="0099406A">
        <w:rPr>
          <w:rFonts w:asciiTheme="minorHAnsi" w:hAnsiTheme="minorHAnsi" w:cstheme="minorHAnsi"/>
          <w:lang w:val="fr-FR"/>
        </w:rPr>
        <w:t>. Si tel est le cas, on peut légitimement se poser la pertinence d’activités de sensibilisation/formation du personnel en charge de la planification</w:t>
      </w:r>
      <w:r>
        <w:rPr>
          <w:rFonts w:asciiTheme="minorHAnsi" w:hAnsiTheme="minorHAnsi" w:cstheme="minorHAnsi"/>
          <w:lang w:val="fr-FR"/>
        </w:rPr>
        <w:t xml:space="preserve">, lequel ne pourra pas </w:t>
      </w:r>
      <w:r w:rsidRPr="0099406A">
        <w:rPr>
          <w:rFonts w:asciiTheme="minorHAnsi" w:hAnsiTheme="minorHAnsi" w:cstheme="minorHAnsi"/>
          <w:lang w:val="fr-FR"/>
        </w:rPr>
        <w:t>appliquer/utiliser les enseignements reçus.</w:t>
      </w:r>
    </w:p>
  </w:footnote>
  <w:footnote w:id="35">
    <w:p w:rsidR="00E46B31" w:rsidRPr="008624F8" w:rsidRDefault="00E46B31" w:rsidP="00246E0B">
      <w:pPr>
        <w:pStyle w:val="FootnoteText"/>
        <w:jc w:val="both"/>
        <w:rPr>
          <w:rFonts w:asciiTheme="minorHAnsi" w:hAnsiTheme="minorHAnsi" w:cstheme="minorHAnsi"/>
          <w:lang w:val="fr-FR"/>
        </w:rPr>
      </w:pPr>
      <w:r w:rsidRPr="008624F8">
        <w:rPr>
          <w:rStyle w:val="FootnoteReference"/>
          <w:rFonts w:asciiTheme="minorHAnsi" w:hAnsiTheme="minorHAnsi" w:cstheme="minorHAnsi"/>
        </w:rPr>
        <w:footnoteRef/>
      </w:r>
      <w:r w:rsidRPr="008624F8">
        <w:rPr>
          <w:rFonts w:asciiTheme="minorHAnsi" w:hAnsiTheme="minorHAnsi" w:cstheme="minorHAnsi"/>
          <w:lang w:val="fr-FR"/>
        </w:rPr>
        <w:t xml:space="preserve"> Propos recueillis par la mission auprès d’un nombre suffisant de personnes pour être rapportés ici.</w:t>
      </w:r>
    </w:p>
  </w:footnote>
  <w:footnote w:id="36">
    <w:p w:rsidR="00E46B31" w:rsidRPr="007E454B" w:rsidRDefault="00E46B31" w:rsidP="00246E0B">
      <w:pPr>
        <w:pStyle w:val="FootnoteText"/>
        <w:jc w:val="both"/>
        <w:rPr>
          <w:rFonts w:asciiTheme="minorHAnsi" w:hAnsiTheme="minorHAnsi" w:cstheme="minorHAnsi"/>
          <w:lang w:val="fr-FR"/>
        </w:rPr>
      </w:pPr>
      <w:r w:rsidRPr="008624F8">
        <w:rPr>
          <w:rStyle w:val="FootnoteReference"/>
          <w:rFonts w:asciiTheme="minorHAnsi" w:hAnsiTheme="minorHAnsi" w:cstheme="minorHAnsi"/>
        </w:rPr>
        <w:footnoteRef/>
      </w:r>
      <w:r w:rsidRPr="008624F8">
        <w:rPr>
          <w:rFonts w:asciiTheme="minorHAnsi" w:hAnsiTheme="minorHAnsi" w:cstheme="minorHAnsi"/>
          <w:lang w:val="fr-FR"/>
        </w:rPr>
        <w:t xml:space="preserve"> Ainsi, le plan de gestion 2012 de la Direction inclut une analyse de la participation des femmes au processus</w:t>
      </w:r>
      <w:r w:rsidRPr="007E454B">
        <w:rPr>
          <w:rFonts w:asciiTheme="minorHAnsi" w:hAnsiTheme="minorHAnsi" w:cstheme="minorHAnsi"/>
          <w:lang w:val="fr-FR"/>
        </w:rPr>
        <w:t xml:space="preserve"> économique</w:t>
      </w:r>
      <w:r>
        <w:rPr>
          <w:rFonts w:asciiTheme="minorHAnsi" w:hAnsiTheme="minorHAnsi" w:cstheme="minorHAnsi"/>
          <w:lang w:val="fr-FR"/>
        </w:rPr>
        <w:t xml:space="preserve"> et</w:t>
      </w:r>
      <w:r w:rsidRPr="007E454B">
        <w:rPr>
          <w:rFonts w:asciiTheme="minorHAnsi" w:hAnsiTheme="minorHAnsi" w:cstheme="minorHAnsi"/>
          <w:lang w:val="fr-FR"/>
        </w:rPr>
        <w:t xml:space="preserve"> une étude pour le suivi et l’évaluation du genre.</w:t>
      </w:r>
    </w:p>
  </w:footnote>
  <w:footnote w:id="37">
    <w:p w:rsidR="00E46B31" w:rsidRPr="00E413B8" w:rsidRDefault="00E46B31">
      <w:pPr>
        <w:pStyle w:val="FootnoteText"/>
        <w:rPr>
          <w:rFonts w:asciiTheme="minorHAnsi" w:hAnsiTheme="minorHAnsi" w:cstheme="minorHAnsi"/>
          <w:lang w:val="fr-FR"/>
        </w:rPr>
      </w:pPr>
      <w:r w:rsidRPr="00E413B8">
        <w:rPr>
          <w:rStyle w:val="FootnoteReference"/>
          <w:rFonts w:asciiTheme="minorHAnsi" w:hAnsiTheme="minorHAnsi" w:cstheme="minorHAnsi"/>
        </w:rPr>
        <w:footnoteRef/>
      </w:r>
      <w:r w:rsidRPr="00E413B8">
        <w:rPr>
          <w:rFonts w:asciiTheme="minorHAnsi" w:hAnsiTheme="minorHAnsi" w:cstheme="minorHAnsi"/>
          <w:lang w:val="fr-FR"/>
        </w:rPr>
        <w:t xml:space="preserve"> Source : </w:t>
      </w:r>
      <w:r w:rsidRPr="00E413B8">
        <w:rPr>
          <w:rFonts w:asciiTheme="minorHAnsi" w:hAnsiTheme="minorHAnsi" w:cstheme="minorHAnsi"/>
          <w:i/>
          <w:lang w:val="fr-FR"/>
        </w:rPr>
        <w:t>Budgétisation sensible au genre et droits des femmes en matière de santé de la reproduction – Un guide pratique</w:t>
      </w:r>
      <w:r w:rsidRPr="00E413B8">
        <w:rPr>
          <w:rFonts w:asciiTheme="minorHAnsi" w:hAnsiTheme="minorHAnsi" w:cstheme="minorHAnsi"/>
          <w:lang w:val="fr-FR"/>
        </w:rPr>
        <w:t>, UNFPA</w:t>
      </w:r>
      <w:r>
        <w:rPr>
          <w:rFonts w:asciiTheme="minorHAnsi" w:hAnsiTheme="minorHAnsi" w:cstheme="minorHAnsi"/>
          <w:lang w:val="fr-FR"/>
        </w:rPr>
        <w:t xml:space="preserve"> et UNIFEM.</w:t>
      </w:r>
    </w:p>
  </w:footnote>
  <w:footnote w:id="38">
    <w:p w:rsidR="00E46B31" w:rsidRPr="00703127" w:rsidRDefault="00E46B31">
      <w:pPr>
        <w:pStyle w:val="FootnoteText"/>
        <w:rPr>
          <w:rFonts w:asciiTheme="minorHAnsi" w:hAnsiTheme="minorHAnsi" w:cstheme="minorHAnsi"/>
          <w:lang w:val="fr-FR"/>
        </w:rPr>
      </w:pPr>
      <w:r w:rsidRPr="00703127">
        <w:rPr>
          <w:rStyle w:val="FootnoteReference"/>
          <w:rFonts w:asciiTheme="minorHAnsi" w:hAnsiTheme="minorHAnsi" w:cstheme="minorHAnsi"/>
        </w:rPr>
        <w:footnoteRef/>
      </w:r>
      <w:r w:rsidRPr="00703127">
        <w:rPr>
          <w:rFonts w:asciiTheme="minorHAnsi" w:hAnsiTheme="minorHAnsi" w:cstheme="minorHAnsi"/>
          <w:lang w:val="fr-FR"/>
        </w:rPr>
        <w:t xml:space="preserve"> La mission ignore </w:t>
      </w:r>
      <w:r>
        <w:rPr>
          <w:rFonts w:asciiTheme="minorHAnsi" w:hAnsiTheme="minorHAnsi" w:cstheme="minorHAnsi"/>
          <w:lang w:val="fr-FR"/>
        </w:rPr>
        <w:t xml:space="preserve">ainsi </w:t>
      </w:r>
      <w:r w:rsidRPr="00703127">
        <w:rPr>
          <w:rFonts w:asciiTheme="minorHAnsi" w:hAnsiTheme="minorHAnsi" w:cstheme="minorHAnsi"/>
          <w:lang w:val="fr-FR"/>
        </w:rPr>
        <w:t>si d’autres parties ont été produites</w:t>
      </w:r>
      <w:r>
        <w:rPr>
          <w:rFonts w:asciiTheme="minorHAnsi" w:hAnsiTheme="minorHAnsi" w:cstheme="minorHAnsi"/>
          <w:lang w:val="fr-FR"/>
        </w:rPr>
        <w:t xml:space="preserve"> depuis.</w:t>
      </w:r>
    </w:p>
  </w:footnote>
  <w:footnote w:id="39">
    <w:p w:rsidR="00E46B31" w:rsidRPr="00DD17D4" w:rsidRDefault="00E46B31" w:rsidP="00DD17D4">
      <w:pPr>
        <w:pStyle w:val="FootnoteText"/>
        <w:jc w:val="both"/>
        <w:rPr>
          <w:rFonts w:asciiTheme="minorHAnsi" w:hAnsiTheme="minorHAnsi" w:cstheme="minorHAnsi"/>
          <w:lang w:val="fr-FR"/>
        </w:rPr>
      </w:pPr>
      <w:r w:rsidRPr="00DD17D4">
        <w:rPr>
          <w:rStyle w:val="FootnoteReference"/>
          <w:rFonts w:asciiTheme="minorHAnsi" w:hAnsiTheme="minorHAnsi" w:cstheme="minorHAnsi"/>
        </w:rPr>
        <w:footnoteRef/>
      </w:r>
      <w:r w:rsidRPr="00DD17D4">
        <w:rPr>
          <w:rFonts w:asciiTheme="minorHAnsi" w:hAnsiTheme="minorHAnsi" w:cstheme="minorHAnsi"/>
          <w:lang w:val="fr-FR"/>
        </w:rPr>
        <w:t xml:space="preserve"> La mission est ainsi d’avis qu’une telle formation/sensibilisation n’aura de chance d’être efficace que lorsque l’exercice pilote mené au sein du MADR aura permis de dégager des enseignements concrets et leçons utiles, ce qui ne laissera que trop peu de temps pour entamer les activités de sensibilisation. </w:t>
      </w:r>
    </w:p>
  </w:footnote>
  <w:footnote w:id="40">
    <w:p w:rsidR="00E46B31" w:rsidRPr="00867AB1" w:rsidRDefault="00E46B31">
      <w:pPr>
        <w:pStyle w:val="FootnoteText"/>
        <w:rPr>
          <w:rFonts w:asciiTheme="minorHAnsi" w:hAnsiTheme="minorHAnsi" w:cstheme="minorHAnsi"/>
          <w:lang w:val="fr-FR"/>
        </w:rPr>
      </w:pPr>
      <w:r w:rsidRPr="00867AB1">
        <w:rPr>
          <w:rStyle w:val="FootnoteReference"/>
          <w:rFonts w:asciiTheme="minorHAnsi" w:hAnsiTheme="minorHAnsi" w:cstheme="minorHAnsi"/>
        </w:rPr>
        <w:footnoteRef/>
      </w:r>
      <w:r w:rsidRPr="00867AB1">
        <w:rPr>
          <w:rFonts w:asciiTheme="minorHAnsi" w:hAnsiTheme="minorHAnsi" w:cstheme="minorHAnsi"/>
          <w:lang w:val="fr-FR"/>
        </w:rPr>
        <w:t xml:space="preserve"> Ministère du Travail, maintenant </w:t>
      </w:r>
      <w:r w:rsidRPr="00432375">
        <w:rPr>
          <w:rFonts w:asciiTheme="minorHAnsi" w:hAnsiTheme="minorHAnsi" w:cstheme="minorHAnsi"/>
          <w:lang w:val="fr-FR"/>
        </w:rPr>
        <w:t>devenu MTESS</w:t>
      </w:r>
    </w:p>
  </w:footnote>
  <w:footnote w:id="41">
    <w:p w:rsidR="00E46B31" w:rsidRPr="00972B6B" w:rsidRDefault="00E46B31">
      <w:pPr>
        <w:pStyle w:val="FootnoteText"/>
        <w:rPr>
          <w:rFonts w:asciiTheme="minorHAnsi" w:hAnsiTheme="minorHAnsi" w:cstheme="minorHAnsi"/>
          <w:lang w:val="fr-FR"/>
        </w:rPr>
      </w:pPr>
      <w:r w:rsidRPr="00972B6B">
        <w:rPr>
          <w:rStyle w:val="FootnoteReference"/>
          <w:rFonts w:asciiTheme="minorHAnsi" w:hAnsiTheme="minorHAnsi" w:cstheme="minorHAnsi"/>
        </w:rPr>
        <w:footnoteRef/>
      </w:r>
      <w:r w:rsidRPr="00972B6B">
        <w:rPr>
          <w:rFonts w:asciiTheme="minorHAnsi" w:hAnsiTheme="minorHAnsi" w:cstheme="minorHAnsi"/>
          <w:lang w:val="fr-FR"/>
        </w:rPr>
        <w:t xml:space="preserve"> A la date de la finalisation du rapport d’évaluation (avril 2012), les engagements financiers globaux pour cette étude s’élèvent à 63.450 USD.</w:t>
      </w:r>
    </w:p>
  </w:footnote>
  <w:footnote w:id="42">
    <w:p w:rsidR="00E46B31" w:rsidRPr="002856B6" w:rsidRDefault="00E46B31" w:rsidP="00546A94">
      <w:pPr>
        <w:pStyle w:val="FootnoteText"/>
        <w:jc w:val="both"/>
        <w:rPr>
          <w:lang w:val="fr-FR"/>
        </w:rPr>
      </w:pPr>
      <w:r w:rsidRPr="002856B6">
        <w:rPr>
          <w:rStyle w:val="FootnoteReference"/>
          <w:rFonts w:asciiTheme="minorHAnsi" w:hAnsiTheme="minorHAnsi" w:cstheme="minorHAnsi"/>
        </w:rPr>
        <w:footnoteRef/>
      </w:r>
      <w:r w:rsidRPr="002856B6">
        <w:rPr>
          <w:rFonts w:asciiTheme="minorHAnsi" w:hAnsiTheme="minorHAnsi" w:cstheme="minorHAnsi"/>
          <w:lang w:val="fr-FR"/>
        </w:rPr>
        <w:t xml:space="preserve"> Il semble que la première sélection, qui avait porté sur un institut public, n’était pas conforme aux règles de concurrence et le processus a dû être relancé.</w:t>
      </w:r>
    </w:p>
  </w:footnote>
  <w:footnote w:id="43">
    <w:p w:rsidR="00E46B31" w:rsidRPr="001B68F7" w:rsidRDefault="00E46B31" w:rsidP="001B68F7">
      <w:pPr>
        <w:pStyle w:val="FootnoteText"/>
        <w:jc w:val="both"/>
        <w:rPr>
          <w:rFonts w:asciiTheme="minorHAnsi" w:hAnsiTheme="minorHAnsi" w:cstheme="minorHAnsi"/>
          <w:lang w:val="fr-FR"/>
        </w:rPr>
      </w:pPr>
      <w:r w:rsidRPr="001B68F7">
        <w:rPr>
          <w:rStyle w:val="FootnoteReference"/>
          <w:rFonts w:asciiTheme="minorHAnsi" w:hAnsiTheme="minorHAnsi" w:cstheme="minorHAnsi"/>
        </w:rPr>
        <w:footnoteRef/>
      </w:r>
      <w:r w:rsidRPr="001B68F7">
        <w:rPr>
          <w:rFonts w:asciiTheme="minorHAnsi" w:hAnsiTheme="minorHAnsi" w:cstheme="minorHAnsi"/>
          <w:lang w:val="fr-FR"/>
        </w:rPr>
        <w:t xml:space="preserve"> </w:t>
      </w:r>
      <w:r>
        <w:rPr>
          <w:rFonts w:asciiTheme="minorHAnsi" w:hAnsiTheme="minorHAnsi" w:cstheme="minorHAnsi"/>
          <w:lang w:val="fr-FR"/>
        </w:rPr>
        <w:t xml:space="preserve">La </w:t>
      </w:r>
      <w:r w:rsidRPr="001B68F7">
        <w:rPr>
          <w:rFonts w:asciiTheme="minorHAnsi" w:hAnsiTheme="minorHAnsi" w:cstheme="minorHAnsi"/>
          <w:lang w:val="fr-FR"/>
        </w:rPr>
        <w:t>Sonatrach est la plus importante compagnie d’hydroca</w:t>
      </w:r>
      <w:r>
        <w:rPr>
          <w:rFonts w:asciiTheme="minorHAnsi" w:hAnsiTheme="minorHAnsi" w:cstheme="minorHAnsi"/>
          <w:lang w:val="fr-FR"/>
        </w:rPr>
        <w:t>rbures en Algérie et en Afrique et la</w:t>
      </w:r>
      <w:r w:rsidRPr="001B68F7">
        <w:rPr>
          <w:rFonts w:asciiTheme="minorHAnsi" w:hAnsiTheme="minorHAnsi" w:cstheme="minorHAnsi"/>
          <w:lang w:val="fr-FR"/>
        </w:rPr>
        <w:t xml:space="preserve"> 12</w:t>
      </w:r>
      <w:r w:rsidRPr="001B68F7">
        <w:rPr>
          <w:rFonts w:asciiTheme="minorHAnsi" w:hAnsiTheme="minorHAnsi" w:cstheme="minorHAnsi"/>
          <w:vertAlign w:val="superscript"/>
          <w:lang w:val="fr-FR"/>
        </w:rPr>
        <w:t>ème</w:t>
      </w:r>
      <w:r w:rsidRPr="001B68F7">
        <w:rPr>
          <w:rFonts w:asciiTheme="minorHAnsi" w:hAnsiTheme="minorHAnsi" w:cstheme="minorHAnsi"/>
          <w:lang w:val="fr-FR"/>
        </w:rPr>
        <w:t xml:space="preserve"> compagnie dans le monde. Elle est également 4</w:t>
      </w:r>
      <w:r w:rsidRPr="001B68F7">
        <w:rPr>
          <w:rFonts w:asciiTheme="minorHAnsi" w:hAnsiTheme="minorHAnsi" w:cstheme="minorHAnsi"/>
          <w:vertAlign w:val="superscript"/>
          <w:lang w:val="fr-FR"/>
        </w:rPr>
        <w:t>ème</w:t>
      </w:r>
      <w:r w:rsidRPr="001B68F7">
        <w:rPr>
          <w:rFonts w:asciiTheme="minorHAnsi" w:hAnsiTheme="minorHAnsi" w:cstheme="minorHAnsi"/>
          <w:lang w:val="fr-FR"/>
        </w:rPr>
        <w:t xml:space="preserve"> exportateur mondial de GNL, 3</w:t>
      </w:r>
      <w:r w:rsidRPr="001B68F7">
        <w:rPr>
          <w:rFonts w:asciiTheme="minorHAnsi" w:hAnsiTheme="minorHAnsi" w:cstheme="minorHAnsi"/>
          <w:vertAlign w:val="superscript"/>
          <w:lang w:val="fr-FR"/>
        </w:rPr>
        <w:t>ème</w:t>
      </w:r>
      <w:r w:rsidRPr="001B68F7">
        <w:rPr>
          <w:rFonts w:asciiTheme="minorHAnsi" w:hAnsiTheme="minorHAnsi" w:cstheme="minorHAnsi"/>
          <w:lang w:val="fr-FR"/>
        </w:rPr>
        <w:t xml:space="preserve"> exportateur mondial de GPL</w:t>
      </w:r>
      <w:r>
        <w:rPr>
          <w:rFonts w:asciiTheme="minorHAnsi" w:hAnsiTheme="minorHAnsi" w:cstheme="minorHAnsi"/>
          <w:lang w:val="fr-FR"/>
        </w:rPr>
        <w:t xml:space="preserve"> </w:t>
      </w:r>
      <w:r w:rsidRPr="001B68F7">
        <w:rPr>
          <w:rFonts w:asciiTheme="minorHAnsi" w:hAnsiTheme="minorHAnsi" w:cstheme="minorHAnsi"/>
          <w:lang w:val="fr-FR"/>
        </w:rPr>
        <w:t>et 5</w:t>
      </w:r>
      <w:r w:rsidRPr="001B68F7">
        <w:rPr>
          <w:rFonts w:asciiTheme="minorHAnsi" w:hAnsiTheme="minorHAnsi" w:cstheme="minorHAnsi"/>
          <w:vertAlign w:val="superscript"/>
          <w:lang w:val="fr-FR"/>
        </w:rPr>
        <w:t>ème</w:t>
      </w:r>
      <w:r w:rsidRPr="001B68F7">
        <w:rPr>
          <w:rFonts w:asciiTheme="minorHAnsi" w:hAnsiTheme="minorHAnsi" w:cstheme="minorHAnsi"/>
          <w:lang w:val="fr-FR"/>
        </w:rPr>
        <w:t xml:space="preserve"> exportateur de Gaz Naturel. </w:t>
      </w:r>
      <w:r>
        <w:rPr>
          <w:rFonts w:asciiTheme="minorHAnsi" w:hAnsiTheme="minorHAnsi" w:cstheme="minorHAnsi"/>
          <w:lang w:val="fr-FR"/>
        </w:rPr>
        <w:t xml:space="preserve">Son </w:t>
      </w:r>
      <w:r w:rsidRPr="001B68F7">
        <w:rPr>
          <w:rFonts w:asciiTheme="minorHAnsi" w:hAnsiTheme="minorHAnsi" w:cstheme="minorHAnsi"/>
          <w:lang w:val="fr-FR"/>
        </w:rPr>
        <w:t>effectif permanent est passé de 47 566 agents en 2009 à 47 963 agents en 2010</w:t>
      </w:r>
      <w:r>
        <w:rPr>
          <w:rFonts w:asciiTheme="minorHAnsi" w:hAnsiTheme="minorHAnsi" w:cstheme="minorHAnsi"/>
          <w:lang w:val="fr-FR"/>
        </w:rPr>
        <w:t xml:space="preserve"> et en fait l’un des plus gros employeurs du pays.</w:t>
      </w:r>
    </w:p>
  </w:footnote>
  <w:footnote w:id="44">
    <w:p w:rsidR="00E46B31" w:rsidRPr="00546C7F" w:rsidRDefault="00E46B31">
      <w:pPr>
        <w:pStyle w:val="FootnoteText"/>
        <w:rPr>
          <w:rFonts w:asciiTheme="minorHAnsi" w:hAnsiTheme="minorHAnsi" w:cstheme="minorHAnsi"/>
          <w:lang w:val="fr-FR"/>
        </w:rPr>
      </w:pPr>
      <w:r w:rsidRPr="00546C7F">
        <w:rPr>
          <w:rStyle w:val="FootnoteReference"/>
          <w:rFonts w:asciiTheme="minorHAnsi" w:hAnsiTheme="minorHAnsi" w:cstheme="minorHAnsi"/>
        </w:rPr>
        <w:footnoteRef/>
      </w:r>
      <w:r w:rsidRPr="00546C7F">
        <w:rPr>
          <w:rFonts w:asciiTheme="minorHAnsi" w:hAnsiTheme="minorHAnsi" w:cstheme="minorHAnsi"/>
          <w:lang w:val="fr-FR"/>
        </w:rPr>
        <w:t xml:space="preserve"> La Sonelgaz est un groupe industriel composé de 40 sociétés qui emploient </w:t>
      </w:r>
      <w:r>
        <w:rPr>
          <w:rFonts w:asciiTheme="minorHAnsi" w:hAnsiTheme="minorHAnsi" w:cstheme="minorHAnsi"/>
          <w:lang w:val="fr-FR"/>
        </w:rPr>
        <w:t>plus de 60 000 travailleurs dans le pays.</w:t>
      </w:r>
    </w:p>
  </w:footnote>
  <w:footnote w:id="45">
    <w:p w:rsidR="00E46B31" w:rsidRPr="00546C7F" w:rsidRDefault="00E46B31" w:rsidP="00546C7F">
      <w:pPr>
        <w:pStyle w:val="FootnoteText"/>
        <w:jc w:val="both"/>
        <w:rPr>
          <w:rFonts w:asciiTheme="minorHAnsi" w:hAnsiTheme="minorHAnsi" w:cstheme="minorHAnsi"/>
          <w:lang w:val="fr-FR"/>
        </w:rPr>
      </w:pPr>
      <w:r w:rsidRPr="001B68F7">
        <w:rPr>
          <w:rStyle w:val="FootnoteReference"/>
          <w:rFonts w:asciiTheme="minorHAnsi" w:hAnsiTheme="minorHAnsi" w:cstheme="minorHAnsi"/>
        </w:rPr>
        <w:footnoteRef/>
      </w:r>
      <w:r w:rsidRPr="001B68F7">
        <w:rPr>
          <w:rFonts w:asciiTheme="minorHAnsi" w:hAnsiTheme="minorHAnsi" w:cstheme="minorHAnsi"/>
          <w:lang w:val="fr-FR"/>
        </w:rPr>
        <w:t xml:space="preserve"> Source : </w:t>
      </w:r>
      <w:r w:rsidRPr="001B68F7">
        <w:rPr>
          <w:rFonts w:asciiTheme="minorHAnsi" w:hAnsiTheme="minorHAnsi" w:cstheme="minorHAnsi"/>
          <w:bCs/>
          <w:lang w:val="fr-FR"/>
        </w:rPr>
        <w:t>Directive de Monsieur le Minist</w:t>
      </w:r>
      <w:r>
        <w:rPr>
          <w:rFonts w:asciiTheme="minorHAnsi" w:hAnsiTheme="minorHAnsi" w:cstheme="minorHAnsi"/>
          <w:bCs/>
          <w:lang w:val="fr-FR"/>
        </w:rPr>
        <w:t>r</w:t>
      </w:r>
      <w:r w:rsidRPr="001B68F7">
        <w:rPr>
          <w:rFonts w:asciiTheme="minorHAnsi" w:hAnsiTheme="minorHAnsi" w:cstheme="minorHAnsi"/>
          <w:bCs/>
          <w:lang w:val="fr-FR"/>
        </w:rPr>
        <w:t xml:space="preserve">e de l'Energie et des Mines signée le 5 janvier 2005, Site Internet </w:t>
      </w:r>
      <w:r w:rsidRPr="00546C7F">
        <w:rPr>
          <w:rFonts w:asciiTheme="minorHAnsi" w:hAnsiTheme="minorHAnsi" w:cstheme="minorHAnsi"/>
          <w:bCs/>
          <w:lang w:val="fr-FR"/>
        </w:rPr>
        <w:t>Sonelgaz.</w:t>
      </w:r>
    </w:p>
  </w:footnote>
  <w:footnote w:id="46">
    <w:p w:rsidR="00E46B31" w:rsidRPr="00546C7F" w:rsidRDefault="00E46B31" w:rsidP="00546C7F">
      <w:pPr>
        <w:pStyle w:val="FootnoteText"/>
        <w:jc w:val="both"/>
        <w:rPr>
          <w:lang w:val="fr-FR"/>
        </w:rPr>
      </w:pPr>
      <w:r w:rsidRPr="00546C7F">
        <w:rPr>
          <w:rStyle w:val="FootnoteReference"/>
          <w:rFonts w:asciiTheme="minorHAnsi" w:hAnsiTheme="minorHAnsi" w:cstheme="minorHAnsi"/>
        </w:rPr>
        <w:footnoteRef/>
      </w:r>
      <w:r w:rsidRPr="00546C7F">
        <w:rPr>
          <w:rFonts w:asciiTheme="minorHAnsi" w:hAnsiTheme="minorHAnsi" w:cstheme="minorHAnsi"/>
          <w:lang w:val="fr-FR"/>
        </w:rPr>
        <w:t xml:space="preserve"> D’après les informations publiées sur le site Internet de la Sonatrach, l’effectif féminin permanent a atteint en 2010 un niveau de 7.001 agents, représentant 14,6% de l’effectif permanent. 36% exercent au niveau des fonctions support, 48% dans les fonctions de soutien et 16% dans les fonctions cœur de métier</w:t>
      </w:r>
    </w:p>
  </w:footnote>
  <w:footnote w:id="47">
    <w:p w:rsidR="00E46B31" w:rsidRPr="00E7000B" w:rsidRDefault="00E46B31">
      <w:pPr>
        <w:pStyle w:val="FootnoteText"/>
        <w:rPr>
          <w:lang w:val="fr-FR"/>
        </w:rPr>
      </w:pPr>
      <w:r w:rsidRPr="00E7000B">
        <w:rPr>
          <w:rStyle w:val="FootnoteReference"/>
          <w:rFonts w:asciiTheme="minorHAnsi" w:hAnsiTheme="minorHAnsi" w:cstheme="minorHAnsi"/>
        </w:rPr>
        <w:footnoteRef/>
      </w:r>
      <w:r w:rsidRPr="00E7000B">
        <w:rPr>
          <w:rFonts w:asciiTheme="minorHAnsi" w:hAnsiTheme="minorHAnsi" w:cstheme="minorHAnsi"/>
          <w:lang w:val="fr-FR"/>
        </w:rPr>
        <w:t xml:space="preserve"> La mission note que  site Internet de cette société, contrairement à celui de la Sonatrach, ne publie aucune statistique sur le niveau de l’emploi féminin au sein de l’effective et de </w:t>
      </w:r>
      <w:r>
        <w:rPr>
          <w:rFonts w:asciiTheme="minorHAnsi" w:hAnsiTheme="minorHAnsi" w:cstheme="minorHAnsi"/>
          <w:lang w:val="fr-FR"/>
        </w:rPr>
        <w:t>son évolution, ce qui paraît surprenant.</w:t>
      </w:r>
    </w:p>
  </w:footnote>
  <w:footnote w:id="48">
    <w:p w:rsidR="00E46B31" w:rsidRPr="00E27A2E" w:rsidRDefault="00E46B31">
      <w:pPr>
        <w:pStyle w:val="FootnoteText"/>
        <w:rPr>
          <w:rFonts w:asciiTheme="minorHAnsi" w:hAnsiTheme="minorHAnsi" w:cstheme="minorHAnsi"/>
          <w:lang w:val="fr-FR"/>
        </w:rPr>
      </w:pPr>
      <w:r w:rsidRPr="00E27A2E">
        <w:rPr>
          <w:rStyle w:val="FootnoteReference"/>
          <w:rFonts w:asciiTheme="minorHAnsi" w:hAnsiTheme="minorHAnsi" w:cstheme="minorHAnsi"/>
        </w:rPr>
        <w:footnoteRef/>
      </w:r>
      <w:r w:rsidRPr="00E27A2E">
        <w:rPr>
          <w:rFonts w:asciiTheme="minorHAnsi" w:hAnsiTheme="minorHAnsi" w:cstheme="minorHAnsi"/>
          <w:lang w:val="fr-FR"/>
        </w:rPr>
        <w:t xml:space="preserve"> Avec études de cas et suivi longitudinal d’une cohorte de bénéficiaires de formation professionnelle sur au moins cinq ans (2004-2011).</w:t>
      </w:r>
    </w:p>
  </w:footnote>
  <w:footnote w:id="49">
    <w:p w:rsidR="00E46B31" w:rsidRPr="005E513A" w:rsidRDefault="00E46B31">
      <w:pPr>
        <w:pStyle w:val="FootnoteText"/>
        <w:rPr>
          <w:rFonts w:asciiTheme="minorHAnsi" w:hAnsiTheme="minorHAnsi" w:cstheme="minorHAnsi"/>
          <w:lang w:val="fr-FR"/>
        </w:rPr>
      </w:pPr>
      <w:r w:rsidRPr="005E513A">
        <w:rPr>
          <w:rStyle w:val="FootnoteReference"/>
          <w:rFonts w:asciiTheme="minorHAnsi" w:hAnsiTheme="minorHAnsi" w:cstheme="minorHAnsi"/>
        </w:rPr>
        <w:footnoteRef/>
      </w:r>
      <w:r w:rsidRPr="005E513A">
        <w:rPr>
          <w:rFonts w:asciiTheme="minorHAnsi" w:hAnsiTheme="minorHAnsi" w:cstheme="minorHAnsi"/>
          <w:lang w:val="fr-FR"/>
        </w:rPr>
        <w:t xml:space="preserve"> La mission d’évaluation note toutefois qu’à la fin janvier 2012, cette mission n’avait toujours pas eu lieu.</w:t>
      </w:r>
    </w:p>
  </w:footnote>
  <w:footnote w:id="50">
    <w:p w:rsidR="00E46B31" w:rsidRPr="003B0530" w:rsidRDefault="00E46B31">
      <w:pPr>
        <w:pStyle w:val="FootnoteText"/>
        <w:rPr>
          <w:rFonts w:asciiTheme="minorHAnsi" w:hAnsiTheme="minorHAnsi" w:cstheme="minorHAnsi"/>
          <w:lang w:val="fr-FR"/>
        </w:rPr>
      </w:pPr>
      <w:r w:rsidRPr="003B0530">
        <w:rPr>
          <w:rStyle w:val="FootnoteReference"/>
          <w:rFonts w:asciiTheme="minorHAnsi" w:hAnsiTheme="minorHAnsi" w:cstheme="minorHAnsi"/>
        </w:rPr>
        <w:footnoteRef/>
      </w:r>
      <w:r w:rsidRPr="003B0530">
        <w:rPr>
          <w:rFonts w:asciiTheme="minorHAnsi" w:hAnsiTheme="minorHAnsi" w:cstheme="minorHAnsi"/>
          <w:lang w:val="fr-FR"/>
        </w:rPr>
        <w:t xml:space="preserve"> A la date de la finalisation du rapport d’évaluation (12 avril 2012), la mission a été informée que la mission du spécialiste a été réalisée comme prévue au mois de mars 2012. </w:t>
      </w:r>
    </w:p>
  </w:footnote>
  <w:footnote w:id="51">
    <w:p w:rsidR="00E46B31" w:rsidRPr="00F3677C" w:rsidRDefault="00E46B31" w:rsidP="00F3677C">
      <w:pPr>
        <w:pStyle w:val="FootnoteText"/>
        <w:jc w:val="both"/>
        <w:rPr>
          <w:lang w:val="fr-FR"/>
        </w:rPr>
      </w:pPr>
      <w:r w:rsidRPr="003B0530">
        <w:rPr>
          <w:rStyle w:val="FootnoteReference"/>
          <w:rFonts w:asciiTheme="minorHAnsi" w:hAnsiTheme="minorHAnsi" w:cstheme="minorHAnsi"/>
        </w:rPr>
        <w:footnoteRef/>
      </w:r>
      <w:r w:rsidRPr="003B0530">
        <w:rPr>
          <w:rFonts w:asciiTheme="minorHAnsi" w:hAnsiTheme="minorHAnsi" w:cstheme="minorHAnsi"/>
          <w:lang w:val="fr-FR"/>
        </w:rPr>
        <w:t xml:space="preserve"> Puisqu’elle ne nécessite que l’identification des dispositifs</w:t>
      </w:r>
      <w:r w:rsidRPr="00F3677C">
        <w:rPr>
          <w:rFonts w:asciiTheme="minorHAnsi" w:hAnsiTheme="minorHAnsi" w:cstheme="minorHAnsi"/>
          <w:lang w:val="fr-FR"/>
        </w:rPr>
        <w:t>, la préparation d’un programme d’information</w:t>
      </w:r>
      <w:r>
        <w:rPr>
          <w:rFonts w:asciiTheme="minorHAnsi" w:hAnsiTheme="minorHAnsi" w:cstheme="minorHAnsi"/>
          <w:lang w:val="fr-FR"/>
        </w:rPr>
        <w:t>/sensibilisation,</w:t>
      </w:r>
      <w:r w:rsidRPr="00F3677C">
        <w:rPr>
          <w:rFonts w:asciiTheme="minorHAnsi" w:hAnsiTheme="minorHAnsi" w:cstheme="minorHAnsi"/>
          <w:lang w:val="fr-FR"/>
        </w:rPr>
        <w:t xml:space="preserve"> l’identification des bénéficiaires</w:t>
      </w:r>
      <w:r>
        <w:rPr>
          <w:rFonts w:asciiTheme="minorHAnsi" w:hAnsiTheme="minorHAnsi" w:cstheme="minorHAnsi"/>
          <w:lang w:val="fr-FR"/>
        </w:rPr>
        <w:t xml:space="preserve"> et l’organisation de séances de formation.</w:t>
      </w:r>
    </w:p>
  </w:footnote>
  <w:footnote w:id="52">
    <w:p w:rsidR="00E46B31" w:rsidRPr="00C762EC" w:rsidRDefault="00E46B31" w:rsidP="00576EB1">
      <w:pPr>
        <w:pStyle w:val="FootnoteText"/>
        <w:jc w:val="both"/>
        <w:rPr>
          <w:rFonts w:asciiTheme="minorHAnsi" w:hAnsiTheme="minorHAnsi" w:cstheme="minorHAnsi"/>
          <w:lang w:val="fr-FR"/>
        </w:rPr>
      </w:pPr>
      <w:r w:rsidRPr="00A677E9">
        <w:rPr>
          <w:rStyle w:val="FootnoteReference"/>
          <w:rFonts w:asciiTheme="minorHAnsi" w:hAnsiTheme="minorHAnsi" w:cstheme="minorHAnsi"/>
        </w:rPr>
        <w:footnoteRef/>
      </w:r>
      <w:r w:rsidRPr="00A677E9">
        <w:rPr>
          <w:rFonts w:asciiTheme="minorHAnsi" w:hAnsiTheme="minorHAnsi" w:cstheme="minorHAnsi"/>
          <w:lang w:val="fr-FR"/>
        </w:rPr>
        <w:t xml:space="preserve"> Le MADR, MEN, MFEP, MIPME, le MSN et le MTA.</w:t>
      </w:r>
    </w:p>
  </w:footnote>
  <w:footnote w:id="53">
    <w:p w:rsidR="00E46B31" w:rsidRPr="00C762EC" w:rsidRDefault="00E46B31" w:rsidP="00C762EC">
      <w:pPr>
        <w:pStyle w:val="FootnoteText"/>
        <w:jc w:val="both"/>
        <w:rPr>
          <w:lang w:val="fr-FR"/>
        </w:rPr>
      </w:pPr>
      <w:r w:rsidRPr="00C762EC">
        <w:rPr>
          <w:rStyle w:val="FootnoteReference"/>
          <w:rFonts w:asciiTheme="minorHAnsi" w:hAnsiTheme="minorHAnsi" w:cstheme="minorHAnsi"/>
        </w:rPr>
        <w:footnoteRef/>
      </w:r>
      <w:r w:rsidRPr="00C762EC">
        <w:rPr>
          <w:rFonts w:asciiTheme="minorHAnsi" w:hAnsiTheme="minorHAnsi" w:cstheme="minorHAnsi"/>
          <w:lang w:val="fr-FR"/>
        </w:rPr>
        <w:t xml:space="preserve"> Le rapport de l’atelier mentionne la participation de </w:t>
      </w:r>
      <w:r>
        <w:rPr>
          <w:rFonts w:asciiTheme="minorHAnsi" w:hAnsiTheme="minorHAnsi" w:cstheme="minorHAnsi"/>
          <w:lang w:val="fr-FR"/>
        </w:rPr>
        <w:t xml:space="preserve">36 </w:t>
      </w:r>
      <w:r w:rsidRPr="00C762EC">
        <w:rPr>
          <w:rFonts w:asciiTheme="minorHAnsi" w:hAnsiTheme="minorHAnsi" w:cstheme="minorHAnsi"/>
          <w:lang w:val="fr-FR"/>
        </w:rPr>
        <w:t>représentants les différentes directions de la wilaya concernées ainsi que des Daïras, APC, Chambre de commerce et banques ; d’une trentaine d’associations de la wilaya de Djelfa qui ont délégué un ou deux participants ; des points focaux institutionnels et des agences des Nations Unies concernées (PNUD, UNFPA et UNICEF et du Coordonnateur général de l’AECID.</w:t>
      </w:r>
    </w:p>
  </w:footnote>
  <w:footnote w:id="54">
    <w:p w:rsidR="00E46B31" w:rsidRPr="0038675F" w:rsidRDefault="00E46B31" w:rsidP="0038675F">
      <w:pPr>
        <w:pStyle w:val="FootnoteText"/>
        <w:jc w:val="both"/>
        <w:rPr>
          <w:rFonts w:asciiTheme="minorHAnsi" w:hAnsiTheme="minorHAnsi" w:cstheme="minorHAnsi"/>
          <w:lang w:val="fr-FR"/>
        </w:rPr>
      </w:pPr>
      <w:r w:rsidRPr="0038675F">
        <w:rPr>
          <w:rStyle w:val="FootnoteReference"/>
          <w:rFonts w:asciiTheme="minorHAnsi" w:hAnsiTheme="minorHAnsi" w:cstheme="minorHAnsi"/>
        </w:rPr>
        <w:footnoteRef/>
      </w:r>
      <w:r w:rsidRPr="0038675F">
        <w:rPr>
          <w:rFonts w:asciiTheme="minorHAnsi" w:hAnsiTheme="minorHAnsi" w:cstheme="minorHAnsi"/>
          <w:lang w:val="fr-FR"/>
        </w:rPr>
        <w:t xml:space="preserve"> Selon l’estimation de l’EP, un budget supplémentaire de 50.000 dollars serait nécessaire.</w:t>
      </w:r>
    </w:p>
  </w:footnote>
  <w:footnote w:id="55">
    <w:p w:rsidR="00E46B31" w:rsidRPr="0038675F" w:rsidRDefault="00E46B31" w:rsidP="0038675F">
      <w:pPr>
        <w:pStyle w:val="FootnoteText"/>
        <w:jc w:val="both"/>
        <w:rPr>
          <w:rFonts w:asciiTheme="minorHAnsi" w:hAnsiTheme="minorHAnsi" w:cstheme="minorHAnsi"/>
          <w:lang w:val="fr-FR"/>
        </w:rPr>
      </w:pPr>
      <w:r w:rsidRPr="0038675F">
        <w:rPr>
          <w:rStyle w:val="FootnoteReference"/>
          <w:rFonts w:asciiTheme="minorHAnsi" w:hAnsiTheme="minorHAnsi" w:cstheme="minorHAnsi"/>
        </w:rPr>
        <w:footnoteRef/>
      </w:r>
      <w:r w:rsidRPr="0038675F">
        <w:rPr>
          <w:rFonts w:asciiTheme="minorHAnsi" w:hAnsiTheme="minorHAnsi" w:cstheme="minorHAnsi"/>
          <w:lang w:val="fr-FR"/>
        </w:rPr>
        <w:t xml:space="preserve"> L’expérience, qui consistait à organiser des cours de formation professionnelle à destination exclusive de femmes porteuses du VIH à l’intérieur de locaux loués spécialement à cet effet par El Hayet, s’était avérée peu concluante et trop onéreuse pour être pérennisée.</w:t>
      </w:r>
    </w:p>
  </w:footnote>
  <w:footnote w:id="56">
    <w:p w:rsidR="00E46B31" w:rsidRPr="0038675F" w:rsidRDefault="00E46B31" w:rsidP="0038675F">
      <w:pPr>
        <w:pStyle w:val="FootnoteText"/>
        <w:jc w:val="both"/>
        <w:rPr>
          <w:lang w:val="fr-FR"/>
        </w:rPr>
      </w:pPr>
      <w:r w:rsidRPr="0038675F">
        <w:rPr>
          <w:rStyle w:val="FootnoteReference"/>
          <w:rFonts w:asciiTheme="minorHAnsi" w:hAnsiTheme="minorHAnsi" w:cstheme="minorHAnsi"/>
        </w:rPr>
        <w:footnoteRef/>
      </w:r>
      <w:r w:rsidRPr="0038675F">
        <w:rPr>
          <w:rFonts w:asciiTheme="minorHAnsi" w:hAnsiTheme="minorHAnsi" w:cstheme="minorHAnsi"/>
          <w:lang w:val="fr-FR"/>
        </w:rPr>
        <w:t xml:space="preserve"> Les jeunes filles ou les femmes qui ne sont pas infectées</w:t>
      </w:r>
      <w:r>
        <w:rPr>
          <w:rFonts w:asciiTheme="minorHAnsi" w:hAnsiTheme="minorHAnsi" w:cstheme="minorHAnsi"/>
          <w:lang w:val="fr-FR"/>
        </w:rPr>
        <w:t xml:space="preserve"> par le VIH/SIDA</w:t>
      </w:r>
      <w:r w:rsidRPr="0038675F">
        <w:rPr>
          <w:rFonts w:asciiTheme="minorHAnsi" w:hAnsiTheme="minorHAnsi" w:cstheme="minorHAnsi"/>
          <w:lang w:val="fr-FR"/>
        </w:rPr>
        <w:t xml:space="preserve">, mais dont un membre de la famille proche (la mère, la sœur) </w:t>
      </w:r>
      <w:r>
        <w:rPr>
          <w:rFonts w:asciiTheme="minorHAnsi" w:hAnsiTheme="minorHAnsi" w:cstheme="minorHAnsi"/>
          <w:lang w:val="fr-FR"/>
        </w:rPr>
        <w:t>l’</w:t>
      </w:r>
      <w:r w:rsidRPr="0038675F">
        <w:rPr>
          <w:rFonts w:asciiTheme="minorHAnsi" w:hAnsiTheme="minorHAnsi" w:cstheme="minorHAnsi"/>
          <w:lang w:val="fr-FR"/>
        </w:rPr>
        <w:t>est</w:t>
      </w:r>
      <w:r>
        <w:rPr>
          <w:rFonts w:asciiTheme="minorHAnsi" w:hAnsiTheme="minorHAnsi" w:cstheme="minorHAnsi"/>
          <w:lang w:val="fr-FR"/>
        </w:rPr>
        <w:t>,</w:t>
      </w:r>
      <w:r w:rsidRPr="0038675F">
        <w:rPr>
          <w:rFonts w:asciiTheme="minorHAnsi" w:hAnsiTheme="minorHAnsi" w:cstheme="minorHAnsi"/>
          <w:lang w:val="fr-FR"/>
        </w:rPr>
        <w:t xml:space="preserve"> sont considérées comme affectées indirectement par la maladie, et sont à ce titre considérées comme vulnérables. Elles sont donc élig</w:t>
      </w:r>
      <w:r>
        <w:rPr>
          <w:rFonts w:asciiTheme="minorHAnsi" w:hAnsiTheme="minorHAnsi" w:cstheme="minorHAnsi"/>
          <w:lang w:val="fr-FR"/>
        </w:rPr>
        <w:t>ibles aux services du programme.</w:t>
      </w:r>
    </w:p>
  </w:footnote>
  <w:footnote w:id="57">
    <w:p w:rsidR="00E46B31" w:rsidRPr="00242884" w:rsidRDefault="00E46B31" w:rsidP="00242884">
      <w:pPr>
        <w:pStyle w:val="FootnoteText"/>
        <w:jc w:val="both"/>
        <w:rPr>
          <w:rFonts w:asciiTheme="minorHAnsi" w:hAnsiTheme="minorHAnsi" w:cstheme="minorHAnsi"/>
          <w:lang w:val="fr-FR"/>
        </w:rPr>
      </w:pPr>
      <w:r w:rsidRPr="00D121A8">
        <w:rPr>
          <w:rStyle w:val="FootnoteReference"/>
          <w:rFonts w:asciiTheme="minorHAnsi" w:hAnsiTheme="minorHAnsi" w:cstheme="minorHAnsi"/>
        </w:rPr>
        <w:footnoteRef/>
      </w:r>
      <w:r w:rsidRPr="00D121A8">
        <w:rPr>
          <w:rFonts w:asciiTheme="minorHAnsi" w:hAnsiTheme="minorHAnsi" w:cstheme="minorHAnsi"/>
          <w:lang w:val="fr-FR"/>
        </w:rPr>
        <w:t xml:space="preserve"> La mission a rencontré à l’hôpital une vingtaine de bénéficiaires de la première vague de formations lors d’un </w:t>
      </w:r>
      <w:r w:rsidRPr="00242884">
        <w:rPr>
          <w:rFonts w:asciiTheme="minorHAnsi" w:hAnsiTheme="minorHAnsi" w:cstheme="minorHAnsi"/>
          <w:lang w:val="fr-FR"/>
        </w:rPr>
        <w:t>entretien de groupe, ainsi que quatre femmes bénéficiaires pour des entretiens individuels à leur domicile.</w:t>
      </w:r>
    </w:p>
  </w:footnote>
  <w:footnote w:id="58">
    <w:p w:rsidR="00E46B31" w:rsidRPr="003B27EB" w:rsidRDefault="00E46B31" w:rsidP="003B27EB">
      <w:pPr>
        <w:pStyle w:val="FootnoteText"/>
        <w:jc w:val="both"/>
        <w:rPr>
          <w:rFonts w:asciiTheme="minorHAnsi" w:hAnsiTheme="minorHAnsi" w:cstheme="minorHAnsi"/>
          <w:lang w:val="fr-FR"/>
        </w:rPr>
      </w:pPr>
      <w:r w:rsidRPr="00242884">
        <w:rPr>
          <w:rStyle w:val="FootnoteReference"/>
          <w:rFonts w:asciiTheme="minorHAnsi" w:hAnsiTheme="minorHAnsi" w:cstheme="minorHAnsi"/>
        </w:rPr>
        <w:footnoteRef/>
      </w:r>
      <w:r w:rsidRPr="00242884">
        <w:rPr>
          <w:rFonts w:asciiTheme="minorHAnsi" w:hAnsiTheme="minorHAnsi" w:cstheme="minorHAnsi"/>
          <w:lang w:val="fr-FR"/>
        </w:rPr>
        <w:t xml:space="preserve"> Il s’agit-là d’un sous-groupe bien précis, celui des femmes étrangères migrantes, originaires pour la plupart des pays africains voisins </w:t>
      </w:r>
      <w:r>
        <w:rPr>
          <w:rFonts w:asciiTheme="minorHAnsi" w:hAnsiTheme="minorHAnsi" w:cstheme="minorHAnsi"/>
          <w:lang w:val="fr-FR"/>
        </w:rPr>
        <w:t>et établies temporairement à Tamanrasset. P</w:t>
      </w:r>
      <w:r w:rsidRPr="00242884">
        <w:rPr>
          <w:rFonts w:asciiTheme="minorHAnsi" w:hAnsiTheme="minorHAnsi" w:cstheme="minorHAnsi"/>
          <w:lang w:val="fr-FR"/>
        </w:rPr>
        <w:t xml:space="preserve">arce qu’elles n’ont pas la nationalité algérienne ou en raison de leur mode de vie nomade, </w:t>
      </w:r>
      <w:r>
        <w:rPr>
          <w:rFonts w:asciiTheme="minorHAnsi" w:hAnsiTheme="minorHAnsi" w:cstheme="minorHAnsi"/>
          <w:lang w:val="fr-FR"/>
        </w:rPr>
        <w:t xml:space="preserve">elles </w:t>
      </w:r>
      <w:r w:rsidRPr="00242884">
        <w:rPr>
          <w:rFonts w:asciiTheme="minorHAnsi" w:hAnsiTheme="minorHAnsi" w:cstheme="minorHAnsi"/>
          <w:lang w:val="fr-FR"/>
        </w:rPr>
        <w:t xml:space="preserve">ne peuvent </w:t>
      </w:r>
      <w:r>
        <w:rPr>
          <w:rFonts w:asciiTheme="minorHAnsi" w:hAnsiTheme="minorHAnsi" w:cstheme="minorHAnsi"/>
          <w:lang w:val="fr-FR"/>
        </w:rPr>
        <w:t xml:space="preserve">actuellement </w:t>
      </w:r>
      <w:r w:rsidRPr="00242884">
        <w:rPr>
          <w:rFonts w:asciiTheme="minorHAnsi" w:hAnsiTheme="minorHAnsi" w:cstheme="minorHAnsi"/>
          <w:lang w:val="fr-FR"/>
        </w:rPr>
        <w:t>avoir accès aux soins médicaux qui permettent aux autres femmes de ne plus mourir de la maladie</w:t>
      </w:r>
      <w:r>
        <w:rPr>
          <w:rFonts w:asciiTheme="minorHAnsi" w:hAnsiTheme="minorHAnsi" w:cstheme="minorHAnsi"/>
          <w:lang w:val="fr-FR"/>
        </w:rPr>
        <w:t xml:space="preserve"> ou d’infecter leur enfant à naître</w:t>
      </w:r>
      <w:r w:rsidRPr="00242884">
        <w:rPr>
          <w:rFonts w:asciiTheme="minorHAnsi" w:hAnsiTheme="minorHAnsi" w:cstheme="minorHAnsi"/>
          <w:lang w:val="fr-FR"/>
        </w:rPr>
        <w:t xml:space="preserve">. Il est en effet </w:t>
      </w:r>
      <w:r>
        <w:rPr>
          <w:rFonts w:asciiTheme="minorHAnsi" w:hAnsiTheme="minorHAnsi" w:cstheme="minorHAnsi"/>
          <w:lang w:val="fr-FR"/>
        </w:rPr>
        <w:t xml:space="preserve">apparemment </w:t>
      </w:r>
      <w:r w:rsidRPr="00242884">
        <w:rPr>
          <w:rFonts w:asciiTheme="minorHAnsi" w:hAnsiTheme="minorHAnsi" w:cstheme="minorHAnsi"/>
          <w:lang w:val="fr-FR"/>
        </w:rPr>
        <w:t>impératif que le protocole médicamenteux soit suivi avec grande régularité, sinon, il nuit à la santé de la patiente. Dans le cas de personnes dont on sait que le mode de vie empêchera le bon suivi du protocole, il semblerait que les médecins préfèrent s’abstenir de leur prescrire tout traitement médicamenteux.</w:t>
      </w:r>
      <w:r>
        <w:rPr>
          <w:rFonts w:asciiTheme="minorHAnsi" w:hAnsiTheme="minorHAnsi" w:cstheme="minorHAnsi"/>
          <w:lang w:val="fr-FR"/>
        </w:rPr>
        <w:t xml:space="preserve"> Bien que cette situation soit grandement préoccupante, il semble que le programme conjoint ne puisse lui apporter une quelconque réponse, sauf à le documenter et à le faire connaitre auprès des </w:t>
      </w:r>
      <w:r w:rsidRPr="003B27EB">
        <w:rPr>
          <w:rFonts w:asciiTheme="minorHAnsi" w:hAnsiTheme="minorHAnsi" w:cstheme="minorHAnsi"/>
          <w:lang w:val="fr-FR"/>
        </w:rPr>
        <w:t>décideurs.</w:t>
      </w:r>
    </w:p>
  </w:footnote>
  <w:footnote w:id="59">
    <w:p w:rsidR="00E46B31" w:rsidRPr="003B27EB" w:rsidRDefault="00E46B31" w:rsidP="003B27EB">
      <w:pPr>
        <w:pStyle w:val="FootnoteText"/>
        <w:jc w:val="both"/>
        <w:rPr>
          <w:rFonts w:asciiTheme="minorHAnsi" w:hAnsiTheme="minorHAnsi" w:cstheme="minorHAnsi"/>
          <w:lang w:val="fr-FR"/>
        </w:rPr>
      </w:pPr>
      <w:r w:rsidRPr="003B27EB">
        <w:rPr>
          <w:rStyle w:val="FootnoteReference"/>
          <w:rFonts w:asciiTheme="minorHAnsi" w:hAnsiTheme="minorHAnsi" w:cstheme="minorHAnsi"/>
        </w:rPr>
        <w:footnoteRef/>
      </w:r>
      <w:r w:rsidRPr="003B27EB">
        <w:rPr>
          <w:rFonts w:asciiTheme="minorHAnsi" w:hAnsiTheme="minorHAnsi" w:cstheme="minorHAnsi"/>
          <w:lang w:val="fr-FR"/>
        </w:rPr>
        <w:t xml:space="preserve"> Pour pr</w:t>
      </w:r>
      <w:r>
        <w:rPr>
          <w:rFonts w:asciiTheme="minorHAnsi" w:hAnsiTheme="minorHAnsi" w:cstheme="minorHAnsi"/>
          <w:lang w:val="fr-FR"/>
        </w:rPr>
        <w:t>euve, les participantes de la 2</w:t>
      </w:r>
      <w:r w:rsidRPr="003B27EB">
        <w:rPr>
          <w:rFonts w:asciiTheme="minorHAnsi" w:hAnsiTheme="minorHAnsi" w:cstheme="minorHAnsi"/>
          <w:vertAlign w:val="superscript"/>
          <w:lang w:val="fr-FR"/>
        </w:rPr>
        <w:t>ème</w:t>
      </w:r>
      <w:r>
        <w:rPr>
          <w:rFonts w:asciiTheme="minorHAnsi" w:hAnsiTheme="minorHAnsi" w:cstheme="minorHAnsi"/>
          <w:lang w:val="fr-FR"/>
        </w:rPr>
        <w:t xml:space="preserve"> </w:t>
      </w:r>
      <w:r w:rsidRPr="003B27EB">
        <w:rPr>
          <w:rFonts w:asciiTheme="minorHAnsi" w:hAnsiTheme="minorHAnsi" w:cstheme="minorHAnsi"/>
          <w:lang w:val="fr-FR"/>
        </w:rPr>
        <w:t>phase de formation n’ont pu recevoir les indemnités</w:t>
      </w:r>
      <w:r>
        <w:rPr>
          <w:rFonts w:asciiTheme="minorHAnsi" w:hAnsiTheme="minorHAnsi" w:cstheme="minorHAnsi"/>
          <w:lang w:val="fr-FR"/>
        </w:rPr>
        <w:t xml:space="preserve"> auxquelles elles avaient droit</w:t>
      </w:r>
      <w:r w:rsidRPr="003B27EB">
        <w:rPr>
          <w:rFonts w:asciiTheme="minorHAnsi" w:hAnsiTheme="minorHAnsi" w:cstheme="minorHAnsi"/>
          <w:lang w:val="fr-FR"/>
        </w:rPr>
        <w:t>, le budget transféré au titre de l’A27 étant épuisé.</w:t>
      </w:r>
      <w:r>
        <w:rPr>
          <w:rFonts w:asciiTheme="minorHAnsi" w:hAnsiTheme="minorHAnsi" w:cstheme="minorHAnsi"/>
          <w:lang w:val="fr-FR"/>
        </w:rPr>
        <w:t xml:space="preserve"> Elles ont malgré tout continué à suivre la formation.</w:t>
      </w:r>
    </w:p>
  </w:footnote>
  <w:footnote w:id="60">
    <w:p w:rsidR="00E46B31" w:rsidRPr="003B27EB" w:rsidRDefault="00E46B31" w:rsidP="003B27EB">
      <w:pPr>
        <w:pStyle w:val="FootnoteText"/>
        <w:jc w:val="both"/>
        <w:rPr>
          <w:rFonts w:asciiTheme="minorHAnsi" w:hAnsiTheme="minorHAnsi" w:cstheme="minorHAnsi"/>
          <w:lang w:val="fr-FR"/>
        </w:rPr>
      </w:pPr>
      <w:r w:rsidRPr="003B27EB">
        <w:rPr>
          <w:rStyle w:val="FootnoteReference"/>
          <w:rFonts w:asciiTheme="minorHAnsi" w:hAnsiTheme="minorHAnsi" w:cstheme="minorHAnsi"/>
        </w:rPr>
        <w:footnoteRef/>
      </w:r>
      <w:r w:rsidRPr="003B27EB">
        <w:rPr>
          <w:rFonts w:asciiTheme="minorHAnsi" w:hAnsiTheme="minorHAnsi" w:cstheme="minorHAnsi"/>
          <w:lang w:val="fr-FR"/>
        </w:rPr>
        <w:t xml:space="preserve"> Alors que le CFP offrait à la même période des formations en « pâtisserie traditionnelle » et de « tapisserie », ou de « Coiffure ».</w:t>
      </w:r>
    </w:p>
  </w:footnote>
  <w:footnote w:id="61">
    <w:p w:rsidR="00E46B31" w:rsidRPr="0060333A" w:rsidRDefault="00E46B31">
      <w:pPr>
        <w:pStyle w:val="FootnoteText"/>
        <w:rPr>
          <w:rFonts w:asciiTheme="minorHAnsi" w:hAnsiTheme="minorHAnsi" w:cstheme="minorHAnsi"/>
          <w:lang w:val="fr-FR"/>
        </w:rPr>
      </w:pPr>
      <w:r w:rsidRPr="0060333A">
        <w:rPr>
          <w:rStyle w:val="FootnoteReference"/>
          <w:rFonts w:asciiTheme="minorHAnsi" w:hAnsiTheme="minorHAnsi" w:cstheme="minorHAnsi"/>
        </w:rPr>
        <w:footnoteRef/>
      </w:r>
      <w:r w:rsidRPr="0060333A">
        <w:rPr>
          <w:rFonts w:asciiTheme="minorHAnsi" w:hAnsiTheme="minorHAnsi" w:cstheme="minorHAnsi"/>
          <w:lang w:val="fr-FR"/>
        </w:rPr>
        <w:t xml:space="preserve"> La mission ne sait pas si des données existent sur les investissements réalisées par les bénéficiaires.</w:t>
      </w:r>
    </w:p>
  </w:footnote>
  <w:footnote w:id="62">
    <w:p w:rsidR="00E46B31" w:rsidRPr="00D90142" w:rsidRDefault="00E46B31" w:rsidP="003B27EB">
      <w:pPr>
        <w:pStyle w:val="FootnoteText"/>
        <w:jc w:val="both"/>
        <w:rPr>
          <w:rFonts w:asciiTheme="minorHAnsi" w:hAnsiTheme="minorHAnsi" w:cstheme="minorHAnsi"/>
          <w:lang w:val="fr-FR"/>
        </w:rPr>
      </w:pPr>
      <w:r w:rsidRPr="003B27EB">
        <w:rPr>
          <w:rStyle w:val="FootnoteReference"/>
          <w:rFonts w:asciiTheme="minorHAnsi" w:hAnsiTheme="minorHAnsi" w:cstheme="minorHAnsi"/>
        </w:rPr>
        <w:footnoteRef/>
      </w:r>
      <w:r w:rsidRPr="003B27EB">
        <w:rPr>
          <w:rFonts w:asciiTheme="minorHAnsi" w:hAnsiTheme="minorHAnsi" w:cstheme="minorHAnsi"/>
          <w:lang w:val="fr-FR"/>
        </w:rPr>
        <w:t xml:space="preserve"> Des couettes et des tabliers pour les écoliers</w:t>
      </w:r>
      <w:r w:rsidRPr="00D90142">
        <w:rPr>
          <w:rFonts w:asciiTheme="minorHAnsi" w:hAnsiTheme="minorHAnsi" w:cstheme="minorHAnsi"/>
          <w:lang w:val="fr-FR"/>
        </w:rPr>
        <w:t>.</w:t>
      </w:r>
    </w:p>
  </w:footnote>
  <w:footnote w:id="63">
    <w:p w:rsidR="00E46B31" w:rsidRPr="00E171F3" w:rsidRDefault="00E46B31" w:rsidP="00E171F3">
      <w:pPr>
        <w:pStyle w:val="FootnoteText"/>
        <w:jc w:val="both"/>
        <w:rPr>
          <w:rFonts w:asciiTheme="minorHAnsi" w:hAnsiTheme="minorHAnsi" w:cstheme="minorHAnsi"/>
          <w:lang w:val="fr-FR"/>
        </w:rPr>
      </w:pPr>
      <w:r w:rsidRPr="00E171F3">
        <w:rPr>
          <w:rStyle w:val="FootnoteReference"/>
          <w:rFonts w:asciiTheme="minorHAnsi" w:hAnsiTheme="minorHAnsi" w:cstheme="minorHAnsi"/>
        </w:rPr>
        <w:footnoteRef/>
      </w:r>
      <w:r w:rsidRPr="00E171F3">
        <w:rPr>
          <w:rFonts w:asciiTheme="minorHAnsi" w:hAnsiTheme="minorHAnsi" w:cstheme="minorHAnsi"/>
          <w:lang w:val="fr-FR"/>
        </w:rPr>
        <w:t xml:space="preserve"> Ainsi, il semble qu’une nouvelle formation peut être envisagée si au moins 15 personnes se disent intéressées.</w:t>
      </w:r>
    </w:p>
  </w:footnote>
  <w:footnote w:id="64">
    <w:p w:rsidR="00E46B31" w:rsidRPr="00637E87" w:rsidRDefault="00E46B31">
      <w:pPr>
        <w:pStyle w:val="FootnoteText"/>
        <w:rPr>
          <w:rFonts w:asciiTheme="minorHAnsi" w:hAnsiTheme="minorHAnsi" w:cstheme="minorHAnsi"/>
          <w:lang w:val="fr-FR"/>
        </w:rPr>
      </w:pPr>
      <w:r w:rsidRPr="00637E87">
        <w:rPr>
          <w:rStyle w:val="FootnoteReference"/>
          <w:rFonts w:asciiTheme="minorHAnsi" w:hAnsiTheme="minorHAnsi" w:cstheme="minorHAnsi"/>
        </w:rPr>
        <w:footnoteRef/>
      </w:r>
      <w:r w:rsidRPr="00637E87">
        <w:rPr>
          <w:rFonts w:asciiTheme="minorHAnsi" w:hAnsiTheme="minorHAnsi" w:cstheme="minorHAnsi"/>
          <w:lang w:val="fr-FR"/>
        </w:rPr>
        <w:t xml:space="preserve"> Voir Annexe</w:t>
      </w:r>
      <w:r>
        <w:rPr>
          <w:rFonts w:asciiTheme="minorHAnsi" w:hAnsiTheme="minorHAnsi" w:cstheme="minorHAnsi"/>
          <w:lang w:val="fr-FR"/>
        </w:rPr>
        <w:t xml:space="preserve"> 7b</w:t>
      </w:r>
      <w:r w:rsidRPr="00637E87">
        <w:rPr>
          <w:rFonts w:asciiTheme="minorHAnsi" w:hAnsiTheme="minorHAnsi" w:cstheme="minorHAnsi"/>
          <w:lang w:val="fr-FR"/>
        </w:rPr>
        <w:t xml:space="preserve"> pour les conditions détaillées.</w:t>
      </w:r>
    </w:p>
  </w:footnote>
  <w:footnote w:id="65">
    <w:p w:rsidR="00E46B31" w:rsidRPr="00E171F3" w:rsidRDefault="00E46B31" w:rsidP="001A15B8">
      <w:pPr>
        <w:pStyle w:val="FootnoteText"/>
        <w:jc w:val="both"/>
        <w:rPr>
          <w:lang w:val="fr-FR"/>
        </w:rPr>
      </w:pPr>
      <w:r w:rsidRPr="00E171F3">
        <w:rPr>
          <w:rStyle w:val="FootnoteReference"/>
          <w:rFonts w:asciiTheme="minorHAnsi" w:hAnsiTheme="minorHAnsi" w:cstheme="minorHAnsi"/>
        </w:rPr>
        <w:footnoteRef/>
      </w:r>
      <w:r w:rsidRPr="00E171F3">
        <w:rPr>
          <w:rFonts w:asciiTheme="minorHAnsi" w:hAnsiTheme="minorHAnsi" w:cstheme="minorHAnsi"/>
          <w:lang w:val="fr-FR"/>
        </w:rPr>
        <w:t xml:space="preserve"> Pour bénéficier des crédits, il suffit d’être majeur et de nationalité algérienne</w:t>
      </w:r>
      <w:r>
        <w:rPr>
          <w:rFonts w:asciiTheme="minorHAnsi" w:hAnsiTheme="minorHAnsi" w:cstheme="minorHAnsi"/>
          <w:lang w:val="fr-FR"/>
        </w:rPr>
        <w:t> ;</w:t>
      </w:r>
      <w:r w:rsidRPr="00E171F3">
        <w:rPr>
          <w:rFonts w:asciiTheme="minorHAnsi" w:hAnsiTheme="minorHAnsi" w:cstheme="minorHAnsi"/>
          <w:lang w:val="fr-FR"/>
        </w:rPr>
        <w:t xml:space="preserve"> d’être sans revenus</w:t>
      </w:r>
      <w:r>
        <w:rPr>
          <w:rFonts w:asciiTheme="minorHAnsi" w:hAnsiTheme="minorHAnsi" w:cstheme="minorHAnsi"/>
          <w:lang w:val="fr-FR"/>
        </w:rPr>
        <w:t> ;</w:t>
      </w:r>
      <w:r w:rsidRPr="00E171F3">
        <w:rPr>
          <w:rFonts w:asciiTheme="minorHAnsi" w:hAnsiTheme="minorHAnsi" w:cstheme="minorHAnsi"/>
          <w:lang w:val="fr-FR"/>
        </w:rPr>
        <w:t xml:space="preserve"> d’avoir une résidence fixe ; de dispose</w:t>
      </w:r>
      <w:r>
        <w:rPr>
          <w:rFonts w:asciiTheme="minorHAnsi" w:hAnsiTheme="minorHAnsi" w:cstheme="minorHAnsi"/>
          <w:lang w:val="fr-FR"/>
        </w:rPr>
        <w:t>r</w:t>
      </w:r>
      <w:r w:rsidRPr="00E171F3">
        <w:rPr>
          <w:rFonts w:asciiTheme="minorHAnsi" w:hAnsiTheme="minorHAnsi" w:cstheme="minorHAnsi"/>
          <w:lang w:val="fr-FR"/>
        </w:rPr>
        <w:t xml:space="preserve"> d’une qualification matérialisée par un diplôme ou un titre reconnu ou posséder</w:t>
      </w:r>
      <w:r>
        <w:rPr>
          <w:rFonts w:asciiTheme="minorHAnsi" w:hAnsiTheme="minorHAnsi" w:cstheme="minorHAnsi"/>
          <w:lang w:val="fr-FR"/>
        </w:rPr>
        <w:t xml:space="preserve"> un savoir-</w:t>
      </w:r>
      <w:r w:rsidRPr="00E171F3">
        <w:rPr>
          <w:rFonts w:asciiTheme="minorHAnsi" w:hAnsiTheme="minorHAnsi" w:cstheme="minorHAnsi"/>
          <w:lang w:val="fr-FR"/>
        </w:rPr>
        <w:t>faire prouvé ; et de ne pas voir bénéficié d’une autre aide à la création d’activités</w:t>
      </w:r>
      <w:r>
        <w:rPr>
          <w:lang w:val="fr-FR"/>
        </w:rPr>
        <w:t>.</w:t>
      </w:r>
    </w:p>
  </w:footnote>
  <w:footnote w:id="66">
    <w:p w:rsidR="00E46B31" w:rsidRPr="00204E24" w:rsidRDefault="00E46B31">
      <w:pPr>
        <w:pStyle w:val="FootnoteText"/>
        <w:rPr>
          <w:rFonts w:asciiTheme="minorHAnsi" w:hAnsiTheme="minorHAnsi" w:cstheme="minorHAnsi"/>
          <w:lang w:val="fr-FR"/>
        </w:rPr>
      </w:pPr>
      <w:r w:rsidRPr="00204E24">
        <w:rPr>
          <w:rStyle w:val="FootnoteReference"/>
          <w:rFonts w:asciiTheme="minorHAnsi" w:hAnsiTheme="minorHAnsi" w:cstheme="minorHAnsi"/>
        </w:rPr>
        <w:footnoteRef/>
      </w:r>
      <w:r w:rsidRPr="00204E24">
        <w:rPr>
          <w:rFonts w:asciiTheme="minorHAnsi" w:hAnsiTheme="minorHAnsi" w:cstheme="minorHAnsi"/>
          <w:lang w:val="fr-FR"/>
        </w:rPr>
        <w:t xml:space="preserve"> Pas d’apport personnel, 0% d’intérêt, PNR de 100%, remboursement du principal sur 36 mois.</w:t>
      </w:r>
    </w:p>
  </w:footnote>
  <w:footnote w:id="67">
    <w:p w:rsidR="00E46B31" w:rsidRPr="00C002B6" w:rsidRDefault="00E46B31" w:rsidP="003D7EC0">
      <w:pPr>
        <w:pStyle w:val="FootnoteText"/>
        <w:jc w:val="both"/>
        <w:rPr>
          <w:rFonts w:asciiTheme="minorHAnsi" w:hAnsiTheme="minorHAnsi" w:cstheme="minorHAnsi"/>
          <w:lang w:val="fr-FR"/>
        </w:rPr>
      </w:pPr>
      <w:r w:rsidRPr="00C002B6">
        <w:rPr>
          <w:rStyle w:val="FootnoteReference"/>
          <w:rFonts w:asciiTheme="minorHAnsi" w:hAnsiTheme="minorHAnsi" w:cstheme="minorHAnsi"/>
        </w:rPr>
        <w:footnoteRef/>
      </w:r>
      <w:r w:rsidRPr="00C002B6">
        <w:rPr>
          <w:rFonts w:asciiTheme="minorHAnsi" w:hAnsiTheme="minorHAnsi" w:cstheme="minorHAnsi"/>
          <w:lang w:val="fr-FR"/>
        </w:rPr>
        <w:t xml:space="preserve"> Dans le cas des bénéficiaires de l’A7, la somme de 100.000 </w:t>
      </w:r>
      <w:r>
        <w:rPr>
          <w:rFonts w:asciiTheme="minorHAnsi" w:hAnsiTheme="minorHAnsi" w:cstheme="minorHAnsi"/>
          <w:lang w:val="fr-FR"/>
        </w:rPr>
        <w:t xml:space="preserve">DA </w:t>
      </w:r>
      <w:r w:rsidRPr="00C002B6">
        <w:rPr>
          <w:rFonts w:asciiTheme="minorHAnsi" w:hAnsiTheme="minorHAnsi" w:cstheme="minorHAnsi"/>
          <w:lang w:val="fr-FR"/>
        </w:rPr>
        <w:t xml:space="preserve">ne couvrait pas complétement le coût de la machine à coudre et les bénéficiaires ont dû faire un apport </w:t>
      </w:r>
      <w:r>
        <w:rPr>
          <w:rFonts w:asciiTheme="minorHAnsi" w:hAnsiTheme="minorHAnsi" w:cstheme="minorHAnsi"/>
          <w:lang w:val="fr-FR"/>
        </w:rPr>
        <w:t xml:space="preserve">personnel </w:t>
      </w:r>
      <w:r w:rsidRPr="00C002B6">
        <w:rPr>
          <w:rFonts w:asciiTheme="minorHAnsi" w:hAnsiTheme="minorHAnsi" w:cstheme="minorHAnsi"/>
          <w:lang w:val="fr-FR"/>
        </w:rPr>
        <w:t xml:space="preserve">pour financer la différence, ainsi que </w:t>
      </w:r>
      <w:r>
        <w:rPr>
          <w:rFonts w:asciiTheme="minorHAnsi" w:hAnsiTheme="minorHAnsi" w:cstheme="minorHAnsi"/>
          <w:lang w:val="fr-FR"/>
        </w:rPr>
        <w:t xml:space="preserve">pour financer </w:t>
      </w:r>
      <w:r w:rsidRPr="00C002B6">
        <w:rPr>
          <w:rFonts w:asciiTheme="minorHAnsi" w:hAnsiTheme="minorHAnsi" w:cstheme="minorHAnsi"/>
          <w:lang w:val="fr-FR"/>
        </w:rPr>
        <w:t xml:space="preserve">l’achat du tissu et </w:t>
      </w:r>
      <w:r>
        <w:rPr>
          <w:rFonts w:asciiTheme="minorHAnsi" w:hAnsiTheme="minorHAnsi" w:cstheme="minorHAnsi"/>
          <w:lang w:val="fr-FR"/>
        </w:rPr>
        <w:t>des autres</w:t>
      </w:r>
      <w:r w:rsidRPr="00C002B6">
        <w:rPr>
          <w:rFonts w:asciiTheme="minorHAnsi" w:hAnsiTheme="minorHAnsi" w:cstheme="minorHAnsi"/>
          <w:lang w:val="fr-FR"/>
        </w:rPr>
        <w:t xml:space="preserve"> matières premières.</w:t>
      </w:r>
    </w:p>
  </w:footnote>
  <w:footnote w:id="68">
    <w:p w:rsidR="00E46B31" w:rsidRPr="003D7EC0" w:rsidRDefault="00E46B31" w:rsidP="001E1BEA">
      <w:pPr>
        <w:pStyle w:val="FootnoteText"/>
        <w:jc w:val="both"/>
        <w:rPr>
          <w:rFonts w:asciiTheme="minorHAnsi" w:hAnsiTheme="minorHAnsi" w:cstheme="minorHAnsi"/>
          <w:lang w:val="fr-FR"/>
        </w:rPr>
      </w:pPr>
      <w:r w:rsidRPr="003D7EC0">
        <w:rPr>
          <w:rStyle w:val="FootnoteReference"/>
          <w:rFonts w:asciiTheme="minorHAnsi" w:hAnsiTheme="minorHAnsi" w:cstheme="minorHAnsi"/>
        </w:rPr>
        <w:footnoteRef/>
      </w:r>
      <w:r w:rsidRPr="003D7EC0">
        <w:rPr>
          <w:rFonts w:asciiTheme="minorHAnsi" w:hAnsiTheme="minorHAnsi" w:cstheme="minorHAnsi"/>
          <w:lang w:val="fr-FR"/>
        </w:rPr>
        <w:t xml:space="preserve">   En 2011, l’ANGEM de Tamanrasset a octroyé quelques 4.600 prêts</w:t>
      </w:r>
      <w:r>
        <w:rPr>
          <w:rFonts w:asciiTheme="minorHAnsi" w:hAnsiTheme="minorHAnsi" w:cstheme="minorHAnsi"/>
          <w:lang w:val="fr-FR"/>
        </w:rPr>
        <w:t xml:space="preserve"> (avec 49% de femmes)</w:t>
      </w:r>
      <w:r w:rsidRPr="003D7EC0">
        <w:rPr>
          <w:rFonts w:asciiTheme="minorHAnsi" w:hAnsiTheme="minorHAnsi" w:cstheme="minorHAnsi"/>
          <w:lang w:val="fr-FR"/>
        </w:rPr>
        <w:t>, sur les 6.000 demandes reçues.</w:t>
      </w:r>
      <w:r>
        <w:rPr>
          <w:rFonts w:asciiTheme="minorHAnsi" w:hAnsiTheme="minorHAnsi" w:cstheme="minorHAnsi"/>
          <w:lang w:val="fr-FR"/>
        </w:rPr>
        <w:t xml:space="preserve"> L’agence n’employant que deux Accompagnatrices et de deux Adjoints et ce personnel étant impliqués tout au long du processus de prêt, depuis le dépôt du dossier jusqu’au démarrage, on comprend aisément que l’accompagnement ne peut être que superficiel et saupoudré sur un grand nombre de personnes. S’il y a bien un suivi individuel des bénéficiaires de prêts de l’ANGEM, celui-ci est réduit au suivi des informations et des données sur les investissements réalisés par les bénéficiaires sans appui technico-commercial.</w:t>
      </w:r>
    </w:p>
  </w:footnote>
  <w:footnote w:id="69">
    <w:p w:rsidR="00E46B31" w:rsidRPr="00E44F86" w:rsidRDefault="00E46B31" w:rsidP="00E44F86">
      <w:pPr>
        <w:pStyle w:val="FootnoteText"/>
        <w:jc w:val="both"/>
        <w:rPr>
          <w:rFonts w:asciiTheme="minorHAnsi" w:hAnsiTheme="minorHAnsi" w:cstheme="minorHAnsi"/>
          <w:lang w:val="fr-FR"/>
        </w:rPr>
      </w:pPr>
      <w:r w:rsidRPr="00E44F86">
        <w:rPr>
          <w:rStyle w:val="FootnoteReference"/>
          <w:rFonts w:asciiTheme="minorHAnsi" w:hAnsiTheme="minorHAnsi" w:cstheme="minorHAnsi"/>
        </w:rPr>
        <w:footnoteRef/>
      </w:r>
      <w:r w:rsidRPr="00E44F86">
        <w:rPr>
          <w:rFonts w:asciiTheme="minorHAnsi" w:hAnsiTheme="minorHAnsi" w:cstheme="minorHAnsi"/>
          <w:lang w:val="fr-FR"/>
        </w:rPr>
        <w:t xml:space="preserve"> Par exemple pour toutes les règles de fonctionnement et de gouvernance, de gestion administrative, de gestion financière, concernant l’acquisition d’expertise, etc.</w:t>
      </w:r>
    </w:p>
  </w:footnote>
  <w:footnote w:id="70">
    <w:p w:rsidR="00E46B31" w:rsidRPr="00E44F86" w:rsidRDefault="00E46B31">
      <w:pPr>
        <w:pStyle w:val="FootnoteText"/>
        <w:rPr>
          <w:lang w:val="fr-FR"/>
        </w:rPr>
      </w:pPr>
      <w:r w:rsidRPr="00E44F86">
        <w:rPr>
          <w:rStyle w:val="FootnoteReference"/>
          <w:rFonts w:asciiTheme="minorHAnsi" w:hAnsiTheme="minorHAnsi" w:cstheme="minorHAnsi"/>
        </w:rPr>
        <w:footnoteRef/>
      </w:r>
      <w:r w:rsidRPr="00E44F86">
        <w:rPr>
          <w:rFonts w:asciiTheme="minorHAnsi" w:hAnsiTheme="minorHAnsi" w:cstheme="minorHAnsi"/>
          <w:lang w:val="fr-FR"/>
        </w:rPr>
        <w:t xml:space="preserve"> Que l’on peut situer aux alentours du mois de septembre 2010, date de la tenue de l’atelier de lancement.</w:t>
      </w:r>
    </w:p>
  </w:footnote>
  <w:footnote w:id="71">
    <w:p w:rsidR="00E46B31" w:rsidRPr="003606A3" w:rsidRDefault="00E46B31" w:rsidP="000B4F72">
      <w:pPr>
        <w:pStyle w:val="FootnoteText"/>
        <w:rPr>
          <w:rFonts w:asciiTheme="minorHAnsi" w:hAnsiTheme="minorHAnsi" w:cstheme="minorHAnsi"/>
          <w:lang w:val="fr-FR"/>
        </w:rPr>
      </w:pPr>
      <w:r w:rsidRPr="003606A3">
        <w:rPr>
          <w:rStyle w:val="FootnoteReference"/>
          <w:rFonts w:asciiTheme="minorHAnsi" w:hAnsiTheme="minorHAnsi" w:cstheme="minorHAnsi"/>
        </w:rPr>
        <w:footnoteRef/>
      </w:r>
      <w:r w:rsidRPr="003606A3">
        <w:rPr>
          <w:rFonts w:asciiTheme="minorHAnsi" w:hAnsiTheme="minorHAnsi" w:cstheme="minorHAnsi"/>
          <w:lang w:val="fr-FR"/>
        </w:rPr>
        <w:t xml:space="preserve"> </w:t>
      </w:r>
      <w:r>
        <w:rPr>
          <w:rFonts w:asciiTheme="minorHAnsi" w:hAnsiTheme="minorHAnsi" w:cstheme="minorHAnsi"/>
          <w:lang w:val="fr-FR"/>
        </w:rPr>
        <w:t xml:space="preserve">Les 9 novembre 2009, </w:t>
      </w:r>
      <w:r w:rsidRPr="003606A3">
        <w:rPr>
          <w:rFonts w:asciiTheme="minorHAnsi" w:hAnsiTheme="minorHAnsi" w:cstheme="minorHAnsi"/>
          <w:lang w:val="fr-FR"/>
        </w:rPr>
        <w:t>28 février 2011,  16 novembre 2011 et au mois de décembre 2011.</w:t>
      </w:r>
    </w:p>
  </w:footnote>
  <w:footnote w:id="72">
    <w:p w:rsidR="00E46B31" w:rsidRPr="0056006D" w:rsidRDefault="00E46B31">
      <w:pPr>
        <w:pStyle w:val="FootnoteText"/>
        <w:rPr>
          <w:rFonts w:asciiTheme="minorHAnsi" w:hAnsiTheme="minorHAnsi" w:cstheme="minorHAnsi"/>
          <w:lang w:val="fr-FR"/>
        </w:rPr>
      </w:pPr>
      <w:r w:rsidRPr="0056006D">
        <w:rPr>
          <w:rStyle w:val="FootnoteReference"/>
          <w:rFonts w:asciiTheme="minorHAnsi" w:hAnsiTheme="minorHAnsi" w:cstheme="minorHAnsi"/>
        </w:rPr>
        <w:footnoteRef/>
      </w:r>
      <w:r w:rsidRPr="0056006D">
        <w:rPr>
          <w:rFonts w:asciiTheme="minorHAnsi" w:hAnsiTheme="minorHAnsi" w:cstheme="minorHAnsi"/>
          <w:lang w:val="fr-FR"/>
        </w:rPr>
        <w:t xml:space="preserve"> On constate une accélération des dépenses à partir du mois de mars 2011.</w:t>
      </w:r>
    </w:p>
  </w:footnote>
  <w:footnote w:id="73">
    <w:p w:rsidR="00E46B31" w:rsidRPr="0056006D" w:rsidRDefault="00E46B31">
      <w:pPr>
        <w:pStyle w:val="FootnoteText"/>
        <w:rPr>
          <w:rFonts w:asciiTheme="minorHAnsi" w:hAnsiTheme="minorHAnsi" w:cstheme="minorHAnsi"/>
          <w:lang w:val="fr-FR"/>
        </w:rPr>
      </w:pPr>
      <w:r w:rsidRPr="0056006D">
        <w:rPr>
          <w:rStyle w:val="FootnoteReference"/>
          <w:rFonts w:asciiTheme="minorHAnsi" w:hAnsiTheme="minorHAnsi" w:cstheme="minorHAnsi"/>
        </w:rPr>
        <w:footnoteRef/>
      </w:r>
      <w:r w:rsidRPr="0056006D">
        <w:rPr>
          <w:rFonts w:asciiTheme="minorHAnsi" w:hAnsiTheme="minorHAnsi" w:cstheme="minorHAnsi"/>
          <w:lang w:val="fr-FR"/>
        </w:rPr>
        <w:t xml:space="preserve"> Cérémonial inscrit dans le plan de communication élaboré en décembre 2011/janvier 2012.</w:t>
      </w:r>
    </w:p>
  </w:footnote>
  <w:footnote w:id="74">
    <w:p w:rsidR="00E46B31" w:rsidRPr="007747E9" w:rsidRDefault="00E46B31" w:rsidP="00C31DC5">
      <w:pPr>
        <w:pStyle w:val="FootnoteText"/>
        <w:rPr>
          <w:lang w:val="fr-FR"/>
        </w:rPr>
      </w:pPr>
      <w:r w:rsidRPr="007747E9">
        <w:rPr>
          <w:rStyle w:val="FootnoteReference"/>
          <w:rFonts w:asciiTheme="minorHAnsi" w:hAnsiTheme="minorHAnsi" w:cstheme="minorHAnsi"/>
        </w:rPr>
        <w:footnoteRef/>
      </w:r>
      <w:r w:rsidRPr="007747E9">
        <w:rPr>
          <w:rFonts w:asciiTheme="minorHAnsi" w:hAnsiTheme="minorHAnsi" w:cstheme="minorHAnsi"/>
          <w:lang w:val="fr-FR"/>
        </w:rPr>
        <w:t xml:space="preserve"> </w:t>
      </w:r>
      <w:r w:rsidRPr="007747E9">
        <w:rPr>
          <w:rFonts w:asciiTheme="minorHAnsi" w:hAnsiTheme="minorHAnsi" w:cstheme="minorHAnsi"/>
          <w:lang w:val="fr-CA"/>
        </w:rPr>
        <w:t>Il convient de préciser que le programme n’a eu aucune influence sur la nomination de ces 12 Points Focaux, dont la liste est donnée à l’Annexe 2.</w:t>
      </w:r>
      <w:r>
        <w:rPr>
          <w:lang w:val="fr-CA"/>
        </w:rPr>
        <w:t xml:space="preserve">  </w:t>
      </w:r>
    </w:p>
  </w:footnote>
  <w:footnote w:id="75">
    <w:p w:rsidR="00E46B31" w:rsidRPr="00D4130B" w:rsidRDefault="00E46B31">
      <w:pPr>
        <w:pStyle w:val="FootnoteText"/>
        <w:rPr>
          <w:rFonts w:asciiTheme="minorHAnsi" w:hAnsiTheme="minorHAnsi" w:cstheme="minorHAnsi"/>
          <w:lang w:val="fr-FR"/>
        </w:rPr>
      </w:pPr>
      <w:r w:rsidRPr="00D4130B">
        <w:rPr>
          <w:rStyle w:val="FootnoteReference"/>
          <w:rFonts w:asciiTheme="minorHAnsi" w:hAnsiTheme="minorHAnsi" w:cstheme="minorHAnsi"/>
        </w:rPr>
        <w:footnoteRef/>
      </w:r>
      <w:r w:rsidRPr="00D4130B">
        <w:rPr>
          <w:rFonts w:asciiTheme="minorHAnsi" w:hAnsiTheme="minorHAnsi" w:cstheme="minorHAnsi"/>
          <w:lang w:val="fr-FR"/>
        </w:rPr>
        <w:t xml:space="preserve"> La mission n’a pu, pour des problèmes techniques </w:t>
      </w:r>
      <w:r>
        <w:rPr>
          <w:rFonts w:asciiTheme="minorHAnsi" w:hAnsiTheme="minorHAnsi" w:cstheme="minorHAnsi"/>
          <w:lang w:val="fr-FR"/>
        </w:rPr>
        <w:t xml:space="preserve">dans la </w:t>
      </w:r>
      <w:r w:rsidRPr="00D4130B">
        <w:rPr>
          <w:rFonts w:asciiTheme="minorHAnsi" w:hAnsiTheme="minorHAnsi" w:cstheme="minorHAnsi"/>
          <w:lang w:val="fr-FR"/>
        </w:rPr>
        <w:t>transmission</w:t>
      </w:r>
      <w:r>
        <w:rPr>
          <w:rFonts w:asciiTheme="minorHAnsi" w:hAnsiTheme="minorHAnsi" w:cstheme="minorHAnsi"/>
          <w:lang w:val="fr-FR"/>
        </w:rPr>
        <w:t xml:space="preserve"> des fichiers électroniques</w:t>
      </w:r>
      <w:r w:rsidRPr="00D4130B">
        <w:rPr>
          <w:rFonts w:asciiTheme="minorHAnsi" w:hAnsiTheme="minorHAnsi" w:cstheme="minorHAnsi"/>
          <w:lang w:val="fr-FR"/>
        </w:rPr>
        <w:t xml:space="preserve">, consulter qu’un seul </w:t>
      </w:r>
      <w:r>
        <w:rPr>
          <w:rFonts w:asciiTheme="minorHAnsi" w:hAnsiTheme="minorHAnsi" w:cstheme="minorHAnsi"/>
          <w:lang w:val="fr-FR"/>
        </w:rPr>
        <w:t xml:space="preserve">de ces </w:t>
      </w:r>
      <w:r w:rsidRPr="00D4130B">
        <w:rPr>
          <w:rFonts w:asciiTheme="minorHAnsi" w:hAnsiTheme="minorHAnsi" w:cstheme="minorHAnsi"/>
          <w:lang w:val="fr-FR"/>
        </w:rPr>
        <w:t>compte-rendu</w:t>
      </w:r>
      <w:r>
        <w:rPr>
          <w:rFonts w:asciiTheme="minorHAnsi" w:hAnsiTheme="minorHAnsi" w:cstheme="minorHAnsi"/>
          <w:lang w:val="fr-FR"/>
        </w:rPr>
        <w:t>s</w:t>
      </w:r>
      <w:r w:rsidRPr="00D4130B">
        <w:rPr>
          <w:rFonts w:asciiTheme="minorHAnsi" w:hAnsiTheme="minorHAnsi" w:cstheme="minorHAnsi"/>
          <w:lang w:val="fr-FR"/>
        </w:rPr>
        <w:t>.</w:t>
      </w:r>
    </w:p>
  </w:footnote>
  <w:footnote w:id="76">
    <w:p w:rsidR="00E46B31" w:rsidRPr="00047EF4" w:rsidRDefault="00E46B31" w:rsidP="003B401F">
      <w:pPr>
        <w:pStyle w:val="FootnoteText"/>
        <w:jc w:val="both"/>
        <w:rPr>
          <w:rFonts w:asciiTheme="minorHAnsi" w:hAnsiTheme="minorHAnsi" w:cstheme="minorHAnsi"/>
          <w:lang w:val="fr-FR"/>
        </w:rPr>
      </w:pPr>
      <w:r w:rsidRPr="00047EF4">
        <w:rPr>
          <w:rStyle w:val="FootnoteReference"/>
          <w:rFonts w:asciiTheme="minorHAnsi" w:hAnsiTheme="minorHAnsi" w:cstheme="minorHAnsi"/>
        </w:rPr>
        <w:footnoteRef/>
      </w:r>
      <w:r w:rsidRPr="00047EF4">
        <w:rPr>
          <w:rFonts w:asciiTheme="minorHAnsi" w:hAnsiTheme="minorHAnsi" w:cstheme="minorHAnsi"/>
          <w:lang w:val="fr-FR"/>
        </w:rPr>
        <w:t xml:space="preserve"> Les membres du CGP sont aussi ceux qui ont été nommés membres du Groupe de Référence de l’Evaluation, et la mission a eu l’occasion de les rencontrer lors des réunions de briefing et de restitution, et également lors d’une réunion organisée pendant la mission à mi-parcours et portant sur l’approbation du Plan de communication provisoire.</w:t>
      </w:r>
    </w:p>
  </w:footnote>
  <w:footnote w:id="77">
    <w:p w:rsidR="00E46B31" w:rsidRPr="007C64E7" w:rsidRDefault="00E46B31" w:rsidP="00047EF4">
      <w:pPr>
        <w:pStyle w:val="FootnoteText"/>
        <w:jc w:val="both"/>
        <w:rPr>
          <w:rFonts w:asciiTheme="minorHAnsi" w:hAnsiTheme="minorHAnsi" w:cstheme="minorHAnsi"/>
          <w:lang w:val="fr-FR"/>
        </w:rPr>
      </w:pPr>
      <w:r w:rsidRPr="007C64E7">
        <w:rPr>
          <w:rStyle w:val="FootnoteReference"/>
          <w:rFonts w:asciiTheme="minorHAnsi" w:hAnsiTheme="minorHAnsi" w:cstheme="minorHAnsi"/>
        </w:rPr>
        <w:footnoteRef/>
      </w:r>
      <w:r w:rsidRPr="007C64E7">
        <w:rPr>
          <w:rFonts w:asciiTheme="minorHAnsi" w:hAnsiTheme="minorHAnsi" w:cstheme="minorHAnsi"/>
          <w:lang w:val="fr-FR"/>
        </w:rPr>
        <w:t xml:space="preserve"> Sur les sept agences partenaires</w:t>
      </w:r>
      <w:r>
        <w:rPr>
          <w:rFonts w:asciiTheme="minorHAnsi" w:hAnsiTheme="minorHAnsi" w:cstheme="minorHAnsi"/>
          <w:lang w:val="fr-FR"/>
        </w:rPr>
        <w:t> : (a)</w:t>
      </w:r>
      <w:r w:rsidRPr="007C64E7">
        <w:rPr>
          <w:rFonts w:asciiTheme="minorHAnsi" w:hAnsiTheme="minorHAnsi" w:cstheme="minorHAnsi"/>
          <w:lang w:val="fr-FR"/>
        </w:rPr>
        <w:t xml:space="preserve"> </w:t>
      </w:r>
      <w:r>
        <w:rPr>
          <w:rFonts w:asciiTheme="minorHAnsi" w:hAnsiTheme="minorHAnsi" w:cstheme="minorHAnsi"/>
          <w:lang w:val="fr-FR"/>
        </w:rPr>
        <w:t>trois agences n’ont pas de Directeur/rice et sont représentées par une personne unique n’ayant pas rang de Directeur; (b) un</w:t>
      </w:r>
      <w:r w:rsidRPr="007C64E7">
        <w:rPr>
          <w:rFonts w:asciiTheme="minorHAnsi" w:hAnsiTheme="minorHAnsi" w:cstheme="minorHAnsi"/>
          <w:lang w:val="fr-FR"/>
        </w:rPr>
        <w:t xml:space="preserve">e </w:t>
      </w:r>
      <w:r>
        <w:rPr>
          <w:rFonts w:asciiTheme="minorHAnsi" w:hAnsiTheme="minorHAnsi" w:cstheme="minorHAnsi"/>
          <w:lang w:val="fr-FR"/>
        </w:rPr>
        <w:t>agence n’est composée que d’un Directeur/rice ; et (c) une agence à vocation de Bureau Sous-Régional  composée d’un Directeur/rice et deux Assistant/es</w:t>
      </w:r>
      <w:r w:rsidRPr="007C64E7">
        <w:rPr>
          <w:rFonts w:asciiTheme="minorHAnsi" w:hAnsiTheme="minorHAnsi" w:cstheme="minorHAnsi"/>
          <w:lang w:val="fr-FR"/>
        </w:rPr>
        <w:t>.</w:t>
      </w:r>
      <w:r>
        <w:rPr>
          <w:rFonts w:asciiTheme="minorHAnsi" w:hAnsiTheme="minorHAnsi" w:cstheme="minorHAnsi"/>
          <w:lang w:val="fr-FR"/>
        </w:rPr>
        <w:t xml:space="preserve"> Le PNUD est en fait la seule agence qui possède à la fois une Directrice et du personnel opérationnel.</w:t>
      </w:r>
    </w:p>
  </w:footnote>
  <w:footnote w:id="78">
    <w:p w:rsidR="00E46B31" w:rsidRPr="009C07A8" w:rsidRDefault="00E46B31">
      <w:pPr>
        <w:pStyle w:val="FootnoteText"/>
        <w:rPr>
          <w:rFonts w:asciiTheme="minorHAnsi" w:hAnsiTheme="minorHAnsi" w:cstheme="minorHAnsi"/>
          <w:lang w:val="fr-FR"/>
        </w:rPr>
      </w:pPr>
      <w:r w:rsidRPr="009C07A8">
        <w:rPr>
          <w:rStyle w:val="FootnoteReference"/>
          <w:rFonts w:asciiTheme="minorHAnsi" w:hAnsiTheme="minorHAnsi" w:cstheme="minorHAnsi"/>
        </w:rPr>
        <w:footnoteRef/>
      </w:r>
      <w:r w:rsidRPr="009C07A8">
        <w:rPr>
          <w:rFonts w:asciiTheme="minorHAnsi" w:hAnsiTheme="minorHAnsi" w:cstheme="minorHAnsi"/>
          <w:lang w:val="fr-FR"/>
        </w:rPr>
        <w:t xml:space="preserve"> Un local a finalement été trouvé au sein du Ministère de la Santé, qui abrite également le MDCFCF.</w:t>
      </w:r>
    </w:p>
  </w:footnote>
  <w:footnote w:id="79">
    <w:p w:rsidR="00E46B31" w:rsidRPr="00EA7131" w:rsidRDefault="00E46B31">
      <w:pPr>
        <w:pStyle w:val="FootnoteText"/>
        <w:rPr>
          <w:rFonts w:asciiTheme="minorHAnsi" w:hAnsiTheme="minorHAnsi" w:cstheme="minorHAnsi"/>
          <w:lang w:val="fr-FR"/>
        </w:rPr>
      </w:pPr>
      <w:r w:rsidRPr="00EA7131">
        <w:rPr>
          <w:rStyle w:val="FootnoteReference"/>
          <w:rFonts w:asciiTheme="minorHAnsi" w:hAnsiTheme="minorHAnsi" w:cstheme="minorHAnsi"/>
        </w:rPr>
        <w:footnoteRef/>
      </w:r>
      <w:r w:rsidRPr="00EA7131">
        <w:rPr>
          <w:rFonts w:asciiTheme="minorHAnsi" w:hAnsiTheme="minorHAnsi" w:cstheme="minorHAnsi"/>
          <w:lang w:val="fr-FR"/>
        </w:rPr>
        <w:t xml:space="preserve"> Information fournie lors de la finalisation du rapport d’évaluation. D’après cette modalité prévue par les directives du F-OMD, le gouvernement approuve l’obligation de dépenser et c’est l’agences qui procède au décaissement.</w:t>
      </w:r>
    </w:p>
  </w:footnote>
  <w:footnote w:id="80">
    <w:p w:rsidR="00E46B31" w:rsidRPr="00EA7131" w:rsidRDefault="00E46B31" w:rsidP="00EA7131">
      <w:pPr>
        <w:pStyle w:val="FootnoteText"/>
        <w:jc w:val="both"/>
        <w:rPr>
          <w:rFonts w:asciiTheme="minorHAnsi" w:hAnsiTheme="minorHAnsi" w:cstheme="minorHAnsi"/>
          <w:lang w:val="fr-FR"/>
        </w:rPr>
      </w:pPr>
      <w:r w:rsidRPr="00EA7131">
        <w:rPr>
          <w:rStyle w:val="FootnoteReference"/>
          <w:rFonts w:asciiTheme="minorHAnsi" w:hAnsiTheme="minorHAnsi" w:cstheme="minorHAnsi"/>
        </w:rPr>
        <w:footnoteRef/>
      </w:r>
      <w:r w:rsidRPr="00EA7131">
        <w:rPr>
          <w:rFonts w:asciiTheme="minorHAnsi" w:hAnsiTheme="minorHAnsi" w:cstheme="minorHAnsi"/>
          <w:lang w:val="fr-FR"/>
        </w:rPr>
        <w:t xml:space="preserve"> Dans le cas du PNUD, la situation du NEX par « Paiement direct » a été formalisée par une lettre d’accord signé en 2010 entre le MDCFCF et le PNUD.</w:t>
      </w:r>
    </w:p>
  </w:footnote>
  <w:footnote w:id="81">
    <w:p w:rsidR="00E46B31" w:rsidRPr="00F803D9" w:rsidRDefault="00E46B31" w:rsidP="00EA7131">
      <w:pPr>
        <w:pStyle w:val="NoSpacing"/>
        <w:rPr>
          <w:sz w:val="20"/>
          <w:szCs w:val="20"/>
          <w:lang w:val="fr-CA"/>
        </w:rPr>
      </w:pPr>
      <w:r w:rsidRPr="00EA7131">
        <w:rPr>
          <w:rStyle w:val="FootnoteReference"/>
          <w:rFonts w:asciiTheme="minorHAnsi" w:hAnsiTheme="minorHAnsi" w:cstheme="minorHAnsi"/>
          <w:sz w:val="20"/>
          <w:szCs w:val="20"/>
        </w:rPr>
        <w:footnoteRef/>
      </w:r>
      <w:r w:rsidRPr="00EA7131">
        <w:rPr>
          <w:rFonts w:asciiTheme="minorHAnsi" w:hAnsiTheme="minorHAnsi" w:cstheme="minorHAnsi"/>
          <w:sz w:val="20"/>
          <w:szCs w:val="20"/>
          <w:lang w:val="fr-FR"/>
        </w:rPr>
        <w:t xml:space="preserve"> Q</w:t>
      </w:r>
      <w:r w:rsidRPr="00EA7131">
        <w:rPr>
          <w:rFonts w:asciiTheme="minorHAnsi" w:hAnsiTheme="minorHAnsi" w:cstheme="minorHAnsi"/>
          <w:sz w:val="20"/>
          <w:szCs w:val="20"/>
          <w:lang w:val="fr-CA"/>
        </w:rPr>
        <w:t>uel serait le recours de l’EP si un Point Focal</w:t>
      </w:r>
      <w:r w:rsidRPr="00F803D9">
        <w:rPr>
          <w:sz w:val="20"/>
          <w:szCs w:val="20"/>
          <w:lang w:val="fr-CA"/>
        </w:rPr>
        <w:t xml:space="preserve"> se montrait peu coopératif?</w:t>
      </w:r>
    </w:p>
  </w:footnote>
  <w:footnote w:id="82">
    <w:p w:rsidR="00E46B31" w:rsidRPr="00564752" w:rsidRDefault="00E46B31" w:rsidP="00284AFB">
      <w:pPr>
        <w:pStyle w:val="FootnoteText"/>
        <w:jc w:val="both"/>
        <w:rPr>
          <w:rFonts w:asciiTheme="minorHAnsi" w:hAnsiTheme="minorHAnsi" w:cstheme="minorHAnsi"/>
          <w:lang w:val="fr-FR"/>
        </w:rPr>
      </w:pPr>
      <w:r w:rsidRPr="00564752">
        <w:rPr>
          <w:rStyle w:val="FootnoteReference"/>
          <w:rFonts w:asciiTheme="minorHAnsi" w:hAnsiTheme="minorHAnsi" w:cstheme="minorHAnsi"/>
        </w:rPr>
        <w:footnoteRef/>
      </w:r>
      <w:r w:rsidRPr="00564752">
        <w:rPr>
          <w:rFonts w:asciiTheme="minorHAnsi" w:hAnsiTheme="minorHAnsi" w:cstheme="minorHAnsi"/>
          <w:lang w:val="fr-FR"/>
        </w:rPr>
        <w:t xml:space="preserve"> Selon la définition de l’OCDE-CAD « </w:t>
      </w:r>
      <w:r w:rsidRPr="00564752">
        <w:rPr>
          <w:rFonts w:asciiTheme="minorHAnsi" w:hAnsiTheme="minorHAnsi" w:cstheme="minorHAnsi"/>
          <w:i/>
          <w:lang w:val="fr-FR"/>
        </w:rPr>
        <w:t>Individus, groupes ou organisations qui bénéficient de l’action de développement, directement ou non, intentionnellement ou non</w:t>
      </w:r>
      <w:r>
        <w:rPr>
          <w:rFonts w:asciiTheme="minorHAnsi" w:hAnsiTheme="minorHAnsi" w:cstheme="minorHAnsi"/>
          <w:lang w:val="fr-FR"/>
        </w:rPr>
        <w:t> », les bénéficiaires ultimes étant les femmes Algériennes qui pourront être mieux appuyées si l’impact institutionnel attendu se réalise. L’autre élément en faveur de cet argument est le fait que les « produits » P2, P3 et P4 sont en fait des « effets escomptés » qui concernent un changement institutionnel positif, ce qui montre bien que, pour certaines activités, les ministères sont une cible directe du programme.</w:t>
      </w:r>
    </w:p>
  </w:footnote>
  <w:footnote w:id="83">
    <w:p w:rsidR="00E46B31" w:rsidRPr="00B07B4E" w:rsidRDefault="00E46B31" w:rsidP="00B07B4E">
      <w:pPr>
        <w:pStyle w:val="FootnoteText"/>
        <w:jc w:val="both"/>
        <w:rPr>
          <w:rFonts w:asciiTheme="minorHAnsi" w:hAnsiTheme="minorHAnsi" w:cstheme="minorHAnsi"/>
          <w:lang w:val="fr-FR"/>
        </w:rPr>
      </w:pPr>
      <w:r w:rsidRPr="00B07B4E">
        <w:rPr>
          <w:rStyle w:val="FootnoteReference"/>
          <w:rFonts w:asciiTheme="minorHAnsi" w:hAnsiTheme="minorHAnsi" w:cstheme="minorHAnsi"/>
        </w:rPr>
        <w:footnoteRef/>
      </w:r>
      <w:r w:rsidRPr="00B07B4E">
        <w:rPr>
          <w:rFonts w:asciiTheme="minorHAnsi" w:hAnsiTheme="minorHAnsi" w:cstheme="minorHAnsi"/>
          <w:lang w:val="fr-FR"/>
        </w:rPr>
        <w:t xml:space="preserve"> Il est à ce titre intéressant de noter que certains Points Focaux n’ont jamais lu le document de projet et ne possèdent pas de copie de ce document. Les Points Focaux qui étaient en possession de ce document l’avaient</w:t>
      </w:r>
      <w:r>
        <w:rPr>
          <w:rFonts w:asciiTheme="minorHAnsi" w:hAnsiTheme="minorHAnsi" w:cstheme="minorHAnsi"/>
          <w:lang w:val="fr-FR"/>
        </w:rPr>
        <w:t>,</w:t>
      </w:r>
      <w:r w:rsidRPr="00B07B4E">
        <w:rPr>
          <w:rFonts w:asciiTheme="minorHAnsi" w:hAnsiTheme="minorHAnsi" w:cstheme="minorHAnsi"/>
          <w:lang w:val="fr-FR"/>
        </w:rPr>
        <w:t xml:space="preserve"> pour la plupart, cherché et trouvé sur le site Internet du PNUD.</w:t>
      </w:r>
    </w:p>
  </w:footnote>
  <w:footnote w:id="84">
    <w:p w:rsidR="00E46B31" w:rsidRPr="00DD2C54" w:rsidRDefault="00E46B31">
      <w:pPr>
        <w:pStyle w:val="FootnoteText"/>
        <w:rPr>
          <w:rFonts w:asciiTheme="minorHAnsi" w:hAnsiTheme="minorHAnsi" w:cstheme="minorHAnsi"/>
          <w:lang w:val="fr-FR"/>
        </w:rPr>
      </w:pPr>
      <w:r w:rsidRPr="00DD2C54">
        <w:rPr>
          <w:rStyle w:val="FootnoteReference"/>
          <w:rFonts w:asciiTheme="minorHAnsi" w:hAnsiTheme="minorHAnsi" w:cstheme="minorHAnsi"/>
        </w:rPr>
        <w:footnoteRef/>
      </w:r>
      <w:r w:rsidRPr="00DD2C54">
        <w:rPr>
          <w:rFonts w:asciiTheme="minorHAnsi" w:hAnsiTheme="minorHAnsi" w:cstheme="minorHAnsi"/>
          <w:lang w:val="fr-FR"/>
        </w:rPr>
        <w:t xml:space="preserve"> Pour preuve, le précédent UNDAF n’avait pas été signé par le gouvernement, fait rarissime de par le monde.</w:t>
      </w:r>
    </w:p>
  </w:footnote>
  <w:footnote w:id="85">
    <w:p w:rsidR="00E46B31" w:rsidRPr="001100FA" w:rsidRDefault="00E46B31">
      <w:pPr>
        <w:pStyle w:val="FootnoteText"/>
        <w:rPr>
          <w:rFonts w:asciiTheme="minorHAnsi" w:hAnsiTheme="minorHAnsi" w:cstheme="minorHAnsi"/>
          <w:lang w:val="fr-FR"/>
        </w:rPr>
      </w:pPr>
      <w:r w:rsidRPr="001100FA">
        <w:rPr>
          <w:rStyle w:val="FootnoteReference"/>
          <w:rFonts w:asciiTheme="minorHAnsi" w:hAnsiTheme="minorHAnsi" w:cstheme="minorHAnsi"/>
        </w:rPr>
        <w:footnoteRef/>
      </w:r>
      <w:r w:rsidRPr="001100FA">
        <w:rPr>
          <w:rFonts w:asciiTheme="minorHAnsi" w:hAnsiTheme="minorHAnsi" w:cstheme="minorHAnsi"/>
          <w:lang w:val="fr-FR"/>
        </w:rPr>
        <w:t xml:space="preserve"> Introduction du Plan de Communication du programme conjoint.</w:t>
      </w:r>
    </w:p>
  </w:footnote>
  <w:footnote w:id="86">
    <w:p w:rsidR="00E46B31" w:rsidRPr="005B0EAB" w:rsidRDefault="00E46B31" w:rsidP="005B0EAB">
      <w:pPr>
        <w:pStyle w:val="FootnoteText"/>
        <w:jc w:val="both"/>
        <w:rPr>
          <w:rFonts w:asciiTheme="minorHAnsi" w:hAnsiTheme="minorHAnsi" w:cstheme="minorHAnsi"/>
          <w:lang w:val="fr-FR"/>
        </w:rPr>
      </w:pPr>
      <w:r w:rsidRPr="005B0EAB">
        <w:rPr>
          <w:rStyle w:val="FootnoteReference"/>
          <w:rFonts w:asciiTheme="minorHAnsi" w:hAnsiTheme="minorHAnsi" w:cstheme="minorHAnsi"/>
        </w:rPr>
        <w:footnoteRef/>
      </w:r>
      <w:r w:rsidRPr="005B0EAB">
        <w:rPr>
          <w:rFonts w:asciiTheme="minorHAnsi" w:hAnsiTheme="minorHAnsi" w:cstheme="minorHAnsi"/>
          <w:lang w:val="fr-FR"/>
        </w:rPr>
        <w:t xml:space="preserve"> A titre d’exemple, le BIT s’est installé dans ses nouveaux locaux à la fin janvier 2011, lesquels ne sont véritablement fonctionnels/opérationnels depuis peu. </w:t>
      </w:r>
    </w:p>
  </w:footnote>
  <w:footnote w:id="87">
    <w:p w:rsidR="00E46B31" w:rsidRPr="00E1399B" w:rsidRDefault="00E46B31" w:rsidP="00211F98">
      <w:pPr>
        <w:pStyle w:val="FootnoteText"/>
        <w:jc w:val="both"/>
        <w:rPr>
          <w:rFonts w:asciiTheme="minorHAnsi" w:hAnsiTheme="minorHAnsi" w:cstheme="minorHAnsi"/>
          <w:lang w:val="fr-FR"/>
        </w:rPr>
      </w:pPr>
      <w:r w:rsidRPr="00E1399B">
        <w:rPr>
          <w:rStyle w:val="FootnoteReference"/>
          <w:rFonts w:asciiTheme="minorHAnsi" w:hAnsiTheme="minorHAnsi" w:cstheme="minorHAnsi"/>
        </w:rPr>
        <w:footnoteRef/>
      </w:r>
      <w:r w:rsidRPr="00E1399B">
        <w:rPr>
          <w:rFonts w:asciiTheme="minorHAnsi" w:hAnsiTheme="minorHAnsi" w:cstheme="minorHAnsi"/>
          <w:lang w:val="fr-FR"/>
        </w:rPr>
        <w:t xml:space="preserve"> </w:t>
      </w:r>
      <w:r>
        <w:rPr>
          <w:rFonts w:asciiTheme="minorHAnsi" w:hAnsiTheme="minorHAnsi" w:cstheme="minorHAnsi"/>
          <w:lang w:val="fr-CA"/>
        </w:rPr>
        <w:t>O</w:t>
      </w:r>
      <w:r w:rsidRPr="00E1399B">
        <w:rPr>
          <w:rFonts w:asciiTheme="minorHAnsi" w:hAnsiTheme="minorHAnsi" w:cstheme="minorHAnsi"/>
          <w:lang w:val="fr-CA"/>
        </w:rPr>
        <w:t>u même deux interlocuteurs, puisqu’un 2</w:t>
      </w:r>
      <w:r w:rsidRPr="00E1399B">
        <w:rPr>
          <w:rFonts w:asciiTheme="minorHAnsi" w:hAnsiTheme="minorHAnsi" w:cstheme="minorHAnsi"/>
          <w:vertAlign w:val="superscript"/>
          <w:lang w:val="fr-CA"/>
        </w:rPr>
        <w:t>ème</w:t>
      </w:r>
      <w:r w:rsidRPr="00E1399B">
        <w:rPr>
          <w:rFonts w:asciiTheme="minorHAnsi" w:hAnsiTheme="minorHAnsi" w:cstheme="minorHAnsi"/>
          <w:lang w:val="fr-CA"/>
        </w:rPr>
        <w:t xml:space="preserve"> Point Focal est en voie de d</w:t>
      </w:r>
      <w:r>
        <w:rPr>
          <w:rFonts w:asciiTheme="minorHAnsi" w:hAnsiTheme="minorHAnsi" w:cstheme="minorHAnsi"/>
          <w:lang w:val="fr-CA"/>
        </w:rPr>
        <w:t>ésignation ans chaque ministère.</w:t>
      </w:r>
    </w:p>
  </w:footnote>
  <w:footnote w:id="88">
    <w:p w:rsidR="00E46B31" w:rsidRPr="00D37DB6" w:rsidRDefault="00E46B31" w:rsidP="00211F98">
      <w:pPr>
        <w:pStyle w:val="FootnoteText"/>
        <w:jc w:val="both"/>
        <w:rPr>
          <w:rFonts w:asciiTheme="minorHAnsi" w:hAnsiTheme="minorHAnsi" w:cstheme="minorHAnsi"/>
          <w:lang w:val="fr-FR"/>
        </w:rPr>
      </w:pPr>
      <w:r w:rsidRPr="00D37DB6">
        <w:rPr>
          <w:rStyle w:val="FootnoteReference"/>
          <w:rFonts w:asciiTheme="minorHAnsi" w:hAnsiTheme="minorHAnsi" w:cstheme="minorHAnsi"/>
        </w:rPr>
        <w:footnoteRef/>
      </w:r>
      <w:r w:rsidRPr="00D37DB6">
        <w:rPr>
          <w:rFonts w:asciiTheme="minorHAnsi" w:hAnsiTheme="minorHAnsi" w:cstheme="minorHAnsi"/>
          <w:lang w:val="fr-FR"/>
        </w:rPr>
        <w:t xml:space="preserve"> </w:t>
      </w:r>
      <w:r>
        <w:rPr>
          <w:rFonts w:asciiTheme="minorHAnsi" w:hAnsiTheme="minorHAnsi" w:cstheme="minorHAnsi"/>
          <w:lang w:val="fr-CA"/>
        </w:rPr>
        <w:t xml:space="preserve"> Par exemple a</w:t>
      </w:r>
      <w:r w:rsidRPr="00D37DB6">
        <w:rPr>
          <w:rFonts w:asciiTheme="minorHAnsi" w:hAnsiTheme="minorHAnsi" w:cstheme="minorHAnsi"/>
          <w:lang w:val="fr-CA"/>
        </w:rPr>
        <w:t>u sein du Cabinet du ministre, d’</w:t>
      </w:r>
      <w:r>
        <w:rPr>
          <w:rFonts w:asciiTheme="minorHAnsi" w:hAnsiTheme="minorHAnsi" w:cstheme="minorHAnsi"/>
          <w:lang w:val="fr-CA"/>
        </w:rPr>
        <w:t>un département chargé de la planification ou du suivi des</w:t>
      </w:r>
      <w:r w:rsidRPr="00D37DB6">
        <w:rPr>
          <w:rFonts w:asciiTheme="minorHAnsi" w:hAnsiTheme="minorHAnsi" w:cstheme="minorHAnsi"/>
          <w:lang w:val="fr-CA"/>
        </w:rPr>
        <w:t xml:space="preserve"> politiques sectorielles, etc</w:t>
      </w:r>
      <w:r>
        <w:rPr>
          <w:rFonts w:asciiTheme="minorHAnsi" w:hAnsiTheme="minorHAnsi" w:cstheme="minorHAnsi"/>
          <w:lang w:val="fr-CA"/>
        </w:rPr>
        <w:t>.</w:t>
      </w:r>
    </w:p>
  </w:footnote>
  <w:footnote w:id="89">
    <w:p w:rsidR="00E46B31" w:rsidRPr="001972B6" w:rsidRDefault="00E46B31" w:rsidP="00344D11">
      <w:pPr>
        <w:pStyle w:val="FootnoteText"/>
        <w:rPr>
          <w:rFonts w:asciiTheme="minorHAnsi" w:hAnsiTheme="minorHAnsi" w:cstheme="minorHAnsi"/>
          <w:lang w:val="fr-FR"/>
        </w:rPr>
      </w:pPr>
      <w:r w:rsidRPr="001972B6">
        <w:rPr>
          <w:rStyle w:val="FootnoteReference"/>
          <w:rFonts w:asciiTheme="minorHAnsi" w:hAnsiTheme="minorHAnsi" w:cstheme="minorHAnsi"/>
        </w:rPr>
        <w:footnoteRef/>
      </w:r>
      <w:r w:rsidRPr="001972B6">
        <w:rPr>
          <w:rFonts w:asciiTheme="minorHAnsi" w:hAnsiTheme="minorHAnsi" w:cstheme="minorHAnsi"/>
          <w:lang w:val="fr-FR"/>
        </w:rPr>
        <w:t xml:space="preserve"> Note: dans la version finale du rapport, la mission tentera une proposition chiffrée pour les transferts.</w:t>
      </w:r>
    </w:p>
  </w:footnote>
  <w:footnote w:id="90">
    <w:p w:rsidR="00E46B31" w:rsidRPr="0081421C" w:rsidRDefault="00E46B31" w:rsidP="00764016">
      <w:pPr>
        <w:pStyle w:val="FootnoteText"/>
        <w:rPr>
          <w:rFonts w:asciiTheme="minorHAnsi" w:hAnsiTheme="minorHAnsi" w:cstheme="minorHAnsi"/>
          <w:lang w:val="fr-FR"/>
        </w:rPr>
      </w:pPr>
      <w:r w:rsidRPr="0081421C">
        <w:rPr>
          <w:rStyle w:val="FootnoteReference"/>
          <w:rFonts w:asciiTheme="minorHAnsi" w:hAnsiTheme="minorHAnsi" w:cstheme="minorHAnsi"/>
        </w:rPr>
        <w:footnoteRef/>
      </w:r>
      <w:r w:rsidRPr="0081421C">
        <w:rPr>
          <w:rFonts w:asciiTheme="minorHAnsi" w:hAnsiTheme="minorHAnsi" w:cstheme="minorHAnsi"/>
          <w:lang w:val="fr-FR"/>
        </w:rPr>
        <w:t xml:space="preserve"> Selon les informations données à la mission, les missions techniques des experts du siège du BIT sont inclues au titre du premier trimest</w:t>
      </w:r>
      <w:r>
        <w:rPr>
          <w:rFonts w:asciiTheme="minorHAnsi" w:hAnsiTheme="minorHAnsi" w:cstheme="minorHAnsi"/>
          <w:lang w:val="fr-FR"/>
        </w:rPr>
        <w:t>re</w:t>
      </w:r>
      <w:r w:rsidRPr="0081421C">
        <w:rPr>
          <w:rFonts w:asciiTheme="minorHAnsi" w:hAnsiTheme="minorHAnsi" w:cstheme="minorHAnsi"/>
          <w:lang w:val="fr-FR"/>
        </w:rPr>
        <w:t>2012.</w:t>
      </w:r>
    </w:p>
  </w:footnote>
  <w:footnote w:id="91">
    <w:p w:rsidR="00E46B31" w:rsidRPr="006E088D" w:rsidRDefault="00E46B31" w:rsidP="006E088D">
      <w:pPr>
        <w:pStyle w:val="FootnoteText"/>
        <w:jc w:val="both"/>
        <w:rPr>
          <w:rFonts w:asciiTheme="minorHAnsi" w:hAnsiTheme="minorHAnsi" w:cstheme="minorHAnsi"/>
          <w:lang w:val="fr-FR"/>
        </w:rPr>
      </w:pPr>
      <w:r w:rsidRPr="006E088D">
        <w:rPr>
          <w:rStyle w:val="FootnoteReference"/>
          <w:rFonts w:asciiTheme="minorHAnsi" w:hAnsiTheme="minorHAnsi" w:cstheme="minorHAnsi"/>
        </w:rPr>
        <w:footnoteRef/>
      </w:r>
      <w:r w:rsidRPr="006E088D">
        <w:rPr>
          <w:rFonts w:asciiTheme="minorHAnsi" w:hAnsiTheme="minorHAnsi" w:cstheme="minorHAnsi"/>
          <w:lang w:val="fr-FR"/>
        </w:rPr>
        <w:t xml:space="preserve"> Il semble qu’à la date de finalisation du présent rapport final (avril 2012), ce protocole a déjà été signé et que la base de données sera effectivement logée au MPS.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31" w:rsidRDefault="00E46B31">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B6E"/>
    <w:multiLevelType w:val="hybridMultilevel"/>
    <w:tmpl w:val="DB82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464D1"/>
    <w:multiLevelType w:val="hybridMultilevel"/>
    <w:tmpl w:val="E1A2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6746B"/>
    <w:multiLevelType w:val="hybridMultilevel"/>
    <w:tmpl w:val="F566DB50"/>
    <w:lvl w:ilvl="0" w:tplc="884E7DBE">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6674793"/>
    <w:multiLevelType w:val="hybridMultilevel"/>
    <w:tmpl w:val="060A16BE"/>
    <w:lvl w:ilvl="0" w:tplc="76807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B3CC5"/>
    <w:multiLevelType w:val="hybridMultilevel"/>
    <w:tmpl w:val="46CC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580F69"/>
    <w:multiLevelType w:val="hybridMultilevel"/>
    <w:tmpl w:val="D3D8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82416"/>
    <w:multiLevelType w:val="hybridMultilevel"/>
    <w:tmpl w:val="DEEA459E"/>
    <w:lvl w:ilvl="0" w:tplc="7B7A66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A3CD3"/>
    <w:multiLevelType w:val="hybridMultilevel"/>
    <w:tmpl w:val="67F80218"/>
    <w:lvl w:ilvl="0" w:tplc="884E7DB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D16110"/>
    <w:multiLevelType w:val="hybridMultilevel"/>
    <w:tmpl w:val="CF78DA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804CF"/>
    <w:multiLevelType w:val="hybridMultilevel"/>
    <w:tmpl w:val="6E3E97EE"/>
    <w:lvl w:ilvl="0" w:tplc="43F8FC30">
      <w:start w:val="1"/>
      <w:numFmt w:val="decimal"/>
      <w:lvlText w:val="%1."/>
      <w:lvlJc w:val="left"/>
      <w:pPr>
        <w:ind w:left="1068" w:hanging="360"/>
      </w:pPr>
      <w:rPr>
        <w:rFonts w:ascii="Calibri" w:hAnsi="Calibri" w:hint="default"/>
      </w:rPr>
    </w:lvl>
    <w:lvl w:ilvl="1" w:tplc="04090019">
      <w:start w:val="1"/>
      <w:numFmt w:val="lowerLetter"/>
      <w:lvlText w:val="%2."/>
      <w:lvlJc w:val="left"/>
      <w:pPr>
        <w:ind w:left="1788" w:hanging="360"/>
      </w:pPr>
    </w:lvl>
    <w:lvl w:ilvl="2" w:tplc="0409001B">
      <w:start w:val="1"/>
      <w:numFmt w:val="lowerRoman"/>
      <w:lvlText w:val="%3."/>
      <w:lvlJc w:val="righ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927691E"/>
    <w:multiLevelType w:val="hybridMultilevel"/>
    <w:tmpl w:val="FA7E4C04"/>
    <w:lvl w:ilvl="0" w:tplc="76807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483FBA"/>
    <w:multiLevelType w:val="hybridMultilevel"/>
    <w:tmpl w:val="00424350"/>
    <w:lvl w:ilvl="0" w:tplc="76807502">
      <w:start w:val="1"/>
      <w:numFmt w:val="bullet"/>
      <w:lvlText w:val=""/>
      <w:lvlJc w:val="left"/>
      <w:pPr>
        <w:ind w:left="720" w:hanging="360"/>
      </w:pPr>
      <w:rPr>
        <w:rFonts w:ascii="Symbol" w:hAnsi="Symbol" w:hint="default"/>
      </w:rPr>
    </w:lvl>
    <w:lvl w:ilvl="1" w:tplc="7680750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274DF"/>
    <w:multiLevelType w:val="hybridMultilevel"/>
    <w:tmpl w:val="4F2805D0"/>
    <w:lvl w:ilvl="0" w:tplc="884E7D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421F97"/>
    <w:multiLevelType w:val="hybridMultilevel"/>
    <w:tmpl w:val="262492C6"/>
    <w:lvl w:ilvl="0" w:tplc="884E7DB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35F834AF"/>
    <w:multiLevelType w:val="hybridMultilevel"/>
    <w:tmpl w:val="E8628FEC"/>
    <w:lvl w:ilvl="0" w:tplc="FA3C69F0">
      <w:start w:val="1"/>
      <w:numFmt w:val="lowerLetter"/>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120450"/>
    <w:multiLevelType w:val="hybridMultilevel"/>
    <w:tmpl w:val="22AA4782"/>
    <w:lvl w:ilvl="0" w:tplc="7680750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74E60DE"/>
    <w:multiLevelType w:val="hybridMultilevel"/>
    <w:tmpl w:val="C1649118"/>
    <w:lvl w:ilvl="0" w:tplc="768075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E95954"/>
    <w:multiLevelType w:val="hybridMultilevel"/>
    <w:tmpl w:val="7918017E"/>
    <w:lvl w:ilvl="0" w:tplc="884E7D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3D2498"/>
    <w:multiLevelType w:val="hybridMultilevel"/>
    <w:tmpl w:val="FFD653FE"/>
    <w:lvl w:ilvl="0" w:tplc="884E7D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091012"/>
    <w:multiLevelType w:val="hybridMultilevel"/>
    <w:tmpl w:val="7F82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8328D8"/>
    <w:multiLevelType w:val="hybridMultilevel"/>
    <w:tmpl w:val="520AC7A8"/>
    <w:lvl w:ilvl="0" w:tplc="31D8749C">
      <w:start w:val="20"/>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449C639E"/>
    <w:multiLevelType w:val="hybridMultilevel"/>
    <w:tmpl w:val="A43C023E"/>
    <w:lvl w:ilvl="0" w:tplc="768A2B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100BA8"/>
    <w:multiLevelType w:val="hybridMultilevel"/>
    <w:tmpl w:val="ADF05910"/>
    <w:lvl w:ilvl="0" w:tplc="884E7DB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C22EEE"/>
    <w:multiLevelType w:val="hybridMultilevel"/>
    <w:tmpl w:val="7ECA7862"/>
    <w:lvl w:ilvl="0" w:tplc="43F8FC30">
      <w:start w:val="1"/>
      <w:numFmt w:val="decimal"/>
      <w:pStyle w:val="UNDPTitle1"/>
      <w:lvlText w:val="%1."/>
      <w:lvlJc w:val="left"/>
      <w:pPr>
        <w:ind w:left="1068" w:hanging="360"/>
      </w:pPr>
      <w:rPr>
        <w:rFonts w:ascii="Calibri" w:hAnsi="Calibri" w:hint="default"/>
      </w:rPr>
    </w:lvl>
    <w:lvl w:ilvl="1" w:tplc="04090019">
      <w:start w:val="1"/>
      <w:numFmt w:val="lowerLetter"/>
      <w:lvlText w:val="%2."/>
      <w:lvlJc w:val="left"/>
      <w:pPr>
        <w:ind w:left="1788" w:hanging="360"/>
      </w:pPr>
    </w:lvl>
    <w:lvl w:ilvl="2" w:tplc="30D49A64">
      <w:start w:val="1"/>
      <w:numFmt w:val="low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4C116FD6"/>
    <w:multiLevelType w:val="hybridMultilevel"/>
    <w:tmpl w:val="6F406BDE"/>
    <w:lvl w:ilvl="0" w:tplc="884E7DB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73137F"/>
    <w:multiLevelType w:val="hybridMultilevel"/>
    <w:tmpl w:val="3AFE6A9C"/>
    <w:lvl w:ilvl="0" w:tplc="884E7DBE">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51711A55"/>
    <w:multiLevelType w:val="hybridMultilevel"/>
    <w:tmpl w:val="BD4A33AC"/>
    <w:lvl w:ilvl="0" w:tplc="76807502">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nsid w:val="53396824"/>
    <w:multiLevelType w:val="hybridMultilevel"/>
    <w:tmpl w:val="1688A7EC"/>
    <w:lvl w:ilvl="0" w:tplc="76807502">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nsid w:val="58AA366B"/>
    <w:multiLevelType w:val="hybridMultilevel"/>
    <w:tmpl w:val="E384EAB2"/>
    <w:lvl w:ilvl="0" w:tplc="884E7D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3B6F6F"/>
    <w:multiLevelType w:val="hybridMultilevel"/>
    <w:tmpl w:val="7698227C"/>
    <w:lvl w:ilvl="0" w:tplc="884E7DBE">
      <w:numFmt w:val="bullet"/>
      <w:lvlText w:val="-"/>
      <w:lvlJc w:val="left"/>
      <w:pPr>
        <w:ind w:left="775" w:hanging="360"/>
      </w:pPr>
      <w:rPr>
        <w:rFonts w:ascii="Calibri" w:eastAsia="Times New Roman" w:hAnsi="Calibri" w:cs="Calibri"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nsid w:val="60AB57E0"/>
    <w:multiLevelType w:val="hybridMultilevel"/>
    <w:tmpl w:val="F91C50E8"/>
    <w:lvl w:ilvl="0" w:tplc="884E7D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F50E6F"/>
    <w:multiLevelType w:val="hybridMultilevel"/>
    <w:tmpl w:val="DE3C1D66"/>
    <w:lvl w:ilvl="0" w:tplc="884E7D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092406"/>
    <w:multiLevelType w:val="hybridMultilevel"/>
    <w:tmpl w:val="36060EDE"/>
    <w:lvl w:ilvl="0" w:tplc="7B7A66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1C4AC2"/>
    <w:multiLevelType w:val="hybridMultilevel"/>
    <w:tmpl w:val="6876EA3C"/>
    <w:lvl w:ilvl="0" w:tplc="7B7A66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066221"/>
    <w:multiLevelType w:val="hybridMultilevel"/>
    <w:tmpl w:val="805A80F2"/>
    <w:lvl w:ilvl="0" w:tplc="884E7D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111C50"/>
    <w:multiLevelType w:val="hybridMultilevel"/>
    <w:tmpl w:val="B528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234B72"/>
    <w:multiLevelType w:val="hybridMultilevel"/>
    <w:tmpl w:val="13A4E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05B2BF6"/>
    <w:multiLevelType w:val="hybridMultilevel"/>
    <w:tmpl w:val="3F540182"/>
    <w:lvl w:ilvl="0" w:tplc="7B7A660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8E1E72"/>
    <w:multiLevelType w:val="hybridMultilevel"/>
    <w:tmpl w:val="7D8E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6A0F4A"/>
    <w:multiLevelType w:val="hybridMultilevel"/>
    <w:tmpl w:val="6E3A4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6B37A4D"/>
    <w:multiLevelType w:val="hybridMultilevel"/>
    <w:tmpl w:val="79C884F6"/>
    <w:lvl w:ilvl="0" w:tplc="76DEAB9C">
      <w:start w:val="1"/>
      <w:numFmt w:val="upperRoman"/>
      <w:pStyle w:val="Heading1"/>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EA65B1"/>
    <w:multiLevelType w:val="hybridMultilevel"/>
    <w:tmpl w:val="6C1CF102"/>
    <w:lvl w:ilvl="0" w:tplc="7B7A660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CD6CEE"/>
    <w:multiLevelType w:val="hybridMultilevel"/>
    <w:tmpl w:val="B3DEEEDC"/>
    <w:lvl w:ilvl="0" w:tplc="884E7DB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40"/>
  </w:num>
  <w:num w:numId="3">
    <w:abstractNumId w:val="23"/>
  </w:num>
  <w:num w:numId="4">
    <w:abstractNumId w:val="0"/>
  </w:num>
  <w:num w:numId="5">
    <w:abstractNumId w:val="23"/>
  </w:num>
  <w:num w:numId="6">
    <w:abstractNumId w:val="23"/>
  </w:num>
  <w:num w:numId="7">
    <w:abstractNumId w:val="12"/>
  </w:num>
  <w:num w:numId="8">
    <w:abstractNumId w:val="23"/>
    <w:lvlOverride w:ilvl="0">
      <w:startOverride w:val="1"/>
    </w:lvlOverride>
  </w:num>
  <w:num w:numId="9">
    <w:abstractNumId w:val="14"/>
  </w:num>
  <w:num w:numId="10">
    <w:abstractNumId w:val="9"/>
  </w:num>
  <w:num w:numId="11">
    <w:abstractNumId w:val="23"/>
    <w:lvlOverride w:ilvl="0">
      <w:startOverride w:val="1"/>
    </w:lvlOverride>
  </w:num>
  <w:num w:numId="12">
    <w:abstractNumId w:val="2"/>
  </w:num>
  <w:num w:numId="13">
    <w:abstractNumId w:val="42"/>
  </w:num>
  <w:num w:numId="14">
    <w:abstractNumId w:val="27"/>
  </w:num>
  <w:num w:numId="15">
    <w:abstractNumId w:val="33"/>
  </w:num>
  <w:num w:numId="16">
    <w:abstractNumId w:val="36"/>
  </w:num>
  <w:num w:numId="17">
    <w:abstractNumId w:val="30"/>
  </w:num>
  <w:num w:numId="18">
    <w:abstractNumId w:val="3"/>
  </w:num>
  <w:num w:numId="19">
    <w:abstractNumId w:val="26"/>
  </w:num>
  <w:num w:numId="20">
    <w:abstractNumId w:val="39"/>
  </w:num>
  <w:num w:numId="21">
    <w:abstractNumId w:val="35"/>
  </w:num>
  <w:num w:numId="22">
    <w:abstractNumId w:val="22"/>
  </w:num>
  <w:num w:numId="23">
    <w:abstractNumId w:val="31"/>
  </w:num>
  <w:num w:numId="24">
    <w:abstractNumId w:val="25"/>
  </w:num>
  <w:num w:numId="25">
    <w:abstractNumId w:val="24"/>
  </w:num>
  <w:num w:numId="26">
    <w:abstractNumId w:val="16"/>
  </w:num>
  <w:num w:numId="27">
    <w:abstractNumId w:val="34"/>
  </w:num>
  <w:num w:numId="28">
    <w:abstractNumId w:val="29"/>
  </w:num>
  <w:num w:numId="29">
    <w:abstractNumId w:val="32"/>
  </w:num>
  <w:num w:numId="30">
    <w:abstractNumId w:val="6"/>
  </w:num>
  <w:num w:numId="31">
    <w:abstractNumId w:val="40"/>
  </w:num>
  <w:num w:numId="32">
    <w:abstractNumId w:val="5"/>
  </w:num>
  <w:num w:numId="33">
    <w:abstractNumId w:val="10"/>
  </w:num>
  <w:num w:numId="34">
    <w:abstractNumId w:val="7"/>
  </w:num>
  <w:num w:numId="35">
    <w:abstractNumId w:val="15"/>
  </w:num>
  <w:num w:numId="36">
    <w:abstractNumId w:val="20"/>
  </w:num>
  <w:num w:numId="37">
    <w:abstractNumId w:val="38"/>
  </w:num>
  <w:num w:numId="38">
    <w:abstractNumId w:val="18"/>
  </w:num>
  <w:num w:numId="39">
    <w:abstractNumId w:val="28"/>
  </w:num>
  <w:num w:numId="40">
    <w:abstractNumId w:val="17"/>
  </w:num>
  <w:num w:numId="41">
    <w:abstractNumId w:val="41"/>
  </w:num>
  <w:num w:numId="42">
    <w:abstractNumId w:val="11"/>
  </w:num>
  <w:num w:numId="43">
    <w:abstractNumId w:val="13"/>
  </w:num>
  <w:num w:numId="44">
    <w:abstractNumId w:val="19"/>
  </w:num>
  <w:num w:numId="45">
    <w:abstractNumId w:val="21"/>
  </w:num>
  <w:num w:numId="46">
    <w:abstractNumId w:val="1"/>
  </w:num>
  <w:num w:numId="47">
    <w:abstractNumId w:val="8"/>
  </w:num>
  <w:num w:numId="4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evenAndOddHeaders/>
  <w:characterSpacingControl w:val="doNotCompress"/>
  <w:hdrShapeDefaults>
    <o:shapedefaults v:ext="edit" spidmax="2049">
      <o:colormru v:ext="edit" colors="#a91f3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95"/>
    <w:rsid w:val="0000098C"/>
    <w:rsid w:val="00000CBB"/>
    <w:rsid w:val="00000DCC"/>
    <w:rsid w:val="00002A10"/>
    <w:rsid w:val="00004BA4"/>
    <w:rsid w:val="0000534A"/>
    <w:rsid w:val="00006322"/>
    <w:rsid w:val="0000655C"/>
    <w:rsid w:val="00007FAD"/>
    <w:rsid w:val="00010126"/>
    <w:rsid w:val="00016726"/>
    <w:rsid w:val="000227BE"/>
    <w:rsid w:val="00025563"/>
    <w:rsid w:val="00025ECA"/>
    <w:rsid w:val="000264D8"/>
    <w:rsid w:val="00026BD5"/>
    <w:rsid w:val="000301BE"/>
    <w:rsid w:val="0003076B"/>
    <w:rsid w:val="00031371"/>
    <w:rsid w:val="000313F9"/>
    <w:rsid w:val="000316DD"/>
    <w:rsid w:val="000326AD"/>
    <w:rsid w:val="000341F2"/>
    <w:rsid w:val="00034357"/>
    <w:rsid w:val="000344AB"/>
    <w:rsid w:val="000371FF"/>
    <w:rsid w:val="00037383"/>
    <w:rsid w:val="000374A3"/>
    <w:rsid w:val="000378B0"/>
    <w:rsid w:val="00040BAA"/>
    <w:rsid w:val="00041C11"/>
    <w:rsid w:val="00041EA5"/>
    <w:rsid w:val="000421CE"/>
    <w:rsid w:val="00042282"/>
    <w:rsid w:val="00042E95"/>
    <w:rsid w:val="0004510D"/>
    <w:rsid w:val="00046414"/>
    <w:rsid w:val="00046FB6"/>
    <w:rsid w:val="00047EF4"/>
    <w:rsid w:val="00050693"/>
    <w:rsid w:val="00056B48"/>
    <w:rsid w:val="00057EDD"/>
    <w:rsid w:val="0006360A"/>
    <w:rsid w:val="00066142"/>
    <w:rsid w:val="00067AD3"/>
    <w:rsid w:val="00071E66"/>
    <w:rsid w:val="00076FB2"/>
    <w:rsid w:val="00082441"/>
    <w:rsid w:val="00082CBF"/>
    <w:rsid w:val="000836E0"/>
    <w:rsid w:val="00083FFB"/>
    <w:rsid w:val="000841F3"/>
    <w:rsid w:val="00085F32"/>
    <w:rsid w:val="00091C29"/>
    <w:rsid w:val="000A2175"/>
    <w:rsid w:val="000A23E9"/>
    <w:rsid w:val="000A3F89"/>
    <w:rsid w:val="000A5456"/>
    <w:rsid w:val="000A64DA"/>
    <w:rsid w:val="000A6B03"/>
    <w:rsid w:val="000A6CE2"/>
    <w:rsid w:val="000B1E85"/>
    <w:rsid w:val="000B44AB"/>
    <w:rsid w:val="000B4F72"/>
    <w:rsid w:val="000B5268"/>
    <w:rsid w:val="000B6DB2"/>
    <w:rsid w:val="000B700D"/>
    <w:rsid w:val="000C1039"/>
    <w:rsid w:val="000C1457"/>
    <w:rsid w:val="000C2FC0"/>
    <w:rsid w:val="000C3892"/>
    <w:rsid w:val="000C5941"/>
    <w:rsid w:val="000C5C5E"/>
    <w:rsid w:val="000C619B"/>
    <w:rsid w:val="000C666A"/>
    <w:rsid w:val="000C7212"/>
    <w:rsid w:val="000D1B45"/>
    <w:rsid w:val="000E1F29"/>
    <w:rsid w:val="000E2807"/>
    <w:rsid w:val="000E2DBC"/>
    <w:rsid w:val="000E4CDE"/>
    <w:rsid w:val="000E50FF"/>
    <w:rsid w:val="000E56F2"/>
    <w:rsid w:val="000E60D8"/>
    <w:rsid w:val="000E6576"/>
    <w:rsid w:val="000F0ACF"/>
    <w:rsid w:val="000F148D"/>
    <w:rsid w:val="000F2952"/>
    <w:rsid w:val="000F536C"/>
    <w:rsid w:val="000F5E82"/>
    <w:rsid w:val="000F70AD"/>
    <w:rsid w:val="000F7307"/>
    <w:rsid w:val="000F769B"/>
    <w:rsid w:val="000F7D91"/>
    <w:rsid w:val="000F7EA4"/>
    <w:rsid w:val="0010043E"/>
    <w:rsid w:val="001007E5"/>
    <w:rsid w:val="00100D4C"/>
    <w:rsid w:val="00102DE3"/>
    <w:rsid w:val="00103585"/>
    <w:rsid w:val="00105474"/>
    <w:rsid w:val="00106923"/>
    <w:rsid w:val="00106F6C"/>
    <w:rsid w:val="001100FA"/>
    <w:rsid w:val="001117B1"/>
    <w:rsid w:val="0011194A"/>
    <w:rsid w:val="00112105"/>
    <w:rsid w:val="00112235"/>
    <w:rsid w:val="0011300F"/>
    <w:rsid w:val="001132C1"/>
    <w:rsid w:val="001137A0"/>
    <w:rsid w:val="001159E2"/>
    <w:rsid w:val="00116691"/>
    <w:rsid w:val="00117B9D"/>
    <w:rsid w:val="00117BC9"/>
    <w:rsid w:val="00117C3B"/>
    <w:rsid w:val="00121A1D"/>
    <w:rsid w:val="00122F99"/>
    <w:rsid w:val="00123C70"/>
    <w:rsid w:val="001245DB"/>
    <w:rsid w:val="00124A63"/>
    <w:rsid w:val="00126504"/>
    <w:rsid w:val="001304A9"/>
    <w:rsid w:val="00132995"/>
    <w:rsid w:val="00132DA3"/>
    <w:rsid w:val="0013356C"/>
    <w:rsid w:val="00134614"/>
    <w:rsid w:val="0013473B"/>
    <w:rsid w:val="00136550"/>
    <w:rsid w:val="00137D76"/>
    <w:rsid w:val="001403C3"/>
    <w:rsid w:val="0014273D"/>
    <w:rsid w:val="0014287B"/>
    <w:rsid w:val="0014419E"/>
    <w:rsid w:val="00146E8B"/>
    <w:rsid w:val="00150D32"/>
    <w:rsid w:val="00150F64"/>
    <w:rsid w:val="00152794"/>
    <w:rsid w:val="00153516"/>
    <w:rsid w:val="001552D3"/>
    <w:rsid w:val="00160349"/>
    <w:rsid w:val="0016338A"/>
    <w:rsid w:val="0016340A"/>
    <w:rsid w:val="00165777"/>
    <w:rsid w:val="001731EC"/>
    <w:rsid w:val="001747FE"/>
    <w:rsid w:val="00177585"/>
    <w:rsid w:val="00180CB4"/>
    <w:rsid w:val="00181ECD"/>
    <w:rsid w:val="00184718"/>
    <w:rsid w:val="00190235"/>
    <w:rsid w:val="00190820"/>
    <w:rsid w:val="00194A89"/>
    <w:rsid w:val="00195200"/>
    <w:rsid w:val="001972B6"/>
    <w:rsid w:val="001A0092"/>
    <w:rsid w:val="001A15B8"/>
    <w:rsid w:val="001A3E90"/>
    <w:rsid w:val="001A3EAB"/>
    <w:rsid w:val="001A3F70"/>
    <w:rsid w:val="001A46D3"/>
    <w:rsid w:val="001A50B4"/>
    <w:rsid w:val="001B00D8"/>
    <w:rsid w:val="001B0F15"/>
    <w:rsid w:val="001B2065"/>
    <w:rsid w:val="001B5AD4"/>
    <w:rsid w:val="001B5BC5"/>
    <w:rsid w:val="001B68F7"/>
    <w:rsid w:val="001C02BD"/>
    <w:rsid w:val="001C079B"/>
    <w:rsid w:val="001C1332"/>
    <w:rsid w:val="001C28BB"/>
    <w:rsid w:val="001C291C"/>
    <w:rsid w:val="001C3DA6"/>
    <w:rsid w:val="001C4C3C"/>
    <w:rsid w:val="001C6059"/>
    <w:rsid w:val="001C741B"/>
    <w:rsid w:val="001D1FD3"/>
    <w:rsid w:val="001D23DA"/>
    <w:rsid w:val="001D2A5F"/>
    <w:rsid w:val="001D3595"/>
    <w:rsid w:val="001D366D"/>
    <w:rsid w:val="001D5AF9"/>
    <w:rsid w:val="001D688D"/>
    <w:rsid w:val="001D7959"/>
    <w:rsid w:val="001E16AB"/>
    <w:rsid w:val="001E19B6"/>
    <w:rsid w:val="001E1BEA"/>
    <w:rsid w:val="001E2A0B"/>
    <w:rsid w:val="001E3039"/>
    <w:rsid w:val="001E3770"/>
    <w:rsid w:val="001E4395"/>
    <w:rsid w:val="001E4DFE"/>
    <w:rsid w:val="001E5FF1"/>
    <w:rsid w:val="001E6A4C"/>
    <w:rsid w:val="001F0621"/>
    <w:rsid w:val="001F0855"/>
    <w:rsid w:val="001F0F6E"/>
    <w:rsid w:val="001F4731"/>
    <w:rsid w:val="001F50A8"/>
    <w:rsid w:val="001F5788"/>
    <w:rsid w:val="001F6907"/>
    <w:rsid w:val="001F7164"/>
    <w:rsid w:val="001F7AE2"/>
    <w:rsid w:val="002006F9"/>
    <w:rsid w:val="002013C7"/>
    <w:rsid w:val="0020306B"/>
    <w:rsid w:val="00204E24"/>
    <w:rsid w:val="00205E0F"/>
    <w:rsid w:val="002064E6"/>
    <w:rsid w:val="00211939"/>
    <w:rsid w:val="00211F76"/>
    <w:rsid w:val="00211F98"/>
    <w:rsid w:val="0021354F"/>
    <w:rsid w:val="0021445A"/>
    <w:rsid w:val="0021494A"/>
    <w:rsid w:val="00216019"/>
    <w:rsid w:val="00216787"/>
    <w:rsid w:val="0021739A"/>
    <w:rsid w:val="002213EB"/>
    <w:rsid w:val="002216FC"/>
    <w:rsid w:val="00221BB5"/>
    <w:rsid w:val="00221D9F"/>
    <w:rsid w:val="00224035"/>
    <w:rsid w:val="0022592C"/>
    <w:rsid w:val="002261F5"/>
    <w:rsid w:val="002272FC"/>
    <w:rsid w:val="00233008"/>
    <w:rsid w:val="00236271"/>
    <w:rsid w:val="002365B2"/>
    <w:rsid w:val="002367CF"/>
    <w:rsid w:val="00236EE4"/>
    <w:rsid w:val="002408C2"/>
    <w:rsid w:val="002420E1"/>
    <w:rsid w:val="00242884"/>
    <w:rsid w:val="00245929"/>
    <w:rsid w:val="00246E0B"/>
    <w:rsid w:val="002478B1"/>
    <w:rsid w:val="002506C9"/>
    <w:rsid w:val="002513CE"/>
    <w:rsid w:val="00251A94"/>
    <w:rsid w:val="00255F06"/>
    <w:rsid w:val="00256D1B"/>
    <w:rsid w:val="00256EDC"/>
    <w:rsid w:val="00257F30"/>
    <w:rsid w:val="00260312"/>
    <w:rsid w:val="002606D7"/>
    <w:rsid w:val="00261908"/>
    <w:rsid w:val="002625FD"/>
    <w:rsid w:val="00262A1A"/>
    <w:rsid w:val="00263607"/>
    <w:rsid w:val="00264407"/>
    <w:rsid w:val="00265029"/>
    <w:rsid w:val="00265536"/>
    <w:rsid w:val="002655E9"/>
    <w:rsid w:val="0026574F"/>
    <w:rsid w:val="00265D54"/>
    <w:rsid w:val="00266181"/>
    <w:rsid w:val="00266DFF"/>
    <w:rsid w:val="00272009"/>
    <w:rsid w:val="002729F9"/>
    <w:rsid w:val="00272D69"/>
    <w:rsid w:val="00273CA8"/>
    <w:rsid w:val="00273EF4"/>
    <w:rsid w:val="00274CF7"/>
    <w:rsid w:val="00282126"/>
    <w:rsid w:val="00282565"/>
    <w:rsid w:val="002825AA"/>
    <w:rsid w:val="00283036"/>
    <w:rsid w:val="002839C0"/>
    <w:rsid w:val="00284AFB"/>
    <w:rsid w:val="002856B6"/>
    <w:rsid w:val="00287402"/>
    <w:rsid w:val="002938D4"/>
    <w:rsid w:val="00293924"/>
    <w:rsid w:val="00297123"/>
    <w:rsid w:val="00297450"/>
    <w:rsid w:val="00297FDD"/>
    <w:rsid w:val="002A0672"/>
    <w:rsid w:val="002A339B"/>
    <w:rsid w:val="002A3C4E"/>
    <w:rsid w:val="002A3CD2"/>
    <w:rsid w:val="002A46DC"/>
    <w:rsid w:val="002A5FCA"/>
    <w:rsid w:val="002A706A"/>
    <w:rsid w:val="002A7542"/>
    <w:rsid w:val="002B04E3"/>
    <w:rsid w:val="002B120E"/>
    <w:rsid w:val="002B5FEC"/>
    <w:rsid w:val="002B78B6"/>
    <w:rsid w:val="002B7F1C"/>
    <w:rsid w:val="002C16BA"/>
    <w:rsid w:val="002C317C"/>
    <w:rsid w:val="002C4A61"/>
    <w:rsid w:val="002C7739"/>
    <w:rsid w:val="002D27F5"/>
    <w:rsid w:val="002D2D71"/>
    <w:rsid w:val="002D2E21"/>
    <w:rsid w:val="002D4626"/>
    <w:rsid w:val="002D4EAC"/>
    <w:rsid w:val="002D52CC"/>
    <w:rsid w:val="002D56A2"/>
    <w:rsid w:val="002D7689"/>
    <w:rsid w:val="002E07C8"/>
    <w:rsid w:val="002E0AA0"/>
    <w:rsid w:val="002E17AD"/>
    <w:rsid w:val="002E3902"/>
    <w:rsid w:val="002E3ABB"/>
    <w:rsid w:val="002E432C"/>
    <w:rsid w:val="002E54AE"/>
    <w:rsid w:val="002E5B24"/>
    <w:rsid w:val="002E6247"/>
    <w:rsid w:val="002E6EB2"/>
    <w:rsid w:val="002E70B2"/>
    <w:rsid w:val="002E75CC"/>
    <w:rsid w:val="002F2DB8"/>
    <w:rsid w:val="002F4875"/>
    <w:rsid w:val="002F5491"/>
    <w:rsid w:val="002F56FC"/>
    <w:rsid w:val="002F7A7E"/>
    <w:rsid w:val="002F7BF0"/>
    <w:rsid w:val="00302C45"/>
    <w:rsid w:val="00304323"/>
    <w:rsid w:val="003052C7"/>
    <w:rsid w:val="003060D6"/>
    <w:rsid w:val="00306E1E"/>
    <w:rsid w:val="00307ABD"/>
    <w:rsid w:val="00311AF2"/>
    <w:rsid w:val="00312BA3"/>
    <w:rsid w:val="00313D52"/>
    <w:rsid w:val="003145F8"/>
    <w:rsid w:val="003154EA"/>
    <w:rsid w:val="00315C97"/>
    <w:rsid w:val="0031650C"/>
    <w:rsid w:val="003228AF"/>
    <w:rsid w:val="003249B3"/>
    <w:rsid w:val="00331B57"/>
    <w:rsid w:val="003328C2"/>
    <w:rsid w:val="00333233"/>
    <w:rsid w:val="00336D92"/>
    <w:rsid w:val="00337681"/>
    <w:rsid w:val="00341BC0"/>
    <w:rsid w:val="003429EE"/>
    <w:rsid w:val="003445E6"/>
    <w:rsid w:val="00344624"/>
    <w:rsid w:val="00344D11"/>
    <w:rsid w:val="00344F1E"/>
    <w:rsid w:val="0035075E"/>
    <w:rsid w:val="00350948"/>
    <w:rsid w:val="00350D75"/>
    <w:rsid w:val="0035217B"/>
    <w:rsid w:val="003522B9"/>
    <w:rsid w:val="00353369"/>
    <w:rsid w:val="003606A3"/>
    <w:rsid w:val="00361363"/>
    <w:rsid w:val="003626E6"/>
    <w:rsid w:val="00363113"/>
    <w:rsid w:val="003631F5"/>
    <w:rsid w:val="00363D01"/>
    <w:rsid w:val="003644F1"/>
    <w:rsid w:val="0036450E"/>
    <w:rsid w:val="00371271"/>
    <w:rsid w:val="00375A52"/>
    <w:rsid w:val="00382468"/>
    <w:rsid w:val="003852FC"/>
    <w:rsid w:val="00385BA5"/>
    <w:rsid w:val="00385EE0"/>
    <w:rsid w:val="0038607C"/>
    <w:rsid w:val="0038675F"/>
    <w:rsid w:val="00387B33"/>
    <w:rsid w:val="00390510"/>
    <w:rsid w:val="0039111F"/>
    <w:rsid w:val="00391461"/>
    <w:rsid w:val="00393C39"/>
    <w:rsid w:val="00394684"/>
    <w:rsid w:val="00396AB0"/>
    <w:rsid w:val="00396B86"/>
    <w:rsid w:val="00397828"/>
    <w:rsid w:val="003A12A6"/>
    <w:rsid w:val="003A1D44"/>
    <w:rsid w:val="003A3615"/>
    <w:rsid w:val="003A3F00"/>
    <w:rsid w:val="003A5252"/>
    <w:rsid w:val="003B0530"/>
    <w:rsid w:val="003B27EB"/>
    <w:rsid w:val="003B346E"/>
    <w:rsid w:val="003B3645"/>
    <w:rsid w:val="003B3AFC"/>
    <w:rsid w:val="003B401F"/>
    <w:rsid w:val="003B6BBA"/>
    <w:rsid w:val="003B731A"/>
    <w:rsid w:val="003C2493"/>
    <w:rsid w:val="003C4F32"/>
    <w:rsid w:val="003C5255"/>
    <w:rsid w:val="003D1BB9"/>
    <w:rsid w:val="003D3270"/>
    <w:rsid w:val="003D3423"/>
    <w:rsid w:val="003D36DD"/>
    <w:rsid w:val="003D47AD"/>
    <w:rsid w:val="003D7480"/>
    <w:rsid w:val="003D79BA"/>
    <w:rsid w:val="003D7EC0"/>
    <w:rsid w:val="003F1865"/>
    <w:rsid w:val="003F2975"/>
    <w:rsid w:val="003F4227"/>
    <w:rsid w:val="003F4AFB"/>
    <w:rsid w:val="003F5C76"/>
    <w:rsid w:val="003F669A"/>
    <w:rsid w:val="003F6824"/>
    <w:rsid w:val="003F72F9"/>
    <w:rsid w:val="003F7E71"/>
    <w:rsid w:val="004000DC"/>
    <w:rsid w:val="004002E7"/>
    <w:rsid w:val="004019EC"/>
    <w:rsid w:val="00402E4F"/>
    <w:rsid w:val="0040392A"/>
    <w:rsid w:val="00403EDE"/>
    <w:rsid w:val="004040D0"/>
    <w:rsid w:val="00405DEF"/>
    <w:rsid w:val="00406B95"/>
    <w:rsid w:val="00406C08"/>
    <w:rsid w:val="00407D4E"/>
    <w:rsid w:val="00410BD3"/>
    <w:rsid w:val="0041346B"/>
    <w:rsid w:val="00417753"/>
    <w:rsid w:val="00420BCD"/>
    <w:rsid w:val="00420F33"/>
    <w:rsid w:val="00424056"/>
    <w:rsid w:val="004258E3"/>
    <w:rsid w:val="00427B37"/>
    <w:rsid w:val="004315F4"/>
    <w:rsid w:val="00432375"/>
    <w:rsid w:val="0043312A"/>
    <w:rsid w:val="00433DF3"/>
    <w:rsid w:val="00434F1D"/>
    <w:rsid w:val="0043561C"/>
    <w:rsid w:val="00437DE9"/>
    <w:rsid w:val="0044150A"/>
    <w:rsid w:val="00442F36"/>
    <w:rsid w:val="00443E48"/>
    <w:rsid w:val="00443F01"/>
    <w:rsid w:val="0044584A"/>
    <w:rsid w:val="004468AE"/>
    <w:rsid w:val="004503E5"/>
    <w:rsid w:val="0045107E"/>
    <w:rsid w:val="00451CDC"/>
    <w:rsid w:val="00453B3F"/>
    <w:rsid w:val="00454974"/>
    <w:rsid w:val="00455D81"/>
    <w:rsid w:val="004562B9"/>
    <w:rsid w:val="00457759"/>
    <w:rsid w:val="00460A91"/>
    <w:rsid w:val="00461820"/>
    <w:rsid w:val="00461DA7"/>
    <w:rsid w:val="004629B8"/>
    <w:rsid w:val="004629FF"/>
    <w:rsid w:val="00462DC0"/>
    <w:rsid w:val="00463C60"/>
    <w:rsid w:val="00466846"/>
    <w:rsid w:val="00466EEE"/>
    <w:rsid w:val="00467C9E"/>
    <w:rsid w:val="00471479"/>
    <w:rsid w:val="00471A29"/>
    <w:rsid w:val="00471EE1"/>
    <w:rsid w:val="0047798C"/>
    <w:rsid w:val="00477D3E"/>
    <w:rsid w:val="00481AAB"/>
    <w:rsid w:val="00482A80"/>
    <w:rsid w:val="004835BF"/>
    <w:rsid w:val="00484E7B"/>
    <w:rsid w:val="00485D77"/>
    <w:rsid w:val="00486CFF"/>
    <w:rsid w:val="00487843"/>
    <w:rsid w:val="00487B27"/>
    <w:rsid w:val="00491B40"/>
    <w:rsid w:val="00491E09"/>
    <w:rsid w:val="0049243E"/>
    <w:rsid w:val="0049406D"/>
    <w:rsid w:val="004943C2"/>
    <w:rsid w:val="00494E93"/>
    <w:rsid w:val="00495A03"/>
    <w:rsid w:val="004965FE"/>
    <w:rsid w:val="00496F15"/>
    <w:rsid w:val="00497597"/>
    <w:rsid w:val="004A1BAC"/>
    <w:rsid w:val="004A2A9B"/>
    <w:rsid w:val="004A53F5"/>
    <w:rsid w:val="004A67A4"/>
    <w:rsid w:val="004A7A67"/>
    <w:rsid w:val="004B2948"/>
    <w:rsid w:val="004B4B09"/>
    <w:rsid w:val="004B61A2"/>
    <w:rsid w:val="004C0154"/>
    <w:rsid w:val="004C0252"/>
    <w:rsid w:val="004C1555"/>
    <w:rsid w:val="004C39C0"/>
    <w:rsid w:val="004C4800"/>
    <w:rsid w:val="004C4CB4"/>
    <w:rsid w:val="004C516E"/>
    <w:rsid w:val="004C6369"/>
    <w:rsid w:val="004C63D0"/>
    <w:rsid w:val="004C78E8"/>
    <w:rsid w:val="004D1F8B"/>
    <w:rsid w:val="004D27A8"/>
    <w:rsid w:val="004D37D3"/>
    <w:rsid w:val="004D4C03"/>
    <w:rsid w:val="004D53F7"/>
    <w:rsid w:val="004D5A29"/>
    <w:rsid w:val="004D5A7E"/>
    <w:rsid w:val="004D6C60"/>
    <w:rsid w:val="004D7B8C"/>
    <w:rsid w:val="004E01D2"/>
    <w:rsid w:val="004E06AD"/>
    <w:rsid w:val="004E1C3C"/>
    <w:rsid w:val="004E20FA"/>
    <w:rsid w:val="004E2339"/>
    <w:rsid w:val="004E3780"/>
    <w:rsid w:val="004E3ACA"/>
    <w:rsid w:val="004E3C42"/>
    <w:rsid w:val="004E3D53"/>
    <w:rsid w:val="004E49E5"/>
    <w:rsid w:val="004E69F6"/>
    <w:rsid w:val="004F22CB"/>
    <w:rsid w:val="004F42D0"/>
    <w:rsid w:val="004F50A0"/>
    <w:rsid w:val="00500323"/>
    <w:rsid w:val="00500747"/>
    <w:rsid w:val="005030CA"/>
    <w:rsid w:val="00503CD5"/>
    <w:rsid w:val="00506BF6"/>
    <w:rsid w:val="00506E76"/>
    <w:rsid w:val="00510AB6"/>
    <w:rsid w:val="005121C5"/>
    <w:rsid w:val="00513102"/>
    <w:rsid w:val="005131B9"/>
    <w:rsid w:val="00513F98"/>
    <w:rsid w:val="005140E9"/>
    <w:rsid w:val="005165A3"/>
    <w:rsid w:val="0051735B"/>
    <w:rsid w:val="0052139D"/>
    <w:rsid w:val="00521EEA"/>
    <w:rsid w:val="0052245B"/>
    <w:rsid w:val="00523042"/>
    <w:rsid w:val="005335F4"/>
    <w:rsid w:val="00533870"/>
    <w:rsid w:val="005348EA"/>
    <w:rsid w:val="005365E9"/>
    <w:rsid w:val="00537CF5"/>
    <w:rsid w:val="0054033A"/>
    <w:rsid w:val="00541B78"/>
    <w:rsid w:val="005433DD"/>
    <w:rsid w:val="00546A94"/>
    <w:rsid w:val="00546C7F"/>
    <w:rsid w:val="00547B09"/>
    <w:rsid w:val="00547F84"/>
    <w:rsid w:val="00551C2E"/>
    <w:rsid w:val="00552562"/>
    <w:rsid w:val="0055301E"/>
    <w:rsid w:val="00554F65"/>
    <w:rsid w:val="00555AE6"/>
    <w:rsid w:val="00555AFF"/>
    <w:rsid w:val="00557818"/>
    <w:rsid w:val="0056006D"/>
    <w:rsid w:val="00560B21"/>
    <w:rsid w:val="00560DF4"/>
    <w:rsid w:val="00560EA8"/>
    <w:rsid w:val="00561064"/>
    <w:rsid w:val="00562396"/>
    <w:rsid w:val="00562766"/>
    <w:rsid w:val="00564752"/>
    <w:rsid w:val="00567C30"/>
    <w:rsid w:val="00570C7D"/>
    <w:rsid w:val="00571AC0"/>
    <w:rsid w:val="005741C0"/>
    <w:rsid w:val="005743D3"/>
    <w:rsid w:val="00574A93"/>
    <w:rsid w:val="0057573C"/>
    <w:rsid w:val="00576D45"/>
    <w:rsid w:val="00576EB1"/>
    <w:rsid w:val="005822F8"/>
    <w:rsid w:val="0058361C"/>
    <w:rsid w:val="00584220"/>
    <w:rsid w:val="005843BE"/>
    <w:rsid w:val="00584AC8"/>
    <w:rsid w:val="00584B52"/>
    <w:rsid w:val="00585D09"/>
    <w:rsid w:val="00587299"/>
    <w:rsid w:val="00590540"/>
    <w:rsid w:val="00590AC9"/>
    <w:rsid w:val="00590FC0"/>
    <w:rsid w:val="00590FE1"/>
    <w:rsid w:val="00591FAF"/>
    <w:rsid w:val="005923D1"/>
    <w:rsid w:val="00593F02"/>
    <w:rsid w:val="00595C4F"/>
    <w:rsid w:val="005A0849"/>
    <w:rsid w:val="005A238A"/>
    <w:rsid w:val="005A3F7B"/>
    <w:rsid w:val="005A67D5"/>
    <w:rsid w:val="005A690D"/>
    <w:rsid w:val="005B0EAB"/>
    <w:rsid w:val="005B10AB"/>
    <w:rsid w:val="005B1BEB"/>
    <w:rsid w:val="005B213B"/>
    <w:rsid w:val="005B31CD"/>
    <w:rsid w:val="005B3D4B"/>
    <w:rsid w:val="005B41C7"/>
    <w:rsid w:val="005B4F70"/>
    <w:rsid w:val="005B70FA"/>
    <w:rsid w:val="005B7A30"/>
    <w:rsid w:val="005C0321"/>
    <w:rsid w:val="005C0DE0"/>
    <w:rsid w:val="005C1512"/>
    <w:rsid w:val="005C193E"/>
    <w:rsid w:val="005C28AD"/>
    <w:rsid w:val="005C5D15"/>
    <w:rsid w:val="005C5DC4"/>
    <w:rsid w:val="005D034C"/>
    <w:rsid w:val="005D0500"/>
    <w:rsid w:val="005D0E0C"/>
    <w:rsid w:val="005D1235"/>
    <w:rsid w:val="005D1D16"/>
    <w:rsid w:val="005D5541"/>
    <w:rsid w:val="005D60DC"/>
    <w:rsid w:val="005D64A1"/>
    <w:rsid w:val="005E0145"/>
    <w:rsid w:val="005E13FD"/>
    <w:rsid w:val="005E181B"/>
    <w:rsid w:val="005E513A"/>
    <w:rsid w:val="005E66DA"/>
    <w:rsid w:val="005E67B1"/>
    <w:rsid w:val="005E6DE2"/>
    <w:rsid w:val="005E7FB9"/>
    <w:rsid w:val="005F013B"/>
    <w:rsid w:val="005F0706"/>
    <w:rsid w:val="005F11CA"/>
    <w:rsid w:val="005F1A9C"/>
    <w:rsid w:val="005F21A0"/>
    <w:rsid w:val="005F28CA"/>
    <w:rsid w:val="005F2B06"/>
    <w:rsid w:val="005F3945"/>
    <w:rsid w:val="005F476F"/>
    <w:rsid w:val="005F5A87"/>
    <w:rsid w:val="00600A17"/>
    <w:rsid w:val="00601754"/>
    <w:rsid w:val="0060333A"/>
    <w:rsid w:val="00603DCC"/>
    <w:rsid w:val="00603E40"/>
    <w:rsid w:val="00604F45"/>
    <w:rsid w:val="006052DB"/>
    <w:rsid w:val="00607040"/>
    <w:rsid w:val="006104E5"/>
    <w:rsid w:val="00611818"/>
    <w:rsid w:val="00612C93"/>
    <w:rsid w:val="00612D64"/>
    <w:rsid w:val="00613087"/>
    <w:rsid w:val="006138ED"/>
    <w:rsid w:val="00614797"/>
    <w:rsid w:val="006149EF"/>
    <w:rsid w:val="0061663D"/>
    <w:rsid w:val="006167A4"/>
    <w:rsid w:val="00616CA1"/>
    <w:rsid w:val="00617A5F"/>
    <w:rsid w:val="00620FBC"/>
    <w:rsid w:val="00621C2C"/>
    <w:rsid w:val="00622C99"/>
    <w:rsid w:val="00623EAE"/>
    <w:rsid w:val="00626FAF"/>
    <w:rsid w:val="006307A0"/>
    <w:rsid w:val="00630FB6"/>
    <w:rsid w:val="00633255"/>
    <w:rsid w:val="006355CD"/>
    <w:rsid w:val="00635713"/>
    <w:rsid w:val="006370CC"/>
    <w:rsid w:val="00637E87"/>
    <w:rsid w:val="00641187"/>
    <w:rsid w:val="006412AD"/>
    <w:rsid w:val="00641CD3"/>
    <w:rsid w:val="00641D92"/>
    <w:rsid w:val="00642AC1"/>
    <w:rsid w:val="00643FFD"/>
    <w:rsid w:val="00644389"/>
    <w:rsid w:val="006500B9"/>
    <w:rsid w:val="006510D1"/>
    <w:rsid w:val="00651791"/>
    <w:rsid w:val="0065340E"/>
    <w:rsid w:val="00654A74"/>
    <w:rsid w:val="00655776"/>
    <w:rsid w:val="00656207"/>
    <w:rsid w:val="00656DCB"/>
    <w:rsid w:val="00660DD8"/>
    <w:rsid w:val="00661687"/>
    <w:rsid w:val="00661D2D"/>
    <w:rsid w:val="006659D8"/>
    <w:rsid w:val="006674D8"/>
    <w:rsid w:val="00671B82"/>
    <w:rsid w:val="00672C42"/>
    <w:rsid w:val="00673351"/>
    <w:rsid w:val="006762FE"/>
    <w:rsid w:val="00677A5E"/>
    <w:rsid w:val="006807AE"/>
    <w:rsid w:val="006821A1"/>
    <w:rsid w:val="00684BCA"/>
    <w:rsid w:val="0069057D"/>
    <w:rsid w:val="00690BB4"/>
    <w:rsid w:val="00691683"/>
    <w:rsid w:val="00691BAD"/>
    <w:rsid w:val="00692C59"/>
    <w:rsid w:val="00692CE7"/>
    <w:rsid w:val="00692EDB"/>
    <w:rsid w:val="00693CD1"/>
    <w:rsid w:val="00696995"/>
    <w:rsid w:val="006A2461"/>
    <w:rsid w:val="006A6737"/>
    <w:rsid w:val="006A6B85"/>
    <w:rsid w:val="006B0A78"/>
    <w:rsid w:val="006B0BE3"/>
    <w:rsid w:val="006B406E"/>
    <w:rsid w:val="006B4323"/>
    <w:rsid w:val="006B46EE"/>
    <w:rsid w:val="006B6827"/>
    <w:rsid w:val="006B77E8"/>
    <w:rsid w:val="006B7F8B"/>
    <w:rsid w:val="006C0988"/>
    <w:rsid w:val="006C193D"/>
    <w:rsid w:val="006C1954"/>
    <w:rsid w:val="006C2DFA"/>
    <w:rsid w:val="006C45AC"/>
    <w:rsid w:val="006C50BC"/>
    <w:rsid w:val="006C6985"/>
    <w:rsid w:val="006C6A48"/>
    <w:rsid w:val="006C7B28"/>
    <w:rsid w:val="006D0DD3"/>
    <w:rsid w:val="006D0FA2"/>
    <w:rsid w:val="006D5C4B"/>
    <w:rsid w:val="006D64C7"/>
    <w:rsid w:val="006D6C8A"/>
    <w:rsid w:val="006E034F"/>
    <w:rsid w:val="006E05D3"/>
    <w:rsid w:val="006E0695"/>
    <w:rsid w:val="006E088D"/>
    <w:rsid w:val="006E0B84"/>
    <w:rsid w:val="006E248F"/>
    <w:rsid w:val="006E559D"/>
    <w:rsid w:val="006E5669"/>
    <w:rsid w:val="006E6CA6"/>
    <w:rsid w:val="006E7019"/>
    <w:rsid w:val="006F0BC5"/>
    <w:rsid w:val="006F1327"/>
    <w:rsid w:val="006F4030"/>
    <w:rsid w:val="006F54B5"/>
    <w:rsid w:val="006F5FBE"/>
    <w:rsid w:val="006F73FE"/>
    <w:rsid w:val="00700682"/>
    <w:rsid w:val="007010D7"/>
    <w:rsid w:val="00701CA2"/>
    <w:rsid w:val="00703127"/>
    <w:rsid w:val="00703573"/>
    <w:rsid w:val="00705B77"/>
    <w:rsid w:val="0070681D"/>
    <w:rsid w:val="00707498"/>
    <w:rsid w:val="0071034F"/>
    <w:rsid w:val="00710E8B"/>
    <w:rsid w:val="00711998"/>
    <w:rsid w:val="00711DB2"/>
    <w:rsid w:val="00711FD6"/>
    <w:rsid w:val="00712A27"/>
    <w:rsid w:val="00713590"/>
    <w:rsid w:val="00714A57"/>
    <w:rsid w:val="00714EB4"/>
    <w:rsid w:val="00716D2C"/>
    <w:rsid w:val="00725DA9"/>
    <w:rsid w:val="00726615"/>
    <w:rsid w:val="0073050D"/>
    <w:rsid w:val="00731CE2"/>
    <w:rsid w:val="00734D1F"/>
    <w:rsid w:val="0073500F"/>
    <w:rsid w:val="00736A81"/>
    <w:rsid w:val="00736B71"/>
    <w:rsid w:val="00736D42"/>
    <w:rsid w:val="00737BDE"/>
    <w:rsid w:val="00740619"/>
    <w:rsid w:val="00740A78"/>
    <w:rsid w:val="00740AAD"/>
    <w:rsid w:val="00742DE2"/>
    <w:rsid w:val="0074305F"/>
    <w:rsid w:val="00743A4C"/>
    <w:rsid w:val="00743B59"/>
    <w:rsid w:val="007458D9"/>
    <w:rsid w:val="00745C42"/>
    <w:rsid w:val="00750332"/>
    <w:rsid w:val="0075283F"/>
    <w:rsid w:val="00754B28"/>
    <w:rsid w:val="0075597A"/>
    <w:rsid w:val="00756348"/>
    <w:rsid w:val="007604A3"/>
    <w:rsid w:val="007634CD"/>
    <w:rsid w:val="00764016"/>
    <w:rsid w:val="007665BB"/>
    <w:rsid w:val="007667CD"/>
    <w:rsid w:val="00767479"/>
    <w:rsid w:val="007704A6"/>
    <w:rsid w:val="007731DE"/>
    <w:rsid w:val="00773E2D"/>
    <w:rsid w:val="007740AF"/>
    <w:rsid w:val="007747E9"/>
    <w:rsid w:val="007776CF"/>
    <w:rsid w:val="007804F4"/>
    <w:rsid w:val="00780AD9"/>
    <w:rsid w:val="007819B9"/>
    <w:rsid w:val="00781C25"/>
    <w:rsid w:val="00782420"/>
    <w:rsid w:val="00783F40"/>
    <w:rsid w:val="007841DE"/>
    <w:rsid w:val="00784314"/>
    <w:rsid w:val="007856B3"/>
    <w:rsid w:val="00785FF2"/>
    <w:rsid w:val="00786E1B"/>
    <w:rsid w:val="00787F79"/>
    <w:rsid w:val="00790025"/>
    <w:rsid w:val="00792ACB"/>
    <w:rsid w:val="0079493D"/>
    <w:rsid w:val="00797453"/>
    <w:rsid w:val="007A00B3"/>
    <w:rsid w:val="007A0794"/>
    <w:rsid w:val="007A082B"/>
    <w:rsid w:val="007A0D4D"/>
    <w:rsid w:val="007A2E95"/>
    <w:rsid w:val="007A469D"/>
    <w:rsid w:val="007B0F91"/>
    <w:rsid w:val="007B1CDD"/>
    <w:rsid w:val="007B29F4"/>
    <w:rsid w:val="007B2A95"/>
    <w:rsid w:val="007B2E0E"/>
    <w:rsid w:val="007B3749"/>
    <w:rsid w:val="007B3BD8"/>
    <w:rsid w:val="007B3E95"/>
    <w:rsid w:val="007C3A10"/>
    <w:rsid w:val="007C3BB8"/>
    <w:rsid w:val="007C4065"/>
    <w:rsid w:val="007C62AF"/>
    <w:rsid w:val="007C64E7"/>
    <w:rsid w:val="007C68D6"/>
    <w:rsid w:val="007C75FB"/>
    <w:rsid w:val="007C78DA"/>
    <w:rsid w:val="007D1355"/>
    <w:rsid w:val="007D30DC"/>
    <w:rsid w:val="007D3581"/>
    <w:rsid w:val="007D3AD8"/>
    <w:rsid w:val="007D3EDD"/>
    <w:rsid w:val="007D4F63"/>
    <w:rsid w:val="007D74AC"/>
    <w:rsid w:val="007E0EE6"/>
    <w:rsid w:val="007E1935"/>
    <w:rsid w:val="007E25C6"/>
    <w:rsid w:val="007E454B"/>
    <w:rsid w:val="007E5799"/>
    <w:rsid w:val="007E5B09"/>
    <w:rsid w:val="007E62B3"/>
    <w:rsid w:val="007E70AC"/>
    <w:rsid w:val="007F10F4"/>
    <w:rsid w:val="007F3675"/>
    <w:rsid w:val="007F5E7E"/>
    <w:rsid w:val="00800EDF"/>
    <w:rsid w:val="00804274"/>
    <w:rsid w:val="00805322"/>
    <w:rsid w:val="00810448"/>
    <w:rsid w:val="0081099D"/>
    <w:rsid w:val="0081137C"/>
    <w:rsid w:val="008118D1"/>
    <w:rsid w:val="00812186"/>
    <w:rsid w:val="0081344F"/>
    <w:rsid w:val="00813D2F"/>
    <w:rsid w:val="0081421C"/>
    <w:rsid w:val="008143CA"/>
    <w:rsid w:val="00815754"/>
    <w:rsid w:val="0081586A"/>
    <w:rsid w:val="00817EB8"/>
    <w:rsid w:val="008212B9"/>
    <w:rsid w:val="0082250B"/>
    <w:rsid w:val="0082571D"/>
    <w:rsid w:val="00826B9F"/>
    <w:rsid w:val="0083411D"/>
    <w:rsid w:val="00835735"/>
    <w:rsid w:val="00836385"/>
    <w:rsid w:val="00840C3E"/>
    <w:rsid w:val="00841460"/>
    <w:rsid w:val="00841ED8"/>
    <w:rsid w:val="00843F57"/>
    <w:rsid w:val="00846164"/>
    <w:rsid w:val="00846D0E"/>
    <w:rsid w:val="008564FB"/>
    <w:rsid w:val="008571F1"/>
    <w:rsid w:val="0085740E"/>
    <w:rsid w:val="008575AE"/>
    <w:rsid w:val="00857AB8"/>
    <w:rsid w:val="008624F8"/>
    <w:rsid w:val="00864A7A"/>
    <w:rsid w:val="00864C0F"/>
    <w:rsid w:val="00866800"/>
    <w:rsid w:val="00867AB1"/>
    <w:rsid w:val="00867FD1"/>
    <w:rsid w:val="0087053E"/>
    <w:rsid w:val="00871393"/>
    <w:rsid w:val="00872FF4"/>
    <w:rsid w:val="00875A2C"/>
    <w:rsid w:val="00876475"/>
    <w:rsid w:val="00881515"/>
    <w:rsid w:val="00881823"/>
    <w:rsid w:val="008842B4"/>
    <w:rsid w:val="008843F4"/>
    <w:rsid w:val="008852DF"/>
    <w:rsid w:val="008861D4"/>
    <w:rsid w:val="008873D3"/>
    <w:rsid w:val="00892B27"/>
    <w:rsid w:val="008962F1"/>
    <w:rsid w:val="0089649B"/>
    <w:rsid w:val="00896D9A"/>
    <w:rsid w:val="008A1C73"/>
    <w:rsid w:val="008A293B"/>
    <w:rsid w:val="008A31FD"/>
    <w:rsid w:val="008A3403"/>
    <w:rsid w:val="008B12CD"/>
    <w:rsid w:val="008B4743"/>
    <w:rsid w:val="008B5FF1"/>
    <w:rsid w:val="008B6A4B"/>
    <w:rsid w:val="008B7B8E"/>
    <w:rsid w:val="008C00BF"/>
    <w:rsid w:val="008C16BE"/>
    <w:rsid w:val="008C24B2"/>
    <w:rsid w:val="008C618F"/>
    <w:rsid w:val="008C6DD0"/>
    <w:rsid w:val="008C794B"/>
    <w:rsid w:val="008D0832"/>
    <w:rsid w:val="008D0F10"/>
    <w:rsid w:val="008D1786"/>
    <w:rsid w:val="008D1789"/>
    <w:rsid w:val="008D1864"/>
    <w:rsid w:val="008D3A10"/>
    <w:rsid w:val="008D3DEA"/>
    <w:rsid w:val="008D4905"/>
    <w:rsid w:val="008D612E"/>
    <w:rsid w:val="008D6772"/>
    <w:rsid w:val="008D7D56"/>
    <w:rsid w:val="008E367D"/>
    <w:rsid w:val="008F30F3"/>
    <w:rsid w:val="008F4C47"/>
    <w:rsid w:val="008F54DC"/>
    <w:rsid w:val="008F79AC"/>
    <w:rsid w:val="00900231"/>
    <w:rsid w:val="0090311A"/>
    <w:rsid w:val="009035C8"/>
    <w:rsid w:val="00904417"/>
    <w:rsid w:val="009047B4"/>
    <w:rsid w:val="00906930"/>
    <w:rsid w:val="00907501"/>
    <w:rsid w:val="00910849"/>
    <w:rsid w:val="0091166A"/>
    <w:rsid w:val="0091233F"/>
    <w:rsid w:val="00912CB6"/>
    <w:rsid w:val="00913CD2"/>
    <w:rsid w:val="00914AEB"/>
    <w:rsid w:val="00915BEB"/>
    <w:rsid w:val="00916838"/>
    <w:rsid w:val="00917DC2"/>
    <w:rsid w:val="00920C1D"/>
    <w:rsid w:val="009226A5"/>
    <w:rsid w:val="00925110"/>
    <w:rsid w:val="009265CA"/>
    <w:rsid w:val="00927122"/>
    <w:rsid w:val="009305C9"/>
    <w:rsid w:val="00932261"/>
    <w:rsid w:val="00932959"/>
    <w:rsid w:val="00933A89"/>
    <w:rsid w:val="009352DA"/>
    <w:rsid w:val="00935C0C"/>
    <w:rsid w:val="00937272"/>
    <w:rsid w:val="00937A88"/>
    <w:rsid w:val="00937DAD"/>
    <w:rsid w:val="00943F74"/>
    <w:rsid w:val="009445DE"/>
    <w:rsid w:val="009470B0"/>
    <w:rsid w:val="009479C6"/>
    <w:rsid w:val="00950779"/>
    <w:rsid w:val="00952917"/>
    <w:rsid w:val="00953B8B"/>
    <w:rsid w:val="00953E06"/>
    <w:rsid w:val="00953EB5"/>
    <w:rsid w:val="00955471"/>
    <w:rsid w:val="00956E7D"/>
    <w:rsid w:val="009645CA"/>
    <w:rsid w:val="00964FA4"/>
    <w:rsid w:val="00965365"/>
    <w:rsid w:val="00965C82"/>
    <w:rsid w:val="00967591"/>
    <w:rsid w:val="00972B6B"/>
    <w:rsid w:val="009738DA"/>
    <w:rsid w:val="0097401C"/>
    <w:rsid w:val="00975DBF"/>
    <w:rsid w:val="00976ACB"/>
    <w:rsid w:val="00976E92"/>
    <w:rsid w:val="0098006F"/>
    <w:rsid w:val="009853F1"/>
    <w:rsid w:val="009866A1"/>
    <w:rsid w:val="009909A6"/>
    <w:rsid w:val="00990A46"/>
    <w:rsid w:val="00990DBB"/>
    <w:rsid w:val="00992235"/>
    <w:rsid w:val="0099406A"/>
    <w:rsid w:val="00994090"/>
    <w:rsid w:val="0099436E"/>
    <w:rsid w:val="009A01BC"/>
    <w:rsid w:val="009A047C"/>
    <w:rsid w:val="009A07F8"/>
    <w:rsid w:val="009A0B30"/>
    <w:rsid w:val="009A11BD"/>
    <w:rsid w:val="009A1266"/>
    <w:rsid w:val="009A3444"/>
    <w:rsid w:val="009A3704"/>
    <w:rsid w:val="009A5F29"/>
    <w:rsid w:val="009A7EE0"/>
    <w:rsid w:val="009B2ED4"/>
    <w:rsid w:val="009B3B1B"/>
    <w:rsid w:val="009B4028"/>
    <w:rsid w:val="009B61CD"/>
    <w:rsid w:val="009B7CEC"/>
    <w:rsid w:val="009C07A8"/>
    <w:rsid w:val="009C0E6A"/>
    <w:rsid w:val="009C140B"/>
    <w:rsid w:val="009C205B"/>
    <w:rsid w:val="009C6463"/>
    <w:rsid w:val="009C69F0"/>
    <w:rsid w:val="009C7FBD"/>
    <w:rsid w:val="009D1DED"/>
    <w:rsid w:val="009D2395"/>
    <w:rsid w:val="009D2882"/>
    <w:rsid w:val="009D2E1D"/>
    <w:rsid w:val="009D358C"/>
    <w:rsid w:val="009D473E"/>
    <w:rsid w:val="009D508D"/>
    <w:rsid w:val="009D58DB"/>
    <w:rsid w:val="009D5A38"/>
    <w:rsid w:val="009D771C"/>
    <w:rsid w:val="009D77EB"/>
    <w:rsid w:val="009D7D30"/>
    <w:rsid w:val="009E1A27"/>
    <w:rsid w:val="009E1FE0"/>
    <w:rsid w:val="009E3006"/>
    <w:rsid w:val="009E37BA"/>
    <w:rsid w:val="009E72CF"/>
    <w:rsid w:val="009E7A0B"/>
    <w:rsid w:val="009F15D1"/>
    <w:rsid w:val="009F3685"/>
    <w:rsid w:val="009F55B6"/>
    <w:rsid w:val="009F5D7D"/>
    <w:rsid w:val="009F7D4C"/>
    <w:rsid w:val="00A01D8E"/>
    <w:rsid w:val="00A027E3"/>
    <w:rsid w:val="00A030CE"/>
    <w:rsid w:val="00A03AE5"/>
    <w:rsid w:val="00A05D67"/>
    <w:rsid w:val="00A060B6"/>
    <w:rsid w:val="00A06A79"/>
    <w:rsid w:val="00A07856"/>
    <w:rsid w:val="00A105C6"/>
    <w:rsid w:val="00A10AA1"/>
    <w:rsid w:val="00A11042"/>
    <w:rsid w:val="00A13144"/>
    <w:rsid w:val="00A13FDE"/>
    <w:rsid w:val="00A15A94"/>
    <w:rsid w:val="00A17A7F"/>
    <w:rsid w:val="00A2188F"/>
    <w:rsid w:val="00A21DD5"/>
    <w:rsid w:val="00A234E0"/>
    <w:rsid w:val="00A24901"/>
    <w:rsid w:val="00A24E98"/>
    <w:rsid w:val="00A301DC"/>
    <w:rsid w:val="00A30536"/>
    <w:rsid w:val="00A33800"/>
    <w:rsid w:val="00A4153F"/>
    <w:rsid w:val="00A42109"/>
    <w:rsid w:val="00A42FAD"/>
    <w:rsid w:val="00A47541"/>
    <w:rsid w:val="00A51824"/>
    <w:rsid w:val="00A53FF1"/>
    <w:rsid w:val="00A563FE"/>
    <w:rsid w:val="00A57CFD"/>
    <w:rsid w:val="00A61A8F"/>
    <w:rsid w:val="00A62124"/>
    <w:rsid w:val="00A63106"/>
    <w:rsid w:val="00A6461F"/>
    <w:rsid w:val="00A677E9"/>
    <w:rsid w:val="00A67BC9"/>
    <w:rsid w:val="00A67BE7"/>
    <w:rsid w:val="00A72B2E"/>
    <w:rsid w:val="00A72B7A"/>
    <w:rsid w:val="00A72E6F"/>
    <w:rsid w:val="00A735E3"/>
    <w:rsid w:val="00A738D6"/>
    <w:rsid w:val="00A74B2C"/>
    <w:rsid w:val="00A74EC4"/>
    <w:rsid w:val="00A7608D"/>
    <w:rsid w:val="00A77440"/>
    <w:rsid w:val="00A77BFF"/>
    <w:rsid w:val="00A800EF"/>
    <w:rsid w:val="00A80BB9"/>
    <w:rsid w:val="00A82345"/>
    <w:rsid w:val="00A85C22"/>
    <w:rsid w:val="00A85E67"/>
    <w:rsid w:val="00A90EE8"/>
    <w:rsid w:val="00A92824"/>
    <w:rsid w:val="00A92D9B"/>
    <w:rsid w:val="00A956B9"/>
    <w:rsid w:val="00A96A9A"/>
    <w:rsid w:val="00A9788F"/>
    <w:rsid w:val="00AA0D91"/>
    <w:rsid w:val="00AA313C"/>
    <w:rsid w:val="00AA4101"/>
    <w:rsid w:val="00AA739B"/>
    <w:rsid w:val="00AA77E9"/>
    <w:rsid w:val="00AA7DEA"/>
    <w:rsid w:val="00AA7EBF"/>
    <w:rsid w:val="00AB03B6"/>
    <w:rsid w:val="00AB0BE7"/>
    <w:rsid w:val="00AB2A90"/>
    <w:rsid w:val="00AB2B1C"/>
    <w:rsid w:val="00AB3AED"/>
    <w:rsid w:val="00AB5650"/>
    <w:rsid w:val="00AB737D"/>
    <w:rsid w:val="00AC3155"/>
    <w:rsid w:val="00AC515A"/>
    <w:rsid w:val="00AC777C"/>
    <w:rsid w:val="00AC7A26"/>
    <w:rsid w:val="00AD10BC"/>
    <w:rsid w:val="00AD52B1"/>
    <w:rsid w:val="00AD710D"/>
    <w:rsid w:val="00AD71F2"/>
    <w:rsid w:val="00AE0E84"/>
    <w:rsid w:val="00AE26BC"/>
    <w:rsid w:val="00AE2B20"/>
    <w:rsid w:val="00AE4D5D"/>
    <w:rsid w:val="00AE51C9"/>
    <w:rsid w:val="00AE51D4"/>
    <w:rsid w:val="00AF1D96"/>
    <w:rsid w:val="00AF48B6"/>
    <w:rsid w:val="00AF4FB3"/>
    <w:rsid w:val="00AF5079"/>
    <w:rsid w:val="00AF674D"/>
    <w:rsid w:val="00B00591"/>
    <w:rsid w:val="00B00A6F"/>
    <w:rsid w:val="00B02F56"/>
    <w:rsid w:val="00B04F11"/>
    <w:rsid w:val="00B05713"/>
    <w:rsid w:val="00B06808"/>
    <w:rsid w:val="00B07B4E"/>
    <w:rsid w:val="00B1050E"/>
    <w:rsid w:val="00B113E0"/>
    <w:rsid w:val="00B1250D"/>
    <w:rsid w:val="00B12829"/>
    <w:rsid w:val="00B13EF3"/>
    <w:rsid w:val="00B16927"/>
    <w:rsid w:val="00B16EC0"/>
    <w:rsid w:val="00B16F32"/>
    <w:rsid w:val="00B20E2C"/>
    <w:rsid w:val="00B233DD"/>
    <w:rsid w:val="00B24DEB"/>
    <w:rsid w:val="00B2561E"/>
    <w:rsid w:val="00B25713"/>
    <w:rsid w:val="00B25D1B"/>
    <w:rsid w:val="00B25DD5"/>
    <w:rsid w:val="00B268AF"/>
    <w:rsid w:val="00B26C79"/>
    <w:rsid w:val="00B27FE1"/>
    <w:rsid w:val="00B30D8B"/>
    <w:rsid w:val="00B3216A"/>
    <w:rsid w:val="00B32337"/>
    <w:rsid w:val="00B333CB"/>
    <w:rsid w:val="00B350D4"/>
    <w:rsid w:val="00B35621"/>
    <w:rsid w:val="00B40F49"/>
    <w:rsid w:val="00B4137E"/>
    <w:rsid w:val="00B4279B"/>
    <w:rsid w:val="00B42F42"/>
    <w:rsid w:val="00B43E4C"/>
    <w:rsid w:val="00B44CC5"/>
    <w:rsid w:val="00B46659"/>
    <w:rsid w:val="00B5168C"/>
    <w:rsid w:val="00B51D3B"/>
    <w:rsid w:val="00B52A3B"/>
    <w:rsid w:val="00B53004"/>
    <w:rsid w:val="00B53C13"/>
    <w:rsid w:val="00B6184F"/>
    <w:rsid w:val="00B61A8B"/>
    <w:rsid w:val="00B62C7A"/>
    <w:rsid w:val="00B67A1B"/>
    <w:rsid w:val="00B67E1B"/>
    <w:rsid w:val="00B743B3"/>
    <w:rsid w:val="00B77CAF"/>
    <w:rsid w:val="00B800A4"/>
    <w:rsid w:val="00B80BFA"/>
    <w:rsid w:val="00B81720"/>
    <w:rsid w:val="00B82670"/>
    <w:rsid w:val="00B85BED"/>
    <w:rsid w:val="00B87D33"/>
    <w:rsid w:val="00B92464"/>
    <w:rsid w:val="00B93FFE"/>
    <w:rsid w:val="00B944BE"/>
    <w:rsid w:val="00B95212"/>
    <w:rsid w:val="00B963DD"/>
    <w:rsid w:val="00B9690E"/>
    <w:rsid w:val="00BA16DE"/>
    <w:rsid w:val="00BA1EFD"/>
    <w:rsid w:val="00BA2D2F"/>
    <w:rsid w:val="00BA2EAB"/>
    <w:rsid w:val="00BA2F1C"/>
    <w:rsid w:val="00BA66F9"/>
    <w:rsid w:val="00BA76AD"/>
    <w:rsid w:val="00BB0F30"/>
    <w:rsid w:val="00BB1A4C"/>
    <w:rsid w:val="00BB21DF"/>
    <w:rsid w:val="00BB478E"/>
    <w:rsid w:val="00BB4C20"/>
    <w:rsid w:val="00BB6F49"/>
    <w:rsid w:val="00BC04F1"/>
    <w:rsid w:val="00BC193C"/>
    <w:rsid w:val="00BC348B"/>
    <w:rsid w:val="00BC7315"/>
    <w:rsid w:val="00BC7655"/>
    <w:rsid w:val="00BD29A7"/>
    <w:rsid w:val="00BD4A63"/>
    <w:rsid w:val="00BD4C7A"/>
    <w:rsid w:val="00BD640A"/>
    <w:rsid w:val="00BE10AD"/>
    <w:rsid w:val="00BE5AB3"/>
    <w:rsid w:val="00BF41D8"/>
    <w:rsid w:val="00BF4776"/>
    <w:rsid w:val="00BF7B5C"/>
    <w:rsid w:val="00C002B6"/>
    <w:rsid w:val="00C01917"/>
    <w:rsid w:val="00C01AD0"/>
    <w:rsid w:val="00C02A44"/>
    <w:rsid w:val="00C036F7"/>
    <w:rsid w:val="00C0463B"/>
    <w:rsid w:val="00C07262"/>
    <w:rsid w:val="00C133FA"/>
    <w:rsid w:val="00C14D33"/>
    <w:rsid w:val="00C16AE9"/>
    <w:rsid w:val="00C2109D"/>
    <w:rsid w:val="00C21B26"/>
    <w:rsid w:val="00C223E6"/>
    <w:rsid w:val="00C26AA5"/>
    <w:rsid w:val="00C31D71"/>
    <w:rsid w:val="00C31DC5"/>
    <w:rsid w:val="00C31FAA"/>
    <w:rsid w:val="00C320EC"/>
    <w:rsid w:val="00C333C7"/>
    <w:rsid w:val="00C371AB"/>
    <w:rsid w:val="00C4091D"/>
    <w:rsid w:val="00C412FC"/>
    <w:rsid w:val="00C424EF"/>
    <w:rsid w:val="00C42BA2"/>
    <w:rsid w:val="00C43F9C"/>
    <w:rsid w:val="00C4428B"/>
    <w:rsid w:val="00C4561F"/>
    <w:rsid w:val="00C50083"/>
    <w:rsid w:val="00C5202E"/>
    <w:rsid w:val="00C5266B"/>
    <w:rsid w:val="00C529A0"/>
    <w:rsid w:val="00C53521"/>
    <w:rsid w:val="00C53F36"/>
    <w:rsid w:val="00C5415C"/>
    <w:rsid w:val="00C55886"/>
    <w:rsid w:val="00C558DC"/>
    <w:rsid w:val="00C56675"/>
    <w:rsid w:val="00C608E7"/>
    <w:rsid w:val="00C6185D"/>
    <w:rsid w:val="00C61A2C"/>
    <w:rsid w:val="00C622CD"/>
    <w:rsid w:val="00C623E9"/>
    <w:rsid w:val="00C632EB"/>
    <w:rsid w:val="00C6365B"/>
    <w:rsid w:val="00C647FA"/>
    <w:rsid w:val="00C702B3"/>
    <w:rsid w:val="00C71B2D"/>
    <w:rsid w:val="00C733BD"/>
    <w:rsid w:val="00C7448F"/>
    <w:rsid w:val="00C75962"/>
    <w:rsid w:val="00C762EC"/>
    <w:rsid w:val="00C807C4"/>
    <w:rsid w:val="00C80B2D"/>
    <w:rsid w:val="00C847EF"/>
    <w:rsid w:val="00C8546C"/>
    <w:rsid w:val="00C87AC2"/>
    <w:rsid w:val="00C901EF"/>
    <w:rsid w:val="00C9230B"/>
    <w:rsid w:val="00C928F5"/>
    <w:rsid w:val="00C9381A"/>
    <w:rsid w:val="00C95A7E"/>
    <w:rsid w:val="00C95C40"/>
    <w:rsid w:val="00C960D3"/>
    <w:rsid w:val="00C97A9F"/>
    <w:rsid w:val="00CA08AB"/>
    <w:rsid w:val="00CA2EF7"/>
    <w:rsid w:val="00CA67A0"/>
    <w:rsid w:val="00CA7AE7"/>
    <w:rsid w:val="00CB10C6"/>
    <w:rsid w:val="00CB2127"/>
    <w:rsid w:val="00CB61F0"/>
    <w:rsid w:val="00CC2C72"/>
    <w:rsid w:val="00CC3ABA"/>
    <w:rsid w:val="00CC42DE"/>
    <w:rsid w:val="00CC4450"/>
    <w:rsid w:val="00CC6F4F"/>
    <w:rsid w:val="00CC70BE"/>
    <w:rsid w:val="00CD04C7"/>
    <w:rsid w:val="00CD1A46"/>
    <w:rsid w:val="00CD229A"/>
    <w:rsid w:val="00CD2D8A"/>
    <w:rsid w:val="00CD3F76"/>
    <w:rsid w:val="00CD75AB"/>
    <w:rsid w:val="00CD78C0"/>
    <w:rsid w:val="00CE1EF2"/>
    <w:rsid w:val="00CE2986"/>
    <w:rsid w:val="00CE4084"/>
    <w:rsid w:val="00CE4AD7"/>
    <w:rsid w:val="00CE520E"/>
    <w:rsid w:val="00CE5BFF"/>
    <w:rsid w:val="00CE68FF"/>
    <w:rsid w:val="00CE79C6"/>
    <w:rsid w:val="00CE7CC4"/>
    <w:rsid w:val="00CF01DF"/>
    <w:rsid w:val="00CF0C58"/>
    <w:rsid w:val="00CF3A17"/>
    <w:rsid w:val="00CF4FE0"/>
    <w:rsid w:val="00CF6CAB"/>
    <w:rsid w:val="00CF7753"/>
    <w:rsid w:val="00CF77B0"/>
    <w:rsid w:val="00CF7C58"/>
    <w:rsid w:val="00D032E0"/>
    <w:rsid w:val="00D03C02"/>
    <w:rsid w:val="00D06068"/>
    <w:rsid w:val="00D060D6"/>
    <w:rsid w:val="00D10462"/>
    <w:rsid w:val="00D121A8"/>
    <w:rsid w:val="00D12B43"/>
    <w:rsid w:val="00D149C9"/>
    <w:rsid w:val="00D14CF5"/>
    <w:rsid w:val="00D14D31"/>
    <w:rsid w:val="00D1508C"/>
    <w:rsid w:val="00D22BA0"/>
    <w:rsid w:val="00D24CB5"/>
    <w:rsid w:val="00D279AD"/>
    <w:rsid w:val="00D3047F"/>
    <w:rsid w:val="00D367C3"/>
    <w:rsid w:val="00D3709D"/>
    <w:rsid w:val="00D37DB6"/>
    <w:rsid w:val="00D40BB5"/>
    <w:rsid w:val="00D4130B"/>
    <w:rsid w:val="00D424DD"/>
    <w:rsid w:val="00D4303A"/>
    <w:rsid w:val="00D43C35"/>
    <w:rsid w:val="00D447CF"/>
    <w:rsid w:val="00D51B63"/>
    <w:rsid w:val="00D5458E"/>
    <w:rsid w:val="00D55950"/>
    <w:rsid w:val="00D561A1"/>
    <w:rsid w:val="00D568CE"/>
    <w:rsid w:val="00D60821"/>
    <w:rsid w:val="00D60B1C"/>
    <w:rsid w:val="00D64AC0"/>
    <w:rsid w:val="00D65BD0"/>
    <w:rsid w:val="00D67B16"/>
    <w:rsid w:val="00D67B8A"/>
    <w:rsid w:val="00D70363"/>
    <w:rsid w:val="00D72292"/>
    <w:rsid w:val="00D75943"/>
    <w:rsid w:val="00D75A3B"/>
    <w:rsid w:val="00D77088"/>
    <w:rsid w:val="00D771D9"/>
    <w:rsid w:val="00D81799"/>
    <w:rsid w:val="00D83ABB"/>
    <w:rsid w:val="00D83DD2"/>
    <w:rsid w:val="00D8491C"/>
    <w:rsid w:val="00D84A27"/>
    <w:rsid w:val="00D85134"/>
    <w:rsid w:val="00D85AE6"/>
    <w:rsid w:val="00D8742E"/>
    <w:rsid w:val="00D87630"/>
    <w:rsid w:val="00D90142"/>
    <w:rsid w:val="00D92355"/>
    <w:rsid w:val="00D93D5A"/>
    <w:rsid w:val="00D952E4"/>
    <w:rsid w:val="00D9702D"/>
    <w:rsid w:val="00D97BF9"/>
    <w:rsid w:val="00DA20F4"/>
    <w:rsid w:val="00DA5E1C"/>
    <w:rsid w:val="00DA67DC"/>
    <w:rsid w:val="00DA7DD6"/>
    <w:rsid w:val="00DB1576"/>
    <w:rsid w:val="00DB1778"/>
    <w:rsid w:val="00DB3349"/>
    <w:rsid w:val="00DB434D"/>
    <w:rsid w:val="00DB5079"/>
    <w:rsid w:val="00DB5D0A"/>
    <w:rsid w:val="00DB75E0"/>
    <w:rsid w:val="00DB7AB3"/>
    <w:rsid w:val="00DB7BB0"/>
    <w:rsid w:val="00DC19B2"/>
    <w:rsid w:val="00DC2EA5"/>
    <w:rsid w:val="00DC38EB"/>
    <w:rsid w:val="00DC3D8D"/>
    <w:rsid w:val="00DC3F3A"/>
    <w:rsid w:val="00DC72CF"/>
    <w:rsid w:val="00DD137C"/>
    <w:rsid w:val="00DD17D4"/>
    <w:rsid w:val="00DD2C54"/>
    <w:rsid w:val="00DD3BF5"/>
    <w:rsid w:val="00DD5A23"/>
    <w:rsid w:val="00DD5AB4"/>
    <w:rsid w:val="00DD7189"/>
    <w:rsid w:val="00DE3993"/>
    <w:rsid w:val="00DE5829"/>
    <w:rsid w:val="00DE774C"/>
    <w:rsid w:val="00DF05CC"/>
    <w:rsid w:val="00DF1269"/>
    <w:rsid w:val="00DF22F7"/>
    <w:rsid w:val="00DF427E"/>
    <w:rsid w:val="00DF4F42"/>
    <w:rsid w:val="00DF5ACA"/>
    <w:rsid w:val="00DF63AF"/>
    <w:rsid w:val="00DF6801"/>
    <w:rsid w:val="00DF6D2E"/>
    <w:rsid w:val="00DF7378"/>
    <w:rsid w:val="00E026D7"/>
    <w:rsid w:val="00E03776"/>
    <w:rsid w:val="00E05C75"/>
    <w:rsid w:val="00E07DC6"/>
    <w:rsid w:val="00E07F81"/>
    <w:rsid w:val="00E10399"/>
    <w:rsid w:val="00E1081A"/>
    <w:rsid w:val="00E1160F"/>
    <w:rsid w:val="00E12B08"/>
    <w:rsid w:val="00E1399B"/>
    <w:rsid w:val="00E13AE4"/>
    <w:rsid w:val="00E1452C"/>
    <w:rsid w:val="00E171F3"/>
    <w:rsid w:val="00E17D9B"/>
    <w:rsid w:val="00E17DDE"/>
    <w:rsid w:val="00E17DE5"/>
    <w:rsid w:val="00E2061C"/>
    <w:rsid w:val="00E21325"/>
    <w:rsid w:val="00E21387"/>
    <w:rsid w:val="00E22425"/>
    <w:rsid w:val="00E244B5"/>
    <w:rsid w:val="00E250FF"/>
    <w:rsid w:val="00E26B31"/>
    <w:rsid w:val="00E26C77"/>
    <w:rsid w:val="00E27A2E"/>
    <w:rsid w:val="00E3086E"/>
    <w:rsid w:val="00E30DC1"/>
    <w:rsid w:val="00E33C66"/>
    <w:rsid w:val="00E33D60"/>
    <w:rsid w:val="00E347C3"/>
    <w:rsid w:val="00E358FA"/>
    <w:rsid w:val="00E364B8"/>
    <w:rsid w:val="00E367D4"/>
    <w:rsid w:val="00E413B8"/>
    <w:rsid w:val="00E41557"/>
    <w:rsid w:val="00E41F0F"/>
    <w:rsid w:val="00E4283F"/>
    <w:rsid w:val="00E43208"/>
    <w:rsid w:val="00E44983"/>
    <w:rsid w:val="00E44F86"/>
    <w:rsid w:val="00E451B6"/>
    <w:rsid w:val="00E46B31"/>
    <w:rsid w:val="00E47150"/>
    <w:rsid w:val="00E47789"/>
    <w:rsid w:val="00E47E2B"/>
    <w:rsid w:val="00E507DD"/>
    <w:rsid w:val="00E511E1"/>
    <w:rsid w:val="00E520BD"/>
    <w:rsid w:val="00E52F46"/>
    <w:rsid w:val="00E53117"/>
    <w:rsid w:val="00E53D59"/>
    <w:rsid w:val="00E54DE0"/>
    <w:rsid w:val="00E5665D"/>
    <w:rsid w:val="00E5713B"/>
    <w:rsid w:val="00E57B40"/>
    <w:rsid w:val="00E60606"/>
    <w:rsid w:val="00E645C5"/>
    <w:rsid w:val="00E671B2"/>
    <w:rsid w:val="00E7000B"/>
    <w:rsid w:val="00E73274"/>
    <w:rsid w:val="00E733C1"/>
    <w:rsid w:val="00E742A9"/>
    <w:rsid w:val="00E75AD0"/>
    <w:rsid w:val="00E80B64"/>
    <w:rsid w:val="00E821D4"/>
    <w:rsid w:val="00E849BC"/>
    <w:rsid w:val="00E8516A"/>
    <w:rsid w:val="00E90339"/>
    <w:rsid w:val="00E9163A"/>
    <w:rsid w:val="00E92093"/>
    <w:rsid w:val="00E945FE"/>
    <w:rsid w:val="00E96671"/>
    <w:rsid w:val="00E97816"/>
    <w:rsid w:val="00EA1437"/>
    <w:rsid w:val="00EA2129"/>
    <w:rsid w:val="00EA4985"/>
    <w:rsid w:val="00EA60E3"/>
    <w:rsid w:val="00EA69F8"/>
    <w:rsid w:val="00EA7131"/>
    <w:rsid w:val="00EB0D96"/>
    <w:rsid w:val="00EB2C8F"/>
    <w:rsid w:val="00EB3374"/>
    <w:rsid w:val="00EB33DF"/>
    <w:rsid w:val="00EB46E0"/>
    <w:rsid w:val="00EB6A29"/>
    <w:rsid w:val="00EC099C"/>
    <w:rsid w:val="00EC13CE"/>
    <w:rsid w:val="00EC5E40"/>
    <w:rsid w:val="00ED02C0"/>
    <w:rsid w:val="00ED0B8D"/>
    <w:rsid w:val="00ED1AF4"/>
    <w:rsid w:val="00ED1BA8"/>
    <w:rsid w:val="00ED2E43"/>
    <w:rsid w:val="00ED31FB"/>
    <w:rsid w:val="00ED5DB0"/>
    <w:rsid w:val="00ED7F99"/>
    <w:rsid w:val="00EE01EA"/>
    <w:rsid w:val="00EE1120"/>
    <w:rsid w:val="00EE1F0E"/>
    <w:rsid w:val="00EE4C77"/>
    <w:rsid w:val="00EE58AF"/>
    <w:rsid w:val="00EE7B76"/>
    <w:rsid w:val="00EF0A0B"/>
    <w:rsid w:val="00EF13EB"/>
    <w:rsid w:val="00EF2493"/>
    <w:rsid w:val="00EF2B15"/>
    <w:rsid w:val="00EF6580"/>
    <w:rsid w:val="00F01DF3"/>
    <w:rsid w:val="00F028F7"/>
    <w:rsid w:val="00F072A6"/>
    <w:rsid w:val="00F07CA4"/>
    <w:rsid w:val="00F11483"/>
    <w:rsid w:val="00F11A74"/>
    <w:rsid w:val="00F121CB"/>
    <w:rsid w:val="00F12E1A"/>
    <w:rsid w:val="00F144C7"/>
    <w:rsid w:val="00F22C6D"/>
    <w:rsid w:val="00F23417"/>
    <w:rsid w:val="00F243D2"/>
    <w:rsid w:val="00F25445"/>
    <w:rsid w:val="00F25954"/>
    <w:rsid w:val="00F25B83"/>
    <w:rsid w:val="00F27347"/>
    <w:rsid w:val="00F31183"/>
    <w:rsid w:val="00F31294"/>
    <w:rsid w:val="00F31694"/>
    <w:rsid w:val="00F32443"/>
    <w:rsid w:val="00F33A0F"/>
    <w:rsid w:val="00F3677C"/>
    <w:rsid w:val="00F36DCE"/>
    <w:rsid w:val="00F37EE5"/>
    <w:rsid w:val="00F42DC5"/>
    <w:rsid w:val="00F516F8"/>
    <w:rsid w:val="00F529CF"/>
    <w:rsid w:val="00F52C70"/>
    <w:rsid w:val="00F5303C"/>
    <w:rsid w:val="00F53384"/>
    <w:rsid w:val="00F549A5"/>
    <w:rsid w:val="00F57F00"/>
    <w:rsid w:val="00F60C31"/>
    <w:rsid w:val="00F615A0"/>
    <w:rsid w:val="00F61C86"/>
    <w:rsid w:val="00F625CA"/>
    <w:rsid w:val="00F636DC"/>
    <w:rsid w:val="00F63EB9"/>
    <w:rsid w:val="00F65EB8"/>
    <w:rsid w:val="00F66BE4"/>
    <w:rsid w:val="00F67B94"/>
    <w:rsid w:val="00F719EE"/>
    <w:rsid w:val="00F72981"/>
    <w:rsid w:val="00F75F17"/>
    <w:rsid w:val="00F80117"/>
    <w:rsid w:val="00F803D9"/>
    <w:rsid w:val="00F81261"/>
    <w:rsid w:val="00F81630"/>
    <w:rsid w:val="00F818B8"/>
    <w:rsid w:val="00F829A4"/>
    <w:rsid w:val="00F82E7A"/>
    <w:rsid w:val="00F83F43"/>
    <w:rsid w:val="00F84626"/>
    <w:rsid w:val="00F86AB8"/>
    <w:rsid w:val="00F91035"/>
    <w:rsid w:val="00F912AD"/>
    <w:rsid w:val="00F917CD"/>
    <w:rsid w:val="00F91DC8"/>
    <w:rsid w:val="00F928A6"/>
    <w:rsid w:val="00F9432D"/>
    <w:rsid w:val="00F94DEE"/>
    <w:rsid w:val="00F95469"/>
    <w:rsid w:val="00F97B00"/>
    <w:rsid w:val="00F97C59"/>
    <w:rsid w:val="00FA1831"/>
    <w:rsid w:val="00FA3E8E"/>
    <w:rsid w:val="00FA6525"/>
    <w:rsid w:val="00FA7210"/>
    <w:rsid w:val="00FB1531"/>
    <w:rsid w:val="00FB2545"/>
    <w:rsid w:val="00FB3170"/>
    <w:rsid w:val="00FB68F5"/>
    <w:rsid w:val="00FB741B"/>
    <w:rsid w:val="00FC37CF"/>
    <w:rsid w:val="00FC6FF4"/>
    <w:rsid w:val="00FC7EA9"/>
    <w:rsid w:val="00FD13CC"/>
    <w:rsid w:val="00FD2730"/>
    <w:rsid w:val="00FD27F9"/>
    <w:rsid w:val="00FD2DA5"/>
    <w:rsid w:val="00FD2FBB"/>
    <w:rsid w:val="00FD3111"/>
    <w:rsid w:val="00FD405E"/>
    <w:rsid w:val="00FD4A0F"/>
    <w:rsid w:val="00FD534C"/>
    <w:rsid w:val="00FD5AC8"/>
    <w:rsid w:val="00FD7BD1"/>
    <w:rsid w:val="00FE06C1"/>
    <w:rsid w:val="00FE0C45"/>
    <w:rsid w:val="00FE1336"/>
    <w:rsid w:val="00FE3403"/>
    <w:rsid w:val="00FE43C3"/>
    <w:rsid w:val="00FE49A6"/>
    <w:rsid w:val="00FE5539"/>
    <w:rsid w:val="00FE5D0F"/>
    <w:rsid w:val="00FE6B47"/>
    <w:rsid w:val="00FF1046"/>
    <w:rsid w:val="00FF161B"/>
    <w:rsid w:val="00FF289B"/>
    <w:rsid w:val="00FF4868"/>
    <w:rsid w:val="00FF6F10"/>
    <w:rsid w:val="00FF7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91f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00"/>
    <w:rPr>
      <w:rFonts w:ascii="Times New Roman" w:eastAsia="Times New Roman" w:hAnsi="Times New Roman"/>
      <w:sz w:val="24"/>
      <w:szCs w:val="24"/>
    </w:rPr>
  </w:style>
  <w:style w:type="paragraph" w:styleId="Heading1">
    <w:name w:val="heading 1"/>
    <w:basedOn w:val="Normal"/>
    <w:next w:val="Normal"/>
    <w:link w:val="Heading1Char"/>
    <w:uiPriority w:val="9"/>
    <w:qFormat/>
    <w:rsid w:val="00D10462"/>
    <w:pPr>
      <w:keepNext/>
      <w:numPr>
        <w:numId w:val="2"/>
      </w:numPr>
      <w:spacing w:before="240" w:after="60"/>
      <w:outlineLvl w:val="0"/>
    </w:pPr>
    <w:rPr>
      <w:rFonts w:ascii="Calibri" w:hAnsi="Calibri"/>
      <w:b/>
      <w:bCs/>
      <w:kern w:val="32"/>
      <w:sz w:val="28"/>
      <w:szCs w:val="32"/>
    </w:rPr>
  </w:style>
  <w:style w:type="paragraph" w:styleId="Heading2">
    <w:name w:val="heading 2"/>
    <w:basedOn w:val="Normal"/>
    <w:next w:val="Normal"/>
    <w:link w:val="Heading2Char"/>
    <w:uiPriority w:val="9"/>
    <w:semiHidden/>
    <w:unhideWhenUsed/>
    <w:qFormat/>
    <w:rsid w:val="002E624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single space,ALTS FOOTNOTE,Fodnotetekst Tegn,footnote text,FOOTNOTES,Footnote ak,Footnotes,f"/>
    <w:basedOn w:val="Normal"/>
    <w:link w:val="FootnoteTextChar"/>
    <w:semiHidden/>
    <w:rsid w:val="00406B95"/>
    <w:rPr>
      <w:sz w:val="20"/>
      <w:szCs w:val="20"/>
    </w:rPr>
  </w:style>
  <w:style w:type="character" w:customStyle="1" w:styleId="FootnoteTextChar">
    <w:name w:val="Footnote Text Char"/>
    <w:aliases w:val="fn Char,single space Char,ALTS FOOTNOTE Char,Fodnotetekst Tegn Char,footnote text Char,FOOTNOTES Char,Footnote ak Char,Footnotes Char,f Char"/>
    <w:link w:val="FootnoteText"/>
    <w:semiHidden/>
    <w:rsid w:val="00406B95"/>
    <w:rPr>
      <w:rFonts w:ascii="Times New Roman" w:eastAsia="Times New Roman" w:hAnsi="Times New Roman" w:cs="Times New Roman"/>
      <w:sz w:val="20"/>
      <w:szCs w:val="20"/>
      <w:lang w:val="en-US"/>
    </w:rPr>
  </w:style>
  <w:style w:type="character" w:styleId="FootnoteReference">
    <w:name w:val="footnote reference"/>
    <w:semiHidden/>
    <w:rsid w:val="00406B95"/>
    <w:rPr>
      <w:vertAlign w:val="superscript"/>
    </w:rPr>
  </w:style>
  <w:style w:type="paragraph" w:styleId="ListParagraph">
    <w:name w:val="List Paragraph"/>
    <w:basedOn w:val="Normal"/>
    <w:uiPriority w:val="34"/>
    <w:qFormat/>
    <w:rsid w:val="00537CF5"/>
    <w:pPr>
      <w:ind w:left="708"/>
    </w:pPr>
  </w:style>
  <w:style w:type="paragraph" w:styleId="Header">
    <w:name w:val="header"/>
    <w:basedOn w:val="Normal"/>
    <w:link w:val="HeaderChar"/>
    <w:uiPriority w:val="99"/>
    <w:unhideWhenUsed/>
    <w:rsid w:val="003429EE"/>
    <w:pPr>
      <w:tabs>
        <w:tab w:val="center" w:pos="4536"/>
        <w:tab w:val="right" w:pos="9072"/>
      </w:tabs>
    </w:pPr>
  </w:style>
  <w:style w:type="character" w:customStyle="1" w:styleId="HeaderChar">
    <w:name w:val="Header Char"/>
    <w:link w:val="Header"/>
    <w:uiPriority w:val="99"/>
    <w:rsid w:val="003429EE"/>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429EE"/>
    <w:pPr>
      <w:tabs>
        <w:tab w:val="center" w:pos="4536"/>
        <w:tab w:val="right" w:pos="9072"/>
      </w:tabs>
    </w:pPr>
  </w:style>
  <w:style w:type="character" w:customStyle="1" w:styleId="FooterChar">
    <w:name w:val="Footer Char"/>
    <w:link w:val="Footer"/>
    <w:uiPriority w:val="99"/>
    <w:rsid w:val="003429EE"/>
    <w:rPr>
      <w:rFonts w:ascii="Times New Roman" w:eastAsia="Times New Roman" w:hAnsi="Times New Roman"/>
      <w:sz w:val="24"/>
      <w:szCs w:val="24"/>
      <w:lang w:val="en-US" w:eastAsia="en-US"/>
    </w:rPr>
  </w:style>
  <w:style w:type="paragraph" w:customStyle="1" w:styleId="UNDPTitle1">
    <w:name w:val="UNDP Title 1"/>
    <w:basedOn w:val="Normal"/>
    <w:link w:val="UNDPTitle1Zchn"/>
    <w:qFormat/>
    <w:rsid w:val="000B700D"/>
    <w:pPr>
      <w:numPr>
        <w:numId w:val="5"/>
      </w:numPr>
      <w:spacing w:after="240" w:line="280" w:lineRule="atLeast"/>
      <w:jc w:val="both"/>
    </w:pPr>
    <w:rPr>
      <w:rFonts w:ascii="Calibri" w:hAnsi="Calibri"/>
      <w:b/>
      <w:color w:val="000000"/>
      <w:sz w:val="22"/>
      <w:szCs w:val="22"/>
      <w:lang w:val="fr-CA"/>
    </w:rPr>
  </w:style>
  <w:style w:type="paragraph" w:styleId="NoSpacing">
    <w:name w:val="No Spacing"/>
    <w:aliases w:val="UNDP text"/>
    <w:uiPriority w:val="1"/>
    <w:qFormat/>
    <w:rsid w:val="000B700D"/>
    <w:pPr>
      <w:spacing w:before="120" w:after="120"/>
      <w:jc w:val="both"/>
    </w:pPr>
    <w:rPr>
      <w:rFonts w:eastAsia="Times New Roman"/>
      <w:sz w:val="22"/>
      <w:szCs w:val="24"/>
    </w:rPr>
  </w:style>
  <w:style w:type="character" w:customStyle="1" w:styleId="UNDPTitle1Zchn">
    <w:name w:val="UNDP Title 1 Zchn"/>
    <w:link w:val="UNDPTitle1"/>
    <w:rsid w:val="000B700D"/>
    <w:rPr>
      <w:rFonts w:eastAsia="Times New Roman"/>
      <w:b/>
      <w:color w:val="000000"/>
      <w:sz w:val="22"/>
      <w:szCs w:val="22"/>
      <w:lang w:val="fr-CA"/>
    </w:rPr>
  </w:style>
  <w:style w:type="character" w:styleId="Hyperlink">
    <w:name w:val="Hyperlink"/>
    <w:uiPriority w:val="99"/>
    <w:unhideWhenUsed/>
    <w:rsid w:val="00644389"/>
    <w:rPr>
      <w:color w:val="0000FF"/>
      <w:u w:val="single"/>
    </w:rPr>
  </w:style>
  <w:style w:type="paragraph" w:styleId="NormalWeb">
    <w:name w:val="Normal (Web)"/>
    <w:basedOn w:val="Normal"/>
    <w:uiPriority w:val="99"/>
    <w:unhideWhenUsed/>
    <w:rsid w:val="00644389"/>
    <w:pPr>
      <w:spacing w:before="100" w:beforeAutospacing="1" w:after="100" w:afterAutospacing="1"/>
    </w:pPr>
  </w:style>
  <w:style w:type="paragraph" w:customStyle="1" w:styleId="spip">
    <w:name w:val="spip"/>
    <w:basedOn w:val="Normal"/>
    <w:rsid w:val="00304323"/>
  </w:style>
  <w:style w:type="paragraph" w:customStyle="1" w:styleId="Default">
    <w:name w:val="Default"/>
    <w:rsid w:val="00304323"/>
    <w:pPr>
      <w:autoSpaceDE w:val="0"/>
      <w:autoSpaceDN w:val="0"/>
      <w:adjustRightInd w:val="0"/>
    </w:pPr>
    <w:rPr>
      <w:rFonts w:ascii="Bookman Old Style" w:hAnsi="Bookman Old Style" w:cs="Bookman Old Style"/>
      <w:color w:val="000000"/>
      <w:sz w:val="24"/>
      <w:szCs w:val="24"/>
    </w:rPr>
  </w:style>
  <w:style w:type="character" w:customStyle="1" w:styleId="Heading1Char">
    <w:name w:val="Heading 1 Char"/>
    <w:link w:val="Heading1"/>
    <w:uiPriority w:val="9"/>
    <w:rsid w:val="00D10462"/>
    <w:rPr>
      <w:rFonts w:eastAsia="Times New Roman"/>
      <w:b/>
      <w:bCs/>
      <w:kern w:val="32"/>
      <w:sz w:val="28"/>
      <w:szCs w:val="32"/>
    </w:rPr>
  </w:style>
  <w:style w:type="paragraph" w:styleId="BalloonText">
    <w:name w:val="Balloon Text"/>
    <w:basedOn w:val="Normal"/>
    <w:link w:val="BalloonTextChar"/>
    <w:uiPriority w:val="99"/>
    <w:semiHidden/>
    <w:unhideWhenUsed/>
    <w:rsid w:val="00CD1A46"/>
    <w:rPr>
      <w:rFonts w:ascii="Tahoma" w:hAnsi="Tahoma" w:cs="Tahoma"/>
      <w:sz w:val="16"/>
      <w:szCs w:val="16"/>
    </w:rPr>
  </w:style>
  <w:style w:type="character" w:customStyle="1" w:styleId="BalloonTextChar">
    <w:name w:val="Balloon Text Char"/>
    <w:link w:val="BalloonText"/>
    <w:uiPriority w:val="99"/>
    <w:semiHidden/>
    <w:rsid w:val="00CD1A46"/>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C412FC"/>
    <w:pPr>
      <w:keepLines/>
      <w:numPr>
        <w:numId w:val="0"/>
      </w:numPr>
      <w:spacing w:before="480" w:after="0" w:line="276" w:lineRule="auto"/>
      <w:outlineLvl w:val="9"/>
    </w:pPr>
    <w:rPr>
      <w:rFonts w:ascii="Cambria" w:eastAsia="MS Gothic" w:hAnsi="Cambria"/>
      <w:color w:val="365F91"/>
      <w:kern w:val="0"/>
      <w:szCs w:val="28"/>
      <w:lang w:eastAsia="ja-JP"/>
    </w:rPr>
  </w:style>
  <w:style w:type="paragraph" w:styleId="TOC1">
    <w:name w:val="toc 1"/>
    <w:basedOn w:val="Normal"/>
    <w:next w:val="Normal"/>
    <w:autoRedefine/>
    <w:uiPriority w:val="39"/>
    <w:unhideWhenUsed/>
    <w:rsid w:val="00953EB5"/>
    <w:pPr>
      <w:tabs>
        <w:tab w:val="left" w:pos="480"/>
        <w:tab w:val="right" w:leader="dot" w:pos="9129"/>
      </w:tabs>
      <w:spacing w:before="120" w:after="120"/>
    </w:pPr>
    <w:rPr>
      <w:rFonts w:ascii="Calibri" w:hAnsi="Calibri" w:cs="Calibri"/>
      <w:b/>
      <w:bCs/>
      <w:caps/>
      <w:sz w:val="20"/>
      <w:szCs w:val="20"/>
    </w:rPr>
  </w:style>
  <w:style w:type="paragraph" w:styleId="TOC2">
    <w:name w:val="toc 2"/>
    <w:basedOn w:val="Normal"/>
    <w:next w:val="Normal"/>
    <w:autoRedefine/>
    <w:uiPriority w:val="39"/>
    <w:unhideWhenUsed/>
    <w:rsid w:val="00C412FC"/>
    <w:pPr>
      <w:ind w:left="240"/>
    </w:pPr>
    <w:rPr>
      <w:rFonts w:ascii="Calibri" w:hAnsi="Calibri" w:cs="Calibri"/>
      <w:smallCaps/>
      <w:sz w:val="20"/>
      <w:szCs w:val="20"/>
    </w:rPr>
  </w:style>
  <w:style w:type="paragraph" w:styleId="TOC3">
    <w:name w:val="toc 3"/>
    <w:basedOn w:val="Normal"/>
    <w:next w:val="Normal"/>
    <w:autoRedefine/>
    <w:uiPriority w:val="39"/>
    <w:unhideWhenUsed/>
    <w:rsid w:val="00C412FC"/>
    <w:pPr>
      <w:ind w:left="480"/>
    </w:pPr>
    <w:rPr>
      <w:rFonts w:ascii="Calibri" w:hAnsi="Calibri" w:cs="Calibri"/>
      <w:i/>
      <w:iCs/>
      <w:sz w:val="20"/>
      <w:szCs w:val="20"/>
    </w:rPr>
  </w:style>
  <w:style w:type="paragraph" w:styleId="TOC4">
    <w:name w:val="toc 4"/>
    <w:basedOn w:val="Normal"/>
    <w:next w:val="Normal"/>
    <w:autoRedefine/>
    <w:uiPriority w:val="39"/>
    <w:unhideWhenUsed/>
    <w:rsid w:val="00C412FC"/>
    <w:pPr>
      <w:ind w:left="720"/>
    </w:pPr>
    <w:rPr>
      <w:rFonts w:ascii="Calibri" w:hAnsi="Calibri" w:cs="Calibri"/>
      <w:sz w:val="18"/>
      <w:szCs w:val="18"/>
    </w:rPr>
  </w:style>
  <w:style w:type="paragraph" w:styleId="TOC5">
    <w:name w:val="toc 5"/>
    <w:basedOn w:val="Normal"/>
    <w:next w:val="Normal"/>
    <w:autoRedefine/>
    <w:uiPriority w:val="39"/>
    <w:unhideWhenUsed/>
    <w:rsid w:val="00C412FC"/>
    <w:pPr>
      <w:ind w:left="960"/>
    </w:pPr>
    <w:rPr>
      <w:rFonts w:ascii="Calibri" w:hAnsi="Calibri" w:cs="Calibri"/>
      <w:sz w:val="18"/>
      <w:szCs w:val="18"/>
    </w:rPr>
  </w:style>
  <w:style w:type="paragraph" w:styleId="TOC6">
    <w:name w:val="toc 6"/>
    <w:basedOn w:val="Normal"/>
    <w:next w:val="Normal"/>
    <w:autoRedefine/>
    <w:uiPriority w:val="39"/>
    <w:unhideWhenUsed/>
    <w:rsid w:val="00C412FC"/>
    <w:pPr>
      <w:ind w:left="1200"/>
    </w:pPr>
    <w:rPr>
      <w:rFonts w:ascii="Calibri" w:hAnsi="Calibri" w:cs="Calibri"/>
      <w:sz w:val="18"/>
      <w:szCs w:val="18"/>
    </w:rPr>
  </w:style>
  <w:style w:type="paragraph" w:styleId="TOC7">
    <w:name w:val="toc 7"/>
    <w:basedOn w:val="Normal"/>
    <w:next w:val="Normal"/>
    <w:autoRedefine/>
    <w:uiPriority w:val="39"/>
    <w:unhideWhenUsed/>
    <w:rsid w:val="00C412FC"/>
    <w:pPr>
      <w:ind w:left="1440"/>
    </w:pPr>
    <w:rPr>
      <w:rFonts w:ascii="Calibri" w:hAnsi="Calibri" w:cs="Calibri"/>
      <w:sz w:val="18"/>
      <w:szCs w:val="18"/>
    </w:rPr>
  </w:style>
  <w:style w:type="paragraph" w:styleId="TOC8">
    <w:name w:val="toc 8"/>
    <w:basedOn w:val="Normal"/>
    <w:next w:val="Normal"/>
    <w:autoRedefine/>
    <w:uiPriority w:val="39"/>
    <w:unhideWhenUsed/>
    <w:rsid w:val="00C412FC"/>
    <w:pPr>
      <w:ind w:left="1680"/>
    </w:pPr>
    <w:rPr>
      <w:rFonts w:ascii="Calibri" w:hAnsi="Calibri" w:cs="Calibri"/>
      <w:sz w:val="18"/>
      <w:szCs w:val="18"/>
    </w:rPr>
  </w:style>
  <w:style w:type="paragraph" w:styleId="TOC9">
    <w:name w:val="toc 9"/>
    <w:basedOn w:val="Normal"/>
    <w:next w:val="Normal"/>
    <w:autoRedefine/>
    <w:uiPriority w:val="39"/>
    <w:unhideWhenUsed/>
    <w:rsid w:val="00C412FC"/>
    <w:pPr>
      <w:ind w:left="1920"/>
    </w:pPr>
    <w:rPr>
      <w:rFonts w:ascii="Calibri" w:hAnsi="Calibri" w:cs="Calibri"/>
      <w:sz w:val="18"/>
      <w:szCs w:val="18"/>
    </w:rPr>
  </w:style>
  <w:style w:type="table" w:styleId="TableGrid">
    <w:name w:val="Table Grid"/>
    <w:basedOn w:val="TableNormal"/>
    <w:uiPriority w:val="59"/>
    <w:rsid w:val="00C14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semiHidden/>
    <w:rsid w:val="002E6247"/>
    <w:rPr>
      <w:rFonts w:ascii="Cambria" w:eastAsia="Times New Roman" w:hAnsi="Cambria" w:cs="Times New Roman"/>
      <w:b/>
      <w:bCs/>
      <w:i/>
      <w:iCs/>
      <w:sz w:val="28"/>
      <w:szCs w:val="28"/>
    </w:rPr>
  </w:style>
  <w:style w:type="paragraph" w:styleId="EndnoteText">
    <w:name w:val="endnote text"/>
    <w:basedOn w:val="Normal"/>
    <w:link w:val="EndnoteTextChar"/>
    <w:uiPriority w:val="99"/>
    <w:semiHidden/>
    <w:unhideWhenUsed/>
    <w:rsid w:val="00DE3993"/>
    <w:rPr>
      <w:sz w:val="20"/>
      <w:szCs w:val="20"/>
    </w:rPr>
  </w:style>
  <w:style w:type="character" w:customStyle="1" w:styleId="EndnoteTextChar">
    <w:name w:val="Endnote Text Char"/>
    <w:link w:val="EndnoteText"/>
    <w:uiPriority w:val="99"/>
    <w:semiHidden/>
    <w:rsid w:val="00DE3993"/>
    <w:rPr>
      <w:rFonts w:ascii="Times New Roman" w:eastAsia="Times New Roman" w:hAnsi="Times New Roman"/>
    </w:rPr>
  </w:style>
  <w:style w:type="character" w:styleId="EndnoteReference">
    <w:name w:val="endnote reference"/>
    <w:uiPriority w:val="99"/>
    <w:semiHidden/>
    <w:unhideWhenUsed/>
    <w:rsid w:val="00DE3993"/>
    <w:rPr>
      <w:vertAlign w:val="superscript"/>
    </w:rPr>
  </w:style>
  <w:style w:type="table" w:customStyle="1" w:styleId="TableNormal1">
    <w:name w:val="Table Normal1"/>
    <w:uiPriority w:val="99"/>
    <w:semiHidden/>
    <w:rsid w:val="00FD534C"/>
    <w:tblPr>
      <w:tblCellMar>
        <w:top w:w="0" w:type="dxa"/>
        <w:left w:w="108" w:type="dxa"/>
        <w:bottom w:w="0" w:type="dxa"/>
        <w:right w:w="108" w:type="dxa"/>
      </w:tblCellMar>
    </w:tblPr>
  </w:style>
  <w:style w:type="paragraph" w:styleId="Caption">
    <w:name w:val="caption"/>
    <w:basedOn w:val="Normal"/>
    <w:next w:val="Normal"/>
    <w:uiPriority w:val="35"/>
    <w:unhideWhenUsed/>
    <w:qFormat/>
    <w:rsid w:val="00552562"/>
    <w:rPr>
      <w:b/>
      <w:bCs/>
      <w:sz w:val="20"/>
      <w:szCs w:val="20"/>
    </w:rPr>
  </w:style>
  <w:style w:type="character" w:styleId="CommentReference">
    <w:name w:val="annotation reference"/>
    <w:basedOn w:val="DefaultParagraphFont"/>
    <w:uiPriority w:val="99"/>
    <w:semiHidden/>
    <w:unhideWhenUsed/>
    <w:rsid w:val="00FD2730"/>
    <w:rPr>
      <w:sz w:val="16"/>
      <w:szCs w:val="16"/>
    </w:rPr>
  </w:style>
  <w:style w:type="paragraph" w:styleId="CommentText">
    <w:name w:val="annotation text"/>
    <w:basedOn w:val="Normal"/>
    <w:link w:val="CommentTextChar"/>
    <w:uiPriority w:val="99"/>
    <w:semiHidden/>
    <w:unhideWhenUsed/>
    <w:rsid w:val="00FD2730"/>
    <w:rPr>
      <w:sz w:val="20"/>
      <w:szCs w:val="20"/>
    </w:rPr>
  </w:style>
  <w:style w:type="character" w:customStyle="1" w:styleId="CommentTextChar">
    <w:name w:val="Comment Text Char"/>
    <w:basedOn w:val="DefaultParagraphFont"/>
    <w:link w:val="CommentText"/>
    <w:uiPriority w:val="99"/>
    <w:semiHidden/>
    <w:rsid w:val="00FD273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D2730"/>
    <w:rPr>
      <w:b/>
      <w:bCs/>
    </w:rPr>
  </w:style>
  <w:style w:type="character" w:customStyle="1" w:styleId="CommentSubjectChar">
    <w:name w:val="Comment Subject Char"/>
    <w:basedOn w:val="CommentTextChar"/>
    <w:link w:val="CommentSubject"/>
    <w:uiPriority w:val="99"/>
    <w:semiHidden/>
    <w:rsid w:val="00FD2730"/>
    <w:rPr>
      <w:rFonts w:ascii="Times New Roman" w:eastAsia="Times New Roman" w:hAnsi="Times New Roman"/>
      <w:b/>
      <w:bCs/>
    </w:rPr>
  </w:style>
  <w:style w:type="paragraph" w:styleId="PlainText">
    <w:name w:val="Plain Text"/>
    <w:basedOn w:val="Normal"/>
    <w:link w:val="PlainTextChar"/>
    <w:uiPriority w:val="99"/>
    <w:unhideWhenUsed/>
    <w:rsid w:val="00FE5D0F"/>
    <w:rPr>
      <w:rFonts w:ascii="Consolas" w:eastAsia="Calibri" w:hAnsi="Consolas"/>
      <w:sz w:val="21"/>
      <w:szCs w:val="21"/>
    </w:rPr>
  </w:style>
  <w:style w:type="character" w:customStyle="1" w:styleId="PlainTextChar">
    <w:name w:val="Plain Text Char"/>
    <w:basedOn w:val="DefaultParagraphFont"/>
    <w:link w:val="PlainText"/>
    <w:uiPriority w:val="99"/>
    <w:rsid w:val="00FE5D0F"/>
    <w:rPr>
      <w:rFonts w:ascii="Consolas" w:hAnsi="Consolas"/>
      <w:sz w:val="21"/>
      <w:szCs w:val="21"/>
    </w:rPr>
  </w:style>
  <w:style w:type="character" w:customStyle="1" w:styleId="spipsurligne">
    <w:name w:val="spip_surligne"/>
    <w:basedOn w:val="DefaultParagraphFont"/>
    <w:rsid w:val="00612D64"/>
  </w:style>
  <w:style w:type="character" w:styleId="Strong">
    <w:name w:val="Strong"/>
    <w:basedOn w:val="DefaultParagraphFont"/>
    <w:uiPriority w:val="22"/>
    <w:qFormat/>
    <w:rsid w:val="001117B1"/>
    <w:rPr>
      <w:b/>
      <w:bCs/>
    </w:rPr>
  </w:style>
  <w:style w:type="paragraph" w:customStyle="1" w:styleId="yiv312452891msonormal">
    <w:name w:val="yiv312452891msonormal"/>
    <w:basedOn w:val="Normal"/>
    <w:rsid w:val="007D3ED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00"/>
    <w:rPr>
      <w:rFonts w:ascii="Times New Roman" w:eastAsia="Times New Roman" w:hAnsi="Times New Roman"/>
      <w:sz w:val="24"/>
      <w:szCs w:val="24"/>
    </w:rPr>
  </w:style>
  <w:style w:type="paragraph" w:styleId="Heading1">
    <w:name w:val="heading 1"/>
    <w:basedOn w:val="Normal"/>
    <w:next w:val="Normal"/>
    <w:link w:val="Heading1Char"/>
    <w:uiPriority w:val="9"/>
    <w:qFormat/>
    <w:rsid w:val="00D10462"/>
    <w:pPr>
      <w:keepNext/>
      <w:numPr>
        <w:numId w:val="2"/>
      </w:numPr>
      <w:spacing w:before="240" w:after="60"/>
      <w:outlineLvl w:val="0"/>
    </w:pPr>
    <w:rPr>
      <w:rFonts w:ascii="Calibri" w:hAnsi="Calibri"/>
      <w:b/>
      <w:bCs/>
      <w:kern w:val="32"/>
      <w:sz w:val="28"/>
      <w:szCs w:val="32"/>
    </w:rPr>
  </w:style>
  <w:style w:type="paragraph" w:styleId="Heading2">
    <w:name w:val="heading 2"/>
    <w:basedOn w:val="Normal"/>
    <w:next w:val="Normal"/>
    <w:link w:val="Heading2Char"/>
    <w:uiPriority w:val="9"/>
    <w:semiHidden/>
    <w:unhideWhenUsed/>
    <w:qFormat/>
    <w:rsid w:val="002E624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single space,ALTS FOOTNOTE,Fodnotetekst Tegn,footnote text,FOOTNOTES,Footnote ak,Footnotes,f"/>
    <w:basedOn w:val="Normal"/>
    <w:link w:val="FootnoteTextChar"/>
    <w:semiHidden/>
    <w:rsid w:val="00406B95"/>
    <w:rPr>
      <w:sz w:val="20"/>
      <w:szCs w:val="20"/>
    </w:rPr>
  </w:style>
  <w:style w:type="character" w:customStyle="1" w:styleId="FootnoteTextChar">
    <w:name w:val="Footnote Text Char"/>
    <w:aliases w:val="fn Char,single space Char,ALTS FOOTNOTE Char,Fodnotetekst Tegn Char,footnote text Char,FOOTNOTES Char,Footnote ak Char,Footnotes Char,f Char"/>
    <w:link w:val="FootnoteText"/>
    <w:semiHidden/>
    <w:rsid w:val="00406B95"/>
    <w:rPr>
      <w:rFonts w:ascii="Times New Roman" w:eastAsia="Times New Roman" w:hAnsi="Times New Roman" w:cs="Times New Roman"/>
      <w:sz w:val="20"/>
      <w:szCs w:val="20"/>
      <w:lang w:val="en-US"/>
    </w:rPr>
  </w:style>
  <w:style w:type="character" w:styleId="FootnoteReference">
    <w:name w:val="footnote reference"/>
    <w:semiHidden/>
    <w:rsid w:val="00406B95"/>
    <w:rPr>
      <w:vertAlign w:val="superscript"/>
    </w:rPr>
  </w:style>
  <w:style w:type="paragraph" w:styleId="ListParagraph">
    <w:name w:val="List Paragraph"/>
    <w:basedOn w:val="Normal"/>
    <w:uiPriority w:val="34"/>
    <w:qFormat/>
    <w:rsid w:val="00537CF5"/>
    <w:pPr>
      <w:ind w:left="708"/>
    </w:pPr>
  </w:style>
  <w:style w:type="paragraph" w:styleId="Header">
    <w:name w:val="header"/>
    <w:basedOn w:val="Normal"/>
    <w:link w:val="HeaderChar"/>
    <w:uiPriority w:val="99"/>
    <w:unhideWhenUsed/>
    <w:rsid w:val="003429EE"/>
    <w:pPr>
      <w:tabs>
        <w:tab w:val="center" w:pos="4536"/>
        <w:tab w:val="right" w:pos="9072"/>
      </w:tabs>
    </w:pPr>
  </w:style>
  <w:style w:type="character" w:customStyle="1" w:styleId="HeaderChar">
    <w:name w:val="Header Char"/>
    <w:link w:val="Header"/>
    <w:uiPriority w:val="99"/>
    <w:rsid w:val="003429EE"/>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429EE"/>
    <w:pPr>
      <w:tabs>
        <w:tab w:val="center" w:pos="4536"/>
        <w:tab w:val="right" w:pos="9072"/>
      </w:tabs>
    </w:pPr>
  </w:style>
  <w:style w:type="character" w:customStyle="1" w:styleId="FooterChar">
    <w:name w:val="Footer Char"/>
    <w:link w:val="Footer"/>
    <w:uiPriority w:val="99"/>
    <w:rsid w:val="003429EE"/>
    <w:rPr>
      <w:rFonts w:ascii="Times New Roman" w:eastAsia="Times New Roman" w:hAnsi="Times New Roman"/>
      <w:sz w:val="24"/>
      <w:szCs w:val="24"/>
      <w:lang w:val="en-US" w:eastAsia="en-US"/>
    </w:rPr>
  </w:style>
  <w:style w:type="paragraph" w:customStyle="1" w:styleId="UNDPTitle1">
    <w:name w:val="UNDP Title 1"/>
    <w:basedOn w:val="Normal"/>
    <w:link w:val="UNDPTitle1Zchn"/>
    <w:qFormat/>
    <w:rsid w:val="000B700D"/>
    <w:pPr>
      <w:numPr>
        <w:numId w:val="5"/>
      </w:numPr>
      <w:spacing w:after="240" w:line="280" w:lineRule="atLeast"/>
      <w:jc w:val="both"/>
    </w:pPr>
    <w:rPr>
      <w:rFonts w:ascii="Calibri" w:hAnsi="Calibri"/>
      <w:b/>
      <w:color w:val="000000"/>
      <w:sz w:val="22"/>
      <w:szCs w:val="22"/>
      <w:lang w:val="fr-CA"/>
    </w:rPr>
  </w:style>
  <w:style w:type="paragraph" w:styleId="NoSpacing">
    <w:name w:val="No Spacing"/>
    <w:aliases w:val="UNDP text"/>
    <w:uiPriority w:val="1"/>
    <w:qFormat/>
    <w:rsid w:val="000B700D"/>
    <w:pPr>
      <w:spacing w:before="120" w:after="120"/>
      <w:jc w:val="both"/>
    </w:pPr>
    <w:rPr>
      <w:rFonts w:eastAsia="Times New Roman"/>
      <w:sz w:val="22"/>
      <w:szCs w:val="24"/>
    </w:rPr>
  </w:style>
  <w:style w:type="character" w:customStyle="1" w:styleId="UNDPTitle1Zchn">
    <w:name w:val="UNDP Title 1 Zchn"/>
    <w:link w:val="UNDPTitle1"/>
    <w:rsid w:val="000B700D"/>
    <w:rPr>
      <w:rFonts w:eastAsia="Times New Roman"/>
      <w:b/>
      <w:color w:val="000000"/>
      <w:sz w:val="22"/>
      <w:szCs w:val="22"/>
      <w:lang w:val="fr-CA"/>
    </w:rPr>
  </w:style>
  <w:style w:type="character" w:styleId="Hyperlink">
    <w:name w:val="Hyperlink"/>
    <w:uiPriority w:val="99"/>
    <w:unhideWhenUsed/>
    <w:rsid w:val="00644389"/>
    <w:rPr>
      <w:color w:val="0000FF"/>
      <w:u w:val="single"/>
    </w:rPr>
  </w:style>
  <w:style w:type="paragraph" w:styleId="NormalWeb">
    <w:name w:val="Normal (Web)"/>
    <w:basedOn w:val="Normal"/>
    <w:uiPriority w:val="99"/>
    <w:unhideWhenUsed/>
    <w:rsid w:val="00644389"/>
    <w:pPr>
      <w:spacing w:before="100" w:beforeAutospacing="1" w:after="100" w:afterAutospacing="1"/>
    </w:pPr>
  </w:style>
  <w:style w:type="paragraph" w:customStyle="1" w:styleId="spip">
    <w:name w:val="spip"/>
    <w:basedOn w:val="Normal"/>
    <w:rsid w:val="00304323"/>
  </w:style>
  <w:style w:type="paragraph" w:customStyle="1" w:styleId="Default">
    <w:name w:val="Default"/>
    <w:rsid w:val="00304323"/>
    <w:pPr>
      <w:autoSpaceDE w:val="0"/>
      <w:autoSpaceDN w:val="0"/>
      <w:adjustRightInd w:val="0"/>
    </w:pPr>
    <w:rPr>
      <w:rFonts w:ascii="Bookman Old Style" w:hAnsi="Bookman Old Style" w:cs="Bookman Old Style"/>
      <w:color w:val="000000"/>
      <w:sz w:val="24"/>
      <w:szCs w:val="24"/>
    </w:rPr>
  </w:style>
  <w:style w:type="character" w:customStyle="1" w:styleId="Heading1Char">
    <w:name w:val="Heading 1 Char"/>
    <w:link w:val="Heading1"/>
    <w:uiPriority w:val="9"/>
    <w:rsid w:val="00D10462"/>
    <w:rPr>
      <w:rFonts w:eastAsia="Times New Roman"/>
      <w:b/>
      <w:bCs/>
      <w:kern w:val="32"/>
      <w:sz w:val="28"/>
      <w:szCs w:val="32"/>
    </w:rPr>
  </w:style>
  <w:style w:type="paragraph" w:styleId="BalloonText">
    <w:name w:val="Balloon Text"/>
    <w:basedOn w:val="Normal"/>
    <w:link w:val="BalloonTextChar"/>
    <w:uiPriority w:val="99"/>
    <w:semiHidden/>
    <w:unhideWhenUsed/>
    <w:rsid w:val="00CD1A46"/>
    <w:rPr>
      <w:rFonts w:ascii="Tahoma" w:hAnsi="Tahoma" w:cs="Tahoma"/>
      <w:sz w:val="16"/>
      <w:szCs w:val="16"/>
    </w:rPr>
  </w:style>
  <w:style w:type="character" w:customStyle="1" w:styleId="BalloonTextChar">
    <w:name w:val="Balloon Text Char"/>
    <w:link w:val="BalloonText"/>
    <w:uiPriority w:val="99"/>
    <w:semiHidden/>
    <w:rsid w:val="00CD1A46"/>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C412FC"/>
    <w:pPr>
      <w:keepLines/>
      <w:numPr>
        <w:numId w:val="0"/>
      </w:numPr>
      <w:spacing w:before="480" w:after="0" w:line="276" w:lineRule="auto"/>
      <w:outlineLvl w:val="9"/>
    </w:pPr>
    <w:rPr>
      <w:rFonts w:ascii="Cambria" w:eastAsia="MS Gothic" w:hAnsi="Cambria"/>
      <w:color w:val="365F91"/>
      <w:kern w:val="0"/>
      <w:szCs w:val="28"/>
      <w:lang w:eastAsia="ja-JP"/>
    </w:rPr>
  </w:style>
  <w:style w:type="paragraph" w:styleId="TOC1">
    <w:name w:val="toc 1"/>
    <w:basedOn w:val="Normal"/>
    <w:next w:val="Normal"/>
    <w:autoRedefine/>
    <w:uiPriority w:val="39"/>
    <w:unhideWhenUsed/>
    <w:rsid w:val="00953EB5"/>
    <w:pPr>
      <w:tabs>
        <w:tab w:val="left" w:pos="480"/>
        <w:tab w:val="right" w:leader="dot" w:pos="9129"/>
      </w:tabs>
      <w:spacing w:before="120" w:after="120"/>
    </w:pPr>
    <w:rPr>
      <w:rFonts w:ascii="Calibri" w:hAnsi="Calibri" w:cs="Calibri"/>
      <w:b/>
      <w:bCs/>
      <w:caps/>
      <w:sz w:val="20"/>
      <w:szCs w:val="20"/>
    </w:rPr>
  </w:style>
  <w:style w:type="paragraph" w:styleId="TOC2">
    <w:name w:val="toc 2"/>
    <w:basedOn w:val="Normal"/>
    <w:next w:val="Normal"/>
    <w:autoRedefine/>
    <w:uiPriority w:val="39"/>
    <w:unhideWhenUsed/>
    <w:rsid w:val="00C412FC"/>
    <w:pPr>
      <w:ind w:left="240"/>
    </w:pPr>
    <w:rPr>
      <w:rFonts w:ascii="Calibri" w:hAnsi="Calibri" w:cs="Calibri"/>
      <w:smallCaps/>
      <w:sz w:val="20"/>
      <w:szCs w:val="20"/>
    </w:rPr>
  </w:style>
  <w:style w:type="paragraph" w:styleId="TOC3">
    <w:name w:val="toc 3"/>
    <w:basedOn w:val="Normal"/>
    <w:next w:val="Normal"/>
    <w:autoRedefine/>
    <w:uiPriority w:val="39"/>
    <w:unhideWhenUsed/>
    <w:rsid w:val="00C412FC"/>
    <w:pPr>
      <w:ind w:left="480"/>
    </w:pPr>
    <w:rPr>
      <w:rFonts w:ascii="Calibri" w:hAnsi="Calibri" w:cs="Calibri"/>
      <w:i/>
      <w:iCs/>
      <w:sz w:val="20"/>
      <w:szCs w:val="20"/>
    </w:rPr>
  </w:style>
  <w:style w:type="paragraph" w:styleId="TOC4">
    <w:name w:val="toc 4"/>
    <w:basedOn w:val="Normal"/>
    <w:next w:val="Normal"/>
    <w:autoRedefine/>
    <w:uiPriority w:val="39"/>
    <w:unhideWhenUsed/>
    <w:rsid w:val="00C412FC"/>
    <w:pPr>
      <w:ind w:left="720"/>
    </w:pPr>
    <w:rPr>
      <w:rFonts w:ascii="Calibri" w:hAnsi="Calibri" w:cs="Calibri"/>
      <w:sz w:val="18"/>
      <w:szCs w:val="18"/>
    </w:rPr>
  </w:style>
  <w:style w:type="paragraph" w:styleId="TOC5">
    <w:name w:val="toc 5"/>
    <w:basedOn w:val="Normal"/>
    <w:next w:val="Normal"/>
    <w:autoRedefine/>
    <w:uiPriority w:val="39"/>
    <w:unhideWhenUsed/>
    <w:rsid w:val="00C412FC"/>
    <w:pPr>
      <w:ind w:left="960"/>
    </w:pPr>
    <w:rPr>
      <w:rFonts w:ascii="Calibri" w:hAnsi="Calibri" w:cs="Calibri"/>
      <w:sz w:val="18"/>
      <w:szCs w:val="18"/>
    </w:rPr>
  </w:style>
  <w:style w:type="paragraph" w:styleId="TOC6">
    <w:name w:val="toc 6"/>
    <w:basedOn w:val="Normal"/>
    <w:next w:val="Normal"/>
    <w:autoRedefine/>
    <w:uiPriority w:val="39"/>
    <w:unhideWhenUsed/>
    <w:rsid w:val="00C412FC"/>
    <w:pPr>
      <w:ind w:left="1200"/>
    </w:pPr>
    <w:rPr>
      <w:rFonts w:ascii="Calibri" w:hAnsi="Calibri" w:cs="Calibri"/>
      <w:sz w:val="18"/>
      <w:szCs w:val="18"/>
    </w:rPr>
  </w:style>
  <w:style w:type="paragraph" w:styleId="TOC7">
    <w:name w:val="toc 7"/>
    <w:basedOn w:val="Normal"/>
    <w:next w:val="Normal"/>
    <w:autoRedefine/>
    <w:uiPriority w:val="39"/>
    <w:unhideWhenUsed/>
    <w:rsid w:val="00C412FC"/>
    <w:pPr>
      <w:ind w:left="1440"/>
    </w:pPr>
    <w:rPr>
      <w:rFonts w:ascii="Calibri" w:hAnsi="Calibri" w:cs="Calibri"/>
      <w:sz w:val="18"/>
      <w:szCs w:val="18"/>
    </w:rPr>
  </w:style>
  <w:style w:type="paragraph" w:styleId="TOC8">
    <w:name w:val="toc 8"/>
    <w:basedOn w:val="Normal"/>
    <w:next w:val="Normal"/>
    <w:autoRedefine/>
    <w:uiPriority w:val="39"/>
    <w:unhideWhenUsed/>
    <w:rsid w:val="00C412FC"/>
    <w:pPr>
      <w:ind w:left="1680"/>
    </w:pPr>
    <w:rPr>
      <w:rFonts w:ascii="Calibri" w:hAnsi="Calibri" w:cs="Calibri"/>
      <w:sz w:val="18"/>
      <w:szCs w:val="18"/>
    </w:rPr>
  </w:style>
  <w:style w:type="paragraph" w:styleId="TOC9">
    <w:name w:val="toc 9"/>
    <w:basedOn w:val="Normal"/>
    <w:next w:val="Normal"/>
    <w:autoRedefine/>
    <w:uiPriority w:val="39"/>
    <w:unhideWhenUsed/>
    <w:rsid w:val="00C412FC"/>
    <w:pPr>
      <w:ind w:left="1920"/>
    </w:pPr>
    <w:rPr>
      <w:rFonts w:ascii="Calibri" w:hAnsi="Calibri" w:cs="Calibri"/>
      <w:sz w:val="18"/>
      <w:szCs w:val="18"/>
    </w:rPr>
  </w:style>
  <w:style w:type="table" w:styleId="TableGrid">
    <w:name w:val="Table Grid"/>
    <w:basedOn w:val="TableNormal"/>
    <w:uiPriority w:val="59"/>
    <w:rsid w:val="00C14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semiHidden/>
    <w:rsid w:val="002E6247"/>
    <w:rPr>
      <w:rFonts w:ascii="Cambria" w:eastAsia="Times New Roman" w:hAnsi="Cambria" w:cs="Times New Roman"/>
      <w:b/>
      <w:bCs/>
      <w:i/>
      <w:iCs/>
      <w:sz w:val="28"/>
      <w:szCs w:val="28"/>
    </w:rPr>
  </w:style>
  <w:style w:type="paragraph" w:styleId="EndnoteText">
    <w:name w:val="endnote text"/>
    <w:basedOn w:val="Normal"/>
    <w:link w:val="EndnoteTextChar"/>
    <w:uiPriority w:val="99"/>
    <w:semiHidden/>
    <w:unhideWhenUsed/>
    <w:rsid w:val="00DE3993"/>
    <w:rPr>
      <w:sz w:val="20"/>
      <w:szCs w:val="20"/>
    </w:rPr>
  </w:style>
  <w:style w:type="character" w:customStyle="1" w:styleId="EndnoteTextChar">
    <w:name w:val="Endnote Text Char"/>
    <w:link w:val="EndnoteText"/>
    <w:uiPriority w:val="99"/>
    <w:semiHidden/>
    <w:rsid w:val="00DE3993"/>
    <w:rPr>
      <w:rFonts w:ascii="Times New Roman" w:eastAsia="Times New Roman" w:hAnsi="Times New Roman"/>
    </w:rPr>
  </w:style>
  <w:style w:type="character" w:styleId="EndnoteReference">
    <w:name w:val="endnote reference"/>
    <w:uiPriority w:val="99"/>
    <w:semiHidden/>
    <w:unhideWhenUsed/>
    <w:rsid w:val="00DE3993"/>
    <w:rPr>
      <w:vertAlign w:val="superscript"/>
    </w:rPr>
  </w:style>
  <w:style w:type="table" w:customStyle="1" w:styleId="TableNormal1">
    <w:name w:val="Table Normal1"/>
    <w:uiPriority w:val="99"/>
    <w:semiHidden/>
    <w:rsid w:val="00FD534C"/>
    <w:tblPr>
      <w:tblCellMar>
        <w:top w:w="0" w:type="dxa"/>
        <w:left w:w="108" w:type="dxa"/>
        <w:bottom w:w="0" w:type="dxa"/>
        <w:right w:w="108" w:type="dxa"/>
      </w:tblCellMar>
    </w:tblPr>
  </w:style>
  <w:style w:type="paragraph" w:styleId="Caption">
    <w:name w:val="caption"/>
    <w:basedOn w:val="Normal"/>
    <w:next w:val="Normal"/>
    <w:uiPriority w:val="35"/>
    <w:unhideWhenUsed/>
    <w:qFormat/>
    <w:rsid w:val="00552562"/>
    <w:rPr>
      <w:b/>
      <w:bCs/>
      <w:sz w:val="20"/>
      <w:szCs w:val="20"/>
    </w:rPr>
  </w:style>
  <w:style w:type="character" w:styleId="CommentReference">
    <w:name w:val="annotation reference"/>
    <w:basedOn w:val="DefaultParagraphFont"/>
    <w:uiPriority w:val="99"/>
    <w:semiHidden/>
    <w:unhideWhenUsed/>
    <w:rsid w:val="00FD2730"/>
    <w:rPr>
      <w:sz w:val="16"/>
      <w:szCs w:val="16"/>
    </w:rPr>
  </w:style>
  <w:style w:type="paragraph" w:styleId="CommentText">
    <w:name w:val="annotation text"/>
    <w:basedOn w:val="Normal"/>
    <w:link w:val="CommentTextChar"/>
    <w:uiPriority w:val="99"/>
    <w:semiHidden/>
    <w:unhideWhenUsed/>
    <w:rsid w:val="00FD2730"/>
    <w:rPr>
      <w:sz w:val="20"/>
      <w:szCs w:val="20"/>
    </w:rPr>
  </w:style>
  <w:style w:type="character" w:customStyle="1" w:styleId="CommentTextChar">
    <w:name w:val="Comment Text Char"/>
    <w:basedOn w:val="DefaultParagraphFont"/>
    <w:link w:val="CommentText"/>
    <w:uiPriority w:val="99"/>
    <w:semiHidden/>
    <w:rsid w:val="00FD273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D2730"/>
    <w:rPr>
      <w:b/>
      <w:bCs/>
    </w:rPr>
  </w:style>
  <w:style w:type="character" w:customStyle="1" w:styleId="CommentSubjectChar">
    <w:name w:val="Comment Subject Char"/>
    <w:basedOn w:val="CommentTextChar"/>
    <w:link w:val="CommentSubject"/>
    <w:uiPriority w:val="99"/>
    <w:semiHidden/>
    <w:rsid w:val="00FD2730"/>
    <w:rPr>
      <w:rFonts w:ascii="Times New Roman" w:eastAsia="Times New Roman" w:hAnsi="Times New Roman"/>
      <w:b/>
      <w:bCs/>
    </w:rPr>
  </w:style>
  <w:style w:type="paragraph" w:styleId="PlainText">
    <w:name w:val="Plain Text"/>
    <w:basedOn w:val="Normal"/>
    <w:link w:val="PlainTextChar"/>
    <w:uiPriority w:val="99"/>
    <w:unhideWhenUsed/>
    <w:rsid w:val="00FE5D0F"/>
    <w:rPr>
      <w:rFonts w:ascii="Consolas" w:eastAsia="Calibri" w:hAnsi="Consolas"/>
      <w:sz w:val="21"/>
      <w:szCs w:val="21"/>
    </w:rPr>
  </w:style>
  <w:style w:type="character" w:customStyle="1" w:styleId="PlainTextChar">
    <w:name w:val="Plain Text Char"/>
    <w:basedOn w:val="DefaultParagraphFont"/>
    <w:link w:val="PlainText"/>
    <w:uiPriority w:val="99"/>
    <w:rsid w:val="00FE5D0F"/>
    <w:rPr>
      <w:rFonts w:ascii="Consolas" w:hAnsi="Consolas"/>
      <w:sz w:val="21"/>
      <w:szCs w:val="21"/>
    </w:rPr>
  </w:style>
  <w:style w:type="character" w:customStyle="1" w:styleId="spipsurligne">
    <w:name w:val="spip_surligne"/>
    <w:basedOn w:val="DefaultParagraphFont"/>
    <w:rsid w:val="00612D64"/>
  </w:style>
  <w:style w:type="character" w:styleId="Strong">
    <w:name w:val="Strong"/>
    <w:basedOn w:val="DefaultParagraphFont"/>
    <w:uiPriority w:val="22"/>
    <w:qFormat/>
    <w:rsid w:val="001117B1"/>
    <w:rPr>
      <w:b/>
      <w:bCs/>
    </w:rPr>
  </w:style>
  <w:style w:type="paragraph" w:customStyle="1" w:styleId="yiv312452891msonormal">
    <w:name w:val="yiv312452891msonormal"/>
    <w:basedOn w:val="Normal"/>
    <w:rsid w:val="007D3E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5158">
      <w:bodyDiv w:val="1"/>
      <w:marLeft w:val="0"/>
      <w:marRight w:val="0"/>
      <w:marTop w:val="0"/>
      <w:marBottom w:val="0"/>
      <w:divBdr>
        <w:top w:val="none" w:sz="0" w:space="0" w:color="auto"/>
        <w:left w:val="none" w:sz="0" w:space="0" w:color="auto"/>
        <w:bottom w:val="none" w:sz="0" w:space="0" w:color="auto"/>
        <w:right w:val="none" w:sz="0" w:space="0" w:color="auto"/>
      </w:divBdr>
    </w:div>
    <w:div w:id="56901039">
      <w:bodyDiv w:val="1"/>
      <w:marLeft w:val="0"/>
      <w:marRight w:val="0"/>
      <w:marTop w:val="0"/>
      <w:marBottom w:val="0"/>
      <w:divBdr>
        <w:top w:val="none" w:sz="0" w:space="0" w:color="auto"/>
        <w:left w:val="none" w:sz="0" w:space="0" w:color="auto"/>
        <w:bottom w:val="none" w:sz="0" w:space="0" w:color="auto"/>
        <w:right w:val="none" w:sz="0" w:space="0" w:color="auto"/>
      </w:divBdr>
    </w:div>
    <w:div w:id="69354475">
      <w:bodyDiv w:val="1"/>
      <w:marLeft w:val="0"/>
      <w:marRight w:val="0"/>
      <w:marTop w:val="0"/>
      <w:marBottom w:val="0"/>
      <w:divBdr>
        <w:top w:val="none" w:sz="0" w:space="0" w:color="auto"/>
        <w:left w:val="none" w:sz="0" w:space="0" w:color="auto"/>
        <w:bottom w:val="none" w:sz="0" w:space="0" w:color="auto"/>
        <w:right w:val="none" w:sz="0" w:space="0" w:color="auto"/>
      </w:divBdr>
    </w:div>
    <w:div w:id="105009260">
      <w:bodyDiv w:val="1"/>
      <w:marLeft w:val="0"/>
      <w:marRight w:val="0"/>
      <w:marTop w:val="0"/>
      <w:marBottom w:val="0"/>
      <w:divBdr>
        <w:top w:val="none" w:sz="0" w:space="0" w:color="auto"/>
        <w:left w:val="none" w:sz="0" w:space="0" w:color="auto"/>
        <w:bottom w:val="none" w:sz="0" w:space="0" w:color="auto"/>
        <w:right w:val="none" w:sz="0" w:space="0" w:color="auto"/>
      </w:divBdr>
    </w:div>
    <w:div w:id="119345102">
      <w:bodyDiv w:val="1"/>
      <w:marLeft w:val="0"/>
      <w:marRight w:val="0"/>
      <w:marTop w:val="0"/>
      <w:marBottom w:val="0"/>
      <w:divBdr>
        <w:top w:val="none" w:sz="0" w:space="0" w:color="auto"/>
        <w:left w:val="none" w:sz="0" w:space="0" w:color="auto"/>
        <w:bottom w:val="none" w:sz="0" w:space="0" w:color="auto"/>
        <w:right w:val="none" w:sz="0" w:space="0" w:color="auto"/>
      </w:divBdr>
      <w:divsChild>
        <w:div w:id="2136606190">
          <w:marLeft w:val="0"/>
          <w:marRight w:val="0"/>
          <w:marTop w:val="0"/>
          <w:marBottom w:val="0"/>
          <w:divBdr>
            <w:top w:val="none" w:sz="0" w:space="0" w:color="auto"/>
            <w:left w:val="none" w:sz="0" w:space="0" w:color="auto"/>
            <w:bottom w:val="none" w:sz="0" w:space="0" w:color="auto"/>
            <w:right w:val="none" w:sz="0" w:space="0" w:color="auto"/>
          </w:divBdr>
          <w:divsChild>
            <w:div w:id="828788204">
              <w:marLeft w:val="0"/>
              <w:marRight w:val="0"/>
              <w:marTop w:val="0"/>
              <w:marBottom w:val="225"/>
              <w:divBdr>
                <w:top w:val="none" w:sz="0" w:space="0" w:color="auto"/>
                <w:left w:val="none" w:sz="0" w:space="0" w:color="auto"/>
                <w:bottom w:val="none" w:sz="0" w:space="0" w:color="auto"/>
                <w:right w:val="none" w:sz="0" w:space="0" w:color="auto"/>
              </w:divBdr>
              <w:divsChild>
                <w:div w:id="1813983570">
                  <w:marLeft w:val="0"/>
                  <w:marRight w:val="0"/>
                  <w:marTop w:val="0"/>
                  <w:marBottom w:val="0"/>
                  <w:divBdr>
                    <w:top w:val="none" w:sz="0" w:space="0" w:color="auto"/>
                    <w:left w:val="none" w:sz="0" w:space="0" w:color="auto"/>
                    <w:bottom w:val="none" w:sz="0" w:space="0" w:color="auto"/>
                    <w:right w:val="none" w:sz="0" w:space="0" w:color="auto"/>
                  </w:divBdr>
                  <w:divsChild>
                    <w:div w:id="1159081460">
                      <w:marLeft w:val="0"/>
                      <w:marRight w:val="0"/>
                      <w:marTop w:val="0"/>
                      <w:marBottom w:val="0"/>
                      <w:divBdr>
                        <w:top w:val="none" w:sz="0" w:space="0" w:color="auto"/>
                        <w:left w:val="none" w:sz="0" w:space="0" w:color="auto"/>
                        <w:bottom w:val="none" w:sz="0" w:space="0" w:color="auto"/>
                        <w:right w:val="none" w:sz="0" w:space="0" w:color="auto"/>
                      </w:divBdr>
                      <w:divsChild>
                        <w:div w:id="19746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5484">
      <w:bodyDiv w:val="1"/>
      <w:marLeft w:val="0"/>
      <w:marRight w:val="0"/>
      <w:marTop w:val="0"/>
      <w:marBottom w:val="0"/>
      <w:divBdr>
        <w:top w:val="none" w:sz="0" w:space="0" w:color="auto"/>
        <w:left w:val="none" w:sz="0" w:space="0" w:color="auto"/>
        <w:bottom w:val="none" w:sz="0" w:space="0" w:color="auto"/>
        <w:right w:val="none" w:sz="0" w:space="0" w:color="auto"/>
      </w:divBdr>
    </w:div>
    <w:div w:id="254175826">
      <w:bodyDiv w:val="1"/>
      <w:marLeft w:val="0"/>
      <w:marRight w:val="0"/>
      <w:marTop w:val="0"/>
      <w:marBottom w:val="0"/>
      <w:divBdr>
        <w:top w:val="none" w:sz="0" w:space="0" w:color="auto"/>
        <w:left w:val="none" w:sz="0" w:space="0" w:color="auto"/>
        <w:bottom w:val="none" w:sz="0" w:space="0" w:color="auto"/>
        <w:right w:val="none" w:sz="0" w:space="0" w:color="auto"/>
      </w:divBdr>
    </w:div>
    <w:div w:id="287858770">
      <w:bodyDiv w:val="1"/>
      <w:marLeft w:val="0"/>
      <w:marRight w:val="0"/>
      <w:marTop w:val="0"/>
      <w:marBottom w:val="0"/>
      <w:divBdr>
        <w:top w:val="none" w:sz="0" w:space="0" w:color="auto"/>
        <w:left w:val="none" w:sz="0" w:space="0" w:color="auto"/>
        <w:bottom w:val="none" w:sz="0" w:space="0" w:color="auto"/>
        <w:right w:val="none" w:sz="0" w:space="0" w:color="auto"/>
      </w:divBdr>
    </w:div>
    <w:div w:id="303971741">
      <w:bodyDiv w:val="1"/>
      <w:marLeft w:val="0"/>
      <w:marRight w:val="0"/>
      <w:marTop w:val="0"/>
      <w:marBottom w:val="0"/>
      <w:divBdr>
        <w:top w:val="none" w:sz="0" w:space="0" w:color="auto"/>
        <w:left w:val="none" w:sz="0" w:space="0" w:color="auto"/>
        <w:bottom w:val="none" w:sz="0" w:space="0" w:color="auto"/>
        <w:right w:val="none" w:sz="0" w:space="0" w:color="auto"/>
      </w:divBdr>
    </w:div>
    <w:div w:id="436945818">
      <w:bodyDiv w:val="1"/>
      <w:marLeft w:val="0"/>
      <w:marRight w:val="0"/>
      <w:marTop w:val="0"/>
      <w:marBottom w:val="0"/>
      <w:divBdr>
        <w:top w:val="none" w:sz="0" w:space="0" w:color="auto"/>
        <w:left w:val="none" w:sz="0" w:space="0" w:color="auto"/>
        <w:bottom w:val="none" w:sz="0" w:space="0" w:color="auto"/>
        <w:right w:val="none" w:sz="0" w:space="0" w:color="auto"/>
      </w:divBdr>
    </w:div>
    <w:div w:id="455566967">
      <w:bodyDiv w:val="1"/>
      <w:marLeft w:val="0"/>
      <w:marRight w:val="0"/>
      <w:marTop w:val="0"/>
      <w:marBottom w:val="0"/>
      <w:divBdr>
        <w:top w:val="none" w:sz="0" w:space="0" w:color="auto"/>
        <w:left w:val="none" w:sz="0" w:space="0" w:color="auto"/>
        <w:bottom w:val="none" w:sz="0" w:space="0" w:color="auto"/>
        <w:right w:val="none" w:sz="0" w:space="0" w:color="auto"/>
      </w:divBdr>
    </w:div>
    <w:div w:id="460416320">
      <w:bodyDiv w:val="1"/>
      <w:marLeft w:val="0"/>
      <w:marRight w:val="0"/>
      <w:marTop w:val="0"/>
      <w:marBottom w:val="0"/>
      <w:divBdr>
        <w:top w:val="none" w:sz="0" w:space="0" w:color="auto"/>
        <w:left w:val="none" w:sz="0" w:space="0" w:color="auto"/>
        <w:bottom w:val="none" w:sz="0" w:space="0" w:color="auto"/>
        <w:right w:val="none" w:sz="0" w:space="0" w:color="auto"/>
      </w:divBdr>
    </w:div>
    <w:div w:id="462967462">
      <w:bodyDiv w:val="1"/>
      <w:marLeft w:val="0"/>
      <w:marRight w:val="0"/>
      <w:marTop w:val="0"/>
      <w:marBottom w:val="0"/>
      <w:divBdr>
        <w:top w:val="none" w:sz="0" w:space="0" w:color="auto"/>
        <w:left w:val="none" w:sz="0" w:space="0" w:color="auto"/>
        <w:bottom w:val="none" w:sz="0" w:space="0" w:color="auto"/>
        <w:right w:val="none" w:sz="0" w:space="0" w:color="auto"/>
      </w:divBdr>
    </w:div>
    <w:div w:id="486165995">
      <w:bodyDiv w:val="1"/>
      <w:marLeft w:val="0"/>
      <w:marRight w:val="0"/>
      <w:marTop w:val="0"/>
      <w:marBottom w:val="0"/>
      <w:divBdr>
        <w:top w:val="none" w:sz="0" w:space="0" w:color="auto"/>
        <w:left w:val="none" w:sz="0" w:space="0" w:color="auto"/>
        <w:bottom w:val="none" w:sz="0" w:space="0" w:color="auto"/>
        <w:right w:val="none" w:sz="0" w:space="0" w:color="auto"/>
      </w:divBdr>
      <w:divsChild>
        <w:div w:id="294676454">
          <w:marLeft w:val="547"/>
          <w:marRight w:val="0"/>
          <w:marTop w:val="91"/>
          <w:marBottom w:val="0"/>
          <w:divBdr>
            <w:top w:val="none" w:sz="0" w:space="0" w:color="auto"/>
            <w:left w:val="none" w:sz="0" w:space="0" w:color="auto"/>
            <w:bottom w:val="none" w:sz="0" w:space="0" w:color="auto"/>
            <w:right w:val="none" w:sz="0" w:space="0" w:color="auto"/>
          </w:divBdr>
        </w:div>
        <w:div w:id="327246298">
          <w:marLeft w:val="547"/>
          <w:marRight w:val="0"/>
          <w:marTop w:val="91"/>
          <w:marBottom w:val="0"/>
          <w:divBdr>
            <w:top w:val="none" w:sz="0" w:space="0" w:color="auto"/>
            <w:left w:val="none" w:sz="0" w:space="0" w:color="auto"/>
            <w:bottom w:val="none" w:sz="0" w:space="0" w:color="auto"/>
            <w:right w:val="none" w:sz="0" w:space="0" w:color="auto"/>
          </w:divBdr>
        </w:div>
        <w:div w:id="336468275">
          <w:marLeft w:val="547"/>
          <w:marRight w:val="0"/>
          <w:marTop w:val="91"/>
          <w:marBottom w:val="0"/>
          <w:divBdr>
            <w:top w:val="none" w:sz="0" w:space="0" w:color="auto"/>
            <w:left w:val="none" w:sz="0" w:space="0" w:color="auto"/>
            <w:bottom w:val="none" w:sz="0" w:space="0" w:color="auto"/>
            <w:right w:val="none" w:sz="0" w:space="0" w:color="auto"/>
          </w:divBdr>
        </w:div>
        <w:div w:id="370230939">
          <w:marLeft w:val="547"/>
          <w:marRight w:val="0"/>
          <w:marTop w:val="91"/>
          <w:marBottom w:val="0"/>
          <w:divBdr>
            <w:top w:val="none" w:sz="0" w:space="0" w:color="auto"/>
            <w:left w:val="none" w:sz="0" w:space="0" w:color="auto"/>
            <w:bottom w:val="none" w:sz="0" w:space="0" w:color="auto"/>
            <w:right w:val="none" w:sz="0" w:space="0" w:color="auto"/>
          </w:divBdr>
        </w:div>
        <w:div w:id="859585782">
          <w:marLeft w:val="547"/>
          <w:marRight w:val="0"/>
          <w:marTop w:val="91"/>
          <w:marBottom w:val="0"/>
          <w:divBdr>
            <w:top w:val="none" w:sz="0" w:space="0" w:color="auto"/>
            <w:left w:val="none" w:sz="0" w:space="0" w:color="auto"/>
            <w:bottom w:val="none" w:sz="0" w:space="0" w:color="auto"/>
            <w:right w:val="none" w:sz="0" w:space="0" w:color="auto"/>
          </w:divBdr>
        </w:div>
        <w:div w:id="1184981977">
          <w:marLeft w:val="547"/>
          <w:marRight w:val="0"/>
          <w:marTop w:val="91"/>
          <w:marBottom w:val="0"/>
          <w:divBdr>
            <w:top w:val="none" w:sz="0" w:space="0" w:color="auto"/>
            <w:left w:val="none" w:sz="0" w:space="0" w:color="auto"/>
            <w:bottom w:val="none" w:sz="0" w:space="0" w:color="auto"/>
            <w:right w:val="none" w:sz="0" w:space="0" w:color="auto"/>
          </w:divBdr>
        </w:div>
        <w:div w:id="1189220451">
          <w:marLeft w:val="547"/>
          <w:marRight w:val="0"/>
          <w:marTop w:val="91"/>
          <w:marBottom w:val="0"/>
          <w:divBdr>
            <w:top w:val="none" w:sz="0" w:space="0" w:color="auto"/>
            <w:left w:val="none" w:sz="0" w:space="0" w:color="auto"/>
            <w:bottom w:val="none" w:sz="0" w:space="0" w:color="auto"/>
            <w:right w:val="none" w:sz="0" w:space="0" w:color="auto"/>
          </w:divBdr>
        </w:div>
        <w:div w:id="1661733786">
          <w:marLeft w:val="547"/>
          <w:marRight w:val="0"/>
          <w:marTop w:val="91"/>
          <w:marBottom w:val="0"/>
          <w:divBdr>
            <w:top w:val="none" w:sz="0" w:space="0" w:color="auto"/>
            <w:left w:val="none" w:sz="0" w:space="0" w:color="auto"/>
            <w:bottom w:val="none" w:sz="0" w:space="0" w:color="auto"/>
            <w:right w:val="none" w:sz="0" w:space="0" w:color="auto"/>
          </w:divBdr>
        </w:div>
        <w:div w:id="1914578627">
          <w:marLeft w:val="547"/>
          <w:marRight w:val="0"/>
          <w:marTop w:val="91"/>
          <w:marBottom w:val="0"/>
          <w:divBdr>
            <w:top w:val="none" w:sz="0" w:space="0" w:color="auto"/>
            <w:left w:val="none" w:sz="0" w:space="0" w:color="auto"/>
            <w:bottom w:val="none" w:sz="0" w:space="0" w:color="auto"/>
            <w:right w:val="none" w:sz="0" w:space="0" w:color="auto"/>
          </w:divBdr>
        </w:div>
        <w:div w:id="2043288470">
          <w:marLeft w:val="547"/>
          <w:marRight w:val="0"/>
          <w:marTop w:val="91"/>
          <w:marBottom w:val="0"/>
          <w:divBdr>
            <w:top w:val="none" w:sz="0" w:space="0" w:color="auto"/>
            <w:left w:val="none" w:sz="0" w:space="0" w:color="auto"/>
            <w:bottom w:val="none" w:sz="0" w:space="0" w:color="auto"/>
            <w:right w:val="none" w:sz="0" w:space="0" w:color="auto"/>
          </w:divBdr>
        </w:div>
        <w:div w:id="2045909174">
          <w:marLeft w:val="547"/>
          <w:marRight w:val="0"/>
          <w:marTop w:val="91"/>
          <w:marBottom w:val="0"/>
          <w:divBdr>
            <w:top w:val="none" w:sz="0" w:space="0" w:color="auto"/>
            <w:left w:val="none" w:sz="0" w:space="0" w:color="auto"/>
            <w:bottom w:val="none" w:sz="0" w:space="0" w:color="auto"/>
            <w:right w:val="none" w:sz="0" w:space="0" w:color="auto"/>
          </w:divBdr>
        </w:div>
      </w:divsChild>
    </w:div>
    <w:div w:id="504172975">
      <w:bodyDiv w:val="1"/>
      <w:marLeft w:val="0"/>
      <w:marRight w:val="0"/>
      <w:marTop w:val="0"/>
      <w:marBottom w:val="0"/>
      <w:divBdr>
        <w:top w:val="none" w:sz="0" w:space="0" w:color="auto"/>
        <w:left w:val="none" w:sz="0" w:space="0" w:color="auto"/>
        <w:bottom w:val="none" w:sz="0" w:space="0" w:color="auto"/>
        <w:right w:val="none" w:sz="0" w:space="0" w:color="auto"/>
      </w:divBdr>
    </w:div>
    <w:div w:id="560603508">
      <w:bodyDiv w:val="1"/>
      <w:marLeft w:val="0"/>
      <w:marRight w:val="0"/>
      <w:marTop w:val="0"/>
      <w:marBottom w:val="0"/>
      <w:divBdr>
        <w:top w:val="none" w:sz="0" w:space="0" w:color="auto"/>
        <w:left w:val="none" w:sz="0" w:space="0" w:color="auto"/>
        <w:bottom w:val="none" w:sz="0" w:space="0" w:color="auto"/>
        <w:right w:val="none" w:sz="0" w:space="0" w:color="auto"/>
      </w:divBdr>
    </w:div>
    <w:div w:id="573124304">
      <w:bodyDiv w:val="1"/>
      <w:marLeft w:val="0"/>
      <w:marRight w:val="0"/>
      <w:marTop w:val="0"/>
      <w:marBottom w:val="0"/>
      <w:divBdr>
        <w:top w:val="none" w:sz="0" w:space="0" w:color="auto"/>
        <w:left w:val="none" w:sz="0" w:space="0" w:color="auto"/>
        <w:bottom w:val="none" w:sz="0" w:space="0" w:color="auto"/>
        <w:right w:val="none" w:sz="0" w:space="0" w:color="auto"/>
      </w:divBdr>
    </w:div>
    <w:div w:id="614751384">
      <w:bodyDiv w:val="1"/>
      <w:marLeft w:val="0"/>
      <w:marRight w:val="0"/>
      <w:marTop w:val="0"/>
      <w:marBottom w:val="0"/>
      <w:divBdr>
        <w:top w:val="none" w:sz="0" w:space="0" w:color="auto"/>
        <w:left w:val="none" w:sz="0" w:space="0" w:color="auto"/>
        <w:bottom w:val="none" w:sz="0" w:space="0" w:color="auto"/>
        <w:right w:val="none" w:sz="0" w:space="0" w:color="auto"/>
      </w:divBdr>
    </w:div>
    <w:div w:id="620772720">
      <w:bodyDiv w:val="1"/>
      <w:marLeft w:val="0"/>
      <w:marRight w:val="0"/>
      <w:marTop w:val="0"/>
      <w:marBottom w:val="0"/>
      <w:divBdr>
        <w:top w:val="none" w:sz="0" w:space="0" w:color="auto"/>
        <w:left w:val="none" w:sz="0" w:space="0" w:color="auto"/>
        <w:bottom w:val="none" w:sz="0" w:space="0" w:color="auto"/>
        <w:right w:val="none" w:sz="0" w:space="0" w:color="auto"/>
      </w:divBdr>
    </w:div>
    <w:div w:id="687365109">
      <w:bodyDiv w:val="1"/>
      <w:marLeft w:val="0"/>
      <w:marRight w:val="0"/>
      <w:marTop w:val="0"/>
      <w:marBottom w:val="0"/>
      <w:divBdr>
        <w:top w:val="none" w:sz="0" w:space="0" w:color="auto"/>
        <w:left w:val="none" w:sz="0" w:space="0" w:color="auto"/>
        <w:bottom w:val="none" w:sz="0" w:space="0" w:color="auto"/>
        <w:right w:val="none" w:sz="0" w:space="0" w:color="auto"/>
      </w:divBdr>
      <w:divsChild>
        <w:div w:id="1438670278">
          <w:marLeft w:val="0"/>
          <w:marRight w:val="0"/>
          <w:marTop w:val="0"/>
          <w:marBottom w:val="0"/>
          <w:divBdr>
            <w:top w:val="none" w:sz="0" w:space="0" w:color="auto"/>
            <w:left w:val="none" w:sz="0" w:space="0" w:color="auto"/>
            <w:bottom w:val="none" w:sz="0" w:space="0" w:color="auto"/>
            <w:right w:val="none" w:sz="0" w:space="0" w:color="auto"/>
          </w:divBdr>
          <w:divsChild>
            <w:div w:id="600140733">
              <w:marLeft w:val="0"/>
              <w:marRight w:val="0"/>
              <w:marTop w:val="0"/>
              <w:marBottom w:val="0"/>
              <w:divBdr>
                <w:top w:val="none" w:sz="0" w:space="0" w:color="auto"/>
                <w:left w:val="none" w:sz="0" w:space="0" w:color="auto"/>
                <w:bottom w:val="none" w:sz="0" w:space="0" w:color="auto"/>
                <w:right w:val="none" w:sz="0" w:space="0" w:color="auto"/>
              </w:divBdr>
              <w:divsChild>
                <w:div w:id="1698971246">
                  <w:marLeft w:val="0"/>
                  <w:marRight w:val="0"/>
                  <w:marTop w:val="0"/>
                  <w:marBottom w:val="300"/>
                  <w:divBdr>
                    <w:top w:val="none" w:sz="0" w:space="0" w:color="auto"/>
                    <w:left w:val="none" w:sz="0" w:space="0" w:color="auto"/>
                    <w:bottom w:val="none" w:sz="0" w:space="0" w:color="auto"/>
                    <w:right w:val="none" w:sz="0" w:space="0" w:color="auto"/>
                  </w:divBdr>
                  <w:divsChild>
                    <w:div w:id="583732060">
                      <w:marLeft w:val="0"/>
                      <w:marRight w:val="300"/>
                      <w:marTop w:val="0"/>
                      <w:marBottom w:val="0"/>
                      <w:divBdr>
                        <w:top w:val="none" w:sz="0" w:space="0" w:color="auto"/>
                        <w:left w:val="none" w:sz="0" w:space="0" w:color="auto"/>
                        <w:bottom w:val="none" w:sz="0" w:space="0" w:color="auto"/>
                        <w:right w:val="none" w:sz="0" w:space="0" w:color="auto"/>
                      </w:divBdr>
                      <w:divsChild>
                        <w:div w:id="5227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65825">
      <w:bodyDiv w:val="1"/>
      <w:marLeft w:val="0"/>
      <w:marRight w:val="0"/>
      <w:marTop w:val="0"/>
      <w:marBottom w:val="0"/>
      <w:divBdr>
        <w:top w:val="none" w:sz="0" w:space="0" w:color="auto"/>
        <w:left w:val="none" w:sz="0" w:space="0" w:color="auto"/>
        <w:bottom w:val="none" w:sz="0" w:space="0" w:color="auto"/>
        <w:right w:val="none" w:sz="0" w:space="0" w:color="auto"/>
      </w:divBdr>
    </w:div>
    <w:div w:id="786433019">
      <w:bodyDiv w:val="1"/>
      <w:marLeft w:val="0"/>
      <w:marRight w:val="0"/>
      <w:marTop w:val="0"/>
      <w:marBottom w:val="0"/>
      <w:divBdr>
        <w:top w:val="none" w:sz="0" w:space="0" w:color="auto"/>
        <w:left w:val="none" w:sz="0" w:space="0" w:color="auto"/>
        <w:bottom w:val="none" w:sz="0" w:space="0" w:color="auto"/>
        <w:right w:val="none" w:sz="0" w:space="0" w:color="auto"/>
      </w:divBdr>
    </w:div>
    <w:div w:id="796533818">
      <w:bodyDiv w:val="1"/>
      <w:marLeft w:val="0"/>
      <w:marRight w:val="0"/>
      <w:marTop w:val="0"/>
      <w:marBottom w:val="0"/>
      <w:divBdr>
        <w:top w:val="none" w:sz="0" w:space="0" w:color="auto"/>
        <w:left w:val="none" w:sz="0" w:space="0" w:color="auto"/>
        <w:bottom w:val="none" w:sz="0" w:space="0" w:color="auto"/>
        <w:right w:val="none" w:sz="0" w:space="0" w:color="auto"/>
      </w:divBdr>
    </w:div>
    <w:div w:id="799032352">
      <w:bodyDiv w:val="1"/>
      <w:marLeft w:val="0"/>
      <w:marRight w:val="0"/>
      <w:marTop w:val="0"/>
      <w:marBottom w:val="0"/>
      <w:divBdr>
        <w:top w:val="none" w:sz="0" w:space="0" w:color="auto"/>
        <w:left w:val="none" w:sz="0" w:space="0" w:color="auto"/>
        <w:bottom w:val="none" w:sz="0" w:space="0" w:color="auto"/>
        <w:right w:val="none" w:sz="0" w:space="0" w:color="auto"/>
      </w:divBdr>
    </w:div>
    <w:div w:id="823081788">
      <w:bodyDiv w:val="1"/>
      <w:marLeft w:val="0"/>
      <w:marRight w:val="0"/>
      <w:marTop w:val="0"/>
      <w:marBottom w:val="0"/>
      <w:divBdr>
        <w:top w:val="none" w:sz="0" w:space="0" w:color="auto"/>
        <w:left w:val="none" w:sz="0" w:space="0" w:color="auto"/>
        <w:bottom w:val="none" w:sz="0" w:space="0" w:color="auto"/>
        <w:right w:val="none" w:sz="0" w:space="0" w:color="auto"/>
      </w:divBdr>
      <w:divsChild>
        <w:div w:id="748582478">
          <w:marLeft w:val="547"/>
          <w:marRight w:val="0"/>
          <w:marTop w:val="86"/>
          <w:marBottom w:val="0"/>
          <w:divBdr>
            <w:top w:val="none" w:sz="0" w:space="0" w:color="auto"/>
            <w:left w:val="none" w:sz="0" w:space="0" w:color="auto"/>
            <w:bottom w:val="none" w:sz="0" w:space="0" w:color="auto"/>
            <w:right w:val="none" w:sz="0" w:space="0" w:color="auto"/>
          </w:divBdr>
        </w:div>
        <w:div w:id="916552323">
          <w:marLeft w:val="547"/>
          <w:marRight w:val="0"/>
          <w:marTop w:val="86"/>
          <w:marBottom w:val="0"/>
          <w:divBdr>
            <w:top w:val="none" w:sz="0" w:space="0" w:color="auto"/>
            <w:left w:val="none" w:sz="0" w:space="0" w:color="auto"/>
            <w:bottom w:val="none" w:sz="0" w:space="0" w:color="auto"/>
            <w:right w:val="none" w:sz="0" w:space="0" w:color="auto"/>
          </w:divBdr>
        </w:div>
      </w:divsChild>
    </w:div>
    <w:div w:id="828785613">
      <w:bodyDiv w:val="1"/>
      <w:marLeft w:val="0"/>
      <w:marRight w:val="0"/>
      <w:marTop w:val="0"/>
      <w:marBottom w:val="0"/>
      <w:divBdr>
        <w:top w:val="none" w:sz="0" w:space="0" w:color="auto"/>
        <w:left w:val="none" w:sz="0" w:space="0" w:color="auto"/>
        <w:bottom w:val="none" w:sz="0" w:space="0" w:color="auto"/>
        <w:right w:val="none" w:sz="0" w:space="0" w:color="auto"/>
      </w:divBdr>
    </w:div>
    <w:div w:id="832451690">
      <w:bodyDiv w:val="1"/>
      <w:marLeft w:val="0"/>
      <w:marRight w:val="0"/>
      <w:marTop w:val="0"/>
      <w:marBottom w:val="0"/>
      <w:divBdr>
        <w:top w:val="none" w:sz="0" w:space="0" w:color="auto"/>
        <w:left w:val="none" w:sz="0" w:space="0" w:color="auto"/>
        <w:bottom w:val="none" w:sz="0" w:space="0" w:color="auto"/>
        <w:right w:val="none" w:sz="0" w:space="0" w:color="auto"/>
      </w:divBdr>
    </w:div>
    <w:div w:id="915435223">
      <w:bodyDiv w:val="1"/>
      <w:marLeft w:val="0"/>
      <w:marRight w:val="0"/>
      <w:marTop w:val="0"/>
      <w:marBottom w:val="0"/>
      <w:divBdr>
        <w:top w:val="none" w:sz="0" w:space="0" w:color="auto"/>
        <w:left w:val="none" w:sz="0" w:space="0" w:color="auto"/>
        <w:bottom w:val="none" w:sz="0" w:space="0" w:color="auto"/>
        <w:right w:val="none" w:sz="0" w:space="0" w:color="auto"/>
      </w:divBdr>
      <w:divsChild>
        <w:div w:id="98569725">
          <w:marLeft w:val="547"/>
          <w:marRight w:val="0"/>
          <w:marTop w:val="106"/>
          <w:marBottom w:val="0"/>
          <w:divBdr>
            <w:top w:val="none" w:sz="0" w:space="0" w:color="auto"/>
            <w:left w:val="none" w:sz="0" w:space="0" w:color="auto"/>
            <w:bottom w:val="none" w:sz="0" w:space="0" w:color="auto"/>
            <w:right w:val="none" w:sz="0" w:space="0" w:color="auto"/>
          </w:divBdr>
        </w:div>
        <w:div w:id="178156588">
          <w:marLeft w:val="1166"/>
          <w:marRight w:val="0"/>
          <w:marTop w:val="96"/>
          <w:marBottom w:val="0"/>
          <w:divBdr>
            <w:top w:val="none" w:sz="0" w:space="0" w:color="auto"/>
            <w:left w:val="none" w:sz="0" w:space="0" w:color="auto"/>
            <w:bottom w:val="none" w:sz="0" w:space="0" w:color="auto"/>
            <w:right w:val="none" w:sz="0" w:space="0" w:color="auto"/>
          </w:divBdr>
        </w:div>
        <w:div w:id="489710685">
          <w:marLeft w:val="1166"/>
          <w:marRight w:val="0"/>
          <w:marTop w:val="96"/>
          <w:marBottom w:val="0"/>
          <w:divBdr>
            <w:top w:val="none" w:sz="0" w:space="0" w:color="auto"/>
            <w:left w:val="none" w:sz="0" w:space="0" w:color="auto"/>
            <w:bottom w:val="none" w:sz="0" w:space="0" w:color="auto"/>
            <w:right w:val="none" w:sz="0" w:space="0" w:color="auto"/>
          </w:divBdr>
        </w:div>
        <w:div w:id="985548436">
          <w:marLeft w:val="1166"/>
          <w:marRight w:val="0"/>
          <w:marTop w:val="96"/>
          <w:marBottom w:val="0"/>
          <w:divBdr>
            <w:top w:val="none" w:sz="0" w:space="0" w:color="auto"/>
            <w:left w:val="none" w:sz="0" w:space="0" w:color="auto"/>
            <w:bottom w:val="none" w:sz="0" w:space="0" w:color="auto"/>
            <w:right w:val="none" w:sz="0" w:space="0" w:color="auto"/>
          </w:divBdr>
        </w:div>
        <w:div w:id="1226604237">
          <w:marLeft w:val="1166"/>
          <w:marRight w:val="0"/>
          <w:marTop w:val="96"/>
          <w:marBottom w:val="0"/>
          <w:divBdr>
            <w:top w:val="none" w:sz="0" w:space="0" w:color="auto"/>
            <w:left w:val="none" w:sz="0" w:space="0" w:color="auto"/>
            <w:bottom w:val="none" w:sz="0" w:space="0" w:color="auto"/>
            <w:right w:val="none" w:sz="0" w:space="0" w:color="auto"/>
          </w:divBdr>
        </w:div>
        <w:div w:id="1555695071">
          <w:marLeft w:val="547"/>
          <w:marRight w:val="0"/>
          <w:marTop w:val="106"/>
          <w:marBottom w:val="0"/>
          <w:divBdr>
            <w:top w:val="none" w:sz="0" w:space="0" w:color="auto"/>
            <w:left w:val="none" w:sz="0" w:space="0" w:color="auto"/>
            <w:bottom w:val="none" w:sz="0" w:space="0" w:color="auto"/>
            <w:right w:val="none" w:sz="0" w:space="0" w:color="auto"/>
          </w:divBdr>
        </w:div>
        <w:div w:id="1990163771">
          <w:marLeft w:val="1166"/>
          <w:marRight w:val="0"/>
          <w:marTop w:val="96"/>
          <w:marBottom w:val="0"/>
          <w:divBdr>
            <w:top w:val="none" w:sz="0" w:space="0" w:color="auto"/>
            <w:left w:val="none" w:sz="0" w:space="0" w:color="auto"/>
            <w:bottom w:val="none" w:sz="0" w:space="0" w:color="auto"/>
            <w:right w:val="none" w:sz="0" w:space="0" w:color="auto"/>
          </w:divBdr>
        </w:div>
        <w:div w:id="1999729776">
          <w:marLeft w:val="1166"/>
          <w:marRight w:val="0"/>
          <w:marTop w:val="96"/>
          <w:marBottom w:val="0"/>
          <w:divBdr>
            <w:top w:val="none" w:sz="0" w:space="0" w:color="auto"/>
            <w:left w:val="none" w:sz="0" w:space="0" w:color="auto"/>
            <w:bottom w:val="none" w:sz="0" w:space="0" w:color="auto"/>
            <w:right w:val="none" w:sz="0" w:space="0" w:color="auto"/>
          </w:divBdr>
        </w:div>
      </w:divsChild>
    </w:div>
    <w:div w:id="943221532">
      <w:bodyDiv w:val="1"/>
      <w:marLeft w:val="0"/>
      <w:marRight w:val="0"/>
      <w:marTop w:val="0"/>
      <w:marBottom w:val="0"/>
      <w:divBdr>
        <w:top w:val="none" w:sz="0" w:space="0" w:color="auto"/>
        <w:left w:val="none" w:sz="0" w:space="0" w:color="auto"/>
        <w:bottom w:val="none" w:sz="0" w:space="0" w:color="auto"/>
        <w:right w:val="none" w:sz="0" w:space="0" w:color="auto"/>
      </w:divBdr>
      <w:divsChild>
        <w:div w:id="580873177">
          <w:marLeft w:val="547"/>
          <w:marRight w:val="0"/>
          <w:marTop w:val="115"/>
          <w:marBottom w:val="0"/>
          <w:divBdr>
            <w:top w:val="none" w:sz="0" w:space="0" w:color="auto"/>
            <w:left w:val="none" w:sz="0" w:space="0" w:color="auto"/>
            <w:bottom w:val="none" w:sz="0" w:space="0" w:color="auto"/>
            <w:right w:val="none" w:sz="0" w:space="0" w:color="auto"/>
          </w:divBdr>
        </w:div>
        <w:div w:id="1650943108">
          <w:marLeft w:val="547"/>
          <w:marRight w:val="0"/>
          <w:marTop w:val="115"/>
          <w:marBottom w:val="0"/>
          <w:divBdr>
            <w:top w:val="none" w:sz="0" w:space="0" w:color="auto"/>
            <w:left w:val="none" w:sz="0" w:space="0" w:color="auto"/>
            <w:bottom w:val="none" w:sz="0" w:space="0" w:color="auto"/>
            <w:right w:val="none" w:sz="0" w:space="0" w:color="auto"/>
          </w:divBdr>
        </w:div>
        <w:div w:id="1748457112">
          <w:marLeft w:val="547"/>
          <w:marRight w:val="0"/>
          <w:marTop w:val="115"/>
          <w:marBottom w:val="0"/>
          <w:divBdr>
            <w:top w:val="none" w:sz="0" w:space="0" w:color="auto"/>
            <w:left w:val="none" w:sz="0" w:space="0" w:color="auto"/>
            <w:bottom w:val="none" w:sz="0" w:space="0" w:color="auto"/>
            <w:right w:val="none" w:sz="0" w:space="0" w:color="auto"/>
          </w:divBdr>
        </w:div>
      </w:divsChild>
    </w:div>
    <w:div w:id="944271481">
      <w:bodyDiv w:val="1"/>
      <w:marLeft w:val="0"/>
      <w:marRight w:val="0"/>
      <w:marTop w:val="0"/>
      <w:marBottom w:val="0"/>
      <w:divBdr>
        <w:top w:val="none" w:sz="0" w:space="0" w:color="auto"/>
        <w:left w:val="none" w:sz="0" w:space="0" w:color="auto"/>
        <w:bottom w:val="none" w:sz="0" w:space="0" w:color="auto"/>
        <w:right w:val="none" w:sz="0" w:space="0" w:color="auto"/>
      </w:divBdr>
    </w:div>
    <w:div w:id="957874942">
      <w:bodyDiv w:val="1"/>
      <w:marLeft w:val="0"/>
      <w:marRight w:val="0"/>
      <w:marTop w:val="0"/>
      <w:marBottom w:val="0"/>
      <w:divBdr>
        <w:top w:val="none" w:sz="0" w:space="0" w:color="auto"/>
        <w:left w:val="none" w:sz="0" w:space="0" w:color="auto"/>
        <w:bottom w:val="none" w:sz="0" w:space="0" w:color="auto"/>
        <w:right w:val="none" w:sz="0" w:space="0" w:color="auto"/>
      </w:divBdr>
    </w:div>
    <w:div w:id="979919008">
      <w:bodyDiv w:val="1"/>
      <w:marLeft w:val="0"/>
      <w:marRight w:val="0"/>
      <w:marTop w:val="0"/>
      <w:marBottom w:val="0"/>
      <w:divBdr>
        <w:top w:val="none" w:sz="0" w:space="0" w:color="auto"/>
        <w:left w:val="none" w:sz="0" w:space="0" w:color="auto"/>
        <w:bottom w:val="none" w:sz="0" w:space="0" w:color="auto"/>
        <w:right w:val="none" w:sz="0" w:space="0" w:color="auto"/>
      </w:divBdr>
    </w:div>
    <w:div w:id="986667882">
      <w:bodyDiv w:val="1"/>
      <w:marLeft w:val="0"/>
      <w:marRight w:val="0"/>
      <w:marTop w:val="0"/>
      <w:marBottom w:val="0"/>
      <w:divBdr>
        <w:top w:val="none" w:sz="0" w:space="0" w:color="auto"/>
        <w:left w:val="none" w:sz="0" w:space="0" w:color="auto"/>
        <w:bottom w:val="none" w:sz="0" w:space="0" w:color="auto"/>
        <w:right w:val="none" w:sz="0" w:space="0" w:color="auto"/>
      </w:divBdr>
      <w:divsChild>
        <w:div w:id="146484455">
          <w:marLeft w:val="547"/>
          <w:marRight w:val="0"/>
          <w:marTop w:val="86"/>
          <w:marBottom w:val="0"/>
          <w:divBdr>
            <w:top w:val="none" w:sz="0" w:space="0" w:color="auto"/>
            <w:left w:val="none" w:sz="0" w:space="0" w:color="auto"/>
            <w:bottom w:val="none" w:sz="0" w:space="0" w:color="auto"/>
            <w:right w:val="none" w:sz="0" w:space="0" w:color="auto"/>
          </w:divBdr>
        </w:div>
      </w:divsChild>
    </w:div>
    <w:div w:id="1028722936">
      <w:bodyDiv w:val="1"/>
      <w:marLeft w:val="0"/>
      <w:marRight w:val="0"/>
      <w:marTop w:val="0"/>
      <w:marBottom w:val="0"/>
      <w:divBdr>
        <w:top w:val="none" w:sz="0" w:space="0" w:color="auto"/>
        <w:left w:val="none" w:sz="0" w:space="0" w:color="auto"/>
        <w:bottom w:val="none" w:sz="0" w:space="0" w:color="auto"/>
        <w:right w:val="none" w:sz="0" w:space="0" w:color="auto"/>
      </w:divBdr>
      <w:divsChild>
        <w:div w:id="121075537">
          <w:marLeft w:val="547"/>
          <w:marRight w:val="0"/>
          <w:marTop w:val="96"/>
          <w:marBottom w:val="0"/>
          <w:divBdr>
            <w:top w:val="none" w:sz="0" w:space="0" w:color="auto"/>
            <w:left w:val="none" w:sz="0" w:space="0" w:color="auto"/>
            <w:bottom w:val="none" w:sz="0" w:space="0" w:color="auto"/>
            <w:right w:val="none" w:sz="0" w:space="0" w:color="auto"/>
          </w:divBdr>
        </w:div>
        <w:div w:id="130946406">
          <w:marLeft w:val="1166"/>
          <w:marRight w:val="0"/>
          <w:marTop w:val="91"/>
          <w:marBottom w:val="0"/>
          <w:divBdr>
            <w:top w:val="none" w:sz="0" w:space="0" w:color="auto"/>
            <w:left w:val="none" w:sz="0" w:space="0" w:color="auto"/>
            <w:bottom w:val="none" w:sz="0" w:space="0" w:color="auto"/>
            <w:right w:val="none" w:sz="0" w:space="0" w:color="auto"/>
          </w:divBdr>
        </w:div>
        <w:div w:id="607468270">
          <w:marLeft w:val="547"/>
          <w:marRight w:val="0"/>
          <w:marTop w:val="96"/>
          <w:marBottom w:val="0"/>
          <w:divBdr>
            <w:top w:val="none" w:sz="0" w:space="0" w:color="auto"/>
            <w:left w:val="none" w:sz="0" w:space="0" w:color="auto"/>
            <w:bottom w:val="none" w:sz="0" w:space="0" w:color="auto"/>
            <w:right w:val="none" w:sz="0" w:space="0" w:color="auto"/>
          </w:divBdr>
        </w:div>
        <w:div w:id="872225899">
          <w:marLeft w:val="547"/>
          <w:marRight w:val="0"/>
          <w:marTop w:val="96"/>
          <w:marBottom w:val="0"/>
          <w:divBdr>
            <w:top w:val="none" w:sz="0" w:space="0" w:color="auto"/>
            <w:left w:val="none" w:sz="0" w:space="0" w:color="auto"/>
            <w:bottom w:val="none" w:sz="0" w:space="0" w:color="auto"/>
            <w:right w:val="none" w:sz="0" w:space="0" w:color="auto"/>
          </w:divBdr>
        </w:div>
        <w:div w:id="880164861">
          <w:marLeft w:val="1166"/>
          <w:marRight w:val="0"/>
          <w:marTop w:val="91"/>
          <w:marBottom w:val="0"/>
          <w:divBdr>
            <w:top w:val="none" w:sz="0" w:space="0" w:color="auto"/>
            <w:left w:val="none" w:sz="0" w:space="0" w:color="auto"/>
            <w:bottom w:val="none" w:sz="0" w:space="0" w:color="auto"/>
            <w:right w:val="none" w:sz="0" w:space="0" w:color="auto"/>
          </w:divBdr>
        </w:div>
        <w:div w:id="1192651555">
          <w:marLeft w:val="1166"/>
          <w:marRight w:val="0"/>
          <w:marTop w:val="91"/>
          <w:marBottom w:val="0"/>
          <w:divBdr>
            <w:top w:val="none" w:sz="0" w:space="0" w:color="auto"/>
            <w:left w:val="none" w:sz="0" w:space="0" w:color="auto"/>
            <w:bottom w:val="none" w:sz="0" w:space="0" w:color="auto"/>
            <w:right w:val="none" w:sz="0" w:space="0" w:color="auto"/>
          </w:divBdr>
        </w:div>
        <w:div w:id="1195533058">
          <w:marLeft w:val="1166"/>
          <w:marRight w:val="0"/>
          <w:marTop w:val="91"/>
          <w:marBottom w:val="0"/>
          <w:divBdr>
            <w:top w:val="none" w:sz="0" w:space="0" w:color="auto"/>
            <w:left w:val="none" w:sz="0" w:space="0" w:color="auto"/>
            <w:bottom w:val="none" w:sz="0" w:space="0" w:color="auto"/>
            <w:right w:val="none" w:sz="0" w:space="0" w:color="auto"/>
          </w:divBdr>
        </w:div>
        <w:div w:id="1432428473">
          <w:marLeft w:val="547"/>
          <w:marRight w:val="0"/>
          <w:marTop w:val="96"/>
          <w:marBottom w:val="0"/>
          <w:divBdr>
            <w:top w:val="none" w:sz="0" w:space="0" w:color="auto"/>
            <w:left w:val="none" w:sz="0" w:space="0" w:color="auto"/>
            <w:bottom w:val="none" w:sz="0" w:space="0" w:color="auto"/>
            <w:right w:val="none" w:sz="0" w:space="0" w:color="auto"/>
          </w:divBdr>
        </w:div>
        <w:div w:id="1902015240">
          <w:marLeft w:val="1166"/>
          <w:marRight w:val="0"/>
          <w:marTop w:val="91"/>
          <w:marBottom w:val="0"/>
          <w:divBdr>
            <w:top w:val="none" w:sz="0" w:space="0" w:color="auto"/>
            <w:left w:val="none" w:sz="0" w:space="0" w:color="auto"/>
            <w:bottom w:val="none" w:sz="0" w:space="0" w:color="auto"/>
            <w:right w:val="none" w:sz="0" w:space="0" w:color="auto"/>
          </w:divBdr>
        </w:div>
        <w:div w:id="2133203673">
          <w:marLeft w:val="547"/>
          <w:marRight w:val="0"/>
          <w:marTop w:val="96"/>
          <w:marBottom w:val="0"/>
          <w:divBdr>
            <w:top w:val="none" w:sz="0" w:space="0" w:color="auto"/>
            <w:left w:val="none" w:sz="0" w:space="0" w:color="auto"/>
            <w:bottom w:val="none" w:sz="0" w:space="0" w:color="auto"/>
            <w:right w:val="none" w:sz="0" w:space="0" w:color="auto"/>
          </w:divBdr>
        </w:div>
      </w:divsChild>
    </w:div>
    <w:div w:id="1030036676">
      <w:bodyDiv w:val="1"/>
      <w:marLeft w:val="0"/>
      <w:marRight w:val="0"/>
      <w:marTop w:val="0"/>
      <w:marBottom w:val="0"/>
      <w:divBdr>
        <w:top w:val="none" w:sz="0" w:space="0" w:color="auto"/>
        <w:left w:val="none" w:sz="0" w:space="0" w:color="auto"/>
        <w:bottom w:val="none" w:sz="0" w:space="0" w:color="auto"/>
        <w:right w:val="none" w:sz="0" w:space="0" w:color="auto"/>
      </w:divBdr>
      <w:divsChild>
        <w:div w:id="1509907199">
          <w:marLeft w:val="0"/>
          <w:marRight w:val="0"/>
          <w:marTop w:val="0"/>
          <w:marBottom w:val="0"/>
          <w:divBdr>
            <w:top w:val="none" w:sz="0" w:space="0" w:color="auto"/>
            <w:left w:val="none" w:sz="0" w:space="0" w:color="auto"/>
            <w:bottom w:val="none" w:sz="0" w:space="0" w:color="auto"/>
            <w:right w:val="none" w:sz="0" w:space="0" w:color="auto"/>
          </w:divBdr>
          <w:divsChild>
            <w:div w:id="893547537">
              <w:marLeft w:val="0"/>
              <w:marRight w:val="0"/>
              <w:marTop w:val="0"/>
              <w:marBottom w:val="0"/>
              <w:divBdr>
                <w:top w:val="none" w:sz="0" w:space="0" w:color="auto"/>
                <w:left w:val="none" w:sz="0" w:space="0" w:color="auto"/>
                <w:bottom w:val="none" w:sz="0" w:space="0" w:color="auto"/>
                <w:right w:val="none" w:sz="0" w:space="0" w:color="auto"/>
              </w:divBdr>
              <w:divsChild>
                <w:div w:id="2014257482">
                  <w:marLeft w:val="0"/>
                  <w:marRight w:val="0"/>
                  <w:marTop w:val="0"/>
                  <w:marBottom w:val="0"/>
                  <w:divBdr>
                    <w:top w:val="none" w:sz="0" w:space="0" w:color="auto"/>
                    <w:left w:val="none" w:sz="0" w:space="0" w:color="auto"/>
                    <w:bottom w:val="none" w:sz="0" w:space="0" w:color="auto"/>
                    <w:right w:val="none" w:sz="0" w:space="0" w:color="auto"/>
                  </w:divBdr>
                  <w:divsChild>
                    <w:div w:id="636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30491">
          <w:marLeft w:val="0"/>
          <w:marRight w:val="0"/>
          <w:marTop w:val="0"/>
          <w:marBottom w:val="0"/>
          <w:divBdr>
            <w:top w:val="none" w:sz="0" w:space="0" w:color="auto"/>
            <w:left w:val="none" w:sz="0" w:space="0" w:color="auto"/>
            <w:bottom w:val="none" w:sz="0" w:space="0" w:color="auto"/>
            <w:right w:val="none" w:sz="0" w:space="0" w:color="auto"/>
          </w:divBdr>
          <w:divsChild>
            <w:div w:id="1473402256">
              <w:marLeft w:val="0"/>
              <w:marRight w:val="0"/>
              <w:marTop w:val="0"/>
              <w:marBottom w:val="0"/>
              <w:divBdr>
                <w:top w:val="none" w:sz="0" w:space="0" w:color="auto"/>
                <w:left w:val="none" w:sz="0" w:space="0" w:color="auto"/>
                <w:bottom w:val="none" w:sz="0" w:space="0" w:color="auto"/>
                <w:right w:val="none" w:sz="0" w:space="0" w:color="auto"/>
              </w:divBdr>
              <w:divsChild>
                <w:div w:id="1211185695">
                  <w:marLeft w:val="0"/>
                  <w:marRight w:val="0"/>
                  <w:marTop w:val="0"/>
                  <w:marBottom w:val="0"/>
                  <w:divBdr>
                    <w:top w:val="none" w:sz="0" w:space="0" w:color="auto"/>
                    <w:left w:val="none" w:sz="0" w:space="0" w:color="auto"/>
                    <w:bottom w:val="none" w:sz="0" w:space="0" w:color="auto"/>
                    <w:right w:val="none" w:sz="0" w:space="0" w:color="auto"/>
                  </w:divBdr>
                  <w:divsChild>
                    <w:div w:id="3974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5898">
      <w:bodyDiv w:val="1"/>
      <w:marLeft w:val="0"/>
      <w:marRight w:val="0"/>
      <w:marTop w:val="0"/>
      <w:marBottom w:val="0"/>
      <w:divBdr>
        <w:top w:val="none" w:sz="0" w:space="0" w:color="auto"/>
        <w:left w:val="none" w:sz="0" w:space="0" w:color="auto"/>
        <w:bottom w:val="none" w:sz="0" w:space="0" w:color="auto"/>
        <w:right w:val="none" w:sz="0" w:space="0" w:color="auto"/>
      </w:divBdr>
    </w:div>
    <w:div w:id="1057780623">
      <w:bodyDiv w:val="1"/>
      <w:marLeft w:val="0"/>
      <w:marRight w:val="0"/>
      <w:marTop w:val="0"/>
      <w:marBottom w:val="0"/>
      <w:divBdr>
        <w:top w:val="none" w:sz="0" w:space="0" w:color="auto"/>
        <w:left w:val="none" w:sz="0" w:space="0" w:color="auto"/>
        <w:bottom w:val="none" w:sz="0" w:space="0" w:color="auto"/>
        <w:right w:val="none" w:sz="0" w:space="0" w:color="auto"/>
      </w:divBdr>
    </w:div>
    <w:div w:id="1064716813">
      <w:bodyDiv w:val="1"/>
      <w:marLeft w:val="0"/>
      <w:marRight w:val="0"/>
      <w:marTop w:val="0"/>
      <w:marBottom w:val="0"/>
      <w:divBdr>
        <w:top w:val="none" w:sz="0" w:space="0" w:color="auto"/>
        <w:left w:val="none" w:sz="0" w:space="0" w:color="auto"/>
        <w:bottom w:val="none" w:sz="0" w:space="0" w:color="auto"/>
        <w:right w:val="none" w:sz="0" w:space="0" w:color="auto"/>
      </w:divBdr>
      <w:divsChild>
        <w:div w:id="34358552">
          <w:marLeft w:val="0"/>
          <w:marRight w:val="0"/>
          <w:marTop w:val="0"/>
          <w:marBottom w:val="0"/>
          <w:divBdr>
            <w:top w:val="none" w:sz="0" w:space="0" w:color="auto"/>
            <w:left w:val="none" w:sz="0" w:space="0" w:color="auto"/>
            <w:bottom w:val="none" w:sz="0" w:space="0" w:color="auto"/>
            <w:right w:val="none" w:sz="0" w:space="0" w:color="auto"/>
          </w:divBdr>
          <w:divsChild>
            <w:div w:id="548437">
              <w:marLeft w:val="0"/>
              <w:marRight w:val="0"/>
              <w:marTop w:val="0"/>
              <w:marBottom w:val="225"/>
              <w:divBdr>
                <w:top w:val="none" w:sz="0" w:space="0" w:color="auto"/>
                <w:left w:val="none" w:sz="0" w:space="0" w:color="auto"/>
                <w:bottom w:val="none" w:sz="0" w:space="0" w:color="auto"/>
                <w:right w:val="none" w:sz="0" w:space="0" w:color="auto"/>
              </w:divBdr>
              <w:divsChild>
                <w:div w:id="375856894">
                  <w:marLeft w:val="0"/>
                  <w:marRight w:val="0"/>
                  <w:marTop w:val="0"/>
                  <w:marBottom w:val="0"/>
                  <w:divBdr>
                    <w:top w:val="none" w:sz="0" w:space="0" w:color="auto"/>
                    <w:left w:val="none" w:sz="0" w:space="0" w:color="auto"/>
                    <w:bottom w:val="none" w:sz="0" w:space="0" w:color="auto"/>
                    <w:right w:val="none" w:sz="0" w:space="0" w:color="auto"/>
                  </w:divBdr>
                  <w:divsChild>
                    <w:div w:id="878711763">
                      <w:marLeft w:val="0"/>
                      <w:marRight w:val="0"/>
                      <w:marTop w:val="0"/>
                      <w:marBottom w:val="0"/>
                      <w:divBdr>
                        <w:top w:val="none" w:sz="0" w:space="0" w:color="auto"/>
                        <w:left w:val="none" w:sz="0" w:space="0" w:color="auto"/>
                        <w:bottom w:val="none" w:sz="0" w:space="0" w:color="auto"/>
                        <w:right w:val="none" w:sz="0" w:space="0" w:color="auto"/>
                      </w:divBdr>
                      <w:divsChild>
                        <w:div w:id="641934303">
                          <w:marLeft w:val="0"/>
                          <w:marRight w:val="0"/>
                          <w:marTop w:val="0"/>
                          <w:marBottom w:val="0"/>
                          <w:divBdr>
                            <w:top w:val="none" w:sz="0" w:space="0" w:color="auto"/>
                            <w:left w:val="none" w:sz="0" w:space="0" w:color="auto"/>
                            <w:bottom w:val="none" w:sz="0" w:space="0" w:color="auto"/>
                            <w:right w:val="none" w:sz="0" w:space="0" w:color="auto"/>
                          </w:divBdr>
                          <w:divsChild>
                            <w:div w:id="13225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641252">
      <w:bodyDiv w:val="1"/>
      <w:marLeft w:val="0"/>
      <w:marRight w:val="0"/>
      <w:marTop w:val="0"/>
      <w:marBottom w:val="0"/>
      <w:divBdr>
        <w:top w:val="none" w:sz="0" w:space="0" w:color="auto"/>
        <w:left w:val="none" w:sz="0" w:space="0" w:color="auto"/>
        <w:bottom w:val="none" w:sz="0" w:space="0" w:color="auto"/>
        <w:right w:val="none" w:sz="0" w:space="0" w:color="auto"/>
      </w:divBdr>
    </w:div>
    <w:div w:id="1153523314">
      <w:bodyDiv w:val="1"/>
      <w:marLeft w:val="0"/>
      <w:marRight w:val="0"/>
      <w:marTop w:val="0"/>
      <w:marBottom w:val="0"/>
      <w:divBdr>
        <w:top w:val="none" w:sz="0" w:space="0" w:color="auto"/>
        <w:left w:val="none" w:sz="0" w:space="0" w:color="auto"/>
        <w:bottom w:val="none" w:sz="0" w:space="0" w:color="auto"/>
        <w:right w:val="none" w:sz="0" w:space="0" w:color="auto"/>
      </w:divBdr>
    </w:div>
    <w:div w:id="1157264578">
      <w:bodyDiv w:val="1"/>
      <w:marLeft w:val="0"/>
      <w:marRight w:val="0"/>
      <w:marTop w:val="0"/>
      <w:marBottom w:val="0"/>
      <w:divBdr>
        <w:top w:val="none" w:sz="0" w:space="0" w:color="auto"/>
        <w:left w:val="none" w:sz="0" w:space="0" w:color="auto"/>
        <w:bottom w:val="none" w:sz="0" w:space="0" w:color="auto"/>
        <w:right w:val="none" w:sz="0" w:space="0" w:color="auto"/>
      </w:divBdr>
      <w:divsChild>
        <w:div w:id="216162736">
          <w:marLeft w:val="547"/>
          <w:marRight w:val="0"/>
          <w:marTop w:val="115"/>
          <w:marBottom w:val="0"/>
          <w:divBdr>
            <w:top w:val="none" w:sz="0" w:space="0" w:color="auto"/>
            <w:left w:val="none" w:sz="0" w:space="0" w:color="auto"/>
            <w:bottom w:val="none" w:sz="0" w:space="0" w:color="auto"/>
            <w:right w:val="none" w:sz="0" w:space="0" w:color="auto"/>
          </w:divBdr>
        </w:div>
        <w:div w:id="749929696">
          <w:marLeft w:val="547"/>
          <w:marRight w:val="0"/>
          <w:marTop w:val="115"/>
          <w:marBottom w:val="0"/>
          <w:divBdr>
            <w:top w:val="none" w:sz="0" w:space="0" w:color="auto"/>
            <w:left w:val="none" w:sz="0" w:space="0" w:color="auto"/>
            <w:bottom w:val="none" w:sz="0" w:space="0" w:color="auto"/>
            <w:right w:val="none" w:sz="0" w:space="0" w:color="auto"/>
          </w:divBdr>
        </w:div>
        <w:div w:id="1856994338">
          <w:marLeft w:val="547"/>
          <w:marRight w:val="0"/>
          <w:marTop w:val="115"/>
          <w:marBottom w:val="0"/>
          <w:divBdr>
            <w:top w:val="none" w:sz="0" w:space="0" w:color="auto"/>
            <w:left w:val="none" w:sz="0" w:space="0" w:color="auto"/>
            <w:bottom w:val="none" w:sz="0" w:space="0" w:color="auto"/>
            <w:right w:val="none" w:sz="0" w:space="0" w:color="auto"/>
          </w:divBdr>
        </w:div>
        <w:div w:id="1990287646">
          <w:marLeft w:val="547"/>
          <w:marRight w:val="0"/>
          <w:marTop w:val="115"/>
          <w:marBottom w:val="0"/>
          <w:divBdr>
            <w:top w:val="none" w:sz="0" w:space="0" w:color="auto"/>
            <w:left w:val="none" w:sz="0" w:space="0" w:color="auto"/>
            <w:bottom w:val="none" w:sz="0" w:space="0" w:color="auto"/>
            <w:right w:val="none" w:sz="0" w:space="0" w:color="auto"/>
          </w:divBdr>
        </w:div>
      </w:divsChild>
    </w:div>
    <w:div w:id="1159659715">
      <w:bodyDiv w:val="1"/>
      <w:marLeft w:val="0"/>
      <w:marRight w:val="0"/>
      <w:marTop w:val="0"/>
      <w:marBottom w:val="0"/>
      <w:divBdr>
        <w:top w:val="none" w:sz="0" w:space="0" w:color="auto"/>
        <w:left w:val="none" w:sz="0" w:space="0" w:color="auto"/>
        <w:bottom w:val="none" w:sz="0" w:space="0" w:color="auto"/>
        <w:right w:val="none" w:sz="0" w:space="0" w:color="auto"/>
      </w:divBdr>
    </w:div>
    <w:div w:id="1162890047">
      <w:bodyDiv w:val="1"/>
      <w:marLeft w:val="0"/>
      <w:marRight w:val="0"/>
      <w:marTop w:val="0"/>
      <w:marBottom w:val="0"/>
      <w:divBdr>
        <w:top w:val="none" w:sz="0" w:space="0" w:color="auto"/>
        <w:left w:val="none" w:sz="0" w:space="0" w:color="auto"/>
        <w:bottom w:val="none" w:sz="0" w:space="0" w:color="auto"/>
        <w:right w:val="none" w:sz="0" w:space="0" w:color="auto"/>
      </w:divBdr>
    </w:div>
    <w:div w:id="1188759164">
      <w:bodyDiv w:val="1"/>
      <w:marLeft w:val="0"/>
      <w:marRight w:val="0"/>
      <w:marTop w:val="0"/>
      <w:marBottom w:val="0"/>
      <w:divBdr>
        <w:top w:val="none" w:sz="0" w:space="0" w:color="auto"/>
        <w:left w:val="none" w:sz="0" w:space="0" w:color="auto"/>
        <w:bottom w:val="none" w:sz="0" w:space="0" w:color="auto"/>
        <w:right w:val="none" w:sz="0" w:space="0" w:color="auto"/>
      </w:divBdr>
      <w:divsChild>
        <w:div w:id="887762876">
          <w:marLeft w:val="576"/>
          <w:marRight w:val="0"/>
          <w:marTop w:val="80"/>
          <w:marBottom w:val="0"/>
          <w:divBdr>
            <w:top w:val="none" w:sz="0" w:space="0" w:color="auto"/>
            <w:left w:val="none" w:sz="0" w:space="0" w:color="auto"/>
            <w:bottom w:val="none" w:sz="0" w:space="0" w:color="auto"/>
            <w:right w:val="none" w:sz="0" w:space="0" w:color="auto"/>
          </w:divBdr>
        </w:div>
      </w:divsChild>
    </w:div>
    <w:div w:id="1231311874">
      <w:bodyDiv w:val="1"/>
      <w:marLeft w:val="0"/>
      <w:marRight w:val="0"/>
      <w:marTop w:val="0"/>
      <w:marBottom w:val="0"/>
      <w:divBdr>
        <w:top w:val="none" w:sz="0" w:space="0" w:color="auto"/>
        <w:left w:val="none" w:sz="0" w:space="0" w:color="auto"/>
        <w:bottom w:val="none" w:sz="0" w:space="0" w:color="auto"/>
        <w:right w:val="none" w:sz="0" w:space="0" w:color="auto"/>
      </w:divBdr>
    </w:div>
    <w:div w:id="1243560964">
      <w:bodyDiv w:val="1"/>
      <w:marLeft w:val="0"/>
      <w:marRight w:val="0"/>
      <w:marTop w:val="0"/>
      <w:marBottom w:val="0"/>
      <w:divBdr>
        <w:top w:val="none" w:sz="0" w:space="0" w:color="auto"/>
        <w:left w:val="none" w:sz="0" w:space="0" w:color="auto"/>
        <w:bottom w:val="none" w:sz="0" w:space="0" w:color="auto"/>
        <w:right w:val="none" w:sz="0" w:space="0" w:color="auto"/>
      </w:divBdr>
    </w:div>
    <w:div w:id="1266621058">
      <w:bodyDiv w:val="1"/>
      <w:marLeft w:val="0"/>
      <w:marRight w:val="0"/>
      <w:marTop w:val="0"/>
      <w:marBottom w:val="0"/>
      <w:divBdr>
        <w:top w:val="none" w:sz="0" w:space="0" w:color="auto"/>
        <w:left w:val="none" w:sz="0" w:space="0" w:color="auto"/>
        <w:bottom w:val="none" w:sz="0" w:space="0" w:color="auto"/>
        <w:right w:val="none" w:sz="0" w:space="0" w:color="auto"/>
      </w:divBdr>
      <w:divsChild>
        <w:div w:id="693848618">
          <w:marLeft w:val="0"/>
          <w:marRight w:val="0"/>
          <w:marTop w:val="0"/>
          <w:marBottom w:val="0"/>
          <w:divBdr>
            <w:top w:val="none" w:sz="0" w:space="0" w:color="auto"/>
            <w:left w:val="none" w:sz="0" w:space="0" w:color="auto"/>
            <w:bottom w:val="none" w:sz="0" w:space="0" w:color="auto"/>
            <w:right w:val="none" w:sz="0" w:space="0" w:color="auto"/>
          </w:divBdr>
          <w:divsChild>
            <w:div w:id="609316215">
              <w:marLeft w:val="0"/>
              <w:marRight w:val="0"/>
              <w:marTop w:val="0"/>
              <w:marBottom w:val="225"/>
              <w:divBdr>
                <w:top w:val="none" w:sz="0" w:space="0" w:color="auto"/>
                <w:left w:val="none" w:sz="0" w:space="0" w:color="auto"/>
                <w:bottom w:val="none" w:sz="0" w:space="0" w:color="auto"/>
                <w:right w:val="none" w:sz="0" w:space="0" w:color="auto"/>
              </w:divBdr>
              <w:divsChild>
                <w:div w:id="525800183">
                  <w:marLeft w:val="0"/>
                  <w:marRight w:val="0"/>
                  <w:marTop w:val="0"/>
                  <w:marBottom w:val="0"/>
                  <w:divBdr>
                    <w:top w:val="none" w:sz="0" w:space="0" w:color="auto"/>
                    <w:left w:val="none" w:sz="0" w:space="0" w:color="auto"/>
                    <w:bottom w:val="none" w:sz="0" w:space="0" w:color="auto"/>
                    <w:right w:val="none" w:sz="0" w:space="0" w:color="auto"/>
                  </w:divBdr>
                  <w:divsChild>
                    <w:div w:id="912279621">
                      <w:marLeft w:val="0"/>
                      <w:marRight w:val="0"/>
                      <w:marTop w:val="0"/>
                      <w:marBottom w:val="0"/>
                      <w:divBdr>
                        <w:top w:val="none" w:sz="0" w:space="0" w:color="auto"/>
                        <w:left w:val="none" w:sz="0" w:space="0" w:color="auto"/>
                        <w:bottom w:val="none" w:sz="0" w:space="0" w:color="auto"/>
                        <w:right w:val="none" w:sz="0" w:space="0" w:color="auto"/>
                      </w:divBdr>
                      <w:divsChild>
                        <w:div w:id="509023782">
                          <w:marLeft w:val="0"/>
                          <w:marRight w:val="0"/>
                          <w:marTop w:val="0"/>
                          <w:marBottom w:val="0"/>
                          <w:divBdr>
                            <w:top w:val="none" w:sz="0" w:space="0" w:color="auto"/>
                            <w:left w:val="none" w:sz="0" w:space="0" w:color="auto"/>
                            <w:bottom w:val="none" w:sz="0" w:space="0" w:color="auto"/>
                            <w:right w:val="none" w:sz="0" w:space="0" w:color="auto"/>
                          </w:divBdr>
                          <w:divsChild>
                            <w:div w:id="4639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737867">
      <w:bodyDiv w:val="1"/>
      <w:marLeft w:val="0"/>
      <w:marRight w:val="0"/>
      <w:marTop w:val="0"/>
      <w:marBottom w:val="0"/>
      <w:divBdr>
        <w:top w:val="none" w:sz="0" w:space="0" w:color="auto"/>
        <w:left w:val="none" w:sz="0" w:space="0" w:color="auto"/>
        <w:bottom w:val="none" w:sz="0" w:space="0" w:color="auto"/>
        <w:right w:val="none" w:sz="0" w:space="0" w:color="auto"/>
      </w:divBdr>
      <w:divsChild>
        <w:div w:id="535587459">
          <w:marLeft w:val="0"/>
          <w:marRight w:val="0"/>
          <w:marTop w:val="0"/>
          <w:marBottom w:val="0"/>
          <w:divBdr>
            <w:top w:val="none" w:sz="0" w:space="0" w:color="auto"/>
            <w:left w:val="none" w:sz="0" w:space="0" w:color="auto"/>
            <w:bottom w:val="none" w:sz="0" w:space="0" w:color="auto"/>
            <w:right w:val="none" w:sz="0" w:space="0" w:color="auto"/>
          </w:divBdr>
          <w:divsChild>
            <w:div w:id="562762063">
              <w:marLeft w:val="0"/>
              <w:marRight w:val="0"/>
              <w:marTop w:val="0"/>
              <w:marBottom w:val="0"/>
              <w:divBdr>
                <w:top w:val="none" w:sz="0" w:space="0" w:color="auto"/>
                <w:left w:val="none" w:sz="0" w:space="0" w:color="auto"/>
                <w:bottom w:val="none" w:sz="0" w:space="0" w:color="auto"/>
                <w:right w:val="none" w:sz="0" w:space="0" w:color="auto"/>
              </w:divBdr>
              <w:divsChild>
                <w:div w:id="11827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27075">
      <w:bodyDiv w:val="1"/>
      <w:marLeft w:val="0"/>
      <w:marRight w:val="0"/>
      <w:marTop w:val="0"/>
      <w:marBottom w:val="0"/>
      <w:divBdr>
        <w:top w:val="none" w:sz="0" w:space="0" w:color="auto"/>
        <w:left w:val="none" w:sz="0" w:space="0" w:color="auto"/>
        <w:bottom w:val="none" w:sz="0" w:space="0" w:color="auto"/>
        <w:right w:val="none" w:sz="0" w:space="0" w:color="auto"/>
      </w:divBdr>
      <w:divsChild>
        <w:div w:id="75983521">
          <w:marLeft w:val="547"/>
          <w:marRight w:val="0"/>
          <w:marTop w:val="106"/>
          <w:marBottom w:val="0"/>
          <w:divBdr>
            <w:top w:val="none" w:sz="0" w:space="0" w:color="auto"/>
            <w:left w:val="none" w:sz="0" w:space="0" w:color="auto"/>
            <w:bottom w:val="none" w:sz="0" w:space="0" w:color="auto"/>
            <w:right w:val="none" w:sz="0" w:space="0" w:color="auto"/>
          </w:divBdr>
        </w:div>
        <w:div w:id="194006230">
          <w:marLeft w:val="547"/>
          <w:marRight w:val="0"/>
          <w:marTop w:val="106"/>
          <w:marBottom w:val="0"/>
          <w:divBdr>
            <w:top w:val="none" w:sz="0" w:space="0" w:color="auto"/>
            <w:left w:val="none" w:sz="0" w:space="0" w:color="auto"/>
            <w:bottom w:val="none" w:sz="0" w:space="0" w:color="auto"/>
            <w:right w:val="none" w:sz="0" w:space="0" w:color="auto"/>
          </w:divBdr>
        </w:div>
        <w:div w:id="628827267">
          <w:marLeft w:val="547"/>
          <w:marRight w:val="0"/>
          <w:marTop w:val="106"/>
          <w:marBottom w:val="0"/>
          <w:divBdr>
            <w:top w:val="none" w:sz="0" w:space="0" w:color="auto"/>
            <w:left w:val="none" w:sz="0" w:space="0" w:color="auto"/>
            <w:bottom w:val="none" w:sz="0" w:space="0" w:color="auto"/>
            <w:right w:val="none" w:sz="0" w:space="0" w:color="auto"/>
          </w:divBdr>
        </w:div>
        <w:div w:id="1121533583">
          <w:marLeft w:val="547"/>
          <w:marRight w:val="0"/>
          <w:marTop w:val="106"/>
          <w:marBottom w:val="0"/>
          <w:divBdr>
            <w:top w:val="none" w:sz="0" w:space="0" w:color="auto"/>
            <w:left w:val="none" w:sz="0" w:space="0" w:color="auto"/>
            <w:bottom w:val="none" w:sz="0" w:space="0" w:color="auto"/>
            <w:right w:val="none" w:sz="0" w:space="0" w:color="auto"/>
          </w:divBdr>
        </w:div>
        <w:div w:id="1592084736">
          <w:marLeft w:val="547"/>
          <w:marRight w:val="0"/>
          <w:marTop w:val="106"/>
          <w:marBottom w:val="0"/>
          <w:divBdr>
            <w:top w:val="none" w:sz="0" w:space="0" w:color="auto"/>
            <w:left w:val="none" w:sz="0" w:space="0" w:color="auto"/>
            <w:bottom w:val="none" w:sz="0" w:space="0" w:color="auto"/>
            <w:right w:val="none" w:sz="0" w:space="0" w:color="auto"/>
          </w:divBdr>
        </w:div>
        <w:div w:id="1598903321">
          <w:marLeft w:val="547"/>
          <w:marRight w:val="0"/>
          <w:marTop w:val="106"/>
          <w:marBottom w:val="0"/>
          <w:divBdr>
            <w:top w:val="none" w:sz="0" w:space="0" w:color="auto"/>
            <w:left w:val="none" w:sz="0" w:space="0" w:color="auto"/>
            <w:bottom w:val="none" w:sz="0" w:space="0" w:color="auto"/>
            <w:right w:val="none" w:sz="0" w:space="0" w:color="auto"/>
          </w:divBdr>
        </w:div>
        <w:div w:id="1611745292">
          <w:marLeft w:val="547"/>
          <w:marRight w:val="0"/>
          <w:marTop w:val="106"/>
          <w:marBottom w:val="0"/>
          <w:divBdr>
            <w:top w:val="none" w:sz="0" w:space="0" w:color="auto"/>
            <w:left w:val="none" w:sz="0" w:space="0" w:color="auto"/>
            <w:bottom w:val="none" w:sz="0" w:space="0" w:color="auto"/>
            <w:right w:val="none" w:sz="0" w:space="0" w:color="auto"/>
          </w:divBdr>
        </w:div>
      </w:divsChild>
    </w:div>
    <w:div w:id="1282540077">
      <w:bodyDiv w:val="1"/>
      <w:marLeft w:val="0"/>
      <w:marRight w:val="0"/>
      <w:marTop w:val="0"/>
      <w:marBottom w:val="0"/>
      <w:divBdr>
        <w:top w:val="none" w:sz="0" w:space="0" w:color="auto"/>
        <w:left w:val="none" w:sz="0" w:space="0" w:color="auto"/>
        <w:bottom w:val="none" w:sz="0" w:space="0" w:color="auto"/>
        <w:right w:val="none" w:sz="0" w:space="0" w:color="auto"/>
      </w:divBdr>
    </w:div>
    <w:div w:id="1344555783">
      <w:bodyDiv w:val="1"/>
      <w:marLeft w:val="0"/>
      <w:marRight w:val="0"/>
      <w:marTop w:val="0"/>
      <w:marBottom w:val="0"/>
      <w:divBdr>
        <w:top w:val="none" w:sz="0" w:space="0" w:color="auto"/>
        <w:left w:val="none" w:sz="0" w:space="0" w:color="auto"/>
        <w:bottom w:val="none" w:sz="0" w:space="0" w:color="auto"/>
        <w:right w:val="none" w:sz="0" w:space="0" w:color="auto"/>
      </w:divBdr>
    </w:div>
    <w:div w:id="1392652379">
      <w:bodyDiv w:val="1"/>
      <w:marLeft w:val="0"/>
      <w:marRight w:val="0"/>
      <w:marTop w:val="0"/>
      <w:marBottom w:val="0"/>
      <w:divBdr>
        <w:top w:val="none" w:sz="0" w:space="0" w:color="auto"/>
        <w:left w:val="none" w:sz="0" w:space="0" w:color="auto"/>
        <w:bottom w:val="none" w:sz="0" w:space="0" w:color="auto"/>
        <w:right w:val="none" w:sz="0" w:space="0" w:color="auto"/>
      </w:divBdr>
    </w:div>
    <w:div w:id="1422877547">
      <w:bodyDiv w:val="1"/>
      <w:marLeft w:val="0"/>
      <w:marRight w:val="0"/>
      <w:marTop w:val="0"/>
      <w:marBottom w:val="0"/>
      <w:divBdr>
        <w:top w:val="none" w:sz="0" w:space="0" w:color="auto"/>
        <w:left w:val="none" w:sz="0" w:space="0" w:color="auto"/>
        <w:bottom w:val="none" w:sz="0" w:space="0" w:color="auto"/>
        <w:right w:val="none" w:sz="0" w:space="0" w:color="auto"/>
      </w:divBdr>
    </w:div>
    <w:div w:id="1433891682">
      <w:bodyDiv w:val="1"/>
      <w:marLeft w:val="0"/>
      <w:marRight w:val="0"/>
      <w:marTop w:val="0"/>
      <w:marBottom w:val="0"/>
      <w:divBdr>
        <w:top w:val="none" w:sz="0" w:space="0" w:color="auto"/>
        <w:left w:val="none" w:sz="0" w:space="0" w:color="auto"/>
        <w:bottom w:val="none" w:sz="0" w:space="0" w:color="auto"/>
        <w:right w:val="none" w:sz="0" w:space="0" w:color="auto"/>
      </w:divBdr>
    </w:div>
    <w:div w:id="1471288921">
      <w:bodyDiv w:val="1"/>
      <w:marLeft w:val="0"/>
      <w:marRight w:val="0"/>
      <w:marTop w:val="0"/>
      <w:marBottom w:val="0"/>
      <w:divBdr>
        <w:top w:val="none" w:sz="0" w:space="0" w:color="auto"/>
        <w:left w:val="none" w:sz="0" w:space="0" w:color="auto"/>
        <w:bottom w:val="none" w:sz="0" w:space="0" w:color="auto"/>
        <w:right w:val="none" w:sz="0" w:space="0" w:color="auto"/>
      </w:divBdr>
      <w:divsChild>
        <w:div w:id="189035051">
          <w:marLeft w:val="547"/>
          <w:marRight w:val="0"/>
          <w:marTop w:val="115"/>
          <w:marBottom w:val="0"/>
          <w:divBdr>
            <w:top w:val="none" w:sz="0" w:space="0" w:color="auto"/>
            <w:left w:val="none" w:sz="0" w:space="0" w:color="auto"/>
            <w:bottom w:val="none" w:sz="0" w:space="0" w:color="auto"/>
            <w:right w:val="none" w:sz="0" w:space="0" w:color="auto"/>
          </w:divBdr>
        </w:div>
        <w:div w:id="852956150">
          <w:marLeft w:val="547"/>
          <w:marRight w:val="0"/>
          <w:marTop w:val="115"/>
          <w:marBottom w:val="0"/>
          <w:divBdr>
            <w:top w:val="none" w:sz="0" w:space="0" w:color="auto"/>
            <w:left w:val="none" w:sz="0" w:space="0" w:color="auto"/>
            <w:bottom w:val="none" w:sz="0" w:space="0" w:color="auto"/>
            <w:right w:val="none" w:sz="0" w:space="0" w:color="auto"/>
          </w:divBdr>
        </w:div>
        <w:div w:id="1101223654">
          <w:marLeft w:val="547"/>
          <w:marRight w:val="0"/>
          <w:marTop w:val="115"/>
          <w:marBottom w:val="0"/>
          <w:divBdr>
            <w:top w:val="none" w:sz="0" w:space="0" w:color="auto"/>
            <w:left w:val="none" w:sz="0" w:space="0" w:color="auto"/>
            <w:bottom w:val="none" w:sz="0" w:space="0" w:color="auto"/>
            <w:right w:val="none" w:sz="0" w:space="0" w:color="auto"/>
          </w:divBdr>
        </w:div>
        <w:div w:id="1868524020">
          <w:marLeft w:val="547"/>
          <w:marRight w:val="0"/>
          <w:marTop w:val="115"/>
          <w:marBottom w:val="0"/>
          <w:divBdr>
            <w:top w:val="none" w:sz="0" w:space="0" w:color="auto"/>
            <w:left w:val="none" w:sz="0" w:space="0" w:color="auto"/>
            <w:bottom w:val="none" w:sz="0" w:space="0" w:color="auto"/>
            <w:right w:val="none" w:sz="0" w:space="0" w:color="auto"/>
          </w:divBdr>
        </w:div>
      </w:divsChild>
    </w:div>
    <w:div w:id="1540318520">
      <w:bodyDiv w:val="1"/>
      <w:marLeft w:val="0"/>
      <w:marRight w:val="0"/>
      <w:marTop w:val="0"/>
      <w:marBottom w:val="0"/>
      <w:divBdr>
        <w:top w:val="none" w:sz="0" w:space="0" w:color="auto"/>
        <w:left w:val="none" w:sz="0" w:space="0" w:color="auto"/>
        <w:bottom w:val="none" w:sz="0" w:space="0" w:color="auto"/>
        <w:right w:val="none" w:sz="0" w:space="0" w:color="auto"/>
      </w:divBdr>
    </w:div>
    <w:div w:id="1566062632">
      <w:bodyDiv w:val="1"/>
      <w:marLeft w:val="0"/>
      <w:marRight w:val="0"/>
      <w:marTop w:val="0"/>
      <w:marBottom w:val="0"/>
      <w:divBdr>
        <w:top w:val="none" w:sz="0" w:space="0" w:color="auto"/>
        <w:left w:val="none" w:sz="0" w:space="0" w:color="auto"/>
        <w:bottom w:val="none" w:sz="0" w:space="0" w:color="auto"/>
        <w:right w:val="none" w:sz="0" w:space="0" w:color="auto"/>
      </w:divBdr>
      <w:divsChild>
        <w:div w:id="424618341">
          <w:marLeft w:val="547"/>
          <w:marRight w:val="0"/>
          <w:marTop w:val="106"/>
          <w:marBottom w:val="0"/>
          <w:divBdr>
            <w:top w:val="none" w:sz="0" w:space="0" w:color="auto"/>
            <w:left w:val="none" w:sz="0" w:space="0" w:color="auto"/>
            <w:bottom w:val="none" w:sz="0" w:space="0" w:color="auto"/>
            <w:right w:val="none" w:sz="0" w:space="0" w:color="auto"/>
          </w:divBdr>
        </w:div>
        <w:div w:id="686911345">
          <w:marLeft w:val="547"/>
          <w:marRight w:val="0"/>
          <w:marTop w:val="106"/>
          <w:marBottom w:val="0"/>
          <w:divBdr>
            <w:top w:val="none" w:sz="0" w:space="0" w:color="auto"/>
            <w:left w:val="none" w:sz="0" w:space="0" w:color="auto"/>
            <w:bottom w:val="none" w:sz="0" w:space="0" w:color="auto"/>
            <w:right w:val="none" w:sz="0" w:space="0" w:color="auto"/>
          </w:divBdr>
        </w:div>
        <w:div w:id="958872255">
          <w:marLeft w:val="547"/>
          <w:marRight w:val="0"/>
          <w:marTop w:val="106"/>
          <w:marBottom w:val="0"/>
          <w:divBdr>
            <w:top w:val="none" w:sz="0" w:space="0" w:color="auto"/>
            <w:left w:val="none" w:sz="0" w:space="0" w:color="auto"/>
            <w:bottom w:val="none" w:sz="0" w:space="0" w:color="auto"/>
            <w:right w:val="none" w:sz="0" w:space="0" w:color="auto"/>
          </w:divBdr>
        </w:div>
        <w:div w:id="1241526467">
          <w:marLeft w:val="547"/>
          <w:marRight w:val="0"/>
          <w:marTop w:val="106"/>
          <w:marBottom w:val="0"/>
          <w:divBdr>
            <w:top w:val="none" w:sz="0" w:space="0" w:color="auto"/>
            <w:left w:val="none" w:sz="0" w:space="0" w:color="auto"/>
            <w:bottom w:val="none" w:sz="0" w:space="0" w:color="auto"/>
            <w:right w:val="none" w:sz="0" w:space="0" w:color="auto"/>
          </w:divBdr>
        </w:div>
        <w:div w:id="1539659455">
          <w:marLeft w:val="547"/>
          <w:marRight w:val="0"/>
          <w:marTop w:val="106"/>
          <w:marBottom w:val="0"/>
          <w:divBdr>
            <w:top w:val="none" w:sz="0" w:space="0" w:color="auto"/>
            <w:left w:val="none" w:sz="0" w:space="0" w:color="auto"/>
            <w:bottom w:val="none" w:sz="0" w:space="0" w:color="auto"/>
            <w:right w:val="none" w:sz="0" w:space="0" w:color="auto"/>
          </w:divBdr>
        </w:div>
      </w:divsChild>
    </w:div>
    <w:div w:id="1588273933">
      <w:bodyDiv w:val="1"/>
      <w:marLeft w:val="0"/>
      <w:marRight w:val="0"/>
      <w:marTop w:val="0"/>
      <w:marBottom w:val="0"/>
      <w:divBdr>
        <w:top w:val="none" w:sz="0" w:space="0" w:color="auto"/>
        <w:left w:val="none" w:sz="0" w:space="0" w:color="auto"/>
        <w:bottom w:val="none" w:sz="0" w:space="0" w:color="auto"/>
        <w:right w:val="none" w:sz="0" w:space="0" w:color="auto"/>
      </w:divBdr>
    </w:div>
    <w:div w:id="1591962291">
      <w:bodyDiv w:val="1"/>
      <w:marLeft w:val="0"/>
      <w:marRight w:val="0"/>
      <w:marTop w:val="0"/>
      <w:marBottom w:val="0"/>
      <w:divBdr>
        <w:top w:val="none" w:sz="0" w:space="0" w:color="auto"/>
        <w:left w:val="none" w:sz="0" w:space="0" w:color="auto"/>
        <w:bottom w:val="none" w:sz="0" w:space="0" w:color="auto"/>
        <w:right w:val="none" w:sz="0" w:space="0" w:color="auto"/>
      </w:divBdr>
    </w:div>
    <w:div w:id="1625690603">
      <w:bodyDiv w:val="1"/>
      <w:marLeft w:val="0"/>
      <w:marRight w:val="0"/>
      <w:marTop w:val="0"/>
      <w:marBottom w:val="0"/>
      <w:divBdr>
        <w:top w:val="none" w:sz="0" w:space="0" w:color="auto"/>
        <w:left w:val="none" w:sz="0" w:space="0" w:color="auto"/>
        <w:bottom w:val="none" w:sz="0" w:space="0" w:color="auto"/>
        <w:right w:val="none" w:sz="0" w:space="0" w:color="auto"/>
      </w:divBdr>
    </w:div>
    <w:div w:id="1641838864">
      <w:bodyDiv w:val="1"/>
      <w:marLeft w:val="0"/>
      <w:marRight w:val="0"/>
      <w:marTop w:val="0"/>
      <w:marBottom w:val="0"/>
      <w:divBdr>
        <w:top w:val="none" w:sz="0" w:space="0" w:color="auto"/>
        <w:left w:val="none" w:sz="0" w:space="0" w:color="auto"/>
        <w:bottom w:val="none" w:sz="0" w:space="0" w:color="auto"/>
        <w:right w:val="none" w:sz="0" w:space="0" w:color="auto"/>
      </w:divBdr>
    </w:div>
    <w:div w:id="1701935791">
      <w:bodyDiv w:val="1"/>
      <w:marLeft w:val="0"/>
      <w:marRight w:val="0"/>
      <w:marTop w:val="0"/>
      <w:marBottom w:val="0"/>
      <w:divBdr>
        <w:top w:val="none" w:sz="0" w:space="0" w:color="auto"/>
        <w:left w:val="none" w:sz="0" w:space="0" w:color="auto"/>
        <w:bottom w:val="none" w:sz="0" w:space="0" w:color="auto"/>
        <w:right w:val="none" w:sz="0" w:space="0" w:color="auto"/>
      </w:divBdr>
      <w:divsChild>
        <w:div w:id="27681535">
          <w:marLeft w:val="0"/>
          <w:marRight w:val="0"/>
          <w:marTop w:val="0"/>
          <w:marBottom w:val="0"/>
          <w:divBdr>
            <w:top w:val="none" w:sz="0" w:space="0" w:color="auto"/>
            <w:left w:val="none" w:sz="0" w:space="0" w:color="auto"/>
            <w:bottom w:val="none" w:sz="0" w:space="0" w:color="auto"/>
            <w:right w:val="none" w:sz="0" w:space="0" w:color="auto"/>
          </w:divBdr>
          <w:divsChild>
            <w:div w:id="1864246338">
              <w:marLeft w:val="0"/>
              <w:marRight w:val="0"/>
              <w:marTop w:val="0"/>
              <w:marBottom w:val="0"/>
              <w:divBdr>
                <w:top w:val="none" w:sz="0" w:space="0" w:color="auto"/>
                <w:left w:val="none" w:sz="0" w:space="0" w:color="auto"/>
                <w:bottom w:val="none" w:sz="0" w:space="0" w:color="auto"/>
                <w:right w:val="none" w:sz="0" w:space="0" w:color="auto"/>
              </w:divBdr>
              <w:divsChild>
                <w:div w:id="162093286">
                  <w:marLeft w:val="0"/>
                  <w:marRight w:val="0"/>
                  <w:marTop w:val="0"/>
                  <w:marBottom w:val="0"/>
                  <w:divBdr>
                    <w:top w:val="none" w:sz="0" w:space="0" w:color="auto"/>
                    <w:left w:val="none" w:sz="0" w:space="0" w:color="auto"/>
                    <w:bottom w:val="none" w:sz="0" w:space="0" w:color="auto"/>
                    <w:right w:val="none" w:sz="0" w:space="0" w:color="auto"/>
                  </w:divBdr>
                  <w:divsChild>
                    <w:div w:id="1454708834">
                      <w:marLeft w:val="0"/>
                      <w:marRight w:val="0"/>
                      <w:marTop w:val="0"/>
                      <w:marBottom w:val="0"/>
                      <w:divBdr>
                        <w:top w:val="none" w:sz="0" w:space="0" w:color="auto"/>
                        <w:left w:val="none" w:sz="0" w:space="0" w:color="auto"/>
                        <w:bottom w:val="none" w:sz="0" w:space="0" w:color="auto"/>
                        <w:right w:val="none" w:sz="0" w:space="0" w:color="auto"/>
                      </w:divBdr>
                      <w:divsChild>
                        <w:div w:id="1866944717">
                          <w:marLeft w:val="0"/>
                          <w:marRight w:val="0"/>
                          <w:marTop w:val="0"/>
                          <w:marBottom w:val="0"/>
                          <w:divBdr>
                            <w:top w:val="none" w:sz="0" w:space="0" w:color="auto"/>
                            <w:left w:val="none" w:sz="0" w:space="0" w:color="auto"/>
                            <w:bottom w:val="none" w:sz="0" w:space="0" w:color="auto"/>
                            <w:right w:val="none" w:sz="0" w:space="0" w:color="auto"/>
                          </w:divBdr>
                          <w:divsChild>
                            <w:div w:id="1821077788">
                              <w:marLeft w:val="0"/>
                              <w:marRight w:val="0"/>
                              <w:marTop w:val="0"/>
                              <w:marBottom w:val="0"/>
                              <w:divBdr>
                                <w:top w:val="none" w:sz="0" w:space="0" w:color="auto"/>
                                <w:left w:val="none" w:sz="0" w:space="0" w:color="auto"/>
                                <w:bottom w:val="none" w:sz="0" w:space="0" w:color="auto"/>
                                <w:right w:val="none" w:sz="0" w:space="0" w:color="auto"/>
                              </w:divBdr>
                              <w:divsChild>
                                <w:div w:id="1848473494">
                                  <w:marLeft w:val="0"/>
                                  <w:marRight w:val="0"/>
                                  <w:marTop w:val="240"/>
                                  <w:marBottom w:val="240"/>
                                  <w:divBdr>
                                    <w:top w:val="none" w:sz="0" w:space="0" w:color="auto"/>
                                    <w:left w:val="none" w:sz="0" w:space="0" w:color="auto"/>
                                    <w:bottom w:val="none" w:sz="0" w:space="0" w:color="auto"/>
                                    <w:right w:val="none" w:sz="0" w:space="0" w:color="auto"/>
                                  </w:divBdr>
                                  <w:divsChild>
                                    <w:div w:id="531264253">
                                      <w:marLeft w:val="0"/>
                                      <w:marRight w:val="0"/>
                                      <w:marTop w:val="0"/>
                                      <w:marBottom w:val="0"/>
                                      <w:divBdr>
                                        <w:top w:val="none" w:sz="0" w:space="0" w:color="auto"/>
                                        <w:left w:val="none" w:sz="0" w:space="0" w:color="auto"/>
                                        <w:bottom w:val="none" w:sz="0" w:space="0" w:color="auto"/>
                                        <w:right w:val="none" w:sz="0" w:space="0" w:color="auto"/>
                                      </w:divBdr>
                                      <w:divsChild>
                                        <w:div w:id="2108304761">
                                          <w:marLeft w:val="0"/>
                                          <w:marRight w:val="0"/>
                                          <w:marTop w:val="0"/>
                                          <w:marBottom w:val="0"/>
                                          <w:divBdr>
                                            <w:top w:val="none" w:sz="0" w:space="0" w:color="auto"/>
                                            <w:left w:val="none" w:sz="0" w:space="0" w:color="auto"/>
                                            <w:bottom w:val="none" w:sz="0" w:space="0" w:color="auto"/>
                                            <w:right w:val="none" w:sz="0" w:space="0" w:color="auto"/>
                                          </w:divBdr>
                                          <w:divsChild>
                                            <w:div w:id="20189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037545">
      <w:bodyDiv w:val="1"/>
      <w:marLeft w:val="0"/>
      <w:marRight w:val="0"/>
      <w:marTop w:val="0"/>
      <w:marBottom w:val="0"/>
      <w:divBdr>
        <w:top w:val="none" w:sz="0" w:space="0" w:color="auto"/>
        <w:left w:val="none" w:sz="0" w:space="0" w:color="auto"/>
        <w:bottom w:val="none" w:sz="0" w:space="0" w:color="auto"/>
        <w:right w:val="none" w:sz="0" w:space="0" w:color="auto"/>
      </w:divBdr>
    </w:div>
    <w:div w:id="1775050798">
      <w:bodyDiv w:val="1"/>
      <w:marLeft w:val="0"/>
      <w:marRight w:val="0"/>
      <w:marTop w:val="0"/>
      <w:marBottom w:val="0"/>
      <w:divBdr>
        <w:top w:val="none" w:sz="0" w:space="0" w:color="auto"/>
        <w:left w:val="none" w:sz="0" w:space="0" w:color="auto"/>
        <w:bottom w:val="none" w:sz="0" w:space="0" w:color="auto"/>
        <w:right w:val="none" w:sz="0" w:space="0" w:color="auto"/>
      </w:divBdr>
    </w:div>
    <w:div w:id="1830512400">
      <w:bodyDiv w:val="1"/>
      <w:marLeft w:val="0"/>
      <w:marRight w:val="0"/>
      <w:marTop w:val="0"/>
      <w:marBottom w:val="0"/>
      <w:divBdr>
        <w:top w:val="none" w:sz="0" w:space="0" w:color="auto"/>
        <w:left w:val="none" w:sz="0" w:space="0" w:color="auto"/>
        <w:bottom w:val="none" w:sz="0" w:space="0" w:color="auto"/>
        <w:right w:val="none" w:sz="0" w:space="0" w:color="auto"/>
      </w:divBdr>
      <w:divsChild>
        <w:div w:id="330916714">
          <w:marLeft w:val="547"/>
          <w:marRight w:val="0"/>
          <w:marTop w:val="106"/>
          <w:marBottom w:val="0"/>
          <w:divBdr>
            <w:top w:val="none" w:sz="0" w:space="0" w:color="auto"/>
            <w:left w:val="none" w:sz="0" w:space="0" w:color="auto"/>
            <w:bottom w:val="none" w:sz="0" w:space="0" w:color="auto"/>
            <w:right w:val="none" w:sz="0" w:space="0" w:color="auto"/>
          </w:divBdr>
        </w:div>
        <w:div w:id="641228414">
          <w:marLeft w:val="547"/>
          <w:marRight w:val="0"/>
          <w:marTop w:val="106"/>
          <w:marBottom w:val="0"/>
          <w:divBdr>
            <w:top w:val="none" w:sz="0" w:space="0" w:color="auto"/>
            <w:left w:val="none" w:sz="0" w:space="0" w:color="auto"/>
            <w:bottom w:val="none" w:sz="0" w:space="0" w:color="auto"/>
            <w:right w:val="none" w:sz="0" w:space="0" w:color="auto"/>
          </w:divBdr>
        </w:div>
        <w:div w:id="1159155764">
          <w:marLeft w:val="547"/>
          <w:marRight w:val="0"/>
          <w:marTop w:val="106"/>
          <w:marBottom w:val="0"/>
          <w:divBdr>
            <w:top w:val="none" w:sz="0" w:space="0" w:color="auto"/>
            <w:left w:val="none" w:sz="0" w:space="0" w:color="auto"/>
            <w:bottom w:val="none" w:sz="0" w:space="0" w:color="auto"/>
            <w:right w:val="none" w:sz="0" w:space="0" w:color="auto"/>
          </w:divBdr>
        </w:div>
        <w:div w:id="1470054322">
          <w:marLeft w:val="547"/>
          <w:marRight w:val="0"/>
          <w:marTop w:val="106"/>
          <w:marBottom w:val="0"/>
          <w:divBdr>
            <w:top w:val="none" w:sz="0" w:space="0" w:color="auto"/>
            <w:left w:val="none" w:sz="0" w:space="0" w:color="auto"/>
            <w:bottom w:val="none" w:sz="0" w:space="0" w:color="auto"/>
            <w:right w:val="none" w:sz="0" w:space="0" w:color="auto"/>
          </w:divBdr>
        </w:div>
        <w:div w:id="1828547526">
          <w:marLeft w:val="547"/>
          <w:marRight w:val="0"/>
          <w:marTop w:val="106"/>
          <w:marBottom w:val="0"/>
          <w:divBdr>
            <w:top w:val="none" w:sz="0" w:space="0" w:color="auto"/>
            <w:left w:val="none" w:sz="0" w:space="0" w:color="auto"/>
            <w:bottom w:val="none" w:sz="0" w:space="0" w:color="auto"/>
            <w:right w:val="none" w:sz="0" w:space="0" w:color="auto"/>
          </w:divBdr>
        </w:div>
      </w:divsChild>
    </w:div>
    <w:div w:id="1860778206">
      <w:bodyDiv w:val="1"/>
      <w:marLeft w:val="0"/>
      <w:marRight w:val="0"/>
      <w:marTop w:val="0"/>
      <w:marBottom w:val="0"/>
      <w:divBdr>
        <w:top w:val="none" w:sz="0" w:space="0" w:color="auto"/>
        <w:left w:val="none" w:sz="0" w:space="0" w:color="auto"/>
        <w:bottom w:val="none" w:sz="0" w:space="0" w:color="auto"/>
        <w:right w:val="none" w:sz="0" w:space="0" w:color="auto"/>
      </w:divBdr>
    </w:div>
    <w:div w:id="1885412098">
      <w:bodyDiv w:val="1"/>
      <w:marLeft w:val="0"/>
      <w:marRight w:val="0"/>
      <w:marTop w:val="0"/>
      <w:marBottom w:val="0"/>
      <w:divBdr>
        <w:top w:val="none" w:sz="0" w:space="0" w:color="auto"/>
        <w:left w:val="none" w:sz="0" w:space="0" w:color="auto"/>
        <w:bottom w:val="none" w:sz="0" w:space="0" w:color="auto"/>
        <w:right w:val="none" w:sz="0" w:space="0" w:color="auto"/>
      </w:divBdr>
      <w:divsChild>
        <w:div w:id="917209056">
          <w:marLeft w:val="547"/>
          <w:marRight w:val="0"/>
          <w:marTop w:val="86"/>
          <w:marBottom w:val="0"/>
          <w:divBdr>
            <w:top w:val="none" w:sz="0" w:space="0" w:color="auto"/>
            <w:left w:val="none" w:sz="0" w:space="0" w:color="auto"/>
            <w:bottom w:val="none" w:sz="0" w:space="0" w:color="auto"/>
            <w:right w:val="none" w:sz="0" w:space="0" w:color="auto"/>
          </w:divBdr>
        </w:div>
        <w:div w:id="1632662497">
          <w:marLeft w:val="547"/>
          <w:marRight w:val="0"/>
          <w:marTop w:val="86"/>
          <w:marBottom w:val="0"/>
          <w:divBdr>
            <w:top w:val="none" w:sz="0" w:space="0" w:color="auto"/>
            <w:left w:val="none" w:sz="0" w:space="0" w:color="auto"/>
            <w:bottom w:val="none" w:sz="0" w:space="0" w:color="auto"/>
            <w:right w:val="none" w:sz="0" w:space="0" w:color="auto"/>
          </w:divBdr>
        </w:div>
      </w:divsChild>
    </w:div>
    <w:div w:id="1936280437">
      <w:bodyDiv w:val="1"/>
      <w:marLeft w:val="0"/>
      <w:marRight w:val="0"/>
      <w:marTop w:val="0"/>
      <w:marBottom w:val="0"/>
      <w:divBdr>
        <w:top w:val="none" w:sz="0" w:space="0" w:color="auto"/>
        <w:left w:val="none" w:sz="0" w:space="0" w:color="auto"/>
        <w:bottom w:val="none" w:sz="0" w:space="0" w:color="auto"/>
        <w:right w:val="none" w:sz="0" w:space="0" w:color="auto"/>
      </w:divBdr>
    </w:div>
    <w:div w:id="1960798936">
      <w:bodyDiv w:val="1"/>
      <w:marLeft w:val="0"/>
      <w:marRight w:val="0"/>
      <w:marTop w:val="0"/>
      <w:marBottom w:val="0"/>
      <w:divBdr>
        <w:top w:val="none" w:sz="0" w:space="0" w:color="auto"/>
        <w:left w:val="none" w:sz="0" w:space="0" w:color="auto"/>
        <w:bottom w:val="none" w:sz="0" w:space="0" w:color="auto"/>
        <w:right w:val="none" w:sz="0" w:space="0" w:color="auto"/>
      </w:divBdr>
    </w:div>
    <w:div w:id="2006743430">
      <w:bodyDiv w:val="1"/>
      <w:marLeft w:val="0"/>
      <w:marRight w:val="0"/>
      <w:marTop w:val="0"/>
      <w:marBottom w:val="0"/>
      <w:divBdr>
        <w:top w:val="none" w:sz="0" w:space="0" w:color="auto"/>
        <w:left w:val="none" w:sz="0" w:space="0" w:color="auto"/>
        <w:bottom w:val="none" w:sz="0" w:space="0" w:color="auto"/>
        <w:right w:val="none" w:sz="0" w:space="0" w:color="auto"/>
      </w:divBdr>
      <w:divsChild>
        <w:div w:id="53282534">
          <w:marLeft w:val="547"/>
          <w:marRight w:val="0"/>
          <w:marTop w:val="115"/>
          <w:marBottom w:val="0"/>
          <w:divBdr>
            <w:top w:val="none" w:sz="0" w:space="0" w:color="auto"/>
            <w:left w:val="none" w:sz="0" w:space="0" w:color="auto"/>
            <w:bottom w:val="none" w:sz="0" w:space="0" w:color="auto"/>
            <w:right w:val="none" w:sz="0" w:space="0" w:color="auto"/>
          </w:divBdr>
        </w:div>
        <w:div w:id="801733997">
          <w:marLeft w:val="547"/>
          <w:marRight w:val="0"/>
          <w:marTop w:val="115"/>
          <w:marBottom w:val="0"/>
          <w:divBdr>
            <w:top w:val="none" w:sz="0" w:space="0" w:color="auto"/>
            <w:left w:val="none" w:sz="0" w:space="0" w:color="auto"/>
            <w:bottom w:val="none" w:sz="0" w:space="0" w:color="auto"/>
            <w:right w:val="none" w:sz="0" w:space="0" w:color="auto"/>
          </w:divBdr>
        </w:div>
        <w:div w:id="1419908351">
          <w:marLeft w:val="547"/>
          <w:marRight w:val="0"/>
          <w:marTop w:val="115"/>
          <w:marBottom w:val="0"/>
          <w:divBdr>
            <w:top w:val="none" w:sz="0" w:space="0" w:color="auto"/>
            <w:left w:val="none" w:sz="0" w:space="0" w:color="auto"/>
            <w:bottom w:val="none" w:sz="0" w:space="0" w:color="auto"/>
            <w:right w:val="none" w:sz="0" w:space="0" w:color="auto"/>
          </w:divBdr>
        </w:div>
      </w:divsChild>
    </w:div>
    <w:div w:id="2008441260">
      <w:bodyDiv w:val="1"/>
      <w:marLeft w:val="0"/>
      <w:marRight w:val="0"/>
      <w:marTop w:val="0"/>
      <w:marBottom w:val="0"/>
      <w:divBdr>
        <w:top w:val="none" w:sz="0" w:space="0" w:color="auto"/>
        <w:left w:val="none" w:sz="0" w:space="0" w:color="auto"/>
        <w:bottom w:val="none" w:sz="0" w:space="0" w:color="auto"/>
        <w:right w:val="none" w:sz="0" w:space="0" w:color="auto"/>
      </w:divBdr>
    </w:div>
    <w:div w:id="2023360128">
      <w:bodyDiv w:val="1"/>
      <w:marLeft w:val="0"/>
      <w:marRight w:val="0"/>
      <w:marTop w:val="0"/>
      <w:marBottom w:val="0"/>
      <w:divBdr>
        <w:top w:val="none" w:sz="0" w:space="0" w:color="auto"/>
        <w:left w:val="none" w:sz="0" w:space="0" w:color="auto"/>
        <w:bottom w:val="none" w:sz="0" w:space="0" w:color="auto"/>
        <w:right w:val="none" w:sz="0" w:space="0" w:color="auto"/>
      </w:divBdr>
    </w:div>
    <w:div w:id="2024941230">
      <w:bodyDiv w:val="1"/>
      <w:marLeft w:val="0"/>
      <w:marRight w:val="0"/>
      <w:marTop w:val="0"/>
      <w:marBottom w:val="0"/>
      <w:divBdr>
        <w:top w:val="none" w:sz="0" w:space="0" w:color="auto"/>
        <w:left w:val="none" w:sz="0" w:space="0" w:color="auto"/>
        <w:bottom w:val="none" w:sz="0" w:space="0" w:color="auto"/>
        <w:right w:val="none" w:sz="0" w:space="0" w:color="auto"/>
      </w:divBdr>
    </w:div>
    <w:div w:id="20666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Alger" TargetMode="External"/><Relationship Id="rId18" Type="http://schemas.openxmlformats.org/officeDocument/2006/relationships/hyperlink" Target="http://fr.wikipedia.org/wiki/Niger" TargetMode="External"/><Relationship Id="rId26" Type="http://schemas.openxmlformats.org/officeDocument/2006/relationships/chart" Target="charts/chart3.xml"/><Relationship Id="rId39" Type="http://schemas.openxmlformats.org/officeDocument/2006/relationships/hyperlink" Target="mailto:mohamed-oudris.benouali@undpaffiliates.org" TargetMode="External"/><Relationship Id="rId3" Type="http://schemas.openxmlformats.org/officeDocument/2006/relationships/styles" Target="styles.xml"/><Relationship Id="rId21" Type="http://schemas.openxmlformats.org/officeDocument/2006/relationships/hyperlink" Target="http://fr.wikipedia.org/wiki/Sahara_occidental" TargetMode="External"/><Relationship Id="rId34" Type="http://schemas.openxmlformats.org/officeDocument/2006/relationships/hyperlink" Target="mailto:ldaabi@unicef.org" TargetMode="External"/><Relationship Id="rId42" Type="http://schemas.openxmlformats.org/officeDocument/2006/relationships/hyperlink" Target="mailto:formesr@yahoo.fr" TargetMode="External"/><Relationship Id="rId47" Type="http://schemas.openxmlformats.org/officeDocument/2006/relationships/hyperlink" Target="mailto:mouhoubi_mourad@hotmail.fr" TargetMode="External"/><Relationship Id="rId50" Type="http://schemas.openxmlformats.org/officeDocument/2006/relationships/hyperlink" Target="mailto:%20Fdjehiche1962@yahoo.fr" TargetMode="External"/><Relationship Id="rId7" Type="http://schemas.openxmlformats.org/officeDocument/2006/relationships/footnotes" Target="footnotes.xml"/><Relationship Id="rId12" Type="http://schemas.openxmlformats.org/officeDocument/2006/relationships/hyperlink" Target="http://fr.wikipedia.org/wiki/Afrique" TargetMode="External"/><Relationship Id="rId17" Type="http://schemas.openxmlformats.org/officeDocument/2006/relationships/hyperlink" Target="http://fr.wikipedia.org/wiki/Libye" TargetMode="External"/><Relationship Id="rId25" Type="http://schemas.openxmlformats.org/officeDocument/2006/relationships/chart" Target="charts/chart2.xml"/><Relationship Id="rId33" Type="http://schemas.openxmlformats.org/officeDocument/2006/relationships/hyperlink" Target="mailto:zeddama@unaids.org" TargetMode="External"/><Relationship Id="rId38" Type="http://schemas.openxmlformats.org/officeDocument/2006/relationships/hyperlink" Target="mailto:medjbeurnabila@yahoo.fr" TargetMode="External"/><Relationship Id="rId46" Type="http://schemas.openxmlformats.org/officeDocument/2006/relationships/hyperlink" Target="mailto:mounaplan@yahoo.fr" TargetMode="External"/><Relationship Id="rId2" Type="http://schemas.openxmlformats.org/officeDocument/2006/relationships/numbering" Target="numbering.xml"/><Relationship Id="rId16" Type="http://schemas.openxmlformats.org/officeDocument/2006/relationships/hyperlink" Target="http://fr.wikipedia.org/wiki/Tunisie" TargetMode="External"/><Relationship Id="rId20" Type="http://schemas.openxmlformats.org/officeDocument/2006/relationships/hyperlink" Target="http://fr.wikipedia.org/wiki/Mauritanie" TargetMode="External"/><Relationship Id="rId29" Type="http://schemas.openxmlformats.org/officeDocument/2006/relationships/hyperlink" Target="mailto:Eduardo.lopez-mancisidor@undp.org" TargetMode="External"/><Relationship Id="rId41" Type="http://schemas.openxmlformats.org/officeDocument/2006/relationships/hyperlink" Target="mailto:chergou@yahoo.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chart" Target="charts/chart1.xml"/><Relationship Id="rId32" Type="http://schemas.openxmlformats.org/officeDocument/2006/relationships/hyperlink" Target="mailto:benyounes@ilo.org" TargetMode="External"/><Relationship Id="rId37" Type="http://schemas.openxmlformats.org/officeDocument/2006/relationships/hyperlink" Target="mailto:karmenmimi@yahoo.fr" TargetMode="External"/><Relationship Id="rId40" Type="http://schemas.openxmlformats.org/officeDocument/2006/relationships/hyperlink" Target="mailto:mloukriz@yahoo.fr" TargetMode="External"/><Relationship Id="rId45" Type="http://schemas.openxmlformats.org/officeDocument/2006/relationships/hyperlink" Target="mailto:benchaouilatifa@yahoo.fr"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r.wikipedia.org/wiki/Alg%C3%A9rie" TargetMode="External"/><Relationship Id="rId23" Type="http://schemas.openxmlformats.org/officeDocument/2006/relationships/hyperlink" Target="http://fr.wikipedia.org/wiki/Empire_colonial_fran%C3%A7ais" TargetMode="External"/><Relationship Id="rId28" Type="http://schemas.openxmlformats.org/officeDocument/2006/relationships/image" Target="media/image2.png"/><Relationship Id="rId36" Type="http://schemas.openxmlformats.org/officeDocument/2006/relationships/hyperlink" Target="mailto:faridas18@hotmail.com" TargetMode="External"/><Relationship Id="rId49" Type="http://schemas.openxmlformats.org/officeDocument/2006/relationships/hyperlink" Target="mailto:Benhabiles_nassima@yahoo.fr" TargetMode="External"/><Relationship Id="rId10" Type="http://schemas.openxmlformats.org/officeDocument/2006/relationships/footer" Target="footer1.xml"/><Relationship Id="rId19" Type="http://schemas.openxmlformats.org/officeDocument/2006/relationships/hyperlink" Target="http://fr.wikipedia.org/wiki/Mali" TargetMode="External"/><Relationship Id="rId31" Type="http://schemas.openxmlformats.org/officeDocument/2006/relationships/hyperlink" Target="mailto:omrane@unfpa.org" TargetMode="External"/><Relationship Id="rId44" Type="http://schemas.openxmlformats.org/officeDocument/2006/relationships/hyperlink" Target="mailto:moumenouahiba@yahoo.fr"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fr.wikipedia.org/wiki/M%C3%A9diterran%C3%A9enne" TargetMode="External"/><Relationship Id="rId22" Type="http://schemas.openxmlformats.org/officeDocument/2006/relationships/hyperlink" Target="http://fr.wikipedia.org/wiki/Maroc" TargetMode="External"/><Relationship Id="rId27" Type="http://schemas.openxmlformats.org/officeDocument/2006/relationships/hyperlink" Target="http://www.dz.undp.org/Projets_Cooperation/projets_PNUD/devinfo.html" TargetMode="External"/><Relationship Id="rId30" Type="http://schemas.openxmlformats.org/officeDocument/2006/relationships/hyperlink" Target="mailto:Imane.hayef@unifem.org" TargetMode="External"/><Relationship Id="rId35" Type="http://schemas.openxmlformats.org/officeDocument/2006/relationships/hyperlink" Target="mailto:okkarama@yahoo.fr" TargetMode="External"/><Relationship Id="rId43" Type="http://schemas.openxmlformats.org/officeDocument/2006/relationships/hyperlink" Target="mailto:m.larid@mesrs.dz" TargetMode="External"/><Relationship Id="rId48" Type="http://schemas.openxmlformats.org/officeDocument/2006/relationships/hyperlink" Target="mailto:kaitoub@hotmail.com" TargetMode="External"/><Relationship Id="rId8" Type="http://schemas.openxmlformats.org/officeDocument/2006/relationships/endnotes" Target="endnotes.xml"/><Relationship Id="rId51" Type="http://schemas.openxmlformats.org/officeDocument/2006/relationships/hyperlink" Target="mailto:lakehal@ons.dz"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900"/>
              <a:t>Le budget total, les transferts et les dépenses</a:t>
            </a:r>
          </a:p>
          <a:p>
            <a:pPr>
              <a:defRPr/>
            </a:pPr>
            <a:r>
              <a:rPr lang="en-US" sz="800" b="0" i="1"/>
              <a:t>(au 31/12/2011)</a:t>
            </a:r>
          </a:p>
        </c:rich>
      </c:tx>
      <c:layout>
        <c:manualLayout>
          <c:xMode val="edge"/>
          <c:yMode val="edge"/>
          <c:x val="0.13108517685289345"/>
          <c:y val="4.7769447145800024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283180355880173"/>
          <c:y val="0.28227471566054252"/>
          <c:w val="0.85716819644119846"/>
          <c:h val="0.52440300225629688"/>
        </c:manualLayout>
      </c:layout>
      <c:bar3DChart>
        <c:barDir val="col"/>
        <c:grouping val="clustered"/>
        <c:varyColors val="0"/>
        <c:ser>
          <c:idx val="0"/>
          <c:order val="0"/>
          <c:tx>
            <c:strRef>
              <c:f>Tabelle1!$J$12</c:f>
              <c:strCache>
                <c:ptCount val="1"/>
              </c:strCache>
            </c:strRef>
          </c:tx>
          <c:invertIfNegative val="0"/>
          <c:dPt>
            <c:idx val="0"/>
            <c:invertIfNegative val="0"/>
            <c:bubble3D val="0"/>
            <c:spPr>
              <a:pattFill prst="ltDnDiag">
                <a:fgClr>
                  <a:schemeClr val="accent6"/>
                </a:fgClr>
                <a:bgClr>
                  <a:schemeClr val="bg1"/>
                </a:bgClr>
              </a:pattFill>
            </c:spPr>
          </c:dPt>
          <c:dPt>
            <c:idx val="1"/>
            <c:invertIfNegative val="0"/>
            <c:bubble3D val="0"/>
            <c:spPr>
              <a:pattFill prst="solidDmnd">
                <a:fgClr>
                  <a:schemeClr val="accent4">
                    <a:lumMod val="60000"/>
                    <a:lumOff val="40000"/>
                  </a:schemeClr>
                </a:fgClr>
                <a:bgClr>
                  <a:schemeClr val="bg1"/>
                </a:bgClr>
              </a:pattFill>
            </c:spPr>
          </c:dPt>
          <c:dPt>
            <c:idx val="2"/>
            <c:invertIfNegative val="0"/>
            <c:bubble3D val="0"/>
            <c:spPr>
              <a:solidFill>
                <a:schemeClr val="accent6">
                  <a:lumMod val="40000"/>
                  <a:lumOff val="60000"/>
                </a:schemeClr>
              </a:solidFill>
            </c:spPr>
          </c:dPt>
          <c:dLbls>
            <c:dLbl>
              <c:idx val="0"/>
              <c:layout>
                <c:manualLayout>
                  <c:x val="2.1276601685542448E-2"/>
                  <c:y val="-1.5936254980079678E-2"/>
                </c:manualLayout>
              </c:layout>
              <c:showLegendKey val="0"/>
              <c:showVal val="1"/>
              <c:showCatName val="0"/>
              <c:showSerName val="0"/>
              <c:showPercent val="0"/>
              <c:showBubbleSize val="0"/>
            </c:dLbl>
            <c:dLbl>
              <c:idx val="1"/>
              <c:layout>
                <c:manualLayout>
                  <c:x val="2.1276601685542448E-2"/>
                  <c:y val="-2.6560424966799466E-2"/>
                </c:manualLayout>
              </c:layout>
              <c:showLegendKey val="0"/>
              <c:showVal val="1"/>
              <c:showCatName val="0"/>
              <c:showSerName val="0"/>
              <c:showPercent val="0"/>
              <c:showBubbleSize val="0"/>
            </c:dLbl>
            <c:dLbl>
              <c:idx val="2"/>
              <c:layout>
                <c:manualLayout>
                  <c:x val="4.2553203371084876E-2"/>
                  <c:y val="-3.1872509960159376E-2"/>
                </c:manualLayout>
              </c:layout>
              <c:showLegendKey val="0"/>
              <c:showVal val="1"/>
              <c:showCatName val="0"/>
              <c:showSerName val="0"/>
              <c:showPercent val="0"/>
              <c:showBubbleSize val="0"/>
            </c:dLbl>
            <c:txPr>
              <a:bodyPr/>
              <a:lstStyle/>
              <a:p>
                <a:pPr>
                  <a:defRPr sz="800" b="1" i="0"/>
                </a:pPr>
                <a:endParaRPr lang="en-US"/>
              </a:p>
            </c:txPr>
            <c:showLegendKey val="0"/>
            <c:showVal val="1"/>
            <c:showCatName val="0"/>
            <c:showSerName val="0"/>
            <c:showPercent val="0"/>
            <c:showBubbleSize val="0"/>
            <c:showLeaderLines val="0"/>
          </c:dLbls>
          <c:cat>
            <c:strRef>
              <c:f>(Tabelle1!$K$3:$L$4,Tabelle1!$N$3:$N$4)</c:f>
              <c:strCache>
                <c:ptCount val="3"/>
                <c:pt idx="0">
                  <c:v>Le budget alloué</c:v>
                </c:pt>
                <c:pt idx="1">
                  <c:v>Les transferts  (1ère tranche)</c:v>
                </c:pt>
                <c:pt idx="2">
                  <c:v>Total dépenses</c:v>
                </c:pt>
              </c:strCache>
            </c:strRef>
          </c:cat>
          <c:val>
            <c:numRef>
              <c:f>(Tabelle1!$K$12:$L$12,Tabelle1!$N$12)</c:f>
              <c:numCache>
                <c:formatCode>_(* #,##0_);_(* \(#,##0\);_(* "-"_);_(@_)</c:formatCode>
                <c:ptCount val="3"/>
                <c:pt idx="0">
                  <c:v>3644740</c:v>
                </c:pt>
                <c:pt idx="1">
                  <c:v>1223837</c:v>
                </c:pt>
                <c:pt idx="2">
                  <c:v>365208</c:v>
                </c:pt>
              </c:numCache>
            </c:numRef>
          </c:val>
        </c:ser>
        <c:dLbls>
          <c:showLegendKey val="0"/>
          <c:showVal val="1"/>
          <c:showCatName val="0"/>
          <c:showSerName val="0"/>
          <c:showPercent val="0"/>
          <c:showBubbleSize val="0"/>
        </c:dLbls>
        <c:gapWidth val="150"/>
        <c:shape val="box"/>
        <c:axId val="106534400"/>
        <c:axId val="106538496"/>
        <c:axId val="0"/>
      </c:bar3DChart>
      <c:catAx>
        <c:axId val="106534400"/>
        <c:scaling>
          <c:orientation val="minMax"/>
        </c:scaling>
        <c:delete val="0"/>
        <c:axPos val="b"/>
        <c:majorTickMark val="out"/>
        <c:minorTickMark val="none"/>
        <c:tickLblPos val="nextTo"/>
        <c:txPr>
          <a:bodyPr/>
          <a:lstStyle/>
          <a:p>
            <a:pPr>
              <a:defRPr sz="800" b="0" i="1"/>
            </a:pPr>
            <a:endParaRPr lang="en-US"/>
          </a:p>
        </c:txPr>
        <c:crossAx val="106538496"/>
        <c:crossesAt val="0"/>
        <c:auto val="1"/>
        <c:lblAlgn val="ctr"/>
        <c:lblOffset val="100"/>
        <c:noMultiLvlLbl val="0"/>
      </c:catAx>
      <c:valAx>
        <c:axId val="106538496"/>
        <c:scaling>
          <c:orientation val="minMax"/>
          <c:max val="3700000"/>
          <c:min val="0"/>
        </c:scaling>
        <c:delete val="0"/>
        <c:axPos val="l"/>
        <c:majorGridlines>
          <c:spPr>
            <a:ln>
              <a:noFill/>
            </a:ln>
          </c:spPr>
        </c:majorGridlines>
        <c:title>
          <c:tx>
            <c:rich>
              <a:bodyPr rot="-5400000" vert="horz"/>
              <a:lstStyle/>
              <a:p>
                <a:pPr>
                  <a:defRPr sz="800"/>
                </a:pPr>
                <a:r>
                  <a:rPr lang="en-US" sz="800"/>
                  <a:t>USD</a:t>
                </a:r>
              </a:p>
            </c:rich>
          </c:tx>
          <c:layout>
            <c:manualLayout>
              <c:xMode val="edge"/>
              <c:yMode val="edge"/>
              <c:x val="1.7176128093158667E-2"/>
              <c:y val="0.39696019753311196"/>
            </c:manualLayout>
          </c:layout>
          <c:overlay val="0"/>
        </c:title>
        <c:numFmt formatCode="0" sourceLinked="0"/>
        <c:majorTickMark val="in"/>
        <c:minorTickMark val="none"/>
        <c:tickLblPos val="nextTo"/>
        <c:txPr>
          <a:bodyPr/>
          <a:lstStyle/>
          <a:p>
            <a:pPr>
              <a:defRPr sz="700"/>
            </a:pPr>
            <a:endParaRPr lang="en-US"/>
          </a:p>
        </c:txPr>
        <c:crossAx val="106534400"/>
        <c:crosses val="autoZero"/>
        <c:crossBetween val="between"/>
        <c:majorUnit val="500000"/>
        <c:minorUnit val="200000"/>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latin typeface="+mn-lt"/>
              </a:defRPr>
            </a:pPr>
            <a:r>
              <a:rPr lang="en-US" sz="800">
                <a:latin typeface="+mn-lt"/>
              </a:rPr>
              <a:t>Evolution</a:t>
            </a:r>
            <a:r>
              <a:rPr lang="en-US" sz="800" baseline="0">
                <a:latin typeface="+mn-lt"/>
              </a:rPr>
              <a:t> des </a:t>
            </a:r>
            <a:r>
              <a:rPr lang="en-US" sz="800">
                <a:latin typeface="+mn-lt"/>
              </a:rPr>
              <a:t>engagements et des d</a:t>
            </a:r>
            <a:r>
              <a:rPr lang="en-US" sz="800">
                <a:latin typeface="+mn-lt"/>
                <a:cs typeface="Calibri"/>
              </a:rPr>
              <a:t>é</a:t>
            </a:r>
            <a:r>
              <a:rPr lang="en-US" sz="800">
                <a:latin typeface="+mn-lt"/>
              </a:rPr>
              <a:t>penses</a:t>
            </a:r>
          </a:p>
          <a:p>
            <a:pPr>
              <a:defRPr sz="900">
                <a:latin typeface="+mn-lt"/>
              </a:defRPr>
            </a:pPr>
            <a:r>
              <a:rPr lang="en-US" sz="800" b="0" i="1">
                <a:latin typeface="+mn-lt"/>
              </a:rPr>
              <a:t>(</a:t>
            </a:r>
            <a:r>
              <a:rPr lang="en-US" sz="700" b="0" i="1">
                <a:latin typeface="+mn-lt"/>
              </a:rPr>
              <a:t>D</a:t>
            </a:r>
            <a:r>
              <a:rPr lang="en-US" sz="700" b="0" i="1">
                <a:latin typeface="Calibri"/>
                <a:cs typeface="Calibri"/>
              </a:rPr>
              <a:t>éc. 2010-déc. 2011)</a:t>
            </a:r>
            <a:endParaRPr lang="en-US" sz="700" b="0" i="1">
              <a:latin typeface="+mn-lt"/>
            </a:endParaRPr>
          </a:p>
        </c:rich>
      </c:tx>
      <c:overlay val="1"/>
    </c:title>
    <c:autoTitleDeleted val="0"/>
    <c:plotArea>
      <c:layout>
        <c:manualLayout>
          <c:layoutTarget val="inner"/>
          <c:xMode val="edge"/>
          <c:yMode val="edge"/>
          <c:x val="0.11756058881715029"/>
          <c:y val="0.22988138352142196"/>
          <c:w val="0.78849303624478273"/>
          <c:h val="0.64962633487607979"/>
        </c:manualLayout>
      </c:layout>
      <c:lineChart>
        <c:grouping val="standard"/>
        <c:varyColors val="0"/>
        <c:ser>
          <c:idx val="0"/>
          <c:order val="0"/>
          <c:tx>
            <c:strRef>
              <c:f>Tabelle1!$M$3</c:f>
              <c:strCache>
                <c:ptCount val="1"/>
                <c:pt idx="0">
                  <c:v>Les engagements</c:v>
                </c:pt>
              </c:strCache>
            </c:strRef>
          </c:tx>
          <c:cat>
            <c:strRef>
              <c:f>Tabelle1!$R$4:$V$4</c:f>
              <c:strCache>
                <c:ptCount val="5"/>
                <c:pt idx="0">
                  <c:v>Déc. 2010</c:v>
                </c:pt>
                <c:pt idx="1">
                  <c:v>Mars 2011</c:v>
                </c:pt>
                <c:pt idx="2">
                  <c:v>Juin 2011</c:v>
                </c:pt>
                <c:pt idx="3">
                  <c:v>Oct. 2011</c:v>
                </c:pt>
                <c:pt idx="4">
                  <c:v>Déc. 2011</c:v>
                </c:pt>
              </c:strCache>
            </c:strRef>
          </c:cat>
          <c:val>
            <c:numRef>
              <c:f>Tabelle1!$M$12:$Q$12</c:f>
              <c:numCache>
                <c:formatCode>_(* #,##0_);_(* \(#,##0\);_(* "-"_);_(@_)</c:formatCode>
                <c:ptCount val="5"/>
                <c:pt idx="0">
                  <c:v>6346</c:v>
                </c:pt>
                <c:pt idx="1">
                  <c:v>22000</c:v>
                </c:pt>
                <c:pt idx="2">
                  <c:v>203804</c:v>
                </c:pt>
                <c:pt idx="3">
                  <c:v>358225</c:v>
                </c:pt>
                <c:pt idx="4">
                  <c:v>365208</c:v>
                </c:pt>
              </c:numCache>
            </c:numRef>
          </c:val>
          <c:smooth val="0"/>
        </c:ser>
        <c:ser>
          <c:idx val="1"/>
          <c:order val="1"/>
          <c:tx>
            <c:strRef>
              <c:f>Tabelle1!$R$3</c:f>
              <c:strCache>
                <c:ptCount val="1"/>
                <c:pt idx="0">
                  <c:v>Les dépenses</c:v>
                </c:pt>
              </c:strCache>
            </c:strRef>
          </c:tx>
          <c:dLbls>
            <c:txPr>
              <a:bodyPr/>
              <a:lstStyle/>
              <a:p>
                <a:pPr>
                  <a:defRPr sz="800"/>
                </a:pPr>
                <a:endParaRPr lang="en-US"/>
              </a:p>
            </c:txPr>
            <c:dLblPos val="t"/>
            <c:showLegendKey val="0"/>
            <c:showVal val="1"/>
            <c:showCatName val="0"/>
            <c:showSerName val="0"/>
            <c:showPercent val="0"/>
            <c:showBubbleSize val="0"/>
            <c:showLeaderLines val="0"/>
          </c:dLbls>
          <c:cat>
            <c:strRef>
              <c:f>Tabelle1!$R$4:$V$4</c:f>
              <c:strCache>
                <c:ptCount val="5"/>
                <c:pt idx="0">
                  <c:v>Déc. 2010</c:v>
                </c:pt>
                <c:pt idx="1">
                  <c:v>Mars 2011</c:v>
                </c:pt>
                <c:pt idx="2">
                  <c:v>Juin 2011</c:v>
                </c:pt>
                <c:pt idx="3">
                  <c:v>Oct. 2011</c:v>
                </c:pt>
                <c:pt idx="4">
                  <c:v>Déc. 2011</c:v>
                </c:pt>
              </c:strCache>
            </c:strRef>
          </c:cat>
          <c:val>
            <c:numRef>
              <c:f>Tabelle1!$R$12:$V$12</c:f>
              <c:numCache>
                <c:formatCode>_(* #,##0_);_(* \(#,##0\);_(* "-"_);_(@_)</c:formatCode>
                <c:ptCount val="5"/>
                <c:pt idx="0">
                  <c:v>62984</c:v>
                </c:pt>
                <c:pt idx="1">
                  <c:v>106271</c:v>
                </c:pt>
                <c:pt idx="2">
                  <c:v>152422</c:v>
                </c:pt>
                <c:pt idx="3">
                  <c:v>354533</c:v>
                </c:pt>
                <c:pt idx="4">
                  <c:v>365208</c:v>
                </c:pt>
              </c:numCache>
            </c:numRef>
          </c:val>
          <c:smooth val="0"/>
        </c:ser>
        <c:dLbls>
          <c:showLegendKey val="0"/>
          <c:showVal val="0"/>
          <c:showCatName val="0"/>
          <c:showSerName val="0"/>
          <c:showPercent val="0"/>
          <c:showBubbleSize val="0"/>
        </c:dLbls>
        <c:marker val="1"/>
        <c:smooth val="0"/>
        <c:axId val="103381632"/>
        <c:axId val="107491712"/>
      </c:lineChart>
      <c:catAx>
        <c:axId val="103381632"/>
        <c:scaling>
          <c:orientation val="minMax"/>
        </c:scaling>
        <c:delete val="0"/>
        <c:axPos val="b"/>
        <c:numFmt formatCode="General" sourceLinked="1"/>
        <c:majorTickMark val="out"/>
        <c:minorTickMark val="none"/>
        <c:tickLblPos val="nextTo"/>
        <c:txPr>
          <a:bodyPr/>
          <a:lstStyle/>
          <a:p>
            <a:pPr>
              <a:defRPr sz="800"/>
            </a:pPr>
            <a:endParaRPr lang="en-US"/>
          </a:p>
        </c:txPr>
        <c:crossAx val="107491712"/>
        <c:crosses val="autoZero"/>
        <c:auto val="1"/>
        <c:lblAlgn val="ctr"/>
        <c:lblOffset val="100"/>
        <c:noMultiLvlLbl val="0"/>
      </c:catAx>
      <c:valAx>
        <c:axId val="107491712"/>
        <c:scaling>
          <c:orientation val="minMax"/>
        </c:scaling>
        <c:delete val="0"/>
        <c:axPos val="l"/>
        <c:majorGridlines>
          <c:spPr>
            <a:ln>
              <a:noFill/>
            </a:ln>
          </c:spPr>
        </c:majorGridlines>
        <c:title>
          <c:tx>
            <c:rich>
              <a:bodyPr rot="-5400000" vert="horz"/>
              <a:lstStyle/>
              <a:p>
                <a:pPr>
                  <a:defRPr/>
                </a:pPr>
                <a:r>
                  <a:rPr lang="en-US"/>
                  <a:t>USD</a:t>
                </a:r>
              </a:p>
            </c:rich>
          </c:tx>
          <c:overlay val="0"/>
        </c:title>
        <c:numFmt formatCode="_(* #,##0_);_(* \(#,##0\);_(* &quot;-&quot;_);_(@_)" sourceLinked="1"/>
        <c:majorTickMark val="out"/>
        <c:minorTickMark val="none"/>
        <c:tickLblPos val="nextTo"/>
        <c:txPr>
          <a:bodyPr/>
          <a:lstStyle/>
          <a:p>
            <a:pPr>
              <a:defRPr sz="700"/>
            </a:pPr>
            <a:endParaRPr lang="en-US"/>
          </a:p>
        </c:txPr>
        <c:crossAx val="103381632"/>
        <c:crosses val="autoZero"/>
        <c:crossBetween val="between"/>
      </c:valAx>
    </c:plotArea>
    <c:legend>
      <c:legendPos val="r"/>
      <c:layout>
        <c:manualLayout>
          <c:xMode val="edge"/>
          <c:yMode val="edge"/>
          <c:x val="0.64129509546600816"/>
          <c:y val="0.62631564184247968"/>
          <c:w val="0.33755365138181281"/>
          <c:h val="0.15656196728978175"/>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US" sz="800"/>
              <a:t>Taux d'ex</a:t>
            </a:r>
            <a:r>
              <a:rPr lang="en-US" sz="800">
                <a:latin typeface="Calibri"/>
                <a:cs typeface="Calibri"/>
              </a:rPr>
              <a:t>é</a:t>
            </a:r>
            <a:r>
              <a:rPr lang="en-US" sz="800"/>
              <a:t>cution budg</a:t>
            </a:r>
            <a:r>
              <a:rPr lang="en-US" sz="800">
                <a:latin typeface="Calibri"/>
                <a:cs typeface="Calibri"/>
              </a:rPr>
              <a:t>é</a:t>
            </a:r>
            <a:r>
              <a:rPr lang="en-US" sz="800"/>
              <a:t>taire</a:t>
            </a:r>
          </a:p>
          <a:p>
            <a:pPr>
              <a:defRPr sz="800"/>
            </a:pPr>
            <a:r>
              <a:rPr lang="en-US" sz="800" b="0" i="1"/>
              <a:t>(au 31.12.11) </a:t>
            </a:r>
          </a:p>
        </c:rich>
      </c:tx>
      <c:layout>
        <c:manualLayout>
          <c:xMode val="edge"/>
          <c:yMode val="edge"/>
          <c:x val="0.23682303977082553"/>
          <c:y val="4.7109020555074418E-2"/>
        </c:manualLayout>
      </c:layout>
      <c:overlay val="1"/>
    </c:title>
    <c:autoTitleDeleted val="0"/>
    <c:plotArea>
      <c:layout>
        <c:manualLayout>
          <c:layoutTarget val="inner"/>
          <c:xMode val="edge"/>
          <c:yMode val="edge"/>
          <c:x val="0.11495744100248795"/>
          <c:y val="0.30500691562932242"/>
          <c:w val="0.61173651029188592"/>
          <c:h val="0.38651855240086702"/>
        </c:manualLayout>
      </c:layout>
      <c:barChart>
        <c:barDir val="col"/>
        <c:grouping val="clustered"/>
        <c:varyColors val="0"/>
        <c:ser>
          <c:idx val="0"/>
          <c:order val="0"/>
          <c:tx>
            <c:strRef>
              <c:f>Tabelle1!$Y$3:$Y$4</c:f>
              <c:strCache>
                <c:ptCount val="1"/>
                <c:pt idx="0">
                  <c:v>% engagé</c:v>
                </c:pt>
              </c:strCache>
            </c:strRef>
          </c:tx>
          <c:spPr>
            <a:pattFill prst="ltHorz">
              <a:fgClr>
                <a:schemeClr val="accent1"/>
              </a:fgClr>
              <a:bgClr>
                <a:schemeClr val="bg1"/>
              </a:bgClr>
            </a:pattFill>
            <a:ln>
              <a:gradFill>
                <a:gsLst>
                  <a:gs pos="0">
                    <a:schemeClr val="tx2"/>
                  </a:gs>
                  <a:gs pos="50000">
                    <a:schemeClr val="accent1">
                      <a:tint val="44500"/>
                      <a:satMod val="160000"/>
                    </a:schemeClr>
                  </a:gs>
                  <a:gs pos="100000">
                    <a:schemeClr val="accent1">
                      <a:tint val="23500"/>
                      <a:satMod val="160000"/>
                    </a:schemeClr>
                  </a:gs>
                </a:gsLst>
                <a:lin ang="5400000" scaled="0"/>
              </a:gradFill>
            </a:ln>
          </c:spPr>
          <c:invertIfNegative val="0"/>
          <c:dLbls>
            <c:txPr>
              <a:bodyPr/>
              <a:lstStyle/>
              <a:p>
                <a:pPr>
                  <a:defRPr sz="800" b="1"/>
                </a:pPr>
                <a:endParaRPr lang="en-US"/>
              </a:p>
            </c:txPr>
            <c:dLblPos val="outEnd"/>
            <c:showLegendKey val="0"/>
            <c:showVal val="1"/>
            <c:showCatName val="0"/>
            <c:showSerName val="0"/>
            <c:showPercent val="0"/>
            <c:showBubbleSize val="0"/>
            <c:showLeaderLines val="0"/>
          </c:dLbls>
          <c:cat>
            <c:strRef>
              <c:f>Tabelle1!$J$5:$J$11</c:f>
              <c:strCache>
                <c:ptCount val="7"/>
                <c:pt idx="0">
                  <c:v>PNUD</c:v>
                </c:pt>
                <c:pt idx="1">
                  <c:v>ONUFEMMES</c:v>
                </c:pt>
                <c:pt idx="2">
                  <c:v>BIT</c:v>
                </c:pt>
                <c:pt idx="3">
                  <c:v>UNFPA</c:v>
                </c:pt>
                <c:pt idx="4">
                  <c:v>UNICEF</c:v>
                </c:pt>
                <c:pt idx="5">
                  <c:v>ONUSIDA</c:v>
                </c:pt>
                <c:pt idx="6">
                  <c:v>ONUDI</c:v>
                </c:pt>
              </c:strCache>
            </c:strRef>
          </c:cat>
          <c:val>
            <c:numRef>
              <c:f>Tabelle1!$Y$5:$Y$11</c:f>
              <c:numCache>
                <c:formatCode>0%</c:formatCode>
                <c:ptCount val="7"/>
                <c:pt idx="0">
                  <c:v>0.35258665479106371</c:v>
                </c:pt>
                <c:pt idx="1">
                  <c:v>0.48070683091963889</c:v>
                </c:pt>
                <c:pt idx="2">
                  <c:v>2.4380333197887037E-2</c:v>
                </c:pt>
                <c:pt idx="3">
                  <c:v>0.22881082823074439</c:v>
                </c:pt>
                <c:pt idx="5">
                  <c:v>1</c:v>
                </c:pt>
              </c:numCache>
            </c:numRef>
          </c:val>
        </c:ser>
        <c:ser>
          <c:idx val="1"/>
          <c:order val="1"/>
          <c:tx>
            <c:strRef>
              <c:f>Tabelle1!$Z$3:$Z$4</c:f>
              <c:strCache>
                <c:ptCount val="1"/>
                <c:pt idx="0">
                  <c:v>% dépensé</c:v>
                </c:pt>
              </c:strCache>
            </c:strRef>
          </c:tx>
          <c:spPr>
            <a:pattFill prst="solidDmnd">
              <a:fgClr>
                <a:schemeClr val="accent1"/>
              </a:fgClr>
              <a:bgClr>
                <a:schemeClr val="bg1"/>
              </a:bgClr>
            </a:pattFill>
          </c:spPr>
          <c:invertIfNegative val="0"/>
          <c:dLbls>
            <c:delete val="1"/>
          </c:dLbls>
          <c:cat>
            <c:strRef>
              <c:f>Tabelle1!$J$5:$J$11</c:f>
              <c:strCache>
                <c:ptCount val="7"/>
                <c:pt idx="0">
                  <c:v>PNUD</c:v>
                </c:pt>
                <c:pt idx="1">
                  <c:v>ONUFEMMES</c:v>
                </c:pt>
                <c:pt idx="2">
                  <c:v>BIT</c:v>
                </c:pt>
                <c:pt idx="3">
                  <c:v>UNFPA</c:v>
                </c:pt>
                <c:pt idx="4">
                  <c:v>UNICEF</c:v>
                </c:pt>
                <c:pt idx="5">
                  <c:v>ONUSIDA</c:v>
                </c:pt>
                <c:pt idx="6">
                  <c:v>ONUDI</c:v>
                </c:pt>
              </c:strCache>
            </c:strRef>
          </c:cat>
          <c:val>
            <c:numRef>
              <c:f>Tabelle1!$Z$5:$Z$11</c:f>
              <c:numCache>
                <c:formatCode>0%</c:formatCode>
                <c:ptCount val="7"/>
                <c:pt idx="0">
                  <c:v>0.35258665479106371</c:v>
                </c:pt>
                <c:pt idx="1">
                  <c:v>0.48070683091963889</c:v>
                </c:pt>
                <c:pt idx="2">
                  <c:v>2.4380333197887037E-2</c:v>
                </c:pt>
                <c:pt idx="3">
                  <c:v>0.22881082823074439</c:v>
                </c:pt>
                <c:pt idx="5">
                  <c:v>1</c:v>
                </c:pt>
              </c:numCache>
            </c:numRef>
          </c:val>
        </c:ser>
        <c:dLbls>
          <c:showLegendKey val="0"/>
          <c:showVal val="1"/>
          <c:showCatName val="0"/>
          <c:showSerName val="0"/>
          <c:showPercent val="0"/>
          <c:showBubbleSize val="0"/>
        </c:dLbls>
        <c:gapWidth val="150"/>
        <c:axId val="106870656"/>
        <c:axId val="106872192"/>
      </c:barChart>
      <c:catAx>
        <c:axId val="106870656"/>
        <c:scaling>
          <c:orientation val="minMax"/>
        </c:scaling>
        <c:delete val="0"/>
        <c:axPos val="b"/>
        <c:majorTickMark val="out"/>
        <c:minorTickMark val="none"/>
        <c:tickLblPos val="nextTo"/>
        <c:txPr>
          <a:bodyPr/>
          <a:lstStyle/>
          <a:p>
            <a:pPr>
              <a:defRPr sz="800" b="1"/>
            </a:pPr>
            <a:endParaRPr lang="en-US"/>
          </a:p>
        </c:txPr>
        <c:crossAx val="106872192"/>
        <c:crosses val="autoZero"/>
        <c:auto val="1"/>
        <c:lblAlgn val="ctr"/>
        <c:lblOffset val="100"/>
        <c:noMultiLvlLbl val="0"/>
      </c:catAx>
      <c:valAx>
        <c:axId val="106872192"/>
        <c:scaling>
          <c:orientation val="minMax"/>
          <c:max val="1"/>
        </c:scaling>
        <c:delete val="1"/>
        <c:axPos val="l"/>
        <c:majorGridlines>
          <c:spPr>
            <a:ln>
              <a:noFill/>
            </a:ln>
          </c:spPr>
        </c:majorGridlines>
        <c:numFmt formatCode="0%" sourceLinked="1"/>
        <c:majorTickMark val="out"/>
        <c:minorTickMark val="none"/>
        <c:tickLblPos val="none"/>
        <c:crossAx val="106870656"/>
        <c:crosses val="autoZero"/>
        <c:crossBetween val="between"/>
      </c:valAx>
      <c:spPr>
        <a:noFill/>
      </c:spPr>
    </c:plotArea>
    <c:legend>
      <c:legendPos val="r"/>
      <c:layout>
        <c:manualLayout>
          <c:xMode val="edge"/>
          <c:yMode val="edge"/>
          <c:x val="0.7196856298784059"/>
          <c:y val="0.47646799358413544"/>
          <c:w val="0.26324888434038585"/>
          <c:h val="0.16238407699037619"/>
        </c:manualLayout>
      </c:layout>
      <c:overlay val="0"/>
      <c:txPr>
        <a:bodyPr/>
        <a:lstStyle/>
        <a:p>
          <a:pPr>
            <a:defRPr sz="800" b="1"/>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44C7-BA55-4F47-BE9F-2908BA57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44471</Words>
  <Characters>253487</Characters>
  <Application>Microsoft Office Word</Application>
  <DocSecurity>0</DocSecurity>
  <Lines>2112</Lines>
  <Paragraphs>594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Hewlett-Packard</Company>
  <LinksUpToDate>false</LinksUpToDate>
  <CharactersWithSpaces>297364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Donnat</dc:creator>
  <cp:lastModifiedBy>Giuseppe Belsito</cp:lastModifiedBy>
  <cp:revision>2</cp:revision>
  <cp:lastPrinted>2012-05-10T07:38:00Z</cp:lastPrinted>
  <dcterms:created xsi:type="dcterms:W3CDTF">2012-07-05T14:12:00Z</dcterms:created>
  <dcterms:modified xsi:type="dcterms:W3CDTF">2012-07-05T14:12:00Z</dcterms:modified>
</cp:coreProperties>
</file>