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EE" w:rsidRPr="00092883" w:rsidRDefault="00FA3CEE" w:rsidP="00FA3CEE">
      <w:pPr>
        <w:pStyle w:val="Heading1"/>
      </w:pPr>
      <w:bookmarkStart w:id="0" w:name="_Toc342032936"/>
      <w:bookmarkStart w:id="1" w:name="_Toc342234886"/>
      <w:r w:rsidRPr="00092883">
        <w:t>LESSONS LEARNED</w:t>
      </w:r>
      <w:bookmarkEnd w:id="0"/>
      <w:bookmarkEnd w:id="1"/>
    </w:p>
    <w:p w:rsidR="00FA3CEE" w:rsidRDefault="00FA3CEE" w:rsidP="00FA3CEE">
      <w:pPr>
        <w:pStyle w:val="Heading2"/>
        <w:numPr>
          <w:ilvl w:val="1"/>
          <w:numId w:val="2"/>
        </w:numPr>
        <w:tabs>
          <w:tab w:val="clear" w:pos="851"/>
        </w:tabs>
        <w:ind w:left="709" w:hanging="709"/>
      </w:pPr>
      <w:bookmarkStart w:id="2" w:name="_Toc342038663"/>
      <w:bookmarkStart w:id="3" w:name="_Toc342038868"/>
      <w:bookmarkStart w:id="4" w:name="_Toc342039374"/>
      <w:bookmarkStart w:id="5" w:name="_Toc342039673"/>
      <w:bookmarkStart w:id="6" w:name="_Toc342040342"/>
      <w:bookmarkStart w:id="7" w:name="_Toc342040427"/>
      <w:bookmarkStart w:id="8" w:name="_Toc342041834"/>
      <w:bookmarkStart w:id="9" w:name="_Toc342032938"/>
      <w:bookmarkStart w:id="10" w:name="_Toc342234887"/>
      <w:bookmarkEnd w:id="2"/>
      <w:bookmarkEnd w:id="3"/>
      <w:bookmarkEnd w:id="4"/>
      <w:bookmarkEnd w:id="5"/>
      <w:bookmarkEnd w:id="6"/>
      <w:bookmarkEnd w:id="7"/>
      <w:bookmarkEnd w:id="8"/>
      <w:r w:rsidRPr="00F61C78">
        <w:t>Best Practices</w:t>
      </w:r>
      <w:bookmarkEnd w:id="9"/>
      <w:bookmarkEnd w:id="10"/>
    </w:p>
    <w:p w:rsidR="00FA3CEE" w:rsidRDefault="00FA3CEE" w:rsidP="00FA3CEE">
      <w:pPr>
        <w:widowControl/>
        <w:suppressAutoHyphens w:val="0"/>
        <w:jc w:val="both"/>
        <w:rPr>
          <w:lang w:val="en-GB"/>
        </w:rPr>
      </w:pPr>
      <w:r w:rsidRPr="00092883">
        <w:rPr>
          <w:lang w:val="en-GB"/>
        </w:rPr>
        <w:t>The Africa Adaptation Project Namibia has built a national foundation and fast tracked the Ministry of Environment and Tourism climate change adaptation priorities in terms of capacity building, policy formulation and testing of adaptive models and innovative practices. The following are some of the best practices emanat</w:t>
      </w:r>
      <w:r>
        <w:rPr>
          <w:lang w:val="en-GB"/>
        </w:rPr>
        <w:t>ing</w:t>
      </w:r>
      <w:r w:rsidRPr="00092883">
        <w:rPr>
          <w:lang w:val="en-GB"/>
        </w:rPr>
        <w:t xml:space="preserve"> from the project intervention towards climate change adaptation:  </w:t>
      </w:r>
    </w:p>
    <w:p w:rsidR="00FA3CEE" w:rsidRPr="00092883" w:rsidRDefault="00FA3CEE" w:rsidP="00FA3CEE">
      <w:pPr>
        <w:widowControl/>
        <w:suppressAutoHyphens w:val="0"/>
        <w:jc w:val="both"/>
        <w:rPr>
          <w:lang w:val="en-GB"/>
        </w:rPr>
      </w:pPr>
    </w:p>
    <w:p w:rsidR="00FA3CEE" w:rsidRPr="00092883" w:rsidRDefault="00FA3CEE" w:rsidP="00FA3CEE">
      <w:pPr>
        <w:widowControl/>
        <w:numPr>
          <w:ilvl w:val="0"/>
          <w:numId w:val="1"/>
        </w:numPr>
        <w:suppressAutoHyphens w:val="0"/>
        <w:jc w:val="both"/>
        <w:rPr>
          <w:lang w:val="en-GB"/>
        </w:rPr>
      </w:pPr>
      <w:r w:rsidRPr="00092883">
        <w:rPr>
          <w:lang w:val="en-GB"/>
        </w:rPr>
        <w:t xml:space="preserve">Threshold 21 (T21) a </w:t>
      </w:r>
      <w:r w:rsidRPr="00092883">
        <w:rPr>
          <w:lang w:val="en-GB" w:eastAsia="zh-CN"/>
        </w:rPr>
        <w:t xml:space="preserve">Systems Dynamics based model to support national development planning by integrating economic, social and environmental factors into a single framework highly embraced by </w:t>
      </w:r>
      <w:r>
        <w:rPr>
          <w:lang w:val="en-GB" w:eastAsia="zh-CN"/>
        </w:rPr>
        <w:t xml:space="preserve">the </w:t>
      </w:r>
      <w:r w:rsidRPr="00092883">
        <w:rPr>
          <w:lang w:val="en-GB"/>
        </w:rPr>
        <w:t xml:space="preserve">NPC designated host, </w:t>
      </w:r>
      <w:r>
        <w:rPr>
          <w:lang w:val="en-GB"/>
        </w:rPr>
        <w:t xml:space="preserve">the </w:t>
      </w:r>
      <w:r w:rsidRPr="00092883">
        <w:rPr>
          <w:lang w:val="en-GB"/>
        </w:rPr>
        <w:t xml:space="preserve">Ministry of Finance and </w:t>
      </w:r>
      <w:r>
        <w:rPr>
          <w:lang w:val="en-GB"/>
        </w:rPr>
        <w:t xml:space="preserve">the </w:t>
      </w:r>
      <w:r w:rsidRPr="00092883">
        <w:rPr>
          <w:lang w:val="en-GB"/>
        </w:rPr>
        <w:t>Bank of Namibia among others</w:t>
      </w:r>
      <w:r>
        <w:rPr>
          <w:lang w:val="en-GB"/>
        </w:rPr>
        <w:t>.</w:t>
      </w:r>
    </w:p>
    <w:p w:rsidR="00FA3CEE" w:rsidRDefault="00FA3CEE" w:rsidP="00FA3CEE">
      <w:pPr>
        <w:widowControl/>
        <w:suppressAutoHyphens w:val="0"/>
        <w:ind w:left="720"/>
        <w:jc w:val="both"/>
        <w:rPr>
          <w:lang w:val="en-GB"/>
        </w:rPr>
      </w:pPr>
    </w:p>
    <w:p w:rsidR="00FA3CEE" w:rsidRDefault="00FA3CEE" w:rsidP="00FA3CEE">
      <w:pPr>
        <w:widowControl/>
        <w:numPr>
          <w:ilvl w:val="0"/>
          <w:numId w:val="1"/>
        </w:numPr>
        <w:suppressAutoHyphens w:val="0"/>
        <w:jc w:val="both"/>
        <w:rPr>
          <w:lang w:val="en-GB"/>
        </w:rPr>
      </w:pPr>
      <w:r w:rsidRPr="00092883">
        <w:rPr>
          <w:lang w:val="en-GB"/>
        </w:rPr>
        <w:t>Cross-sectoral awareness</w:t>
      </w:r>
      <w:r>
        <w:rPr>
          <w:lang w:val="en-GB"/>
        </w:rPr>
        <w:t>-</w:t>
      </w:r>
      <w:r w:rsidRPr="00092883">
        <w:rPr>
          <w:lang w:val="en-GB"/>
        </w:rPr>
        <w:t>raising on climate change adaptation to schools and youth environmental club</w:t>
      </w:r>
      <w:r>
        <w:rPr>
          <w:lang w:val="en-GB"/>
        </w:rPr>
        <w:t>s</w:t>
      </w:r>
      <w:r w:rsidRPr="00092883">
        <w:rPr>
          <w:lang w:val="en-GB"/>
        </w:rPr>
        <w:t xml:space="preserve"> (learners participation </w:t>
      </w:r>
      <w:r>
        <w:rPr>
          <w:lang w:val="en-GB"/>
        </w:rPr>
        <w:t>in</w:t>
      </w:r>
      <w:r w:rsidRPr="00092883">
        <w:rPr>
          <w:lang w:val="en-GB"/>
        </w:rPr>
        <w:t xml:space="preserve"> CoP17, Durban, South Africa) and </w:t>
      </w:r>
      <w:r>
        <w:rPr>
          <w:lang w:val="en-GB"/>
        </w:rPr>
        <w:t xml:space="preserve">the </w:t>
      </w:r>
      <w:r w:rsidRPr="00092883">
        <w:rPr>
          <w:lang w:val="en-GB"/>
        </w:rPr>
        <w:t>UNAM environmental club</w:t>
      </w:r>
      <w:r>
        <w:rPr>
          <w:lang w:val="en-GB"/>
        </w:rPr>
        <w:t>, i</w:t>
      </w:r>
      <w:r w:rsidRPr="00092883">
        <w:rPr>
          <w:lang w:val="en-GB"/>
        </w:rPr>
        <w:t>n addition</w:t>
      </w:r>
      <w:r>
        <w:rPr>
          <w:lang w:val="en-GB"/>
        </w:rPr>
        <w:t xml:space="preserve"> to</w:t>
      </w:r>
      <w:r w:rsidRPr="00092883">
        <w:rPr>
          <w:lang w:val="en-GB"/>
        </w:rPr>
        <w:t xml:space="preserve"> public awareness through a broader sectoral outreach initiative of CC ambassadors, media participation on CCA issues, and changing NCCC </w:t>
      </w:r>
      <w:proofErr w:type="spellStart"/>
      <w:r w:rsidRPr="00092883">
        <w:rPr>
          <w:lang w:val="en-GB"/>
        </w:rPr>
        <w:t>ToR</w:t>
      </w:r>
      <w:proofErr w:type="spellEnd"/>
      <w:r w:rsidRPr="00092883">
        <w:rPr>
          <w:lang w:val="en-GB"/>
        </w:rPr>
        <w:t xml:space="preserve"> to encompass climate change activities on sustainable bases. </w:t>
      </w:r>
    </w:p>
    <w:p w:rsidR="00FA3CEE" w:rsidRDefault="00FA3CEE" w:rsidP="00FA3CEE">
      <w:pPr>
        <w:pStyle w:val="ListParagraph"/>
        <w:rPr>
          <w:lang w:val="en-GB"/>
        </w:rPr>
      </w:pPr>
    </w:p>
    <w:p w:rsidR="00FA3CEE" w:rsidRPr="00092883" w:rsidRDefault="00FA3CEE" w:rsidP="00FA3CEE">
      <w:pPr>
        <w:widowControl/>
        <w:numPr>
          <w:ilvl w:val="0"/>
          <w:numId w:val="1"/>
        </w:numPr>
        <w:suppressAutoHyphens w:val="0"/>
        <w:jc w:val="both"/>
        <w:rPr>
          <w:lang w:val="en-GB"/>
        </w:rPr>
      </w:pPr>
      <w:r w:rsidRPr="00092883">
        <w:rPr>
          <w:lang w:val="en-GB"/>
        </w:rPr>
        <w:t>CC has improved governance at high decision-mak</w:t>
      </w:r>
      <w:r>
        <w:rPr>
          <w:lang w:val="en-GB"/>
        </w:rPr>
        <w:t>ing</w:t>
      </w:r>
      <w:r w:rsidRPr="00092883">
        <w:rPr>
          <w:lang w:val="en-GB"/>
        </w:rPr>
        <w:t xml:space="preserve"> level</w:t>
      </w:r>
      <w:r>
        <w:rPr>
          <w:lang w:val="en-GB"/>
        </w:rPr>
        <w:t>s</w:t>
      </w:r>
      <w:r w:rsidRPr="00092883">
        <w:rPr>
          <w:lang w:val="en-GB"/>
        </w:rPr>
        <w:t xml:space="preserve"> result</w:t>
      </w:r>
      <w:r>
        <w:rPr>
          <w:lang w:val="en-GB"/>
        </w:rPr>
        <w:t>ing</w:t>
      </w:r>
      <w:r w:rsidRPr="00092883">
        <w:rPr>
          <w:lang w:val="en-GB"/>
        </w:rPr>
        <w:t xml:space="preserve"> in moral and technical support to climate change adaptation related initiative</w:t>
      </w:r>
      <w:r>
        <w:rPr>
          <w:lang w:val="en-GB"/>
        </w:rPr>
        <w:t>s</w:t>
      </w:r>
      <w:r w:rsidRPr="00092883">
        <w:rPr>
          <w:lang w:val="en-GB"/>
        </w:rPr>
        <w:t xml:space="preserve"> such as </w:t>
      </w:r>
      <w:r>
        <w:rPr>
          <w:lang w:val="en-GB"/>
        </w:rPr>
        <w:t xml:space="preserve">the </w:t>
      </w:r>
      <w:r w:rsidRPr="00092883">
        <w:rPr>
          <w:lang w:val="en-GB"/>
        </w:rPr>
        <w:t xml:space="preserve">Green Fund Bidding and training </w:t>
      </w:r>
      <w:r>
        <w:rPr>
          <w:lang w:val="en-GB"/>
        </w:rPr>
        <w:t>of</w:t>
      </w:r>
      <w:r w:rsidRPr="00092883">
        <w:rPr>
          <w:lang w:val="en-GB"/>
        </w:rPr>
        <w:t xml:space="preserve"> </w:t>
      </w:r>
      <w:r>
        <w:rPr>
          <w:lang w:val="en-GB"/>
        </w:rPr>
        <w:t xml:space="preserve">the </w:t>
      </w:r>
      <w:r w:rsidRPr="00092883">
        <w:rPr>
          <w:lang w:val="en-GB"/>
        </w:rPr>
        <w:t>Parliament</w:t>
      </w:r>
      <w:r>
        <w:rPr>
          <w:lang w:val="en-GB"/>
        </w:rPr>
        <w:t>ary</w:t>
      </w:r>
      <w:r w:rsidRPr="00092883">
        <w:rPr>
          <w:lang w:val="en-GB"/>
        </w:rPr>
        <w:t xml:space="preserve"> </w:t>
      </w:r>
      <w:r>
        <w:rPr>
          <w:lang w:val="en-GB"/>
        </w:rPr>
        <w:t>C</w:t>
      </w:r>
      <w:r w:rsidRPr="00092883">
        <w:rPr>
          <w:lang w:val="en-GB"/>
        </w:rPr>
        <w:t>ommittee on Economics, Natural Resources and Public Administration</w:t>
      </w:r>
      <w:r>
        <w:rPr>
          <w:lang w:val="en-GB"/>
        </w:rPr>
        <w:t>.</w:t>
      </w:r>
    </w:p>
    <w:p w:rsidR="00FA3CEE" w:rsidRDefault="00FA3CEE" w:rsidP="00FA3CEE">
      <w:pPr>
        <w:widowControl/>
        <w:suppressAutoHyphens w:val="0"/>
        <w:ind w:left="720"/>
        <w:jc w:val="both"/>
        <w:rPr>
          <w:lang w:val="en-GB"/>
        </w:rPr>
      </w:pPr>
    </w:p>
    <w:p w:rsidR="00FA3CEE" w:rsidRDefault="00FA3CEE" w:rsidP="00FA3CEE">
      <w:pPr>
        <w:widowControl/>
        <w:numPr>
          <w:ilvl w:val="0"/>
          <w:numId w:val="1"/>
        </w:numPr>
        <w:suppressAutoHyphens w:val="0"/>
        <w:jc w:val="both"/>
        <w:rPr>
          <w:lang w:val="en-GB"/>
        </w:rPr>
      </w:pPr>
      <w:r w:rsidRPr="00E927BF">
        <w:rPr>
          <w:lang w:val="en-GB"/>
        </w:rPr>
        <w:t xml:space="preserve">Piloted drip-irrigation vegetable gardens in Oshikoto and Kavango regions are significantly exemplary for nutritional food security and income generation for rural communities. As a result, CES invited </w:t>
      </w:r>
      <w:proofErr w:type="spellStart"/>
      <w:r w:rsidRPr="00E927BF">
        <w:rPr>
          <w:lang w:val="en-GB"/>
        </w:rPr>
        <w:t>Kongalend</w:t>
      </w:r>
      <w:proofErr w:type="spellEnd"/>
      <w:r w:rsidRPr="00E927BF">
        <w:rPr>
          <w:lang w:val="en-GB"/>
        </w:rPr>
        <w:t xml:space="preserve">, a financial service provider for financial assistance (loans), to individuals who wish to emulate innovation and venture into SME business. </w:t>
      </w:r>
    </w:p>
    <w:p w:rsidR="00FA3CEE" w:rsidRPr="00E927BF" w:rsidRDefault="00FA3CEE" w:rsidP="00FA3CEE">
      <w:pPr>
        <w:widowControl/>
        <w:suppressAutoHyphens w:val="0"/>
        <w:ind w:left="720"/>
        <w:jc w:val="both"/>
        <w:rPr>
          <w:lang w:val="en-GB"/>
        </w:rPr>
      </w:pPr>
    </w:p>
    <w:p w:rsidR="00FA3CEE" w:rsidRPr="00092883" w:rsidRDefault="00FA3CEE" w:rsidP="00FA3CEE">
      <w:pPr>
        <w:widowControl/>
        <w:numPr>
          <w:ilvl w:val="0"/>
          <w:numId w:val="1"/>
        </w:numPr>
        <w:suppressAutoHyphens w:val="0"/>
        <w:jc w:val="both"/>
        <w:rPr>
          <w:lang w:val="en-GB"/>
        </w:rPr>
      </w:pPr>
      <w:r w:rsidRPr="00092883">
        <w:rPr>
          <w:lang w:val="en-GB"/>
        </w:rPr>
        <w:t xml:space="preserve">AAPNAM provided co-financial support to </w:t>
      </w:r>
      <w:proofErr w:type="spellStart"/>
      <w:r w:rsidRPr="00092883">
        <w:rPr>
          <w:lang w:val="en-GB"/>
        </w:rPr>
        <w:t>Ondangwa</w:t>
      </w:r>
      <w:proofErr w:type="spellEnd"/>
      <w:r w:rsidRPr="00092883">
        <w:rPr>
          <w:lang w:val="en-GB"/>
        </w:rPr>
        <w:t xml:space="preserve"> Town Council for a Mobile Pumping Machine to pump storm water during flood</w:t>
      </w:r>
      <w:r>
        <w:rPr>
          <w:lang w:val="en-GB"/>
        </w:rPr>
        <w:t>s</w:t>
      </w:r>
      <w:r w:rsidRPr="00092883">
        <w:rPr>
          <w:lang w:val="en-GB"/>
        </w:rPr>
        <w:t xml:space="preserve">. This motivated </w:t>
      </w:r>
      <w:r>
        <w:rPr>
          <w:lang w:val="en-GB"/>
        </w:rPr>
        <w:t xml:space="preserve">the </w:t>
      </w:r>
      <w:proofErr w:type="spellStart"/>
      <w:r w:rsidRPr="00092883">
        <w:rPr>
          <w:lang w:val="en-GB"/>
        </w:rPr>
        <w:t>Ongwediva</w:t>
      </w:r>
      <w:proofErr w:type="spellEnd"/>
      <w:r w:rsidRPr="00092883">
        <w:rPr>
          <w:lang w:val="en-GB"/>
        </w:rPr>
        <w:t xml:space="preserve"> and </w:t>
      </w:r>
      <w:proofErr w:type="spellStart"/>
      <w:r w:rsidRPr="00092883">
        <w:rPr>
          <w:lang w:val="en-GB"/>
        </w:rPr>
        <w:t>Oshakati</w:t>
      </w:r>
      <w:proofErr w:type="spellEnd"/>
      <w:r w:rsidRPr="00092883">
        <w:rPr>
          <w:lang w:val="en-GB"/>
        </w:rPr>
        <w:t xml:space="preserve"> Town Councils to purchase these pumps</w:t>
      </w:r>
      <w:r>
        <w:rPr>
          <w:lang w:val="en-GB"/>
        </w:rPr>
        <w:t>,</w:t>
      </w:r>
      <w:r w:rsidRPr="00092883">
        <w:rPr>
          <w:lang w:val="en-GB"/>
        </w:rPr>
        <w:t xml:space="preserve"> thereby enhancing their disaster preparedness. </w:t>
      </w:r>
    </w:p>
    <w:p w:rsidR="00FA3CEE" w:rsidRDefault="00FA3CEE" w:rsidP="00FA3CEE">
      <w:pPr>
        <w:widowControl/>
        <w:numPr>
          <w:ilvl w:val="0"/>
          <w:numId w:val="1"/>
        </w:numPr>
        <w:suppressAutoHyphens w:val="0"/>
        <w:jc w:val="both"/>
        <w:rPr>
          <w:lang w:val="en-GB"/>
        </w:rPr>
      </w:pPr>
      <w:r w:rsidRPr="00092883">
        <w:rPr>
          <w:lang w:val="en-GB"/>
        </w:rPr>
        <w:t xml:space="preserve">Synergy formation amongst stakeholders contributed to </w:t>
      </w:r>
      <w:r>
        <w:rPr>
          <w:lang w:val="en-GB"/>
        </w:rPr>
        <w:t xml:space="preserve">the </w:t>
      </w:r>
      <w:r w:rsidRPr="00092883">
        <w:rPr>
          <w:lang w:val="en-GB"/>
        </w:rPr>
        <w:t xml:space="preserve">success of </w:t>
      </w:r>
      <w:proofErr w:type="spellStart"/>
      <w:proofErr w:type="gramStart"/>
      <w:r>
        <w:rPr>
          <w:lang w:val="en-GB"/>
        </w:rPr>
        <w:t>th</w:t>
      </w:r>
      <w:proofErr w:type="spellEnd"/>
      <w:proofErr w:type="gramEnd"/>
      <w:r>
        <w:rPr>
          <w:lang w:val="en-GB"/>
        </w:rPr>
        <w:t xml:space="preserve"> </w:t>
      </w:r>
      <w:r w:rsidRPr="00092883">
        <w:rPr>
          <w:lang w:val="en-GB"/>
        </w:rPr>
        <w:t xml:space="preserve">AAPNAM initiative (e.g. </w:t>
      </w:r>
      <w:proofErr w:type="spellStart"/>
      <w:r w:rsidRPr="00092883">
        <w:rPr>
          <w:lang w:val="en-GB"/>
        </w:rPr>
        <w:t>Omuthiya</w:t>
      </w:r>
      <w:proofErr w:type="spellEnd"/>
      <w:r w:rsidRPr="00092883">
        <w:rPr>
          <w:lang w:val="en-GB"/>
        </w:rPr>
        <w:t xml:space="preserve"> Town Council donation of a plot to </w:t>
      </w:r>
      <w:proofErr w:type="spellStart"/>
      <w:r w:rsidRPr="00092883">
        <w:rPr>
          <w:lang w:val="en-GB"/>
        </w:rPr>
        <w:t>EzyStove</w:t>
      </w:r>
      <w:proofErr w:type="spellEnd"/>
      <w:r w:rsidRPr="00092883">
        <w:rPr>
          <w:lang w:val="en-GB"/>
        </w:rPr>
        <w:t>)</w:t>
      </w:r>
      <w:r>
        <w:rPr>
          <w:lang w:val="en-GB"/>
        </w:rPr>
        <w:t>.</w:t>
      </w:r>
    </w:p>
    <w:p w:rsidR="00FA3CEE" w:rsidRPr="00092883" w:rsidRDefault="00FA3CEE" w:rsidP="00FA3CEE">
      <w:pPr>
        <w:widowControl/>
        <w:suppressAutoHyphens w:val="0"/>
        <w:ind w:left="720"/>
        <w:jc w:val="both"/>
        <w:rPr>
          <w:lang w:val="en-GB"/>
        </w:rPr>
      </w:pPr>
    </w:p>
    <w:p w:rsidR="00FA3CEE" w:rsidRDefault="00FA3CEE" w:rsidP="00FA3CEE">
      <w:pPr>
        <w:widowControl/>
        <w:numPr>
          <w:ilvl w:val="0"/>
          <w:numId w:val="1"/>
        </w:numPr>
        <w:suppressAutoHyphens w:val="0"/>
        <w:jc w:val="both"/>
        <w:rPr>
          <w:lang w:val="en-GB"/>
        </w:rPr>
      </w:pPr>
      <w:r w:rsidRPr="00092883">
        <w:rPr>
          <w:lang w:val="en-GB"/>
        </w:rPr>
        <w:t xml:space="preserve">MAWF extension officers rolling of CCA toolkits and </w:t>
      </w:r>
      <w:proofErr w:type="spellStart"/>
      <w:r w:rsidRPr="00092883">
        <w:rPr>
          <w:lang w:val="en-GB"/>
        </w:rPr>
        <w:t>ToT</w:t>
      </w:r>
      <w:proofErr w:type="spellEnd"/>
      <w:r w:rsidRPr="00092883">
        <w:rPr>
          <w:lang w:val="en-GB"/>
        </w:rPr>
        <w:t xml:space="preserve"> modules. </w:t>
      </w:r>
      <w:proofErr w:type="spellStart"/>
      <w:r w:rsidRPr="00092883">
        <w:rPr>
          <w:lang w:val="en-GB"/>
        </w:rPr>
        <w:t>Keetmansho</w:t>
      </w:r>
      <w:r>
        <w:rPr>
          <w:lang w:val="en-GB"/>
        </w:rPr>
        <w:t>o</w:t>
      </w:r>
      <w:r w:rsidRPr="00092883">
        <w:rPr>
          <w:lang w:val="en-GB"/>
        </w:rPr>
        <w:t>p</w:t>
      </w:r>
      <w:proofErr w:type="spellEnd"/>
      <w:r w:rsidRPr="00092883">
        <w:rPr>
          <w:lang w:val="en-GB"/>
        </w:rPr>
        <w:t xml:space="preserve"> DEES office resolved to place </w:t>
      </w:r>
      <w:r>
        <w:rPr>
          <w:lang w:val="en-GB"/>
        </w:rPr>
        <w:t xml:space="preserve">a </w:t>
      </w:r>
      <w:r w:rsidRPr="00092883">
        <w:rPr>
          <w:lang w:val="en-GB"/>
        </w:rPr>
        <w:t xml:space="preserve">two-page article on their regional bi-annual newsletter: </w:t>
      </w:r>
      <w:proofErr w:type="spellStart"/>
      <w:r w:rsidRPr="00092883">
        <w:rPr>
          <w:i/>
          <w:lang w:val="en-GB"/>
        </w:rPr>
        <w:t>Boerdary-belange</w:t>
      </w:r>
      <w:proofErr w:type="spellEnd"/>
      <w:r w:rsidRPr="00092883">
        <w:rPr>
          <w:lang w:val="en-GB"/>
        </w:rPr>
        <w:t xml:space="preserve"> (</w:t>
      </w:r>
      <w:r w:rsidRPr="00092883">
        <w:rPr>
          <w:i/>
          <w:lang w:val="en-GB"/>
        </w:rPr>
        <w:t>Farmers’ Interest</w:t>
      </w:r>
      <w:r w:rsidRPr="00092883">
        <w:rPr>
          <w:lang w:val="en-GB"/>
        </w:rPr>
        <w:t xml:space="preserve">). The first article appeared </w:t>
      </w:r>
      <w:r>
        <w:rPr>
          <w:lang w:val="en-GB"/>
        </w:rPr>
        <w:t>i</w:t>
      </w:r>
      <w:r w:rsidRPr="00092883">
        <w:rPr>
          <w:lang w:val="en-GB"/>
        </w:rPr>
        <w:t xml:space="preserve">n </w:t>
      </w:r>
      <w:r>
        <w:rPr>
          <w:lang w:val="en-GB"/>
        </w:rPr>
        <w:t xml:space="preserve">the </w:t>
      </w:r>
      <w:r w:rsidRPr="00092883">
        <w:rPr>
          <w:lang w:val="en-GB"/>
        </w:rPr>
        <w:t xml:space="preserve">June 2012 edition authored by Ms Katrina Willem (Extension Technician, </w:t>
      </w:r>
      <w:proofErr w:type="spellStart"/>
      <w:r w:rsidRPr="00092883">
        <w:rPr>
          <w:lang w:val="en-GB"/>
        </w:rPr>
        <w:t>Karas</w:t>
      </w:r>
      <w:proofErr w:type="spellEnd"/>
      <w:r w:rsidRPr="00092883">
        <w:rPr>
          <w:lang w:val="en-GB"/>
        </w:rPr>
        <w:t xml:space="preserve"> Region)</w:t>
      </w:r>
      <w:r>
        <w:rPr>
          <w:lang w:val="en-GB"/>
        </w:rPr>
        <w:t>.</w:t>
      </w:r>
    </w:p>
    <w:p w:rsidR="00FA3CEE" w:rsidRDefault="00FA3CEE" w:rsidP="00FA3CEE">
      <w:pPr>
        <w:pStyle w:val="ListParagraph"/>
        <w:rPr>
          <w:lang w:val="en-GB"/>
        </w:rPr>
      </w:pPr>
    </w:p>
    <w:p w:rsidR="00FA3CEE" w:rsidRDefault="00FA3CEE" w:rsidP="00FA3CEE">
      <w:pPr>
        <w:widowControl/>
        <w:suppressAutoHyphens w:val="0"/>
        <w:ind w:left="720"/>
        <w:jc w:val="both"/>
        <w:rPr>
          <w:lang w:val="en-GB"/>
        </w:rPr>
      </w:pPr>
    </w:p>
    <w:p w:rsidR="00FA3CEE" w:rsidRPr="00092883" w:rsidRDefault="00FA3CEE" w:rsidP="00FA3CEE">
      <w:pPr>
        <w:widowControl/>
        <w:suppressAutoHyphens w:val="0"/>
        <w:ind w:left="720"/>
        <w:jc w:val="both"/>
        <w:rPr>
          <w:lang w:val="en-GB"/>
        </w:rPr>
      </w:pPr>
    </w:p>
    <w:p w:rsidR="00FA3CEE" w:rsidRPr="00F61C78" w:rsidRDefault="00FA3CEE" w:rsidP="00FA3CEE">
      <w:pPr>
        <w:pStyle w:val="Heading2"/>
        <w:numPr>
          <w:ilvl w:val="1"/>
          <w:numId w:val="2"/>
        </w:numPr>
        <w:tabs>
          <w:tab w:val="clear" w:pos="851"/>
        </w:tabs>
        <w:ind w:left="709" w:hanging="709"/>
      </w:pPr>
      <w:bookmarkStart w:id="11" w:name="_Toc342038665"/>
      <w:bookmarkStart w:id="12" w:name="_Toc342038870"/>
      <w:bookmarkStart w:id="13" w:name="_Toc342039376"/>
      <w:bookmarkStart w:id="14" w:name="_Toc342039675"/>
      <w:bookmarkStart w:id="15" w:name="_Toc342040344"/>
      <w:bookmarkStart w:id="16" w:name="_Toc342040429"/>
      <w:bookmarkStart w:id="17" w:name="_Toc342041836"/>
      <w:bookmarkStart w:id="18" w:name="_Toc342001910"/>
      <w:bookmarkStart w:id="19" w:name="_Toc342026659"/>
      <w:bookmarkStart w:id="20" w:name="_Toc342027579"/>
      <w:bookmarkStart w:id="21" w:name="_Toc342027635"/>
      <w:bookmarkStart w:id="22" w:name="_Toc342027793"/>
      <w:bookmarkStart w:id="23" w:name="_Toc342031067"/>
      <w:bookmarkStart w:id="24" w:name="_Toc342031224"/>
      <w:bookmarkStart w:id="25" w:name="_Toc342038666"/>
      <w:bookmarkStart w:id="26" w:name="_Toc342038871"/>
      <w:bookmarkStart w:id="27" w:name="_Toc342039377"/>
      <w:bookmarkStart w:id="28" w:name="_Toc342039676"/>
      <w:bookmarkStart w:id="29" w:name="_Toc342040345"/>
      <w:bookmarkStart w:id="30" w:name="_Toc342040430"/>
      <w:bookmarkStart w:id="31" w:name="_Toc342041837"/>
      <w:bookmarkStart w:id="32" w:name="_Toc342032940"/>
      <w:bookmarkStart w:id="33" w:name="_Toc34223488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F61C78">
        <w:lastRenderedPageBreak/>
        <w:t>Constraints Experienced</w:t>
      </w:r>
      <w:bookmarkEnd w:id="32"/>
      <w:bookmarkEnd w:id="33"/>
    </w:p>
    <w:p w:rsidR="00FA3CEE" w:rsidRPr="00092883" w:rsidRDefault="00FA3CEE" w:rsidP="00FA3CEE">
      <w:pPr>
        <w:widowControl/>
        <w:suppressAutoHyphens w:val="0"/>
        <w:jc w:val="both"/>
        <w:rPr>
          <w:lang w:val="en-GB"/>
        </w:rPr>
      </w:pPr>
    </w:p>
    <w:p w:rsidR="00FA3CEE" w:rsidRDefault="00FA3CEE" w:rsidP="00FA3CEE">
      <w:pPr>
        <w:widowControl/>
        <w:suppressAutoHyphens w:val="0"/>
        <w:jc w:val="both"/>
        <w:rPr>
          <w:lang w:val="en-GB"/>
        </w:rPr>
      </w:pPr>
      <w:r w:rsidRPr="00092883">
        <w:rPr>
          <w:lang w:val="en-GB"/>
        </w:rPr>
        <w:t xml:space="preserve">The preliminary findings highlighted the following constraints that pose </w:t>
      </w:r>
      <w:r>
        <w:rPr>
          <w:lang w:val="en-GB"/>
        </w:rPr>
        <w:t xml:space="preserve">as </w:t>
      </w:r>
      <w:r w:rsidRPr="00092883">
        <w:rPr>
          <w:lang w:val="en-GB"/>
        </w:rPr>
        <w:t xml:space="preserve">barriers to the AAPNAM implementation. </w:t>
      </w:r>
    </w:p>
    <w:p w:rsidR="00FA3CEE" w:rsidRPr="00092883" w:rsidRDefault="00FA3CEE" w:rsidP="00FA3CEE">
      <w:pPr>
        <w:widowControl/>
        <w:suppressAutoHyphens w:val="0"/>
        <w:jc w:val="both"/>
        <w:rPr>
          <w:lang w:val="en-GB"/>
        </w:rPr>
      </w:pPr>
    </w:p>
    <w:p w:rsidR="00FA3CEE" w:rsidRPr="00092883" w:rsidRDefault="00FA3CEE" w:rsidP="00FA3CEE">
      <w:pPr>
        <w:widowControl/>
        <w:numPr>
          <w:ilvl w:val="0"/>
          <w:numId w:val="1"/>
        </w:numPr>
        <w:suppressAutoHyphens w:val="0"/>
        <w:jc w:val="both"/>
        <w:rPr>
          <w:lang w:val="en-GB"/>
        </w:rPr>
      </w:pPr>
      <w:r>
        <w:rPr>
          <w:lang w:val="en-GB"/>
        </w:rPr>
        <w:t xml:space="preserve">The </w:t>
      </w:r>
      <w:r w:rsidRPr="00092883">
        <w:rPr>
          <w:lang w:val="en-GB"/>
        </w:rPr>
        <w:t xml:space="preserve">Project timeframe by design </w:t>
      </w:r>
      <w:r>
        <w:rPr>
          <w:lang w:val="en-GB"/>
        </w:rPr>
        <w:t xml:space="preserve">was </w:t>
      </w:r>
      <w:r w:rsidRPr="00092883">
        <w:rPr>
          <w:lang w:val="en-GB"/>
        </w:rPr>
        <w:t>not propo</w:t>
      </w:r>
      <w:r>
        <w:rPr>
          <w:lang w:val="en-GB"/>
        </w:rPr>
        <w:t>r</w:t>
      </w:r>
      <w:r w:rsidRPr="00092883">
        <w:rPr>
          <w:lang w:val="en-GB"/>
        </w:rPr>
        <w:t xml:space="preserve">tional to the nature of outputs versus </w:t>
      </w:r>
      <w:r>
        <w:rPr>
          <w:lang w:val="en-GB"/>
        </w:rPr>
        <w:t xml:space="preserve">the </w:t>
      </w:r>
      <w:r w:rsidRPr="00092883">
        <w:rPr>
          <w:lang w:val="en-GB"/>
        </w:rPr>
        <w:t>desired results. This posed constraints on some activities and hampered proper implementation and synthesis of technical studies outcome for cascading outputs execution.</w:t>
      </w:r>
    </w:p>
    <w:p w:rsidR="00FA3CEE" w:rsidRPr="00092883" w:rsidRDefault="00FA3CEE" w:rsidP="00FA3CEE">
      <w:pPr>
        <w:widowControl/>
        <w:suppressAutoHyphens w:val="0"/>
        <w:jc w:val="both"/>
        <w:rPr>
          <w:lang w:val="en-GB"/>
        </w:rPr>
      </w:pPr>
    </w:p>
    <w:p w:rsidR="00FA3CEE" w:rsidRPr="00092883" w:rsidRDefault="00FA3CEE" w:rsidP="00FA3CEE">
      <w:pPr>
        <w:widowControl/>
        <w:numPr>
          <w:ilvl w:val="0"/>
          <w:numId w:val="1"/>
        </w:numPr>
        <w:suppressAutoHyphens w:val="0"/>
        <w:jc w:val="both"/>
        <w:rPr>
          <w:lang w:val="en-GB"/>
        </w:rPr>
      </w:pPr>
      <w:r w:rsidRPr="00092883">
        <w:rPr>
          <w:lang w:val="en-GB"/>
        </w:rPr>
        <w:t>Targeted stakeholders felt overwhelmed by numerous AAPNAM related consultations and activities that were implemented at once and in a short-time (2 years).</w:t>
      </w:r>
    </w:p>
    <w:p w:rsidR="00FA3CEE" w:rsidRPr="00092883" w:rsidRDefault="00FA3CEE" w:rsidP="00FA3CEE">
      <w:pPr>
        <w:widowControl/>
        <w:suppressAutoHyphens w:val="0"/>
        <w:jc w:val="both"/>
        <w:rPr>
          <w:lang w:val="en-GB"/>
        </w:rPr>
      </w:pPr>
    </w:p>
    <w:p w:rsidR="00FA3CEE" w:rsidRPr="00092883" w:rsidRDefault="00FA3CEE" w:rsidP="00FA3CEE">
      <w:pPr>
        <w:widowControl/>
        <w:numPr>
          <w:ilvl w:val="0"/>
          <w:numId w:val="1"/>
        </w:numPr>
        <w:suppressAutoHyphens w:val="0"/>
        <w:jc w:val="both"/>
        <w:rPr>
          <w:lang w:val="en-GB"/>
        </w:rPr>
      </w:pPr>
      <w:r w:rsidRPr="00092883">
        <w:rPr>
          <w:lang w:val="en-GB"/>
        </w:rPr>
        <w:t xml:space="preserve">Technical studies conducted in parallel hindered opportunities to inform each other. </w:t>
      </w:r>
    </w:p>
    <w:p w:rsidR="00FA3CEE" w:rsidRPr="00092883" w:rsidRDefault="00FA3CEE" w:rsidP="00FA3CEE">
      <w:pPr>
        <w:widowControl/>
        <w:suppressAutoHyphens w:val="0"/>
        <w:jc w:val="both"/>
        <w:rPr>
          <w:lang w:val="en-GB"/>
        </w:rPr>
      </w:pPr>
    </w:p>
    <w:p w:rsidR="00FA3CEE" w:rsidRPr="00092883" w:rsidRDefault="00FA3CEE" w:rsidP="00FA3CEE">
      <w:pPr>
        <w:widowControl/>
        <w:numPr>
          <w:ilvl w:val="0"/>
          <w:numId w:val="1"/>
        </w:numPr>
        <w:suppressAutoHyphens w:val="0"/>
        <w:jc w:val="both"/>
        <w:rPr>
          <w:lang w:val="en-GB"/>
        </w:rPr>
      </w:pPr>
      <w:r w:rsidRPr="00092883">
        <w:rPr>
          <w:lang w:val="en-GB"/>
        </w:rPr>
        <w:t>Lack of mid-term evaluation which could have measured project implementation progression and g</w:t>
      </w:r>
      <w:r>
        <w:rPr>
          <w:lang w:val="en-GB"/>
        </w:rPr>
        <w:t>i</w:t>
      </w:r>
      <w:r w:rsidRPr="00092883">
        <w:rPr>
          <w:lang w:val="en-GB"/>
        </w:rPr>
        <w:t>ve</w:t>
      </w:r>
      <w:r>
        <w:rPr>
          <w:lang w:val="en-GB"/>
        </w:rPr>
        <w:t>n</w:t>
      </w:r>
      <w:r w:rsidRPr="00092883">
        <w:rPr>
          <w:lang w:val="en-GB"/>
        </w:rPr>
        <w:t xml:space="preserve"> recommendations on possible alternatives.</w:t>
      </w:r>
    </w:p>
    <w:p w:rsidR="00FA3CEE" w:rsidRPr="00092883" w:rsidRDefault="00FA3CEE" w:rsidP="00FA3CEE">
      <w:pPr>
        <w:widowControl/>
        <w:suppressAutoHyphens w:val="0"/>
        <w:ind w:left="360"/>
        <w:jc w:val="both"/>
        <w:rPr>
          <w:lang w:val="en-GB"/>
        </w:rPr>
      </w:pPr>
    </w:p>
    <w:p w:rsidR="00FA3CEE" w:rsidRPr="00092883" w:rsidRDefault="00FA3CEE" w:rsidP="00FA3CEE">
      <w:pPr>
        <w:widowControl/>
        <w:numPr>
          <w:ilvl w:val="0"/>
          <w:numId w:val="1"/>
        </w:numPr>
        <w:suppressAutoHyphens w:val="0"/>
        <w:jc w:val="both"/>
        <w:rPr>
          <w:lang w:val="en-GB"/>
        </w:rPr>
      </w:pPr>
      <w:r w:rsidRPr="00092883">
        <w:rPr>
          <w:lang w:val="en-GB"/>
        </w:rPr>
        <w:t>Appraisal of Small Grant proposals took long</w:t>
      </w:r>
      <w:r>
        <w:rPr>
          <w:lang w:val="en-GB"/>
        </w:rPr>
        <w:t>,</w:t>
      </w:r>
      <w:r w:rsidRPr="00092883">
        <w:rPr>
          <w:lang w:val="en-GB"/>
        </w:rPr>
        <w:t xml:space="preserve"> resulting in delayed signing of agreements and disbursement of tranches for implementation. This strained monitoring exercises and inhibited provision of advisory services to beneficiaries by </w:t>
      </w:r>
      <w:r>
        <w:rPr>
          <w:lang w:val="en-GB"/>
        </w:rPr>
        <w:t xml:space="preserve">the </w:t>
      </w:r>
      <w:r w:rsidRPr="00092883">
        <w:rPr>
          <w:lang w:val="en-GB"/>
        </w:rPr>
        <w:t>PMU and technical support agencies.</w:t>
      </w:r>
    </w:p>
    <w:p w:rsidR="00FA3CEE" w:rsidRPr="00092883" w:rsidRDefault="00FA3CEE" w:rsidP="00FA3CEE">
      <w:pPr>
        <w:widowControl/>
        <w:suppressAutoHyphens w:val="0"/>
        <w:jc w:val="both"/>
        <w:rPr>
          <w:lang w:val="en-GB"/>
        </w:rPr>
      </w:pPr>
    </w:p>
    <w:p w:rsidR="00FA3CEE" w:rsidRPr="00092883" w:rsidRDefault="00FA3CEE" w:rsidP="00FA3CEE">
      <w:pPr>
        <w:widowControl/>
        <w:numPr>
          <w:ilvl w:val="0"/>
          <w:numId w:val="1"/>
        </w:numPr>
        <w:suppressAutoHyphens w:val="0"/>
        <w:jc w:val="both"/>
        <w:rPr>
          <w:lang w:val="en-GB"/>
        </w:rPr>
      </w:pPr>
      <w:proofErr w:type="spellStart"/>
      <w:r w:rsidRPr="00092883">
        <w:rPr>
          <w:lang w:val="en-GB"/>
        </w:rPr>
        <w:t>EzyStove</w:t>
      </w:r>
      <w:proofErr w:type="spellEnd"/>
      <w:r w:rsidRPr="00092883">
        <w:rPr>
          <w:lang w:val="en-GB"/>
        </w:rPr>
        <w:t xml:space="preserve"> </w:t>
      </w:r>
      <w:r>
        <w:rPr>
          <w:lang w:val="en-GB"/>
        </w:rPr>
        <w:t xml:space="preserve">was </w:t>
      </w:r>
      <w:r w:rsidRPr="00092883">
        <w:rPr>
          <w:lang w:val="en-GB"/>
        </w:rPr>
        <w:t xml:space="preserve">established on business principles, including patented design by CES. However, this is not </w:t>
      </w:r>
      <w:r>
        <w:rPr>
          <w:lang w:val="en-GB"/>
        </w:rPr>
        <w:t xml:space="preserve">a </w:t>
      </w:r>
      <w:r w:rsidRPr="00092883">
        <w:rPr>
          <w:lang w:val="en-GB"/>
        </w:rPr>
        <w:t xml:space="preserve">profit oriented arrangement as CBA beneficiaries incur extra transportation and production costs (e.g. </w:t>
      </w:r>
      <w:proofErr w:type="spellStart"/>
      <w:r w:rsidRPr="00092883">
        <w:rPr>
          <w:lang w:val="en-GB"/>
        </w:rPr>
        <w:t>EzyStove</w:t>
      </w:r>
      <w:proofErr w:type="spellEnd"/>
      <w:r w:rsidRPr="00092883">
        <w:rPr>
          <w:lang w:val="en-GB"/>
        </w:rPr>
        <w:t xml:space="preserve"> producers take rod</w:t>
      </w:r>
      <w:r>
        <w:rPr>
          <w:lang w:val="en-GB"/>
        </w:rPr>
        <w:t>s</w:t>
      </w:r>
      <w:r w:rsidRPr="00092883">
        <w:rPr>
          <w:lang w:val="en-GB"/>
        </w:rPr>
        <w:t xml:space="preserve"> for ring bending to CES workshop</w:t>
      </w:r>
      <w:r>
        <w:rPr>
          <w:lang w:val="en-GB"/>
        </w:rPr>
        <w:t>s</w:t>
      </w:r>
      <w:r w:rsidRPr="00092883">
        <w:rPr>
          <w:lang w:val="en-GB"/>
        </w:rPr>
        <w:t xml:space="preserve"> in </w:t>
      </w:r>
      <w:proofErr w:type="spellStart"/>
      <w:r w:rsidRPr="00092883">
        <w:rPr>
          <w:lang w:val="en-GB"/>
        </w:rPr>
        <w:t>Ondangwa</w:t>
      </w:r>
      <w:proofErr w:type="spellEnd"/>
      <w:r w:rsidRPr="00092883">
        <w:rPr>
          <w:lang w:val="en-GB"/>
        </w:rPr>
        <w:t>). In addition, beneficiaries are restricted to sell final products at a lower preset price compared to production costs.</w:t>
      </w:r>
    </w:p>
    <w:p w:rsidR="00FA3CEE" w:rsidRPr="00092883" w:rsidRDefault="00FA3CEE" w:rsidP="00FA3CEE">
      <w:pPr>
        <w:widowControl/>
        <w:suppressAutoHyphens w:val="0"/>
        <w:jc w:val="both"/>
        <w:rPr>
          <w:lang w:val="en-GB"/>
        </w:rPr>
      </w:pPr>
    </w:p>
    <w:p w:rsidR="00FA3CEE" w:rsidRPr="00092883" w:rsidRDefault="00FA3CEE" w:rsidP="00FA3CEE">
      <w:pPr>
        <w:widowControl/>
        <w:numPr>
          <w:ilvl w:val="0"/>
          <w:numId w:val="1"/>
        </w:numPr>
        <w:suppressAutoHyphens w:val="0"/>
        <w:jc w:val="both"/>
        <w:rPr>
          <w:lang w:val="en-GB"/>
        </w:rPr>
      </w:pPr>
      <w:r w:rsidRPr="00092883">
        <w:rPr>
          <w:lang w:val="en-GB"/>
        </w:rPr>
        <w:t>Cost of equipment and seeds for the pilot irrigation project is very expensive</w:t>
      </w:r>
      <w:r>
        <w:rPr>
          <w:lang w:val="en-GB"/>
        </w:rPr>
        <w:t>;</w:t>
      </w:r>
      <w:r w:rsidRPr="00092883">
        <w:rPr>
          <w:lang w:val="en-GB"/>
        </w:rPr>
        <w:t xml:space="preserve"> seed prices increased </w:t>
      </w:r>
      <w:r>
        <w:rPr>
          <w:lang w:val="en-GB"/>
        </w:rPr>
        <w:t>by</w:t>
      </w:r>
      <w:r w:rsidRPr="00092883">
        <w:rPr>
          <w:lang w:val="en-GB"/>
        </w:rPr>
        <w:t xml:space="preserve"> 300% from 2011 to 2012 in </w:t>
      </w:r>
      <w:proofErr w:type="spellStart"/>
      <w:r w:rsidRPr="00092883">
        <w:rPr>
          <w:lang w:val="en-GB"/>
        </w:rPr>
        <w:t>Ondangwa</w:t>
      </w:r>
      <w:proofErr w:type="spellEnd"/>
      <w:r w:rsidRPr="00092883">
        <w:rPr>
          <w:lang w:val="en-GB"/>
        </w:rPr>
        <w:t xml:space="preserve"> compare</w:t>
      </w:r>
      <w:r>
        <w:rPr>
          <w:lang w:val="en-GB"/>
        </w:rPr>
        <w:t>d</w:t>
      </w:r>
      <w:r w:rsidRPr="00092883">
        <w:rPr>
          <w:lang w:val="en-GB"/>
        </w:rPr>
        <w:t xml:space="preserve"> to Windhoek suppliers.</w:t>
      </w:r>
    </w:p>
    <w:p w:rsidR="00FA3CEE" w:rsidRPr="00092883" w:rsidRDefault="00FA3CEE" w:rsidP="00FA3CEE">
      <w:pPr>
        <w:widowControl/>
        <w:suppressAutoHyphens w:val="0"/>
        <w:jc w:val="both"/>
        <w:rPr>
          <w:lang w:val="en-GB"/>
        </w:rPr>
      </w:pPr>
    </w:p>
    <w:p w:rsidR="00FA3CEE" w:rsidRDefault="00FA3CEE" w:rsidP="00FA3CEE">
      <w:pPr>
        <w:widowControl/>
        <w:numPr>
          <w:ilvl w:val="0"/>
          <w:numId w:val="1"/>
        </w:numPr>
        <w:suppressAutoHyphens w:val="0"/>
        <w:jc w:val="both"/>
        <w:rPr>
          <w:lang w:val="en-GB"/>
        </w:rPr>
      </w:pPr>
      <w:r w:rsidRPr="00092883">
        <w:rPr>
          <w:lang w:val="en-GB"/>
        </w:rPr>
        <w:t xml:space="preserve">No criteria </w:t>
      </w:r>
      <w:r>
        <w:rPr>
          <w:lang w:val="en-GB"/>
        </w:rPr>
        <w:t xml:space="preserve">was </w:t>
      </w:r>
      <w:r w:rsidRPr="00092883">
        <w:rPr>
          <w:lang w:val="en-GB"/>
        </w:rPr>
        <w:t xml:space="preserve">given to institutions regarding the selection of </w:t>
      </w:r>
      <w:r>
        <w:rPr>
          <w:lang w:val="en-GB"/>
        </w:rPr>
        <w:t>C</w:t>
      </w:r>
      <w:r w:rsidRPr="00092883">
        <w:rPr>
          <w:lang w:val="en-GB"/>
        </w:rPr>
        <w:t xml:space="preserve">limate </w:t>
      </w:r>
      <w:r>
        <w:rPr>
          <w:lang w:val="en-GB"/>
        </w:rPr>
        <w:t>C</w:t>
      </w:r>
      <w:r w:rsidRPr="00092883">
        <w:rPr>
          <w:lang w:val="en-GB"/>
        </w:rPr>
        <w:t xml:space="preserve">hange </w:t>
      </w:r>
      <w:r>
        <w:rPr>
          <w:lang w:val="en-GB"/>
        </w:rPr>
        <w:t>A</w:t>
      </w:r>
      <w:r w:rsidRPr="00092883">
        <w:rPr>
          <w:lang w:val="en-GB"/>
        </w:rPr>
        <w:t>mbassadors representatives</w:t>
      </w:r>
      <w:r>
        <w:rPr>
          <w:lang w:val="en-GB"/>
        </w:rPr>
        <w:t>,</w:t>
      </w:r>
      <w:r w:rsidRPr="00092883">
        <w:rPr>
          <w:lang w:val="en-GB"/>
        </w:rPr>
        <w:t xml:space="preserve"> particularly </w:t>
      </w:r>
      <w:r>
        <w:rPr>
          <w:lang w:val="en-GB"/>
        </w:rPr>
        <w:t xml:space="preserve">the </w:t>
      </w:r>
      <w:r w:rsidRPr="00092883">
        <w:rPr>
          <w:lang w:val="en-GB"/>
        </w:rPr>
        <w:t>commercial focused private sector that do</w:t>
      </w:r>
      <w:r>
        <w:rPr>
          <w:lang w:val="en-GB"/>
        </w:rPr>
        <w:t>es</w:t>
      </w:r>
      <w:r w:rsidRPr="00092883">
        <w:rPr>
          <w:lang w:val="en-GB"/>
        </w:rPr>
        <w:t xml:space="preserve"> not deal direct</w:t>
      </w:r>
      <w:r>
        <w:rPr>
          <w:lang w:val="en-GB"/>
        </w:rPr>
        <w:t>ly</w:t>
      </w:r>
      <w:r w:rsidRPr="00092883">
        <w:rPr>
          <w:lang w:val="en-GB"/>
        </w:rPr>
        <w:t xml:space="preserve"> with  natural resources management (e.g. PWC: </w:t>
      </w:r>
      <w:r>
        <w:rPr>
          <w:lang w:val="en-GB"/>
        </w:rPr>
        <w:t xml:space="preserve">representative could come from marketing or Corporate social responsibility (CSR) unit, other than </w:t>
      </w:r>
      <w:r w:rsidRPr="00092883">
        <w:rPr>
          <w:lang w:val="en-GB"/>
        </w:rPr>
        <w:t>advisory services).</w:t>
      </w:r>
    </w:p>
    <w:p w:rsidR="008902E8" w:rsidRDefault="008902E8"/>
    <w:sectPr w:rsidR="008902E8" w:rsidSect="008902E8">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Condensed">
    <w:altName w:val="Times New Roman"/>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C84"/>
    <w:multiLevelType w:val="multilevel"/>
    <w:tmpl w:val="83DC240E"/>
    <w:lvl w:ilvl="0">
      <w:start w:val="1"/>
      <w:numFmt w:val="decimal"/>
      <w:pStyle w:val="Heading1"/>
      <w:lvlText w:val="%1."/>
      <w:lvlJc w:val="center"/>
      <w:pPr>
        <w:ind w:left="720" w:hanging="360"/>
      </w:pPr>
      <w:rPr>
        <w:rFonts w:hint="default"/>
        <w:b/>
        <w:i w:val="0"/>
      </w:rPr>
    </w:lvl>
    <w:lvl w:ilvl="1">
      <w:start w:val="1"/>
      <w:numFmt w:val="decimal"/>
      <w:isLgl/>
      <w:lvlText w:val="%1.%2"/>
      <w:lvlJc w:val="left"/>
      <w:pPr>
        <w:ind w:left="2496" w:hanging="360"/>
      </w:pPr>
      <w:rPr>
        <w:rFonts w:hint="default"/>
      </w:rPr>
    </w:lvl>
    <w:lvl w:ilvl="2">
      <w:start w:val="1"/>
      <w:numFmt w:val="decimal"/>
      <w:isLgl/>
      <w:lvlText w:val="%1.%2.%3"/>
      <w:lvlJc w:val="left"/>
      <w:pPr>
        <w:ind w:left="4632" w:hanging="720"/>
      </w:pPr>
      <w:rPr>
        <w:rFonts w:hint="default"/>
      </w:rPr>
    </w:lvl>
    <w:lvl w:ilvl="3">
      <w:start w:val="1"/>
      <w:numFmt w:val="decimal"/>
      <w:isLgl/>
      <w:lvlText w:val="%1.%2.%3.%4"/>
      <w:lvlJc w:val="left"/>
      <w:pPr>
        <w:ind w:left="6408" w:hanging="720"/>
      </w:pPr>
      <w:rPr>
        <w:rFonts w:hint="default"/>
      </w:rPr>
    </w:lvl>
    <w:lvl w:ilvl="4">
      <w:start w:val="1"/>
      <w:numFmt w:val="decimal"/>
      <w:isLgl/>
      <w:lvlText w:val="%1.%2.%3.%4.%5"/>
      <w:lvlJc w:val="left"/>
      <w:pPr>
        <w:ind w:left="8544" w:hanging="1080"/>
      </w:pPr>
      <w:rPr>
        <w:rFonts w:hint="default"/>
      </w:rPr>
    </w:lvl>
    <w:lvl w:ilvl="5">
      <w:start w:val="1"/>
      <w:numFmt w:val="decimal"/>
      <w:isLgl/>
      <w:lvlText w:val="%1.%2.%3.%4.%5.%6"/>
      <w:lvlJc w:val="left"/>
      <w:pPr>
        <w:ind w:left="10320" w:hanging="1080"/>
      </w:pPr>
      <w:rPr>
        <w:rFonts w:hint="default"/>
      </w:rPr>
    </w:lvl>
    <w:lvl w:ilvl="6">
      <w:start w:val="1"/>
      <w:numFmt w:val="decimal"/>
      <w:isLgl/>
      <w:lvlText w:val="%1.%2.%3.%4.%5.%6.%7"/>
      <w:lvlJc w:val="left"/>
      <w:pPr>
        <w:ind w:left="12456" w:hanging="1440"/>
      </w:pPr>
      <w:rPr>
        <w:rFonts w:hint="default"/>
      </w:rPr>
    </w:lvl>
    <w:lvl w:ilvl="7">
      <w:start w:val="1"/>
      <w:numFmt w:val="decimal"/>
      <w:isLgl/>
      <w:lvlText w:val="%1.%2.%3.%4.%5.%6.%7.%8"/>
      <w:lvlJc w:val="left"/>
      <w:pPr>
        <w:ind w:left="14232" w:hanging="1440"/>
      </w:pPr>
      <w:rPr>
        <w:rFonts w:hint="default"/>
      </w:rPr>
    </w:lvl>
    <w:lvl w:ilvl="8">
      <w:start w:val="1"/>
      <w:numFmt w:val="decimal"/>
      <w:isLgl/>
      <w:lvlText w:val="%1.%2.%3.%4.%5.%6.%7.%8.%9"/>
      <w:lvlJc w:val="left"/>
      <w:pPr>
        <w:ind w:left="16368" w:hanging="1800"/>
      </w:pPr>
      <w:rPr>
        <w:rFonts w:hint="default"/>
      </w:rPr>
    </w:lvl>
  </w:abstractNum>
  <w:abstractNum w:abstractNumId="1">
    <w:nsid w:val="56681D2E"/>
    <w:multiLevelType w:val="hybridMultilevel"/>
    <w:tmpl w:val="3DC2A304"/>
    <w:lvl w:ilvl="0" w:tplc="BD504F78">
      <w:start w:val="2"/>
      <w:numFmt w:val="bullet"/>
      <w:lvlText w:val="-"/>
      <w:lvlJc w:val="left"/>
      <w:pPr>
        <w:ind w:left="720" w:hanging="360"/>
      </w:pPr>
      <w:rPr>
        <w:rFonts w:ascii="Times New Roman" w:eastAsia="DejaVu Sans Condensed"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72D81218"/>
    <w:multiLevelType w:val="hybridMultilevel"/>
    <w:tmpl w:val="F7866A12"/>
    <w:lvl w:ilvl="0" w:tplc="C91CBADC">
      <w:start w:val="1"/>
      <w:numFmt w:val="decimal"/>
      <w:pStyle w:val="Heading2"/>
      <w:lvlText w:val="1.%1"/>
      <w:lvlJc w:val="left"/>
      <w:pPr>
        <w:ind w:left="1791" w:hanging="360"/>
      </w:pPr>
      <w:rPr>
        <w:rFonts w:hint="default"/>
        <w:b/>
        <w:i w:val="0"/>
        <w:sz w:val="24"/>
      </w:rPr>
    </w:lvl>
    <w:lvl w:ilvl="1" w:tplc="1C090019" w:tentative="1">
      <w:start w:val="1"/>
      <w:numFmt w:val="lowerLetter"/>
      <w:lvlText w:val="%2."/>
      <w:lvlJc w:val="left"/>
      <w:pPr>
        <w:ind w:left="2511" w:hanging="360"/>
      </w:pPr>
    </w:lvl>
    <w:lvl w:ilvl="2" w:tplc="1C09001B" w:tentative="1">
      <w:start w:val="1"/>
      <w:numFmt w:val="lowerRoman"/>
      <w:lvlText w:val="%3."/>
      <w:lvlJc w:val="right"/>
      <w:pPr>
        <w:ind w:left="3231" w:hanging="180"/>
      </w:pPr>
    </w:lvl>
    <w:lvl w:ilvl="3" w:tplc="1C09000F" w:tentative="1">
      <w:start w:val="1"/>
      <w:numFmt w:val="decimal"/>
      <w:lvlText w:val="%4."/>
      <w:lvlJc w:val="left"/>
      <w:pPr>
        <w:ind w:left="3951" w:hanging="360"/>
      </w:pPr>
    </w:lvl>
    <w:lvl w:ilvl="4" w:tplc="1C090019" w:tentative="1">
      <w:start w:val="1"/>
      <w:numFmt w:val="lowerLetter"/>
      <w:lvlText w:val="%5."/>
      <w:lvlJc w:val="left"/>
      <w:pPr>
        <w:ind w:left="4671" w:hanging="360"/>
      </w:pPr>
    </w:lvl>
    <w:lvl w:ilvl="5" w:tplc="1C09001B" w:tentative="1">
      <w:start w:val="1"/>
      <w:numFmt w:val="lowerRoman"/>
      <w:lvlText w:val="%6."/>
      <w:lvlJc w:val="right"/>
      <w:pPr>
        <w:ind w:left="5391" w:hanging="180"/>
      </w:pPr>
    </w:lvl>
    <w:lvl w:ilvl="6" w:tplc="1C09000F" w:tentative="1">
      <w:start w:val="1"/>
      <w:numFmt w:val="decimal"/>
      <w:lvlText w:val="%7."/>
      <w:lvlJc w:val="left"/>
      <w:pPr>
        <w:ind w:left="6111" w:hanging="360"/>
      </w:pPr>
    </w:lvl>
    <w:lvl w:ilvl="7" w:tplc="1C090019" w:tentative="1">
      <w:start w:val="1"/>
      <w:numFmt w:val="lowerLetter"/>
      <w:lvlText w:val="%8."/>
      <w:lvlJc w:val="left"/>
      <w:pPr>
        <w:ind w:left="6831" w:hanging="360"/>
      </w:pPr>
    </w:lvl>
    <w:lvl w:ilvl="8" w:tplc="1C09001B" w:tentative="1">
      <w:start w:val="1"/>
      <w:numFmt w:val="lowerRoman"/>
      <w:lvlText w:val="%9."/>
      <w:lvlJc w:val="right"/>
      <w:pPr>
        <w:ind w:left="755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3CEE"/>
    <w:rsid w:val="00237919"/>
    <w:rsid w:val="002651F4"/>
    <w:rsid w:val="008852C5"/>
    <w:rsid w:val="008902E8"/>
    <w:rsid w:val="00C412EB"/>
    <w:rsid w:val="00D73F67"/>
    <w:rsid w:val="00DD68AA"/>
    <w:rsid w:val="00FA3C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EE"/>
    <w:pPr>
      <w:widowControl w:val="0"/>
      <w:suppressAutoHyphens/>
    </w:pPr>
    <w:rPr>
      <w:rFonts w:ascii="Times New Roman" w:eastAsia="DejaVu Sans Condensed" w:hAnsi="Times New Roman" w:cs="Times New Roman"/>
      <w:sz w:val="24"/>
      <w:szCs w:val="24"/>
      <w:lang w:val="en-US"/>
    </w:rPr>
  </w:style>
  <w:style w:type="paragraph" w:styleId="Heading1">
    <w:name w:val="heading 1"/>
    <w:basedOn w:val="TOC1"/>
    <w:next w:val="Normal"/>
    <w:link w:val="Heading1Char"/>
    <w:qFormat/>
    <w:rsid w:val="00FA3CEE"/>
    <w:pPr>
      <w:keepNext/>
      <w:numPr>
        <w:numId w:val="2"/>
      </w:numPr>
      <w:shd w:val="clear" w:color="auto" w:fill="B6DDE8"/>
      <w:spacing w:before="100" w:beforeAutospacing="1" w:after="240" w:afterAutospacing="1"/>
      <w:jc w:val="center"/>
      <w:outlineLvl w:val="0"/>
    </w:pPr>
    <w:rPr>
      <w:rFonts w:cs="Arial"/>
      <w:b/>
      <w:bCs/>
      <w:kern w:val="32"/>
      <w:sz w:val="28"/>
      <w:szCs w:val="32"/>
      <w:lang w:val="en-GB"/>
    </w:rPr>
  </w:style>
  <w:style w:type="paragraph" w:styleId="Heading2">
    <w:name w:val="heading 2"/>
    <w:basedOn w:val="Normal"/>
    <w:next w:val="Normal"/>
    <w:link w:val="Heading2Char"/>
    <w:qFormat/>
    <w:rsid w:val="00FA3CEE"/>
    <w:pPr>
      <w:keepNext/>
      <w:numPr>
        <w:numId w:val="3"/>
      </w:numPr>
      <w:tabs>
        <w:tab w:val="left" w:pos="851"/>
      </w:tabs>
      <w:spacing w:before="360" w:after="240"/>
      <w:outlineLvl w:val="1"/>
    </w:pPr>
    <w:rPr>
      <w:rFonts w:cs="Arial"/>
      <w:b/>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3CEE"/>
    <w:rPr>
      <w:rFonts w:ascii="Times New Roman" w:eastAsia="DejaVu Sans Condensed" w:hAnsi="Times New Roman" w:cs="Arial"/>
      <w:b/>
      <w:bCs/>
      <w:kern w:val="32"/>
      <w:sz w:val="28"/>
      <w:szCs w:val="32"/>
      <w:shd w:val="clear" w:color="auto" w:fill="B6DDE8"/>
      <w:lang/>
    </w:rPr>
  </w:style>
  <w:style w:type="character" w:customStyle="1" w:styleId="Heading2Char">
    <w:name w:val="Heading 2 Char"/>
    <w:basedOn w:val="DefaultParagraphFont"/>
    <w:link w:val="Heading2"/>
    <w:rsid w:val="00FA3CEE"/>
    <w:rPr>
      <w:rFonts w:ascii="Times New Roman" w:eastAsia="DejaVu Sans Condensed" w:hAnsi="Times New Roman" w:cs="Arial"/>
      <w:b/>
      <w:bCs/>
      <w:iCs/>
      <w:caps/>
      <w:sz w:val="24"/>
      <w:szCs w:val="28"/>
      <w:lang w:val="en-US"/>
    </w:rPr>
  </w:style>
  <w:style w:type="paragraph" w:styleId="ListParagraph">
    <w:name w:val="List Paragraph"/>
    <w:basedOn w:val="Normal"/>
    <w:link w:val="ListParagraphChar"/>
    <w:uiPriority w:val="34"/>
    <w:qFormat/>
    <w:rsid w:val="00FA3CEE"/>
    <w:pPr>
      <w:ind w:left="720"/>
    </w:pPr>
    <w:rPr>
      <w:rFonts w:ascii="DejaVu Sans Condensed" w:hAnsi="DejaVu Sans Condensed"/>
    </w:rPr>
  </w:style>
  <w:style w:type="character" w:customStyle="1" w:styleId="ListParagraphChar">
    <w:name w:val="List Paragraph Char"/>
    <w:link w:val="ListParagraph"/>
    <w:uiPriority w:val="34"/>
    <w:rsid w:val="00FA3CEE"/>
    <w:rPr>
      <w:rFonts w:ascii="DejaVu Sans Condensed" w:eastAsia="DejaVu Sans Condensed" w:hAnsi="DejaVu Sans Condensed" w:cs="Times New Roman"/>
      <w:sz w:val="24"/>
      <w:szCs w:val="24"/>
      <w:lang w:val="en-US"/>
    </w:rPr>
  </w:style>
  <w:style w:type="paragraph" w:styleId="TOC1">
    <w:name w:val="toc 1"/>
    <w:basedOn w:val="Normal"/>
    <w:next w:val="Normal"/>
    <w:autoRedefine/>
    <w:uiPriority w:val="39"/>
    <w:semiHidden/>
    <w:unhideWhenUsed/>
    <w:rsid w:val="00FA3CEE"/>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Talamondjila Mwandingi</dc:creator>
  <cp:lastModifiedBy>Martha Talamondjila Mwandingi</cp:lastModifiedBy>
  <cp:revision>1</cp:revision>
  <dcterms:created xsi:type="dcterms:W3CDTF">2012-12-05T13:40:00Z</dcterms:created>
  <dcterms:modified xsi:type="dcterms:W3CDTF">2012-12-05T13:41:00Z</dcterms:modified>
</cp:coreProperties>
</file>