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585" w:rsidRDefault="00E62C3F">
      <w:r w:rsidRPr="00E62C3F">
        <w:drawing>
          <wp:anchor distT="0" distB="0" distL="114300" distR="114300" simplePos="0" relativeHeight="251659264" behindDoc="0" locked="0" layoutInCell="1" allowOverlap="1">
            <wp:simplePos x="0" y="0"/>
            <wp:positionH relativeFrom="margin">
              <wp:posOffset>5591157</wp:posOffset>
            </wp:positionH>
            <wp:positionV relativeFrom="margin">
              <wp:posOffset>-687294</wp:posOffset>
            </wp:positionV>
            <wp:extent cx="721217" cy="1551905"/>
            <wp:effectExtent l="0" t="0" r="0" b="0"/>
            <wp:wrapSquare wrapText="bothSides"/>
            <wp:docPr id="7"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1552575"/>
                    </a:xfrm>
                    <a:prstGeom prst="rect">
                      <a:avLst/>
                    </a:prstGeom>
                    <a:noFill/>
                    <a:ln>
                      <a:noFill/>
                    </a:ln>
                  </pic:spPr>
                </pic:pic>
              </a:graphicData>
            </a:graphic>
          </wp:anchor>
        </w:drawing>
      </w:r>
    </w:p>
    <w:p w:rsidR="00E62C3F" w:rsidRDefault="00E62C3F"/>
    <w:p w:rsidR="00E62C3F" w:rsidRDefault="00E62C3F"/>
    <w:p w:rsidR="007C7BC0" w:rsidRPr="00395976" w:rsidRDefault="007C7BC0" w:rsidP="007C7BC0">
      <w:pPr>
        <w:pStyle w:val="Titre"/>
        <w:rPr>
          <w:rFonts w:ascii="Tw Cen MT" w:hAnsi="Tw Cen MT"/>
          <w:b/>
          <w:bCs/>
          <w:i w:val="0"/>
          <w:iCs w:val="0"/>
          <w:szCs w:val="36"/>
        </w:rPr>
      </w:pPr>
      <w:r w:rsidRPr="00395976">
        <w:rPr>
          <w:rFonts w:ascii="Tw Cen MT" w:hAnsi="Tw Cen MT"/>
          <w:b/>
          <w:bCs/>
          <w:i w:val="0"/>
          <w:iCs w:val="0"/>
          <w:szCs w:val="36"/>
        </w:rPr>
        <w:t>Programme des Nations Unies pour le Développement</w:t>
      </w:r>
    </w:p>
    <w:p w:rsidR="007C7BC0" w:rsidRPr="00395976" w:rsidRDefault="007C7BC0" w:rsidP="007C7BC0">
      <w:pPr>
        <w:pStyle w:val="Titre"/>
        <w:rPr>
          <w:rFonts w:ascii="Tw Cen MT" w:hAnsi="Tw Cen MT"/>
          <w:b/>
          <w:bCs/>
          <w:i w:val="0"/>
          <w:iCs w:val="0"/>
          <w:szCs w:val="36"/>
        </w:rPr>
      </w:pPr>
      <w:r w:rsidRPr="00395976">
        <w:rPr>
          <w:rFonts w:ascii="Tw Cen MT" w:hAnsi="Tw Cen MT"/>
          <w:b/>
          <w:bCs/>
          <w:i w:val="0"/>
          <w:iCs w:val="0"/>
          <w:szCs w:val="36"/>
        </w:rPr>
        <w:t>Cadre de Résultats Stratégiques</w:t>
      </w:r>
      <w:r>
        <w:rPr>
          <w:rFonts w:ascii="Tw Cen MT" w:hAnsi="Tw Cen MT"/>
          <w:b/>
          <w:bCs/>
          <w:i w:val="0"/>
          <w:iCs w:val="0"/>
          <w:szCs w:val="36"/>
        </w:rPr>
        <w:t xml:space="preserve"> 2008</w:t>
      </w:r>
      <w:r w:rsidRPr="00395976">
        <w:rPr>
          <w:rFonts w:ascii="Tw Cen MT" w:hAnsi="Tw Cen MT"/>
          <w:b/>
          <w:bCs/>
          <w:i w:val="0"/>
          <w:iCs w:val="0"/>
          <w:szCs w:val="36"/>
        </w:rPr>
        <w:t>-20</w:t>
      </w:r>
      <w:r>
        <w:rPr>
          <w:rFonts w:ascii="Tw Cen MT" w:hAnsi="Tw Cen MT"/>
          <w:b/>
          <w:bCs/>
          <w:i w:val="0"/>
          <w:iCs w:val="0"/>
          <w:szCs w:val="36"/>
        </w:rPr>
        <w:t>12</w:t>
      </w:r>
    </w:p>
    <w:p w:rsidR="007C7BC0" w:rsidRPr="00395976" w:rsidRDefault="007C7BC0" w:rsidP="007C7BC0">
      <w:pPr>
        <w:jc w:val="center"/>
        <w:rPr>
          <w:rFonts w:ascii="Tw Cen MT" w:hAnsi="Tw Cen MT"/>
          <w:b/>
          <w:bCs/>
          <w:szCs w:val="20"/>
        </w:rPr>
      </w:pPr>
      <w:r>
        <w:rPr>
          <w:rFonts w:ascii="Tw Cen MT" w:hAnsi="Tw Cen MT"/>
          <w:b/>
          <w:bCs/>
          <w:szCs w:val="20"/>
        </w:rPr>
        <w:t xml:space="preserve">Djibouti </w:t>
      </w:r>
    </w:p>
    <w:p w:rsidR="007C7BC0" w:rsidRPr="00395976" w:rsidRDefault="007C7BC0" w:rsidP="007C7BC0">
      <w:pPr>
        <w:jc w:val="center"/>
        <w:rPr>
          <w:rFonts w:ascii="Tw Cen MT" w:hAnsi="Tw Cen MT"/>
          <w:b/>
          <w:bCs/>
          <w:szCs w:val="20"/>
        </w:rPr>
      </w:pPr>
      <w:r w:rsidRPr="00395976">
        <w:rPr>
          <w:rFonts w:ascii="Tw Cen MT" w:hAnsi="Tw Cen MT"/>
          <w:b/>
          <w:bCs/>
          <w:szCs w:val="20"/>
        </w:rPr>
        <w:t>Evaluation du programme de lutte contre la pauvreté</w:t>
      </w:r>
    </w:p>
    <w:p w:rsidR="007C7BC0" w:rsidRPr="00395976" w:rsidRDefault="007C7BC0" w:rsidP="007C7BC0">
      <w:pPr>
        <w:pBdr>
          <w:bottom w:val="single" w:sz="4" w:space="1" w:color="auto"/>
        </w:pBdr>
        <w:jc w:val="both"/>
        <w:rPr>
          <w:rFonts w:ascii="Tw Cen MT" w:hAnsi="Tw Cen MT"/>
          <w:b/>
          <w:bCs/>
          <w:szCs w:val="20"/>
        </w:rPr>
      </w:pPr>
    </w:p>
    <w:p w:rsidR="007C7BC0" w:rsidRPr="00B26095" w:rsidRDefault="007C7BC0" w:rsidP="007C7BC0">
      <w:pPr>
        <w:jc w:val="center"/>
        <w:rPr>
          <w:rFonts w:ascii="Tw Cen MT" w:hAnsi="Tw Cen MT"/>
          <w:b/>
          <w:bCs/>
          <w:szCs w:val="20"/>
        </w:rPr>
      </w:pPr>
      <w:r w:rsidRPr="00B26095">
        <w:rPr>
          <w:rFonts w:ascii="Tw Cen MT" w:hAnsi="Tw Cen MT"/>
          <w:b/>
          <w:bCs/>
          <w:szCs w:val="20"/>
        </w:rPr>
        <w:t>TERMES DE REFERENCE</w:t>
      </w:r>
    </w:p>
    <w:p w:rsidR="007C7BC0" w:rsidRDefault="007C7BC0" w:rsidP="007C7BC0">
      <w:pPr>
        <w:jc w:val="both"/>
        <w:rPr>
          <w:lang w:val="fr-BE"/>
        </w:rPr>
      </w:pPr>
    </w:p>
    <w:p w:rsidR="007C7BC0" w:rsidRDefault="007C7BC0" w:rsidP="007C7BC0">
      <w:pPr>
        <w:jc w:val="both"/>
        <w:rPr>
          <w:lang w:val="fr-BE"/>
        </w:rPr>
      </w:pPr>
    </w:p>
    <w:p w:rsidR="007C7BC0" w:rsidRPr="00A413F7" w:rsidRDefault="007C7BC0" w:rsidP="007C7BC0">
      <w:pPr>
        <w:rPr>
          <w:rFonts w:ascii="Tw Cen MT" w:hAnsi="Tw Cen MT"/>
          <w:b/>
          <w:bCs/>
        </w:rPr>
      </w:pPr>
      <w:r>
        <w:rPr>
          <w:rFonts w:ascii="Tw Cen MT" w:hAnsi="Tw Cen MT"/>
          <w:b/>
          <w:bCs/>
        </w:rPr>
        <w:t xml:space="preserve">1. </w:t>
      </w:r>
      <w:r w:rsidRPr="00A413F7">
        <w:rPr>
          <w:rFonts w:ascii="Tw Cen MT" w:hAnsi="Tw Cen MT"/>
          <w:b/>
          <w:bCs/>
        </w:rPr>
        <w:t>INTRODUCTION</w:t>
      </w:r>
    </w:p>
    <w:p w:rsidR="007C7BC0" w:rsidRPr="00A413F7" w:rsidRDefault="007C7BC0" w:rsidP="007C7BC0">
      <w:pPr>
        <w:jc w:val="both"/>
        <w:rPr>
          <w:rFonts w:ascii="Tw Cen MT" w:hAnsi="Tw Cen MT"/>
          <w:szCs w:val="20"/>
        </w:rPr>
      </w:pPr>
    </w:p>
    <w:p w:rsidR="007C7BC0" w:rsidRDefault="007C7BC0" w:rsidP="007C7BC0">
      <w:pPr>
        <w:jc w:val="both"/>
        <w:rPr>
          <w:rFonts w:ascii="Tw Cen MT" w:hAnsi="Tw Cen MT"/>
          <w:szCs w:val="20"/>
        </w:rPr>
      </w:pPr>
      <w:r w:rsidRPr="00A413F7">
        <w:rPr>
          <w:rFonts w:ascii="Tw Cen MT" w:hAnsi="Tw Cen MT"/>
          <w:szCs w:val="20"/>
        </w:rPr>
        <w:t>Le PNUD de Djibouti s’est fixé dans le cadre  de Résultats Stratégiques (CRS) pour la période 200</w:t>
      </w:r>
      <w:r>
        <w:rPr>
          <w:rFonts w:ascii="Tw Cen MT" w:hAnsi="Tw Cen MT"/>
          <w:szCs w:val="20"/>
        </w:rPr>
        <w:t>8</w:t>
      </w:r>
      <w:r w:rsidRPr="00A413F7">
        <w:rPr>
          <w:rFonts w:ascii="Tw Cen MT" w:hAnsi="Tw Cen MT"/>
          <w:szCs w:val="20"/>
        </w:rPr>
        <w:t>-20</w:t>
      </w:r>
      <w:r>
        <w:rPr>
          <w:rFonts w:ascii="Tw Cen MT" w:hAnsi="Tw Cen MT"/>
          <w:szCs w:val="20"/>
        </w:rPr>
        <w:t>12</w:t>
      </w:r>
      <w:r w:rsidRPr="00A413F7">
        <w:rPr>
          <w:rFonts w:ascii="Tw Cen MT" w:hAnsi="Tw Cen MT"/>
          <w:szCs w:val="20"/>
        </w:rPr>
        <w:t xml:space="preserve">, l’évaluation du programme de lutte contre la pauvreté. Ce programme s’inscrit  dans l’axe lutte contre la pauvreté du </w:t>
      </w:r>
      <w:r>
        <w:rPr>
          <w:rFonts w:ascii="Tw Cen MT" w:hAnsi="Tw Cen MT"/>
          <w:szCs w:val="20"/>
        </w:rPr>
        <w:t>DPP</w:t>
      </w:r>
      <w:r w:rsidRPr="00A413F7">
        <w:rPr>
          <w:rFonts w:ascii="Tw Cen MT" w:hAnsi="Tw Cen MT"/>
          <w:szCs w:val="20"/>
        </w:rPr>
        <w:t xml:space="preserve"> et se situe </w:t>
      </w:r>
      <w:r>
        <w:rPr>
          <w:rFonts w:ascii="Tw Cen MT" w:hAnsi="Tw Cen MT"/>
          <w:szCs w:val="20"/>
        </w:rPr>
        <w:t xml:space="preserve"> dans la droite ligne de l'Initiative Nationale pour le Développement Social adopté par le pays.</w:t>
      </w:r>
    </w:p>
    <w:p w:rsidR="007C7BC0" w:rsidRDefault="007C7BC0" w:rsidP="007C7BC0">
      <w:pPr>
        <w:jc w:val="both"/>
        <w:rPr>
          <w:rFonts w:ascii="Tw Cen MT" w:hAnsi="Tw Cen MT"/>
          <w:szCs w:val="20"/>
        </w:rPr>
      </w:pPr>
    </w:p>
    <w:p w:rsidR="007C7BC0" w:rsidRPr="00857FAF" w:rsidRDefault="007C7BC0" w:rsidP="007C7BC0">
      <w:pPr>
        <w:rPr>
          <w:rFonts w:ascii="Tw Cen MT" w:hAnsi="Tw Cen MT"/>
          <w:szCs w:val="20"/>
        </w:rPr>
      </w:pPr>
      <w:r w:rsidRPr="00857FAF">
        <w:rPr>
          <w:rFonts w:ascii="Tw Cen MT" w:hAnsi="Tw Cen MT"/>
          <w:szCs w:val="20"/>
        </w:rPr>
        <w:t xml:space="preserve">La situation du développement humain à Djibouti peut être sommairement caractérisée par les indicateurs suivants : </w:t>
      </w:r>
    </w:p>
    <w:p w:rsidR="007C7BC0" w:rsidRPr="00857FAF" w:rsidRDefault="007C7BC0" w:rsidP="007C7BC0">
      <w:pPr>
        <w:pStyle w:val="Pieddepage"/>
        <w:tabs>
          <w:tab w:val="clear" w:pos="4536"/>
          <w:tab w:val="clear" w:pos="9072"/>
        </w:tabs>
        <w:rPr>
          <w:rFonts w:ascii="Tw Cen MT" w:hAnsi="Tw Cen MT"/>
          <w:sz w:val="24"/>
        </w:rPr>
      </w:pPr>
    </w:p>
    <w:p w:rsidR="007C7BC0" w:rsidRPr="00857FAF" w:rsidRDefault="007C7BC0" w:rsidP="007C7BC0">
      <w:pPr>
        <w:numPr>
          <w:ilvl w:val="0"/>
          <w:numId w:val="6"/>
        </w:numPr>
        <w:spacing w:after="0" w:line="240" w:lineRule="auto"/>
        <w:jc w:val="both"/>
        <w:rPr>
          <w:rFonts w:ascii="Tw Cen MT" w:hAnsi="Tw Cen MT"/>
          <w:szCs w:val="20"/>
        </w:rPr>
      </w:pPr>
      <w:r w:rsidRPr="00857FAF">
        <w:rPr>
          <w:rFonts w:ascii="Tw Cen MT" w:hAnsi="Tw Cen MT"/>
          <w:szCs w:val="20"/>
        </w:rPr>
        <w:t>une pauvreté et une pauvreté extrême touchant respectivement 75% et 45% de la population. Le phénomène de pauvreté est plus profond en milieu rural bien que la plupart des pauvres et des extrêmement pauvres vivent dans la capitale. La pauvreté affecte beaucoup plus les femmes que les hommes ;</w:t>
      </w:r>
    </w:p>
    <w:p w:rsidR="007C7BC0" w:rsidRPr="00857FAF" w:rsidRDefault="007C7BC0" w:rsidP="007C7BC0">
      <w:pPr>
        <w:numPr>
          <w:ilvl w:val="0"/>
          <w:numId w:val="6"/>
        </w:numPr>
        <w:spacing w:after="0" w:line="240" w:lineRule="auto"/>
        <w:jc w:val="both"/>
        <w:rPr>
          <w:rFonts w:ascii="Tw Cen MT" w:hAnsi="Tw Cen MT"/>
          <w:szCs w:val="20"/>
        </w:rPr>
      </w:pPr>
      <w:r w:rsidRPr="00857FAF">
        <w:rPr>
          <w:rFonts w:ascii="Tw Cen MT" w:hAnsi="Tw Cen MT"/>
          <w:szCs w:val="20"/>
        </w:rPr>
        <w:t>un taux net de scolarisation primaire de 66% pour les pauvres extrêmes, des déperditions importantes (48% après six années d’études) et un taux d’analphabétisme global de 48%. Les disparités entre les filles et les garçons et entre les zones rurales et urbaines sont très marquées ;</w:t>
      </w:r>
    </w:p>
    <w:p w:rsidR="007C7BC0" w:rsidRPr="00857FAF" w:rsidRDefault="007C7BC0" w:rsidP="007C7BC0">
      <w:pPr>
        <w:numPr>
          <w:ilvl w:val="0"/>
          <w:numId w:val="6"/>
        </w:numPr>
        <w:spacing w:after="0" w:line="240" w:lineRule="auto"/>
        <w:jc w:val="both"/>
        <w:rPr>
          <w:rFonts w:ascii="Tw Cen MT" w:hAnsi="Tw Cen MT"/>
          <w:szCs w:val="20"/>
        </w:rPr>
      </w:pPr>
      <w:r w:rsidRPr="00857FAF">
        <w:rPr>
          <w:rFonts w:ascii="Tw Cen MT" w:hAnsi="Tw Cen MT"/>
          <w:szCs w:val="20"/>
        </w:rPr>
        <w:t>le manque de qualification du personnel et l’insuffisance des médicaments essentiels dans les structures sanitaires limitent l’accès aux soins des ménages les plus pauvres. Le taux de mortalité maternelle est de 740 pour 100.000 naissances et les taux de mortalité infantile et infanto-juvénile sont respectivement estimés à 114 et 165 pour 1000 naissances (EDAM-I);</w:t>
      </w:r>
    </w:p>
    <w:p w:rsidR="007C7BC0" w:rsidRPr="00857FAF" w:rsidRDefault="007C7BC0" w:rsidP="007C7BC0">
      <w:pPr>
        <w:numPr>
          <w:ilvl w:val="0"/>
          <w:numId w:val="6"/>
        </w:numPr>
        <w:spacing w:after="0" w:line="240" w:lineRule="auto"/>
        <w:jc w:val="both"/>
        <w:rPr>
          <w:rFonts w:ascii="Tw Cen MT" w:hAnsi="Tw Cen MT"/>
          <w:szCs w:val="20"/>
        </w:rPr>
      </w:pPr>
      <w:r w:rsidRPr="00857FAF">
        <w:rPr>
          <w:rFonts w:ascii="Tw Cen MT" w:hAnsi="Tw Cen MT"/>
          <w:szCs w:val="20"/>
        </w:rPr>
        <w:t>l’état nutritionnel des enfants semble s’être aggravé ; un enfant de moins de 5 ans sur quatre est mal nourri (enquête de surveillance nutritionnelle de 2000) ;</w:t>
      </w:r>
    </w:p>
    <w:p w:rsidR="007C7BC0" w:rsidRPr="00857FAF" w:rsidRDefault="007C7BC0" w:rsidP="007C7BC0">
      <w:pPr>
        <w:numPr>
          <w:ilvl w:val="0"/>
          <w:numId w:val="6"/>
        </w:numPr>
        <w:spacing w:after="0" w:line="240" w:lineRule="auto"/>
        <w:jc w:val="both"/>
        <w:rPr>
          <w:rFonts w:ascii="Tw Cen MT" w:hAnsi="Tw Cen MT"/>
          <w:szCs w:val="20"/>
        </w:rPr>
      </w:pPr>
      <w:r w:rsidRPr="00857FAF">
        <w:rPr>
          <w:rFonts w:ascii="Tw Cen MT" w:hAnsi="Tw Cen MT"/>
          <w:szCs w:val="20"/>
        </w:rPr>
        <w:t xml:space="preserve">le taux moyen de chômage est estimé à 61%, et les groupes les plus désavantagés ont des taux de chômage supérieurs à 95%. La situation des femmes est encore plus dramatique : 70% des femmes âgées de plus de 15 ans sont au chômage (56% pour les hommes). Le taux de chômage est plus élevé en milieu rural que dans les centres urbains. Le chômage des jeunes représente une très grande préoccupation : plus de 92% des 15 à 19 ans sont chômeurs, de même que près de 80% des jeunes de 20 à 24 ans ; </w:t>
      </w:r>
    </w:p>
    <w:p w:rsidR="007C7BC0" w:rsidRPr="00857FAF" w:rsidRDefault="007C7BC0" w:rsidP="007C7BC0">
      <w:pPr>
        <w:numPr>
          <w:ilvl w:val="0"/>
          <w:numId w:val="6"/>
        </w:numPr>
        <w:spacing w:after="0" w:line="240" w:lineRule="auto"/>
        <w:jc w:val="both"/>
        <w:rPr>
          <w:rFonts w:ascii="Tw Cen MT" w:hAnsi="Tw Cen MT"/>
          <w:szCs w:val="20"/>
        </w:rPr>
      </w:pPr>
      <w:r w:rsidRPr="00857FAF">
        <w:rPr>
          <w:rFonts w:ascii="Tw Cen MT" w:hAnsi="Tw Cen MT"/>
          <w:szCs w:val="20"/>
        </w:rPr>
        <w:t xml:space="preserve">on estime que près de 5% des ménages sédentaires sont privés de l’accès à l’eau potable.  </w:t>
      </w:r>
    </w:p>
    <w:p w:rsidR="007C7BC0" w:rsidRPr="00857FAF" w:rsidRDefault="007C7BC0" w:rsidP="007C7BC0">
      <w:pPr>
        <w:pStyle w:val="Pieddepage"/>
        <w:tabs>
          <w:tab w:val="clear" w:pos="4536"/>
          <w:tab w:val="clear" w:pos="9072"/>
        </w:tabs>
        <w:rPr>
          <w:rFonts w:ascii="Tw Cen MT" w:hAnsi="Tw Cen MT"/>
          <w:sz w:val="24"/>
        </w:rPr>
      </w:pPr>
    </w:p>
    <w:p w:rsidR="007C7BC0" w:rsidRPr="00857FAF" w:rsidRDefault="007C7BC0" w:rsidP="007C7BC0">
      <w:pPr>
        <w:jc w:val="both"/>
        <w:rPr>
          <w:rFonts w:ascii="Tw Cen MT" w:hAnsi="Tw Cen MT"/>
          <w:szCs w:val="20"/>
        </w:rPr>
      </w:pPr>
      <w:r w:rsidRPr="00857FAF">
        <w:rPr>
          <w:rFonts w:ascii="Tw Cen MT" w:hAnsi="Tw Cen MT"/>
          <w:szCs w:val="20"/>
        </w:rPr>
        <w:t xml:space="preserve">Le VIH/SIDA constitue une autre préoccupation importante : même si les résultats de l’enquête de </w:t>
      </w:r>
      <w:proofErr w:type="spellStart"/>
      <w:r w:rsidRPr="00857FAF">
        <w:rPr>
          <w:rFonts w:ascii="Tw Cen MT" w:hAnsi="Tw Cen MT"/>
          <w:szCs w:val="20"/>
        </w:rPr>
        <w:t>séro-prévalence</w:t>
      </w:r>
      <w:proofErr w:type="spellEnd"/>
      <w:r w:rsidRPr="00857FAF">
        <w:rPr>
          <w:rFonts w:ascii="Tw Cen MT" w:hAnsi="Tw Cen MT"/>
          <w:szCs w:val="20"/>
        </w:rPr>
        <w:t xml:space="preserve"> (2002) indiquent un taux de prévalence de 2,9%, l’épidémie infecte plus les personnes économiquement productives (6% pour les 15-35 ans) et l’incidence risque de croître rapidement compte tenu du fait que la moitié des effectifs de cette tranche d’âge ont des comportements à risque. Le poids socio-économique du VIH/SIDA commence à se faire sentir tant sur le système des soins de santé (12% des MST, 8% des décès) que sur le plan social (7.200 orphelins estimés).</w:t>
      </w:r>
    </w:p>
    <w:p w:rsidR="007C7BC0" w:rsidRDefault="007C7BC0" w:rsidP="007C7BC0"/>
    <w:p w:rsidR="007C7BC0" w:rsidRPr="00857FAF" w:rsidRDefault="007C7BC0" w:rsidP="007C7BC0">
      <w:pPr>
        <w:jc w:val="both"/>
        <w:rPr>
          <w:rFonts w:ascii="Tw Cen MT" w:hAnsi="Tw Cen MT"/>
          <w:szCs w:val="20"/>
        </w:rPr>
      </w:pPr>
      <w:r w:rsidRPr="00857FAF">
        <w:rPr>
          <w:rFonts w:ascii="Tw Cen MT" w:hAnsi="Tw Cen MT"/>
          <w:szCs w:val="20"/>
        </w:rPr>
        <w:t xml:space="preserve">La paupérisation et les migrations ont contribué par ailleurs à accroître la pression exercée sur l’environnement. Aux rigueurs climatiques naturelles, s’ajoutent des pratiques inappropriées (agriculture, coupe de bois, gestion et traitement défaillants des déchets, approvisionnement en eau…) qui viennent appauvrir encore un capital de ressources naturelles déjà fragile. </w:t>
      </w:r>
    </w:p>
    <w:p w:rsidR="007C7BC0" w:rsidRPr="00857FAF" w:rsidRDefault="007C7BC0" w:rsidP="007C7BC0">
      <w:pPr>
        <w:jc w:val="both"/>
        <w:rPr>
          <w:rFonts w:ascii="Tw Cen MT" w:hAnsi="Tw Cen MT"/>
          <w:szCs w:val="20"/>
        </w:rPr>
      </w:pPr>
    </w:p>
    <w:p w:rsidR="007C7BC0" w:rsidRPr="00A413F7" w:rsidRDefault="007C7BC0" w:rsidP="007C7BC0">
      <w:pPr>
        <w:jc w:val="both"/>
        <w:rPr>
          <w:rFonts w:ascii="Tw Cen MT" w:hAnsi="Tw Cen MT"/>
          <w:szCs w:val="20"/>
        </w:rPr>
      </w:pPr>
      <w:r>
        <w:rPr>
          <w:rFonts w:ascii="Tw Cen MT" w:hAnsi="Tw Cen MT"/>
          <w:szCs w:val="20"/>
        </w:rPr>
        <w:t>L'INDS  pose comme priorités les axes suivants.</w:t>
      </w:r>
    </w:p>
    <w:p w:rsidR="007C7BC0" w:rsidRDefault="007C7BC0" w:rsidP="007C7BC0">
      <w:pPr>
        <w:jc w:val="both"/>
        <w:rPr>
          <w:rFonts w:ascii="Tw Cen MT" w:hAnsi="Tw Cen MT"/>
          <w:szCs w:val="20"/>
        </w:rPr>
      </w:pPr>
    </w:p>
    <w:p w:rsidR="007C7BC0" w:rsidRPr="00857FAF" w:rsidRDefault="007C7BC0" w:rsidP="007C7BC0">
      <w:pPr>
        <w:jc w:val="both"/>
        <w:rPr>
          <w:rFonts w:ascii="Tw Cen MT" w:hAnsi="Tw Cen MT"/>
          <w:szCs w:val="20"/>
        </w:rPr>
      </w:pPr>
      <w:r w:rsidRPr="00857FAF">
        <w:rPr>
          <w:rFonts w:ascii="Tw Cen MT" w:hAnsi="Tw Cen MT"/>
          <w:b/>
          <w:bCs/>
          <w:szCs w:val="20"/>
        </w:rPr>
        <w:t>Le premier axe</w:t>
      </w:r>
      <w:r w:rsidRPr="00857FAF">
        <w:rPr>
          <w:rFonts w:ascii="Tw Cen MT" w:hAnsi="Tw Cen MT"/>
          <w:szCs w:val="20"/>
        </w:rPr>
        <w:t xml:space="preserve"> vise à renforcer la compétitivité du pays et à créer les conditions d’une croissance économique forte et durable </w:t>
      </w:r>
    </w:p>
    <w:p w:rsidR="007C7BC0" w:rsidRDefault="007C7BC0" w:rsidP="007C7BC0">
      <w:pPr>
        <w:jc w:val="both"/>
        <w:rPr>
          <w:rFonts w:ascii="Tw Cen MT" w:hAnsi="Tw Cen MT"/>
          <w:szCs w:val="20"/>
        </w:rPr>
      </w:pPr>
      <w:r w:rsidRPr="00857FAF">
        <w:rPr>
          <w:rFonts w:ascii="Tw Cen MT" w:hAnsi="Tw Cen MT"/>
          <w:b/>
          <w:bCs/>
          <w:szCs w:val="20"/>
        </w:rPr>
        <w:t>Le second axe</w:t>
      </w:r>
      <w:r w:rsidRPr="00857FAF">
        <w:rPr>
          <w:rFonts w:ascii="Tw Cen MT" w:hAnsi="Tw Cen MT"/>
          <w:szCs w:val="20"/>
        </w:rPr>
        <w:t xml:space="preserve"> vise à  accélérer le  développement des ressources humaines, à travers la mise en œuvre de programmes ciblés sur les zones de pauvreté et les couches vulnérables</w:t>
      </w:r>
    </w:p>
    <w:p w:rsidR="007C7BC0" w:rsidRPr="00857FAF" w:rsidRDefault="007C7BC0" w:rsidP="007C7BC0">
      <w:pPr>
        <w:jc w:val="both"/>
        <w:rPr>
          <w:rFonts w:ascii="Tw Cen MT" w:hAnsi="Tw Cen MT"/>
          <w:szCs w:val="20"/>
        </w:rPr>
      </w:pPr>
      <w:r w:rsidRPr="00857FAF">
        <w:rPr>
          <w:rFonts w:ascii="Tw Cen MT" w:hAnsi="Tw Cen MT"/>
          <w:b/>
          <w:bCs/>
          <w:szCs w:val="20"/>
        </w:rPr>
        <w:t>Le troisième axe</w:t>
      </w:r>
      <w:r w:rsidRPr="00857FAF">
        <w:rPr>
          <w:rFonts w:ascii="Tw Cen MT" w:hAnsi="Tw Cen MT"/>
          <w:szCs w:val="20"/>
        </w:rPr>
        <w:t xml:space="preserve"> vise </w:t>
      </w:r>
      <w:r>
        <w:rPr>
          <w:rFonts w:ascii="Tw Cen MT" w:hAnsi="Tw Cen MT"/>
          <w:szCs w:val="20"/>
        </w:rPr>
        <w:t xml:space="preserve"> à </w:t>
      </w:r>
      <w:r w:rsidRPr="00857FAF">
        <w:rPr>
          <w:rFonts w:ascii="Tw Cen MT" w:hAnsi="Tw Cen MT"/>
          <w:szCs w:val="20"/>
        </w:rPr>
        <w:t>améliorer l’accès des pauvres à l’eau et aux services de base. Les politiques et les programmes seront centrés sur les quartiers périphériques de Djibouti ville (arrondissement 4 et 5, notamment), sur les villes de l’intérieur et sur la zone rurale.</w:t>
      </w:r>
    </w:p>
    <w:p w:rsidR="007C7BC0" w:rsidRPr="004F78ED" w:rsidRDefault="007C7BC0" w:rsidP="007C7BC0">
      <w:pPr>
        <w:jc w:val="both"/>
        <w:rPr>
          <w:rFonts w:ascii="Tw Cen MT" w:hAnsi="Tw Cen MT"/>
          <w:b/>
          <w:bCs/>
          <w:szCs w:val="20"/>
        </w:rPr>
      </w:pPr>
      <w:r w:rsidRPr="00653B93">
        <w:rPr>
          <w:rFonts w:ascii="Tw Cen MT" w:hAnsi="Tw Cen MT"/>
          <w:b/>
          <w:bCs/>
          <w:szCs w:val="20"/>
        </w:rPr>
        <w:t>Le quatrième axe</w:t>
      </w:r>
      <w:r w:rsidRPr="004F78ED">
        <w:rPr>
          <w:rFonts w:ascii="Tw Cen MT" w:hAnsi="Tw Cen MT"/>
          <w:szCs w:val="20"/>
        </w:rPr>
        <w:t xml:space="preserve"> vise à promouvoir la bonne gouvernance politique, locale, économique et financière et renforcer les capacités de planification et de gestion de l’administration et à moderniser ses outils et ses moyens. </w:t>
      </w:r>
    </w:p>
    <w:p w:rsidR="007C7BC0" w:rsidRPr="004F78ED" w:rsidRDefault="007C7BC0" w:rsidP="007C7BC0">
      <w:pPr>
        <w:rPr>
          <w:rFonts w:ascii="Tw Cen MT" w:hAnsi="Tw Cen MT"/>
          <w:szCs w:val="20"/>
        </w:rPr>
      </w:pPr>
    </w:p>
    <w:p w:rsidR="007C7BC0" w:rsidRDefault="007C7BC0" w:rsidP="007C7BC0">
      <w:pPr>
        <w:jc w:val="both"/>
        <w:rPr>
          <w:rFonts w:ascii="Tw Cen MT" w:hAnsi="Tw Cen MT"/>
          <w:szCs w:val="20"/>
        </w:rPr>
      </w:pPr>
      <w:r w:rsidRPr="004F78ED">
        <w:rPr>
          <w:rFonts w:ascii="Tw Cen MT" w:hAnsi="Tw Cen MT"/>
          <w:szCs w:val="20"/>
        </w:rPr>
        <w:t>C’est pour répondre à ces défis et tout particulièrement à celui de la lutte contre la pauvreté</w:t>
      </w:r>
      <w:r>
        <w:rPr>
          <w:rFonts w:ascii="Tw Cen MT" w:hAnsi="Tw Cen MT"/>
          <w:szCs w:val="20"/>
        </w:rPr>
        <w:t xml:space="preserve">  que le PNUD a approuvé le PLCP qui vise</w:t>
      </w:r>
      <w:r w:rsidRPr="00E71A21">
        <w:rPr>
          <w:rFonts w:ascii="Tw Cen MT" w:hAnsi="Tw Cen MT"/>
          <w:szCs w:val="20"/>
        </w:rPr>
        <w:t xml:space="preserve"> à assister le Gouvernement djiboutien dans la mise en œuvre de sa stratégie nationa</w:t>
      </w:r>
      <w:r>
        <w:rPr>
          <w:rFonts w:ascii="Tw Cen MT" w:hAnsi="Tw Cen MT"/>
          <w:szCs w:val="20"/>
        </w:rPr>
        <w:t xml:space="preserve">le de réduction de la pauvreté. </w:t>
      </w:r>
      <w:r w:rsidRPr="00E71A21">
        <w:rPr>
          <w:rFonts w:ascii="Tw Cen MT" w:hAnsi="Tw Cen MT"/>
          <w:szCs w:val="20"/>
        </w:rPr>
        <w:t xml:space="preserve">Le PLCP est construit autour d’actions de renforcement de capacités en positionnant l’assistance du PNUD dans les domaines suivants : conseil stratégique, formulation de politiques et plans d’action, plaidoyer et mobilisation de ressources, programmation et suivi des actions de développement régional, systèmes d’information pour le suivi et l’évaluation des politiques publiques. Le Programme se structure autour de deux sous-programmes : </w:t>
      </w:r>
    </w:p>
    <w:p w:rsidR="007C7BC0" w:rsidRPr="00E71A21" w:rsidRDefault="007C7BC0" w:rsidP="007C7BC0">
      <w:pPr>
        <w:jc w:val="both"/>
        <w:rPr>
          <w:rFonts w:ascii="Tw Cen MT" w:hAnsi="Tw Cen MT"/>
          <w:szCs w:val="20"/>
        </w:rPr>
      </w:pPr>
    </w:p>
    <w:p w:rsidR="007C7BC0" w:rsidRPr="00E71A21" w:rsidRDefault="007C7BC0" w:rsidP="007C7BC0">
      <w:pPr>
        <w:numPr>
          <w:ilvl w:val="0"/>
          <w:numId w:val="7"/>
        </w:numPr>
        <w:spacing w:after="0" w:line="240" w:lineRule="auto"/>
        <w:jc w:val="both"/>
        <w:rPr>
          <w:rFonts w:ascii="Tw Cen MT" w:hAnsi="Tw Cen MT"/>
          <w:szCs w:val="20"/>
        </w:rPr>
      </w:pPr>
      <w:r w:rsidRPr="00E71A21">
        <w:rPr>
          <w:rFonts w:ascii="Tw Cen MT" w:hAnsi="Tw Cen MT"/>
          <w:szCs w:val="20"/>
        </w:rPr>
        <w:t xml:space="preserve">l’appui aux stratégies et politiques nationales de lutte contre la pauvreté, </w:t>
      </w:r>
    </w:p>
    <w:p w:rsidR="007C7BC0" w:rsidRPr="00E71A21" w:rsidRDefault="007C7BC0" w:rsidP="007C7BC0">
      <w:pPr>
        <w:numPr>
          <w:ilvl w:val="0"/>
          <w:numId w:val="7"/>
        </w:numPr>
        <w:spacing w:after="0" w:line="240" w:lineRule="auto"/>
        <w:jc w:val="both"/>
        <w:rPr>
          <w:rFonts w:ascii="Tw Cen MT" w:hAnsi="Tw Cen MT"/>
          <w:szCs w:val="20"/>
        </w:rPr>
      </w:pPr>
      <w:r w:rsidRPr="00E71A21">
        <w:rPr>
          <w:rFonts w:ascii="Tw Cen MT" w:hAnsi="Tw Cen MT"/>
          <w:szCs w:val="20"/>
        </w:rPr>
        <w:t xml:space="preserve">l’appui au développement local durable dans les districts de l’intérieur. </w:t>
      </w:r>
    </w:p>
    <w:p w:rsidR="007C7BC0" w:rsidRPr="00710C19" w:rsidRDefault="007C7BC0" w:rsidP="007C7BC0">
      <w:pPr>
        <w:rPr>
          <w:rFonts w:ascii="Tw Cen MT" w:hAnsi="Tw Cen MT"/>
          <w:szCs w:val="20"/>
        </w:rPr>
      </w:pPr>
    </w:p>
    <w:p w:rsidR="007C7BC0" w:rsidRPr="003B66EE" w:rsidRDefault="007C7BC0" w:rsidP="007C7BC0">
      <w:pPr>
        <w:jc w:val="both"/>
        <w:rPr>
          <w:rFonts w:ascii="Tw Cen MT" w:hAnsi="Tw Cen MT"/>
          <w:szCs w:val="20"/>
        </w:rPr>
      </w:pPr>
      <w:r>
        <w:rPr>
          <w:rFonts w:ascii="Tw Cen MT" w:hAnsi="Tw Cen MT"/>
          <w:szCs w:val="20"/>
        </w:rPr>
        <w:t>En liaison avec l'INDS</w:t>
      </w:r>
      <w:r w:rsidRPr="00710C19">
        <w:rPr>
          <w:rFonts w:ascii="Tw Cen MT" w:hAnsi="Tw Cen MT"/>
          <w:szCs w:val="20"/>
        </w:rPr>
        <w:t xml:space="preserve">, </w:t>
      </w:r>
      <w:r w:rsidRPr="00B666E6">
        <w:rPr>
          <w:rFonts w:ascii="Tw Cen MT" w:hAnsi="Tw Cen MT"/>
          <w:b/>
          <w:bCs/>
          <w:szCs w:val="20"/>
        </w:rPr>
        <w:t>le premier sous-programme</w:t>
      </w:r>
      <w:r w:rsidRPr="00710C19">
        <w:rPr>
          <w:rFonts w:ascii="Tw Cen MT" w:hAnsi="Tw Cen MT"/>
          <w:szCs w:val="20"/>
        </w:rPr>
        <w:t xml:space="preserve"> </w:t>
      </w:r>
      <w:r>
        <w:rPr>
          <w:rFonts w:ascii="Tw Cen MT" w:hAnsi="Tw Cen MT"/>
          <w:szCs w:val="20"/>
        </w:rPr>
        <w:t xml:space="preserve">a concentré son </w:t>
      </w:r>
      <w:r w:rsidRPr="00710C19">
        <w:rPr>
          <w:rFonts w:ascii="Tw Cen MT" w:hAnsi="Tw Cen MT"/>
          <w:szCs w:val="20"/>
        </w:rPr>
        <w:t xml:space="preserve"> appui sur la mise en </w:t>
      </w:r>
      <w:r w:rsidRPr="003B66EE">
        <w:rPr>
          <w:rFonts w:ascii="Tw Cen MT" w:hAnsi="Tw Cen MT"/>
          <w:szCs w:val="20"/>
        </w:rPr>
        <w:t>place du s</w:t>
      </w:r>
      <w:r>
        <w:rPr>
          <w:rFonts w:ascii="Tw Cen MT" w:hAnsi="Tw Cen MT"/>
          <w:szCs w:val="20"/>
        </w:rPr>
        <w:t>ystème de suivi et évaluation de l'INDS</w:t>
      </w:r>
      <w:r w:rsidRPr="003B66EE">
        <w:rPr>
          <w:rFonts w:ascii="Tw Cen MT" w:hAnsi="Tw Cen MT"/>
          <w:szCs w:val="20"/>
        </w:rPr>
        <w:t xml:space="preserve">. Il </w:t>
      </w:r>
      <w:r>
        <w:rPr>
          <w:rFonts w:ascii="Tw Cen MT" w:hAnsi="Tw Cen MT"/>
          <w:szCs w:val="20"/>
        </w:rPr>
        <w:t>a  mis le focus dans les domaines suivants</w:t>
      </w:r>
      <w:r w:rsidRPr="003B66EE">
        <w:rPr>
          <w:rFonts w:ascii="Tw Cen MT" w:hAnsi="Tw Cen MT"/>
          <w:szCs w:val="20"/>
        </w:rPr>
        <w:t xml:space="preserve"> :  </w:t>
      </w:r>
    </w:p>
    <w:p w:rsidR="007C7BC0" w:rsidRPr="003B66EE" w:rsidRDefault="007C7BC0" w:rsidP="007C7BC0">
      <w:pPr>
        <w:jc w:val="both"/>
        <w:rPr>
          <w:rFonts w:ascii="Tw Cen MT" w:hAnsi="Tw Cen MT"/>
          <w:szCs w:val="20"/>
        </w:rPr>
      </w:pPr>
    </w:p>
    <w:p w:rsidR="007C7BC0" w:rsidRPr="003B66EE" w:rsidRDefault="007C7BC0" w:rsidP="007C7BC0">
      <w:pPr>
        <w:numPr>
          <w:ilvl w:val="0"/>
          <w:numId w:val="8"/>
        </w:numPr>
        <w:spacing w:after="0" w:line="240" w:lineRule="auto"/>
        <w:jc w:val="both"/>
        <w:rPr>
          <w:rFonts w:ascii="Tw Cen MT" w:hAnsi="Tw Cen MT"/>
          <w:szCs w:val="20"/>
        </w:rPr>
      </w:pPr>
      <w:r w:rsidRPr="003B66EE">
        <w:rPr>
          <w:rFonts w:ascii="Tw Cen MT" w:hAnsi="Tw Cen MT"/>
          <w:szCs w:val="20"/>
        </w:rPr>
        <w:lastRenderedPageBreak/>
        <w:t>formulation et validation d’un cadre institutionnel et technique pour le S&amp;E </w:t>
      </w:r>
      <w:r>
        <w:rPr>
          <w:rFonts w:ascii="Tw Cen MT" w:hAnsi="Tw Cen MT"/>
          <w:szCs w:val="20"/>
        </w:rPr>
        <w:t>de l'INDS</w:t>
      </w:r>
      <w:r w:rsidRPr="003B66EE">
        <w:rPr>
          <w:rFonts w:ascii="Tw Cen MT" w:hAnsi="Tw Cen MT"/>
          <w:szCs w:val="20"/>
        </w:rPr>
        <w:t xml:space="preserve"> ;</w:t>
      </w:r>
    </w:p>
    <w:p w:rsidR="007C7BC0" w:rsidRPr="003B66EE" w:rsidRDefault="007C7BC0" w:rsidP="007C7BC0">
      <w:pPr>
        <w:numPr>
          <w:ilvl w:val="0"/>
          <w:numId w:val="8"/>
        </w:numPr>
        <w:spacing w:after="0" w:line="240" w:lineRule="auto"/>
        <w:jc w:val="both"/>
        <w:rPr>
          <w:rFonts w:ascii="Tw Cen MT" w:hAnsi="Tw Cen MT"/>
          <w:szCs w:val="20"/>
        </w:rPr>
      </w:pPr>
      <w:r w:rsidRPr="003B66EE">
        <w:rPr>
          <w:rFonts w:ascii="Tw Cen MT" w:hAnsi="Tw Cen MT"/>
          <w:szCs w:val="20"/>
        </w:rPr>
        <w:t>mise en place du système d’indicateurs de suivi</w:t>
      </w:r>
      <w:r>
        <w:rPr>
          <w:rFonts w:ascii="Tw Cen MT" w:hAnsi="Tw Cen MT"/>
          <w:szCs w:val="20"/>
        </w:rPr>
        <w:t xml:space="preserve"> OMD/INDS</w:t>
      </w:r>
      <w:r w:rsidRPr="003B66EE">
        <w:rPr>
          <w:rFonts w:ascii="Tw Cen MT" w:hAnsi="Tw Cen MT"/>
          <w:szCs w:val="20"/>
        </w:rPr>
        <w:t>;</w:t>
      </w:r>
    </w:p>
    <w:p w:rsidR="007C7BC0" w:rsidRPr="003B66EE" w:rsidRDefault="007C7BC0" w:rsidP="007C7BC0">
      <w:pPr>
        <w:numPr>
          <w:ilvl w:val="0"/>
          <w:numId w:val="8"/>
        </w:numPr>
        <w:spacing w:after="0" w:line="240" w:lineRule="auto"/>
        <w:jc w:val="both"/>
        <w:rPr>
          <w:rFonts w:ascii="Tw Cen MT" w:hAnsi="Tw Cen MT"/>
          <w:szCs w:val="20"/>
        </w:rPr>
      </w:pPr>
      <w:r>
        <w:rPr>
          <w:rFonts w:ascii="Tw Cen MT" w:hAnsi="Tw Cen MT"/>
          <w:szCs w:val="20"/>
        </w:rPr>
        <w:t xml:space="preserve">appui au système statistique national </w:t>
      </w:r>
      <w:r w:rsidRPr="003B66EE">
        <w:rPr>
          <w:rFonts w:ascii="Tw Cen MT" w:hAnsi="Tw Cen MT"/>
          <w:szCs w:val="20"/>
        </w:rPr>
        <w:t> ;</w:t>
      </w:r>
    </w:p>
    <w:p w:rsidR="007C7BC0" w:rsidRPr="003B66EE" w:rsidRDefault="007C7BC0" w:rsidP="007C7BC0">
      <w:pPr>
        <w:numPr>
          <w:ilvl w:val="0"/>
          <w:numId w:val="8"/>
        </w:numPr>
        <w:spacing w:after="0" w:line="240" w:lineRule="auto"/>
        <w:jc w:val="both"/>
        <w:rPr>
          <w:rFonts w:ascii="Tw Cen MT" w:hAnsi="Tw Cen MT"/>
          <w:szCs w:val="20"/>
        </w:rPr>
      </w:pPr>
      <w:r>
        <w:rPr>
          <w:rFonts w:ascii="Tw Cen MT" w:hAnsi="Tw Cen MT"/>
          <w:szCs w:val="20"/>
        </w:rPr>
        <w:t>formation des équipes Djiboutiennes dans le domaine du S&amp;E</w:t>
      </w:r>
      <w:r w:rsidRPr="003B66EE">
        <w:rPr>
          <w:rFonts w:ascii="Tw Cen MT" w:hAnsi="Tw Cen MT"/>
          <w:szCs w:val="20"/>
        </w:rPr>
        <w:t>;</w:t>
      </w:r>
    </w:p>
    <w:p w:rsidR="007C7BC0" w:rsidRPr="003B66EE" w:rsidRDefault="007C7BC0" w:rsidP="007C7BC0">
      <w:pPr>
        <w:jc w:val="both"/>
        <w:rPr>
          <w:rFonts w:ascii="Tw Cen MT" w:hAnsi="Tw Cen MT"/>
          <w:szCs w:val="20"/>
        </w:rPr>
      </w:pPr>
    </w:p>
    <w:p w:rsidR="007C7BC0" w:rsidRDefault="007C7BC0" w:rsidP="007C7BC0">
      <w:pPr>
        <w:jc w:val="both"/>
        <w:rPr>
          <w:rFonts w:ascii="Tw Cen MT" w:hAnsi="Tw Cen MT"/>
          <w:szCs w:val="20"/>
        </w:rPr>
      </w:pPr>
      <w:r w:rsidRPr="003B66EE">
        <w:rPr>
          <w:rFonts w:ascii="Tw Cen MT" w:hAnsi="Tw Cen MT"/>
          <w:szCs w:val="20"/>
        </w:rPr>
        <w:t xml:space="preserve">Il convient de noter que </w:t>
      </w:r>
      <w:r>
        <w:rPr>
          <w:rFonts w:ascii="Tw Cen MT" w:hAnsi="Tw Cen MT"/>
          <w:szCs w:val="20"/>
        </w:rPr>
        <w:t>ce</w:t>
      </w:r>
      <w:r w:rsidRPr="003B66EE">
        <w:rPr>
          <w:rFonts w:ascii="Tw Cen MT" w:hAnsi="Tw Cen MT"/>
          <w:szCs w:val="20"/>
        </w:rPr>
        <w:t xml:space="preserve"> sous-programme d’appui aux stratégies et politiques nationales de LCP</w:t>
      </w:r>
      <w:r>
        <w:rPr>
          <w:rFonts w:ascii="Tw Cen MT" w:hAnsi="Tw Cen MT"/>
          <w:szCs w:val="20"/>
        </w:rPr>
        <w:t xml:space="preserve"> a </w:t>
      </w:r>
      <w:r w:rsidRPr="003B66EE">
        <w:rPr>
          <w:rFonts w:ascii="Tw Cen MT" w:hAnsi="Tw Cen MT"/>
          <w:szCs w:val="20"/>
        </w:rPr>
        <w:t>également</w:t>
      </w:r>
      <w:r>
        <w:rPr>
          <w:rFonts w:ascii="Tw Cen MT" w:hAnsi="Tw Cen MT"/>
          <w:szCs w:val="20"/>
        </w:rPr>
        <w:t xml:space="preserve"> fourni</w:t>
      </w:r>
      <w:r w:rsidRPr="003B66EE">
        <w:rPr>
          <w:rFonts w:ascii="Tw Cen MT" w:hAnsi="Tw Cen MT"/>
          <w:szCs w:val="20"/>
        </w:rPr>
        <w:t xml:space="preserve"> un appui en termes de conseil, de formulation de et de mobilisation de ressources dans les deux domaines </w:t>
      </w:r>
      <w:r>
        <w:rPr>
          <w:rFonts w:ascii="Tw Cen MT" w:hAnsi="Tw Cen MT"/>
          <w:szCs w:val="20"/>
        </w:rPr>
        <w:t>de l’</w:t>
      </w:r>
      <w:r w:rsidRPr="00225D21">
        <w:rPr>
          <w:rFonts w:ascii="Tw Cen MT" w:hAnsi="Tw Cen MT"/>
          <w:szCs w:val="20"/>
        </w:rPr>
        <w:t>environnement et</w:t>
      </w:r>
      <w:r>
        <w:rPr>
          <w:rFonts w:ascii="Tw Cen MT" w:hAnsi="Tw Cen MT"/>
          <w:szCs w:val="20"/>
        </w:rPr>
        <w:t xml:space="preserve"> de la </w:t>
      </w:r>
      <w:r w:rsidRPr="00225D21">
        <w:rPr>
          <w:rFonts w:ascii="Tw Cen MT" w:hAnsi="Tw Cen MT"/>
          <w:szCs w:val="20"/>
        </w:rPr>
        <w:t xml:space="preserve"> lutte contre le VIH/SIDA. </w:t>
      </w:r>
      <w:r>
        <w:rPr>
          <w:rFonts w:ascii="Tw Cen MT" w:hAnsi="Tw Cen MT"/>
          <w:szCs w:val="20"/>
        </w:rPr>
        <w:t xml:space="preserve"> Un volet micro finance a été ajouté au programme, une stratégie a été entérinée par le gouvernement et une loi sur les institutions de la micro finance est en cours d’étude au niveau du Parlement. </w:t>
      </w:r>
    </w:p>
    <w:p w:rsidR="007C7BC0" w:rsidRPr="003B66EE" w:rsidRDefault="007C7BC0" w:rsidP="007C7BC0">
      <w:pPr>
        <w:jc w:val="both"/>
        <w:rPr>
          <w:rFonts w:ascii="Tw Cen MT" w:hAnsi="Tw Cen MT"/>
          <w:szCs w:val="20"/>
        </w:rPr>
      </w:pPr>
    </w:p>
    <w:p w:rsidR="007C7BC0" w:rsidRPr="003B66EE" w:rsidRDefault="007C7BC0" w:rsidP="007C7BC0">
      <w:pPr>
        <w:jc w:val="both"/>
        <w:rPr>
          <w:rFonts w:ascii="Tw Cen MT" w:hAnsi="Tw Cen MT"/>
          <w:szCs w:val="20"/>
        </w:rPr>
      </w:pPr>
    </w:p>
    <w:p w:rsidR="007C7BC0" w:rsidRDefault="007C7BC0" w:rsidP="007C7BC0">
      <w:pPr>
        <w:pStyle w:val="BodyText25"/>
        <w:tabs>
          <w:tab w:val="clear" w:pos="-720"/>
          <w:tab w:val="clear" w:pos="1002"/>
        </w:tabs>
        <w:ind w:right="1134"/>
        <w:jc w:val="left"/>
        <w:rPr>
          <w:rFonts w:ascii="Tw Cen MT" w:hAnsi="Tw Cen MT"/>
        </w:rPr>
      </w:pPr>
    </w:p>
    <w:p w:rsidR="007C7BC0" w:rsidRPr="00A413F7" w:rsidRDefault="007C7BC0" w:rsidP="007C7BC0">
      <w:pPr>
        <w:jc w:val="both"/>
        <w:rPr>
          <w:rFonts w:ascii="Tw Cen MT" w:hAnsi="Tw Cen MT"/>
          <w:szCs w:val="20"/>
        </w:rPr>
      </w:pPr>
    </w:p>
    <w:p w:rsidR="007C7BC0" w:rsidRDefault="007C7BC0" w:rsidP="007C7BC0">
      <w:pPr>
        <w:rPr>
          <w:rFonts w:ascii="Tw Cen MT" w:hAnsi="Tw Cen MT"/>
          <w:b/>
          <w:bCs/>
        </w:rPr>
      </w:pPr>
      <w:r>
        <w:rPr>
          <w:rFonts w:ascii="Tw Cen MT" w:hAnsi="Tw Cen MT"/>
          <w:b/>
          <w:bCs/>
        </w:rPr>
        <w:t xml:space="preserve">2. OBJECTIFS DE LA MISSION  </w:t>
      </w:r>
    </w:p>
    <w:p w:rsidR="007C7BC0" w:rsidRDefault="007C7BC0" w:rsidP="007C7BC0">
      <w:pPr>
        <w:rPr>
          <w:rFonts w:ascii="Tw Cen MT" w:hAnsi="Tw Cen MT"/>
        </w:rPr>
      </w:pPr>
      <w:r>
        <w:rPr>
          <w:rFonts w:ascii="Tw Cen MT" w:hAnsi="Tw Cen MT"/>
        </w:rPr>
        <w:t xml:space="preserve">  </w:t>
      </w:r>
    </w:p>
    <w:p w:rsidR="007C7BC0" w:rsidRDefault="007C7BC0" w:rsidP="007C7BC0">
      <w:pPr>
        <w:pStyle w:val="Corpsdetexte2"/>
        <w:ind w:firstLine="708"/>
        <w:rPr>
          <w:rFonts w:ascii="Tw Cen MT" w:hAnsi="Tw Cen MT"/>
        </w:rPr>
      </w:pPr>
      <w:r>
        <w:rPr>
          <w:rFonts w:ascii="Tw Cen MT" w:hAnsi="Tw Cen MT"/>
        </w:rPr>
        <w:t xml:space="preserve">L'exercice de l'évaluation veut d'un </w:t>
      </w:r>
      <w:proofErr w:type="spellStart"/>
      <w:r>
        <w:rPr>
          <w:rFonts w:ascii="Tw Cen MT" w:hAnsi="Tw Cen MT"/>
        </w:rPr>
        <w:t>oeil</w:t>
      </w:r>
      <w:proofErr w:type="spellEnd"/>
      <w:r>
        <w:rPr>
          <w:rFonts w:ascii="Tw Cen MT" w:hAnsi="Tw Cen MT"/>
        </w:rPr>
        <w:t xml:space="preserve"> critique et objectif, examiner les réalisations des résultats du projet  en s’interrogeant sur l’état d’achèvement des effets ( SI les résultats ont été atteints, COMMENT et POURQUOI ) ainsi que sur la contribution effective du PNUD  au changement de la situation de développement.   A cet égard,  la mission se focalisera sur quatre points :</w:t>
      </w:r>
    </w:p>
    <w:p w:rsidR="007C7BC0" w:rsidRDefault="007C7BC0" w:rsidP="007C7BC0">
      <w:pPr>
        <w:pStyle w:val="Corpsdetexte2"/>
        <w:ind w:firstLine="708"/>
        <w:rPr>
          <w:rFonts w:ascii="Tw Cen MT" w:hAnsi="Tw Cen MT"/>
        </w:rPr>
      </w:pPr>
    </w:p>
    <w:p w:rsidR="007C7BC0" w:rsidRDefault="007C7BC0" w:rsidP="007C7BC0">
      <w:pPr>
        <w:pStyle w:val="Corpsdetexte2"/>
        <w:numPr>
          <w:ilvl w:val="0"/>
          <w:numId w:val="1"/>
        </w:numPr>
        <w:rPr>
          <w:rFonts w:ascii="Tw Cen MT" w:hAnsi="Tw Cen MT"/>
        </w:rPr>
      </w:pPr>
      <w:r>
        <w:rPr>
          <w:rFonts w:ascii="Tw Cen MT" w:hAnsi="Tw Cen MT"/>
        </w:rPr>
        <w:t>La conception et la pertinence des objectifs du programme  </w:t>
      </w:r>
    </w:p>
    <w:p w:rsidR="007C7BC0" w:rsidRDefault="007C7BC0" w:rsidP="007C7BC0">
      <w:pPr>
        <w:pStyle w:val="Corpsdetexte2"/>
        <w:ind w:left="360"/>
        <w:rPr>
          <w:rFonts w:ascii="Tw Cen MT" w:hAnsi="Tw Cen MT"/>
        </w:rPr>
      </w:pPr>
    </w:p>
    <w:p w:rsidR="007C7BC0" w:rsidRDefault="007C7BC0" w:rsidP="007C7BC0">
      <w:pPr>
        <w:numPr>
          <w:ilvl w:val="0"/>
          <w:numId w:val="1"/>
        </w:numPr>
        <w:spacing w:after="0" w:line="240" w:lineRule="auto"/>
        <w:jc w:val="both"/>
        <w:rPr>
          <w:rFonts w:ascii="Tw Cen MT" w:hAnsi="Tw Cen MT"/>
        </w:rPr>
      </w:pPr>
      <w:r>
        <w:rPr>
          <w:rFonts w:ascii="Tw Cen MT" w:hAnsi="Tw Cen MT"/>
        </w:rPr>
        <w:t xml:space="preserve">les  progrès enregistrés vers la réalisation des effets ; </w:t>
      </w:r>
    </w:p>
    <w:p w:rsidR="007C7BC0" w:rsidRDefault="007C7BC0" w:rsidP="007C7BC0">
      <w:pPr>
        <w:ind w:left="360"/>
        <w:jc w:val="both"/>
        <w:rPr>
          <w:rFonts w:ascii="Tw Cen MT" w:hAnsi="Tw Cen MT"/>
        </w:rPr>
      </w:pPr>
    </w:p>
    <w:p w:rsidR="007C7BC0" w:rsidRDefault="007C7BC0" w:rsidP="007C7BC0">
      <w:pPr>
        <w:numPr>
          <w:ilvl w:val="0"/>
          <w:numId w:val="1"/>
        </w:numPr>
        <w:spacing w:after="0" w:line="240" w:lineRule="auto"/>
        <w:jc w:val="both"/>
        <w:rPr>
          <w:rFonts w:ascii="Tw Cen MT" w:hAnsi="Tw Cen MT"/>
        </w:rPr>
      </w:pPr>
      <w:r>
        <w:rPr>
          <w:rFonts w:ascii="Tw Cen MT" w:hAnsi="Tw Cen MT"/>
        </w:rPr>
        <w:t>les facteurs affectant la réalisation des effets ;</w:t>
      </w:r>
    </w:p>
    <w:p w:rsidR="007C7BC0" w:rsidRDefault="007C7BC0" w:rsidP="007C7BC0">
      <w:pPr>
        <w:jc w:val="both"/>
        <w:rPr>
          <w:rFonts w:ascii="Tw Cen MT" w:hAnsi="Tw Cen MT"/>
        </w:rPr>
      </w:pPr>
    </w:p>
    <w:p w:rsidR="007C7BC0" w:rsidRDefault="007C7BC0" w:rsidP="007C7BC0">
      <w:pPr>
        <w:numPr>
          <w:ilvl w:val="0"/>
          <w:numId w:val="1"/>
        </w:numPr>
        <w:spacing w:after="0" w:line="240" w:lineRule="auto"/>
        <w:jc w:val="both"/>
        <w:rPr>
          <w:rFonts w:ascii="Tw Cen MT" w:hAnsi="Tw Cen MT"/>
        </w:rPr>
      </w:pPr>
      <w:r>
        <w:rPr>
          <w:rFonts w:ascii="Tw Cen MT" w:hAnsi="Tw Cen MT"/>
        </w:rPr>
        <w:t>la contribution du PNUD à la réalisation des effets en analysant les produits du projet ;</w:t>
      </w:r>
    </w:p>
    <w:p w:rsidR="007C7BC0" w:rsidRDefault="007C7BC0" w:rsidP="007C7BC0">
      <w:pPr>
        <w:jc w:val="both"/>
        <w:rPr>
          <w:rFonts w:ascii="Tw Cen MT" w:hAnsi="Tw Cen MT"/>
        </w:rPr>
      </w:pPr>
    </w:p>
    <w:p w:rsidR="007C7BC0" w:rsidRDefault="007C7BC0" w:rsidP="007C7BC0">
      <w:pPr>
        <w:numPr>
          <w:ilvl w:val="0"/>
          <w:numId w:val="1"/>
        </w:numPr>
        <w:spacing w:after="0" w:line="240" w:lineRule="auto"/>
        <w:jc w:val="both"/>
        <w:rPr>
          <w:rFonts w:ascii="Tw Cen MT" w:hAnsi="Tw Cen MT"/>
        </w:rPr>
      </w:pPr>
      <w:r>
        <w:rPr>
          <w:rFonts w:ascii="Tw Cen MT" w:hAnsi="Tw Cen MT"/>
        </w:rPr>
        <w:t>la stratégie de partenariat développée par le PNUD.</w:t>
      </w:r>
    </w:p>
    <w:p w:rsidR="007C7BC0" w:rsidRDefault="007C7BC0" w:rsidP="007C7BC0">
      <w:pPr>
        <w:jc w:val="both"/>
        <w:rPr>
          <w:rFonts w:ascii="Tw Cen MT" w:hAnsi="Tw Cen MT"/>
        </w:rPr>
      </w:pPr>
    </w:p>
    <w:p w:rsidR="007C7BC0" w:rsidRDefault="007C7BC0" w:rsidP="007C7BC0">
      <w:pPr>
        <w:numPr>
          <w:ilvl w:val="0"/>
          <w:numId w:val="1"/>
        </w:numPr>
        <w:spacing w:after="0" w:line="240" w:lineRule="auto"/>
        <w:jc w:val="both"/>
        <w:rPr>
          <w:rFonts w:ascii="Tw Cen MT" w:hAnsi="Tw Cen MT"/>
        </w:rPr>
      </w:pPr>
      <w:r>
        <w:rPr>
          <w:rFonts w:ascii="Tw Cen MT" w:hAnsi="Tw Cen MT"/>
        </w:rPr>
        <w:t>la contribution du gouvernement</w:t>
      </w:r>
    </w:p>
    <w:p w:rsidR="007C7BC0" w:rsidRDefault="007C7BC0" w:rsidP="007C7BC0">
      <w:pPr>
        <w:pStyle w:val="Corpsdetexte2"/>
        <w:rPr>
          <w:rFonts w:ascii="Tw Cen MT" w:hAnsi="Tw Cen MT"/>
        </w:rPr>
      </w:pPr>
    </w:p>
    <w:p w:rsidR="007C7BC0" w:rsidRDefault="007C7BC0" w:rsidP="007C7BC0">
      <w:pPr>
        <w:pStyle w:val="Corpsdetexte2"/>
        <w:rPr>
          <w:rFonts w:ascii="Tw Cen MT" w:hAnsi="Tw Cen MT"/>
        </w:rPr>
      </w:pPr>
      <w:r>
        <w:rPr>
          <w:rFonts w:ascii="Tw Cen MT" w:hAnsi="Tw Cen MT"/>
        </w:rPr>
        <w:t>Il s’agira pour la mission :</w:t>
      </w:r>
    </w:p>
    <w:p w:rsidR="007C7BC0" w:rsidRDefault="007C7BC0" w:rsidP="007C7BC0">
      <w:pPr>
        <w:pStyle w:val="Corpsdetexte2"/>
        <w:rPr>
          <w:rFonts w:ascii="Tw Cen MT" w:hAnsi="Tw Cen MT"/>
        </w:rPr>
      </w:pPr>
    </w:p>
    <w:p w:rsidR="007C7BC0" w:rsidRDefault="007C7BC0" w:rsidP="007C7BC0">
      <w:pPr>
        <w:pStyle w:val="Corpsdetexte2"/>
        <w:numPr>
          <w:ilvl w:val="0"/>
          <w:numId w:val="2"/>
        </w:numPr>
        <w:rPr>
          <w:rFonts w:ascii="Tw Cen MT" w:hAnsi="Tw Cen MT"/>
        </w:rPr>
      </w:pPr>
      <w:r>
        <w:rPr>
          <w:rFonts w:ascii="Tw Cen MT" w:hAnsi="Tw Cen MT"/>
        </w:rPr>
        <w:t xml:space="preserve">d’analyser pour chaque effet et résultats du PLCP : </w:t>
      </w:r>
      <w:r>
        <w:rPr>
          <w:rFonts w:ascii="Tw Cen MT" w:hAnsi="Tw Cen MT"/>
          <w:b/>
          <w:bCs/>
        </w:rPr>
        <w:t xml:space="preserve">(i) </w:t>
      </w:r>
      <w:r>
        <w:rPr>
          <w:rFonts w:ascii="Tw Cen MT" w:hAnsi="Tw Cen MT"/>
        </w:rPr>
        <w:t xml:space="preserve">sa pertinence, </w:t>
      </w:r>
      <w:r>
        <w:rPr>
          <w:rFonts w:ascii="Tw Cen MT" w:hAnsi="Tw Cen MT"/>
          <w:b/>
          <w:bCs/>
        </w:rPr>
        <w:t>(ii)</w:t>
      </w:r>
      <w:r>
        <w:rPr>
          <w:rFonts w:ascii="Tw Cen MT" w:hAnsi="Tw Cen MT"/>
        </w:rPr>
        <w:t xml:space="preserve"> son efficacité, </w:t>
      </w:r>
      <w:r>
        <w:rPr>
          <w:rFonts w:ascii="Tw Cen MT" w:hAnsi="Tw Cen MT"/>
          <w:b/>
          <w:bCs/>
        </w:rPr>
        <w:t>(iii)</w:t>
      </w:r>
      <w:r>
        <w:rPr>
          <w:rFonts w:ascii="Tw Cen MT" w:hAnsi="Tw Cen MT"/>
        </w:rPr>
        <w:t xml:space="preserve"> le degré du changement, </w:t>
      </w:r>
      <w:r>
        <w:rPr>
          <w:rFonts w:ascii="Tw Cen MT" w:hAnsi="Tw Cen MT"/>
          <w:b/>
          <w:bCs/>
        </w:rPr>
        <w:t>(iv)</w:t>
      </w:r>
      <w:r>
        <w:rPr>
          <w:rFonts w:ascii="Tw Cen MT" w:hAnsi="Tw Cen MT"/>
        </w:rPr>
        <w:t xml:space="preserve"> sa durabilité ;  </w:t>
      </w:r>
    </w:p>
    <w:p w:rsidR="007C7BC0" w:rsidRDefault="007C7BC0" w:rsidP="007C7BC0">
      <w:pPr>
        <w:pStyle w:val="Corpsdetexte2"/>
        <w:numPr>
          <w:ilvl w:val="0"/>
          <w:numId w:val="2"/>
        </w:numPr>
        <w:rPr>
          <w:rFonts w:ascii="Tw Cen MT" w:hAnsi="Tw Cen MT"/>
        </w:rPr>
      </w:pPr>
      <w:r>
        <w:rPr>
          <w:rFonts w:ascii="Tw Cen MT" w:hAnsi="Tw Cen MT"/>
        </w:rPr>
        <w:t>d’établir si les axes d’intervention retenus dans le projet ainsi que leur contenu restent valables au regard du contexte national et des priorités assignées au PNUD et eu égard à ses avantages comparatifs;</w:t>
      </w:r>
    </w:p>
    <w:p w:rsidR="007C7BC0" w:rsidRDefault="007C7BC0" w:rsidP="007C7BC0">
      <w:pPr>
        <w:pStyle w:val="Corpsdetexte2"/>
        <w:numPr>
          <w:ilvl w:val="0"/>
          <w:numId w:val="2"/>
        </w:numPr>
        <w:rPr>
          <w:rFonts w:ascii="Tw Cen MT" w:hAnsi="Tw Cen MT"/>
        </w:rPr>
      </w:pPr>
      <w:r>
        <w:rPr>
          <w:rFonts w:ascii="Tw Cen MT" w:hAnsi="Tw Cen MT"/>
        </w:rPr>
        <w:t>d’apprécier le niveau de performance générale du projet, et de déterminer  les opportunités et les contraintes qui en ont affecté la mise en œuvre ;</w:t>
      </w:r>
    </w:p>
    <w:p w:rsidR="007C7BC0" w:rsidRDefault="007C7BC0" w:rsidP="007C7BC0">
      <w:pPr>
        <w:pStyle w:val="Corpsdetexte2"/>
        <w:numPr>
          <w:ilvl w:val="0"/>
          <w:numId w:val="2"/>
        </w:numPr>
        <w:rPr>
          <w:rFonts w:ascii="Tw Cen MT" w:hAnsi="Tw Cen MT"/>
        </w:rPr>
      </w:pPr>
      <w:r>
        <w:rPr>
          <w:rFonts w:ascii="Tw Cen MT" w:hAnsi="Tw Cen MT"/>
        </w:rPr>
        <w:lastRenderedPageBreak/>
        <w:t xml:space="preserve">d’apprécier les progrès réalisés dans la mise en œuvre du Projet par l’analyse du niveau d’atteinte des résultats au regard de ceux escomptés et d’identifier les opportunités et contraintes qui ont influencé l’obtention de ces résultats; </w:t>
      </w:r>
    </w:p>
    <w:p w:rsidR="007C7BC0" w:rsidRDefault="007C7BC0" w:rsidP="007C7BC0">
      <w:pPr>
        <w:pStyle w:val="Corpsdetexte2"/>
        <w:numPr>
          <w:ilvl w:val="0"/>
          <w:numId w:val="2"/>
        </w:numPr>
        <w:rPr>
          <w:rFonts w:ascii="Tw Cen MT" w:hAnsi="Tw Cen MT"/>
        </w:rPr>
      </w:pPr>
      <w:r>
        <w:rPr>
          <w:rFonts w:ascii="Tw Cen MT" w:hAnsi="Tw Cen MT"/>
        </w:rPr>
        <w:t>d’analyser la pertinence et l’adéquation des résultats, et indicateurs retenus ;</w:t>
      </w:r>
    </w:p>
    <w:p w:rsidR="007C7BC0" w:rsidRDefault="007C7BC0" w:rsidP="007C7BC0">
      <w:pPr>
        <w:pStyle w:val="Corpsdetexte2"/>
        <w:numPr>
          <w:ilvl w:val="0"/>
          <w:numId w:val="2"/>
        </w:numPr>
        <w:rPr>
          <w:rFonts w:ascii="Tw Cen MT" w:hAnsi="Tw Cen MT"/>
        </w:rPr>
      </w:pPr>
      <w:r>
        <w:rPr>
          <w:rFonts w:ascii="Tw Cen MT" w:hAnsi="Tw Cen MT"/>
        </w:rPr>
        <w:t>d’apprécier  l’étendue, la pertinence et l’efficacité des partenariats établis, et d’analyser les facteurs principaux qui en ont favorisé ou freiné la portée et l’impact ;</w:t>
      </w:r>
    </w:p>
    <w:p w:rsidR="007C7BC0" w:rsidRDefault="007C7BC0" w:rsidP="007C7BC0">
      <w:pPr>
        <w:pStyle w:val="Corpsdetexte2"/>
        <w:numPr>
          <w:ilvl w:val="0"/>
          <w:numId w:val="2"/>
        </w:numPr>
        <w:rPr>
          <w:rFonts w:ascii="Tw Cen MT" w:hAnsi="Tw Cen MT"/>
        </w:rPr>
      </w:pPr>
      <w:r>
        <w:rPr>
          <w:rFonts w:ascii="Tw Cen MT" w:hAnsi="Tw Cen MT"/>
        </w:rPr>
        <w:t>et de tirer les leçons apprises, les conclusions ainsi que les recommandations qui s’imposent.</w:t>
      </w:r>
    </w:p>
    <w:p w:rsidR="007C7BC0" w:rsidRDefault="007C7BC0" w:rsidP="007C7BC0">
      <w:pPr>
        <w:pStyle w:val="Corpsdetexte2"/>
        <w:numPr>
          <w:ilvl w:val="0"/>
          <w:numId w:val="2"/>
        </w:numPr>
        <w:rPr>
          <w:rFonts w:ascii="Tw Cen MT" w:hAnsi="Tw Cen MT"/>
        </w:rPr>
      </w:pPr>
      <w:r>
        <w:rPr>
          <w:rFonts w:ascii="Tw Cen MT" w:hAnsi="Tw Cen MT"/>
        </w:rPr>
        <w:t xml:space="preserve">d’étudier les questions de mise en œuvre et de gestion entrant le déroulement des activités du projet </w:t>
      </w:r>
    </w:p>
    <w:p w:rsidR="007C7BC0" w:rsidRDefault="007C7BC0" w:rsidP="007C7BC0">
      <w:pPr>
        <w:ind w:left="360"/>
        <w:jc w:val="both"/>
        <w:rPr>
          <w:rFonts w:ascii="Tw Cen MT" w:hAnsi="Tw Cen MT"/>
        </w:rPr>
      </w:pPr>
    </w:p>
    <w:p w:rsidR="007C7BC0" w:rsidRDefault="007C7BC0" w:rsidP="007C7BC0">
      <w:pPr>
        <w:ind w:left="360"/>
        <w:jc w:val="both"/>
        <w:rPr>
          <w:rFonts w:ascii="Tw Cen MT" w:hAnsi="Tw Cen MT"/>
        </w:rPr>
      </w:pPr>
    </w:p>
    <w:p w:rsidR="007C7BC0" w:rsidRDefault="007C7BC0" w:rsidP="007C7BC0">
      <w:pPr>
        <w:rPr>
          <w:rFonts w:ascii="Tw Cen MT" w:hAnsi="Tw Cen MT"/>
        </w:rPr>
      </w:pPr>
      <w:r>
        <w:rPr>
          <w:rFonts w:ascii="Tw Cen MT" w:hAnsi="Tw Cen MT"/>
          <w:b/>
          <w:bCs/>
        </w:rPr>
        <w:t>3. ETENDUE ET METHODOLOGIE DE LA MISSION</w:t>
      </w:r>
      <w:r>
        <w:rPr>
          <w:rFonts w:ascii="Tw Cen MT" w:hAnsi="Tw Cen MT"/>
        </w:rPr>
        <w:t xml:space="preserve"> </w:t>
      </w:r>
    </w:p>
    <w:p w:rsidR="007C7BC0" w:rsidRDefault="007C7BC0" w:rsidP="007C7BC0">
      <w:pPr>
        <w:jc w:val="both"/>
        <w:rPr>
          <w:rFonts w:ascii="Tw Cen MT" w:hAnsi="Tw Cen MT"/>
        </w:rPr>
      </w:pPr>
      <w:r>
        <w:rPr>
          <w:rFonts w:ascii="Tw Cen MT" w:hAnsi="Tw Cen MT"/>
        </w:rPr>
        <w:t xml:space="preserve">  </w:t>
      </w:r>
    </w:p>
    <w:p w:rsidR="007C7BC0" w:rsidRDefault="007C7BC0" w:rsidP="007C7BC0">
      <w:pPr>
        <w:pStyle w:val="Corpsdetexte2"/>
        <w:ind w:firstLine="708"/>
        <w:rPr>
          <w:rFonts w:ascii="Tw Cen MT" w:hAnsi="Tw Cen MT"/>
          <w:szCs w:val="24"/>
        </w:rPr>
      </w:pPr>
      <w:r>
        <w:rPr>
          <w:rFonts w:ascii="Tw Cen MT" w:hAnsi="Tw Cen MT"/>
          <w:szCs w:val="24"/>
        </w:rPr>
        <w:t xml:space="preserve">L'évaluation couvrira le programme de lutte contre la pauvreté PLCP et ses composantes. L'évaluation extraira leçons apprises, conclusions et recommandations en précisant si les résultats ont été accomplis ou non,  s'il y a eu progrès fait vers la réalisation des effets. </w:t>
      </w:r>
    </w:p>
    <w:p w:rsidR="007C7BC0" w:rsidRDefault="007C7BC0" w:rsidP="007C7BC0">
      <w:pPr>
        <w:jc w:val="both"/>
        <w:rPr>
          <w:rFonts w:ascii="Tw Cen MT" w:hAnsi="Tw Cen MT"/>
        </w:rPr>
      </w:pPr>
    </w:p>
    <w:p w:rsidR="007C7BC0" w:rsidRDefault="007C7BC0" w:rsidP="007C7BC0">
      <w:pPr>
        <w:ind w:firstLine="708"/>
        <w:jc w:val="both"/>
        <w:rPr>
          <w:rFonts w:ascii="Tw Cen MT" w:hAnsi="Tw Cen MT"/>
        </w:rPr>
      </w:pPr>
      <w:r>
        <w:rPr>
          <w:rFonts w:ascii="Tw Cen MT" w:hAnsi="Tw Cen MT"/>
        </w:rPr>
        <w:t>La mission devra procéder, dans la mesure du possible, à l’analyse documentaire, la collecte des données ainsi qu’à la consultation, au moyen des interviews et discussions, des principaux acteurs impliqués dans la vie du projet ( le gouvernement,  les Organisations de la société civile, les institutions publiques, les partenaires  tels que la BM, la BAD etc.. ).</w:t>
      </w:r>
    </w:p>
    <w:p w:rsidR="007C7BC0" w:rsidRDefault="007C7BC0" w:rsidP="007C7BC0">
      <w:pPr>
        <w:rPr>
          <w:rFonts w:ascii="Tw Cen MT" w:hAnsi="Tw Cen MT"/>
        </w:rPr>
      </w:pPr>
      <w:r>
        <w:rPr>
          <w:rFonts w:ascii="Tw Cen MT" w:hAnsi="Tw Cen MT"/>
        </w:rPr>
        <w:t xml:space="preserve">  </w:t>
      </w:r>
    </w:p>
    <w:p w:rsidR="007C7BC0" w:rsidRDefault="007C7BC0" w:rsidP="007C7BC0">
      <w:pPr>
        <w:rPr>
          <w:rFonts w:ascii="Tw Cen MT" w:hAnsi="Tw Cen MT"/>
        </w:rPr>
      </w:pPr>
    </w:p>
    <w:p w:rsidR="007C7BC0" w:rsidRDefault="007C7BC0" w:rsidP="007C7BC0">
      <w:pPr>
        <w:rPr>
          <w:rFonts w:ascii="Tw Cen MT" w:hAnsi="Tw Cen MT"/>
        </w:rPr>
      </w:pPr>
      <w:r>
        <w:rPr>
          <w:rFonts w:ascii="Tw Cen MT" w:hAnsi="Tw Cen MT"/>
        </w:rPr>
        <w:t xml:space="preserve">  </w:t>
      </w:r>
    </w:p>
    <w:p w:rsidR="007C7BC0" w:rsidRDefault="007C7BC0" w:rsidP="007C7BC0">
      <w:pPr>
        <w:pStyle w:val="Titre2"/>
        <w:rPr>
          <w:rFonts w:ascii="Tw Cen MT" w:hAnsi="Tw Cen MT"/>
        </w:rPr>
      </w:pPr>
      <w:r>
        <w:rPr>
          <w:rFonts w:ascii="Tw Cen MT" w:hAnsi="Tw Cen MT"/>
          <w:b/>
          <w:bCs/>
        </w:rPr>
        <w:t xml:space="preserve">4. </w:t>
      </w:r>
      <w:r>
        <w:rPr>
          <w:rFonts w:ascii="Tw Cen MT" w:hAnsi="Tw Cen MT"/>
          <w:b/>
          <w:bCs/>
        </w:rPr>
        <w:tab/>
        <w:t>RESULTATS ATTENDUS</w:t>
      </w:r>
    </w:p>
    <w:p w:rsidR="007C7BC0" w:rsidRDefault="007C7BC0" w:rsidP="007C7BC0">
      <w:pPr>
        <w:jc w:val="both"/>
        <w:rPr>
          <w:rFonts w:ascii="Tw Cen MT" w:hAnsi="Tw Cen MT"/>
        </w:rPr>
      </w:pPr>
    </w:p>
    <w:p w:rsidR="007C7BC0" w:rsidRDefault="007C7BC0" w:rsidP="007C7BC0">
      <w:pPr>
        <w:pStyle w:val="Corpsdetexte2"/>
        <w:ind w:firstLine="708"/>
        <w:rPr>
          <w:rFonts w:ascii="Tw Cen MT" w:hAnsi="Tw Cen MT"/>
        </w:rPr>
      </w:pPr>
      <w:r>
        <w:rPr>
          <w:rFonts w:ascii="Tw Cen MT" w:hAnsi="Tw Cen MT"/>
        </w:rPr>
        <w:t>Au terme de cette consultation,  la mission devra produire un rapport d’évaluation qui contiendra les sections suivantes :</w:t>
      </w:r>
    </w:p>
    <w:p w:rsidR="007C7BC0" w:rsidRDefault="007C7BC0" w:rsidP="007C7BC0">
      <w:pPr>
        <w:pStyle w:val="Corpsdetexte2"/>
        <w:rPr>
          <w:rFonts w:ascii="Tw Cen MT" w:hAnsi="Tw Cen MT"/>
          <w:bCs/>
          <w:szCs w:val="22"/>
        </w:rPr>
      </w:pPr>
    </w:p>
    <w:p w:rsidR="007C7BC0" w:rsidRDefault="007C7BC0" w:rsidP="007C7BC0">
      <w:pPr>
        <w:pStyle w:val="Corpsdetexte2"/>
        <w:numPr>
          <w:ilvl w:val="1"/>
          <w:numId w:val="3"/>
        </w:numPr>
        <w:rPr>
          <w:rFonts w:ascii="Tw Cen MT" w:hAnsi="Tw Cen MT"/>
          <w:bCs/>
          <w:szCs w:val="22"/>
        </w:rPr>
      </w:pPr>
      <w:r>
        <w:rPr>
          <w:rFonts w:ascii="Tw Cen MT" w:hAnsi="Tw Cen MT"/>
          <w:bCs/>
          <w:szCs w:val="22"/>
        </w:rPr>
        <w:t xml:space="preserve">les principales conclusions et le niveau des progrès réalisés par le projet dans l’accomplissement des effets;  </w:t>
      </w:r>
    </w:p>
    <w:p w:rsidR="007C7BC0" w:rsidRDefault="007C7BC0" w:rsidP="007C7BC0">
      <w:pPr>
        <w:pStyle w:val="Corpsdetexte2"/>
        <w:numPr>
          <w:ilvl w:val="1"/>
          <w:numId w:val="3"/>
        </w:numPr>
        <w:rPr>
          <w:rFonts w:ascii="Tw Cen MT" w:hAnsi="Tw Cen MT"/>
          <w:bCs/>
          <w:szCs w:val="22"/>
        </w:rPr>
      </w:pPr>
      <w:r>
        <w:rPr>
          <w:rFonts w:ascii="Tw Cen MT" w:hAnsi="Tw Cen MT"/>
          <w:bCs/>
          <w:szCs w:val="22"/>
        </w:rPr>
        <w:t xml:space="preserve">une évaluation des progrès dans la réalisation des effets et des résultats du projet; </w:t>
      </w:r>
    </w:p>
    <w:p w:rsidR="007C7BC0" w:rsidRDefault="007C7BC0" w:rsidP="007C7BC0">
      <w:pPr>
        <w:pStyle w:val="Corpsdetexte2"/>
        <w:numPr>
          <w:ilvl w:val="1"/>
          <w:numId w:val="3"/>
        </w:numPr>
        <w:rPr>
          <w:rFonts w:ascii="Tw Cen MT" w:hAnsi="Tw Cen MT"/>
          <w:bCs/>
          <w:szCs w:val="22"/>
        </w:rPr>
      </w:pPr>
      <w:r>
        <w:rPr>
          <w:rFonts w:ascii="Tw Cen MT" w:hAnsi="Tw Cen MT"/>
          <w:bCs/>
          <w:szCs w:val="22"/>
        </w:rPr>
        <w:t xml:space="preserve">une évaluation de la pertinence des effets ;  </w:t>
      </w:r>
    </w:p>
    <w:p w:rsidR="007C7BC0" w:rsidRDefault="007C7BC0" w:rsidP="007C7BC0">
      <w:pPr>
        <w:pStyle w:val="Corpsdetexte2"/>
        <w:numPr>
          <w:ilvl w:val="1"/>
          <w:numId w:val="3"/>
        </w:numPr>
        <w:rPr>
          <w:rFonts w:ascii="Tw Cen MT" w:hAnsi="Tw Cen MT"/>
          <w:bCs/>
          <w:szCs w:val="22"/>
        </w:rPr>
      </w:pPr>
      <w:r>
        <w:rPr>
          <w:rFonts w:ascii="Tw Cen MT" w:hAnsi="Tw Cen MT"/>
          <w:bCs/>
          <w:szCs w:val="22"/>
        </w:rPr>
        <w:t>les leçons apprises en rapport avec les meilleures et mauvaises pratiques dans l’obtention des résultats;  la stratégie des partenariat développée ; et les propositions des actions correctives;</w:t>
      </w:r>
    </w:p>
    <w:p w:rsidR="007C7BC0" w:rsidRDefault="007C7BC0" w:rsidP="007C7BC0">
      <w:pPr>
        <w:pStyle w:val="Corpsdetexte2"/>
        <w:numPr>
          <w:ilvl w:val="0"/>
          <w:numId w:val="3"/>
        </w:numPr>
        <w:rPr>
          <w:rFonts w:ascii="Tw Cen MT" w:hAnsi="Tw Cen MT"/>
          <w:bCs/>
          <w:szCs w:val="22"/>
        </w:rPr>
      </w:pPr>
      <w:r>
        <w:rPr>
          <w:rFonts w:ascii="Tw Cen MT" w:hAnsi="Tw Cen MT"/>
          <w:bCs/>
          <w:szCs w:val="22"/>
        </w:rPr>
        <w:t xml:space="preserve">la stratégie pour la poursuite de l’assistance du PNUD en vue de la réalisation des effets du programme du pays; </w:t>
      </w:r>
    </w:p>
    <w:p w:rsidR="007C7BC0" w:rsidRDefault="007C7BC0" w:rsidP="007C7BC0">
      <w:pPr>
        <w:pStyle w:val="Corpsdetexte2"/>
        <w:numPr>
          <w:ilvl w:val="1"/>
          <w:numId w:val="3"/>
        </w:numPr>
        <w:rPr>
          <w:rFonts w:ascii="Tw Cen MT" w:hAnsi="Tw Cen MT"/>
          <w:bCs/>
          <w:szCs w:val="22"/>
        </w:rPr>
      </w:pPr>
      <w:r>
        <w:rPr>
          <w:rFonts w:ascii="Tw Cen MT" w:hAnsi="Tw Cen MT"/>
          <w:bCs/>
          <w:szCs w:val="22"/>
        </w:rPr>
        <w:t xml:space="preserve">les recommandations avec la définition des actions à prendre ainsi que des responsables ; </w:t>
      </w:r>
    </w:p>
    <w:p w:rsidR="007C7BC0" w:rsidRDefault="007C7BC0" w:rsidP="007C7BC0">
      <w:pPr>
        <w:pStyle w:val="Corpsdetexte2"/>
        <w:numPr>
          <w:ilvl w:val="1"/>
          <w:numId w:val="3"/>
        </w:numPr>
        <w:rPr>
          <w:rFonts w:ascii="Tw Cen MT" w:hAnsi="Tw Cen MT"/>
          <w:bCs/>
          <w:szCs w:val="22"/>
        </w:rPr>
      </w:pPr>
      <w:r>
        <w:rPr>
          <w:rFonts w:ascii="Tw Cen MT" w:hAnsi="Tw Cen MT"/>
          <w:bCs/>
          <w:szCs w:val="22"/>
        </w:rPr>
        <w:lastRenderedPageBreak/>
        <w:t>le rôle et la place du PNUD et les possibilités d’évolution</w:t>
      </w:r>
    </w:p>
    <w:p w:rsidR="007C7BC0" w:rsidRDefault="007C7BC0" w:rsidP="007C7BC0">
      <w:pPr>
        <w:pStyle w:val="Corpsdetexte2"/>
        <w:ind w:left="1080"/>
        <w:rPr>
          <w:rFonts w:ascii="Tw Cen MT" w:hAnsi="Tw Cen MT"/>
          <w:bCs/>
          <w:szCs w:val="22"/>
        </w:rPr>
      </w:pPr>
    </w:p>
    <w:p w:rsidR="007C7BC0" w:rsidRDefault="007C7BC0" w:rsidP="007C7BC0">
      <w:pPr>
        <w:pStyle w:val="Retraitcorpsdetexte"/>
        <w:rPr>
          <w:rFonts w:ascii="Tw Cen MT" w:hAnsi="Tw Cen MT" w:cs="Times New Roman"/>
        </w:rPr>
      </w:pPr>
      <w:r>
        <w:rPr>
          <w:rFonts w:ascii="Tw Cen MT" w:hAnsi="Tw Cen MT" w:cs="Times New Roman"/>
          <w:bCs/>
          <w:szCs w:val="22"/>
        </w:rPr>
        <w:t xml:space="preserve">La mission devra discuter le projet du rapport avec les parties concernées de manière à obtenir leurs observations en vue de la finalisation du rapport final.   Le mission soumettra au PNUD, en quatre exemplaires, le rapport final deux semaines après la fin de la mission. </w:t>
      </w:r>
    </w:p>
    <w:p w:rsidR="007C7BC0" w:rsidRDefault="007C7BC0" w:rsidP="007C7BC0">
      <w:pPr>
        <w:rPr>
          <w:rFonts w:ascii="Tw Cen MT" w:hAnsi="Tw Cen MT"/>
        </w:rPr>
      </w:pPr>
      <w:r>
        <w:rPr>
          <w:rFonts w:ascii="Tw Cen MT" w:hAnsi="Tw Cen MT"/>
        </w:rPr>
        <w:t xml:space="preserve"> </w:t>
      </w:r>
    </w:p>
    <w:p w:rsidR="007C7BC0" w:rsidRDefault="007C7BC0" w:rsidP="007C7BC0">
      <w:pPr>
        <w:jc w:val="both"/>
        <w:rPr>
          <w:rFonts w:ascii="Tw Cen MT" w:hAnsi="Tw Cen MT"/>
        </w:rPr>
      </w:pPr>
    </w:p>
    <w:p w:rsidR="007C7BC0" w:rsidRDefault="007C7BC0" w:rsidP="007C7BC0">
      <w:pPr>
        <w:pStyle w:val="Titre2"/>
        <w:rPr>
          <w:rFonts w:ascii="Tw Cen MT" w:hAnsi="Tw Cen MT"/>
          <w:b/>
          <w:bCs/>
        </w:rPr>
      </w:pPr>
      <w:r>
        <w:rPr>
          <w:rFonts w:ascii="Tw Cen MT" w:hAnsi="Tw Cen MT"/>
          <w:b/>
          <w:bCs/>
        </w:rPr>
        <w:t>5.</w:t>
      </w:r>
      <w:r>
        <w:rPr>
          <w:rFonts w:ascii="Tw Cen MT" w:hAnsi="Tw Cen MT"/>
          <w:b/>
          <w:bCs/>
        </w:rPr>
        <w:tab/>
        <w:t>COMPOSITION DE LA MISSION</w:t>
      </w:r>
    </w:p>
    <w:p w:rsidR="007C7BC0" w:rsidRDefault="007C7BC0" w:rsidP="007C7BC0">
      <w:pPr>
        <w:jc w:val="both"/>
        <w:rPr>
          <w:rFonts w:ascii="Tw Cen MT" w:hAnsi="Tw Cen MT"/>
        </w:rPr>
      </w:pPr>
    </w:p>
    <w:p w:rsidR="007C7BC0" w:rsidRPr="00E32793" w:rsidRDefault="007C7BC0" w:rsidP="007C7BC0">
      <w:pPr>
        <w:ind w:firstLine="708"/>
        <w:jc w:val="both"/>
        <w:rPr>
          <w:rFonts w:ascii="Tw Cen MT" w:hAnsi="Tw Cen MT"/>
          <w:bCs/>
        </w:rPr>
      </w:pPr>
      <w:r w:rsidRPr="00E32793">
        <w:rPr>
          <w:rFonts w:ascii="Tw Cen MT" w:hAnsi="Tw Cen MT"/>
          <w:bCs/>
        </w:rPr>
        <w:t xml:space="preserve">La mission sera composée </w:t>
      </w:r>
      <w:r>
        <w:rPr>
          <w:rFonts w:ascii="Tw Cen MT" w:hAnsi="Tw Cen MT"/>
          <w:bCs/>
        </w:rPr>
        <w:t>d'un</w:t>
      </w:r>
      <w:r w:rsidRPr="00E32793">
        <w:rPr>
          <w:rFonts w:ascii="Tw Cen MT" w:hAnsi="Tw Cen MT"/>
          <w:bCs/>
        </w:rPr>
        <w:t xml:space="preserve"> consultant</w:t>
      </w:r>
      <w:r>
        <w:rPr>
          <w:rFonts w:ascii="Tw Cen MT" w:hAnsi="Tw Cen MT"/>
          <w:bCs/>
        </w:rPr>
        <w:t xml:space="preserve"> national.</w:t>
      </w:r>
      <w:r w:rsidRPr="00E32793">
        <w:rPr>
          <w:rFonts w:ascii="Tw Cen MT" w:hAnsi="Tw Cen MT"/>
          <w:bCs/>
        </w:rPr>
        <w:t xml:space="preserve">  Il devra avoir </w:t>
      </w:r>
      <w:r>
        <w:rPr>
          <w:rFonts w:ascii="Tw Cen MT" w:hAnsi="Tw Cen MT"/>
          <w:bCs/>
        </w:rPr>
        <w:t>les qualifications suivantes : ê</w:t>
      </w:r>
      <w:r w:rsidRPr="00E32793">
        <w:rPr>
          <w:rFonts w:ascii="Tw Cen MT" w:hAnsi="Tw Cen MT"/>
          <w:bCs/>
        </w:rPr>
        <w:t xml:space="preserve">tre titulaire d’un </w:t>
      </w:r>
      <w:r>
        <w:rPr>
          <w:rFonts w:ascii="Tw Cen MT" w:hAnsi="Tw Cen MT"/>
          <w:bCs/>
        </w:rPr>
        <w:t xml:space="preserve">diplôme universitaires de troisième cycle ou équivalent (DEA ou </w:t>
      </w:r>
      <w:r w:rsidRPr="00E32793">
        <w:rPr>
          <w:rFonts w:ascii="Tw Cen MT" w:hAnsi="Tw Cen MT"/>
          <w:bCs/>
        </w:rPr>
        <w:t>D</w:t>
      </w:r>
      <w:r>
        <w:rPr>
          <w:rFonts w:ascii="Tw Cen MT" w:hAnsi="Tw Cen MT"/>
          <w:bCs/>
        </w:rPr>
        <w:t>E</w:t>
      </w:r>
      <w:r w:rsidRPr="00E32793">
        <w:rPr>
          <w:rFonts w:ascii="Tw Cen MT" w:hAnsi="Tw Cen MT"/>
          <w:bCs/>
        </w:rPr>
        <w:t xml:space="preserve">SS en Sciences </w:t>
      </w:r>
      <w:r>
        <w:rPr>
          <w:rFonts w:ascii="Tw Cen MT" w:hAnsi="Tw Cen MT"/>
          <w:bCs/>
        </w:rPr>
        <w:t xml:space="preserve">Juridiques ou </w:t>
      </w:r>
      <w:r w:rsidRPr="00E32793">
        <w:rPr>
          <w:rFonts w:ascii="Tw Cen MT" w:hAnsi="Tw Cen MT"/>
          <w:bCs/>
        </w:rPr>
        <w:t>Economiques</w:t>
      </w:r>
      <w:r>
        <w:rPr>
          <w:rFonts w:ascii="Tw Cen MT" w:hAnsi="Tw Cen MT"/>
          <w:bCs/>
        </w:rPr>
        <w:t>)</w:t>
      </w:r>
      <w:r w:rsidRPr="00E32793">
        <w:rPr>
          <w:rFonts w:ascii="Tw Cen MT" w:hAnsi="Tw Cen MT"/>
          <w:bCs/>
        </w:rPr>
        <w:t xml:space="preserve"> avec une expérience d’au moins 10 ans dans la gestion économique</w:t>
      </w:r>
      <w:r>
        <w:rPr>
          <w:rFonts w:ascii="Tw Cen MT" w:hAnsi="Tw Cen MT"/>
          <w:bCs/>
        </w:rPr>
        <w:t xml:space="preserve"> ou des questions liées à la bonne gouvernance</w:t>
      </w:r>
      <w:r w:rsidRPr="00E32793">
        <w:rPr>
          <w:rFonts w:ascii="Tw Cen MT" w:hAnsi="Tw Cen MT"/>
          <w:bCs/>
        </w:rPr>
        <w:t>, une grande expérience dans l’évaluation des projets. Parler et rédig</w:t>
      </w:r>
      <w:r>
        <w:rPr>
          <w:rFonts w:ascii="Tw Cen MT" w:hAnsi="Tw Cen MT"/>
          <w:bCs/>
        </w:rPr>
        <w:t>er en Français. Une expérience des méthodes, procédures et rapports du PNUD ou du</w:t>
      </w:r>
      <w:r w:rsidRPr="00E32793">
        <w:rPr>
          <w:rFonts w:ascii="Tw Cen MT" w:hAnsi="Tw Cen MT"/>
          <w:bCs/>
        </w:rPr>
        <w:t xml:space="preserve"> Système des Nations Unies serait un avantage</w:t>
      </w:r>
      <w:r>
        <w:rPr>
          <w:rFonts w:ascii="Tw Cen MT" w:hAnsi="Tw Cen MT"/>
          <w:bCs/>
        </w:rPr>
        <w:t>.</w:t>
      </w:r>
      <w:r w:rsidRPr="00E32793">
        <w:rPr>
          <w:rFonts w:ascii="Tw Cen MT" w:hAnsi="Tw Cen MT"/>
          <w:bCs/>
        </w:rPr>
        <w:t xml:space="preserve"> </w:t>
      </w:r>
    </w:p>
    <w:p w:rsidR="007C7BC0" w:rsidRPr="00E32793" w:rsidRDefault="007C7BC0" w:rsidP="007C7BC0">
      <w:pPr>
        <w:jc w:val="both"/>
        <w:rPr>
          <w:rFonts w:ascii="Tw Cen MT" w:hAnsi="Tw Cen MT"/>
          <w:bCs/>
        </w:rPr>
      </w:pPr>
    </w:p>
    <w:p w:rsidR="007C7BC0" w:rsidRPr="00E32793" w:rsidRDefault="007C7BC0" w:rsidP="007C7BC0">
      <w:pPr>
        <w:ind w:firstLine="708"/>
        <w:jc w:val="both"/>
        <w:rPr>
          <w:rFonts w:ascii="Tw Cen MT" w:hAnsi="Tw Cen MT"/>
          <w:bCs/>
        </w:rPr>
      </w:pPr>
    </w:p>
    <w:p w:rsidR="007C7BC0" w:rsidRDefault="007C7BC0" w:rsidP="007C7BC0">
      <w:pPr>
        <w:ind w:firstLine="708"/>
        <w:jc w:val="both"/>
        <w:rPr>
          <w:lang w:val="fr-BE"/>
        </w:rPr>
      </w:pPr>
      <w:r w:rsidRPr="00E32793">
        <w:rPr>
          <w:rFonts w:ascii="Tw Cen MT" w:hAnsi="Tw Cen MT"/>
          <w:bCs/>
        </w:rPr>
        <w:t xml:space="preserve">Le </w:t>
      </w:r>
      <w:r w:rsidR="00230F37">
        <w:rPr>
          <w:rFonts w:ascii="Tw Cen MT" w:hAnsi="Tw Cen MT"/>
          <w:bCs/>
        </w:rPr>
        <w:t>consultant</w:t>
      </w:r>
      <w:r w:rsidRPr="00E32793">
        <w:rPr>
          <w:rFonts w:ascii="Tw Cen MT" w:hAnsi="Tw Cen MT"/>
          <w:bCs/>
        </w:rPr>
        <w:t xml:space="preserve"> ne devr</w:t>
      </w:r>
      <w:r w:rsidR="00230F37">
        <w:rPr>
          <w:rFonts w:ascii="Tw Cen MT" w:hAnsi="Tw Cen MT"/>
          <w:bCs/>
        </w:rPr>
        <w:t>a</w:t>
      </w:r>
      <w:r w:rsidRPr="00E32793">
        <w:rPr>
          <w:rFonts w:ascii="Tw Cen MT" w:hAnsi="Tw Cen MT"/>
          <w:bCs/>
        </w:rPr>
        <w:t xml:space="preserve"> pas avoir eu une implication quelconque dans la mise en œuvre du projet</w:t>
      </w:r>
      <w:r>
        <w:rPr>
          <w:lang w:val="fr-BE"/>
        </w:rPr>
        <w:t>.</w:t>
      </w:r>
    </w:p>
    <w:p w:rsidR="007C7BC0" w:rsidRDefault="007C7BC0" w:rsidP="007C7BC0">
      <w:pPr>
        <w:pStyle w:val="Corpsdetexte"/>
        <w:ind w:firstLine="708"/>
        <w:jc w:val="both"/>
        <w:rPr>
          <w:rFonts w:ascii="Tw Cen MT" w:hAnsi="Tw Cen MT"/>
        </w:rPr>
      </w:pPr>
    </w:p>
    <w:p w:rsidR="007C7BC0" w:rsidRDefault="007C7BC0" w:rsidP="007C7BC0">
      <w:pPr>
        <w:pStyle w:val="Corpsdetexte2"/>
        <w:ind w:left="720"/>
        <w:rPr>
          <w:rFonts w:ascii="Tw Cen MT" w:hAnsi="Tw Cen MT"/>
          <w:b/>
          <w:bCs/>
        </w:rPr>
      </w:pPr>
    </w:p>
    <w:p w:rsidR="007C7BC0" w:rsidRDefault="007C7BC0" w:rsidP="007C7BC0">
      <w:pPr>
        <w:ind w:firstLine="708"/>
        <w:jc w:val="both"/>
        <w:rPr>
          <w:rFonts w:ascii="Tw Cen MT" w:hAnsi="Tw Cen MT"/>
          <w:b/>
          <w:bCs/>
        </w:rPr>
      </w:pPr>
      <w:r>
        <w:rPr>
          <w:rFonts w:ascii="Tw Cen MT" w:hAnsi="Tw Cen MT"/>
          <w:b/>
          <w:bCs/>
        </w:rPr>
        <w:t>6.</w:t>
      </w:r>
      <w:r>
        <w:rPr>
          <w:rFonts w:ascii="Tw Cen MT" w:hAnsi="Tw Cen MT"/>
          <w:b/>
          <w:bCs/>
        </w:rPr>
        <w:tab/>
        <w:t>DUREE DE LA MISSION :</w:t>
      </w:r>
    </w:p>
    <w:p w:rsidR="007C7BC0" w:rsidRDefault="007C7BC0" w:rsidP="007C7BC0">
      <w:pPr>
        <w:jc w:val="both"/>
        <w:rPr>
          <w:rFonts w:ascii="Tw Cen MT" w:hAnsi="Tw Cen MT"/>
          <w:b/>
          <w:bCs/>
        </w:rPr>
      </w:pPr>
    </w:p>
    <w:p w:rsidR="007C7BC0" w:rsidRDefault="007C7BC0" w:rsidP="007C7BC0">
      <w:pPr>
        <w:ind w:firstLine="708"/>
        <w:rPr>
          <w:rFonts w:ascii="Tw Cen MT" w:hAnsi="Tw Cen MT"/>
        </w:rPr>
      </w:pPr>
      <w:r w:rsidRPr="00170562">
        <w:rPr>
          <w:rFonts w:ascii="Tw Cen MT" w:hAnsi="Tw Cen MT"/>
        </w:rPr>
        <w:t xml:space="preserve">La mission a une durée de trois semaines à compter du  </w:t>
      </w:r>
      <w:r>
        <w:rPr>
          <w:rFonts w:ascii="Tw Cen MT" w:hAnsi="Tw Cen MT"/>
        </w:rPr>
        <w:t>5 décembre 2012.</w:t>
      </w:r>
      <w:r w:rsidRPr="00170562">
        <w:rPr>
          <w:rFonts w:ascii="Tw Cen MT" w:hAnsi="Tw Cen MT"/>
        </w:rPr>
        <w:t xml:space="preserve"> </w:t>
      </w:r>
    </w:p>
    <w:p w:rsidR="00E62C3F" w:rsidRDefault="00E62C3F" w:rsidP="007C7BC0">
      <w:pPr>
        <w:pStyle w:val="Titre"/>
      </w:pPr>
    </w:p>
    <w:sectPr w:rsidR="00E62C3F" w:rsidSect="008A75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0B4"/>
    <w:multiLevelType w:val="hybridMultilevel"/>
    <w:tmpl w:val="2580F4C4"/>
    <w:lvl w:ilvl="0" w:tplc="31FE3B6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18F4B65"/>
    <w:multiLevelType w:val="hybridMultilevel"/>
    <w:tmpl w:val="3D100D20"/>
    <w:lvl w:ilvl="0" w:tplc="4FC82680">
      <w:start w:val="1"/>
      <w:numFmt w:val="bullet"/>
      <w:lvlText w:val="-"/>
      <w:lvlJc w:val="left"/>
      <w:pPr>
        <w:tabs>
          <w:tab w:val="num" w:pos="1470"/>
        </w:tabs>
        <w:ind w:left="1470" w:hanging="390"/>
      </w:pPr>
      <w:rPr>
        <w:rFonts w:ascii="Times New Roman" w:eastAsia="Times New Roman"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1C1177"/>
    <w:multiLevelType w:val="hybridMultilevel"/>
    <w:tmpl w:val="7242B840"/>
    <w:lvl w:ilvl="0" w:tplc="2E2A55CA">
      <w:start w:val="1"/>
      <w:numFmt w:val="bull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56D301A"/>
    <w:multiLevelType w:val="hybridMultilevel"/>
    <w:tmpl w:val="ED822FB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1CD6D98"/>
    <w:multiLevelType w:val="hybridMultilevel"/>
    <w:tmpl w:val="5C48B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753EA3"/>
    <w:multiLevelType w:val="hybridMultilevel"/>
    <w:tmpl w:val="8CFAFECE"/>
    <w:lvl w:ilvl="0" w:tplc="2E2A55CA">
      <w:start w:val="1"/>
      <w:numFmt w:val="bull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38F73E1"/>
    <w:multiLevelType w:val="hybridMultilevel"/>
    <w:tmpl w:val="81703960"/>
    <w:lvl w:ilvl="0" w:tplc="6D3E62A0">
      <w:start w:val="1"/>
      <w:numFmt w:val="bullet"/>
      <w:lvlText w:val=""/>
      <w:lvlJc w:val="left"/>
      <w:pPr>
        <w:tabs>
          <w:tab w:val="num" w:pos="1440"/>
        </w:tabs>
        <w:ind w:left="1440" w:hanging="360"/>
      </w:pPr>
      <w:rPr>
        <w:rFonts w:ascii="Symbol" w:hAnsi="Symbol" w:hint="default"/>
      </w:rPr>
    </w:lvl>
    <w:lvl w:ilvl="1" w:tplc="6D3E62A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E14BA5"/>
    <w:multiLevelType w:val="hybridMultilevel"/>
    <w:tmpl w:val="7E1800D4"/>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0"/>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compat/>
  <w:rsids>
    <w:rsidRoot w:val="00E62C3F"/>
    <w:rsid w:val="00230F37"/>
    <w:rsid w:val="003B1805"/>
    <w:rsid w:val="007C7BC0"/>
    <w:rsid w:val="008A7585"/>
    <w:rsid w:val="00E62C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85"/>
  </w:style>
  <w:style w:type="paragraph" w:styleId="Titre2">
    <w:name w:val="heading 2"/>
    <w:basedOn w:val="Normal"/>
    <w:next w:val="Normal"/>
    <w:link w:val="Titre2Car"/>
    <w:qFormat/>
    <w:rsid w:val="00E62C3F"/>
    <w:pPr>
      <w:keepNext/>
      <w:spacing w:after="0" w:line="240" w:lineRule="auto"/>
      <w:ind w:firstLine="708"/>
      <w:outlineLvl w:val="1"/>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62C3F"/>
    <w:rPr>
      <w:rFonts w:ascii="Times New Roman" w:eastAsia="Times New Roman" w:hAnsi="Times New Roman" w:cs="Times New Roman"/>
      <w:sz w:val="24"/>
      <w:szCs w:val="20"/>
      <w:lang w:eastAsia="fr-FR"/>
    </w:rPr>
  </w:style>
  <w:style w:type="paragraph" w:styleId="Corpsdetexte">
    <w:name w:val="Body Text"/>
    <w:basedOn w:val="Normal"/>
    <w:link w:val="CorpsdetexteCar"/>
    <w:rsid w:val="00E62C3F"/>
    <w:pPr>
      <w:spacing w:after="0" w:line="240" w:lineRule="auto"/>
      <w:jc w:val="center"/>
    </w:pPr>
    <w:rPr>
      <w:rFonts w:ascii="Times New Roman" w:eastAsia="Times New Roman" w:hAnsi="Times New Roman" w:cs="Times New Roman"/>
      <w:b/>
      <w:bCs/>
      <w:sz w:val="24"/>
      <w:szCs w:val="24"/>
      <w:lang w:val="fr-BE" w:eastAsia="fr-FR"/>
    </w:rPr>
  </w:style>
  <w:style w:type="character" w:customStyle="1" w:styleId="CorpsdetexteCar">
    <w:name w:val="Corps de texte Car"/>
    <w:basedOn w:val="Policepardfaut"/>
    <w:link w:val="Corpsdetexte"/>
    <w:rsid w:val="00E62C3F"/>
    <w:rPr>
      <w:rFonts w:ascii="Times New Roman" w:eastAsia="Times New Roman" w:hAnsi="Times New Roman" w:cs="Times New Roman"/>
      <w:b/>
      <w:bCs/>
      <w:sz w:val="24"/>
      <w:szCs w:val="24"/>
      <w:lang w:val="fr-BE" w:eastAsia="fr-FR"/>
    </w:rPr>
  </w:style>
  <w:style w:type="paragraph" w:styleId="Titre">
    <w:name w:val="Title"/>
    <w:basedOn w:val="Normal"/>
    <w:link w:val="TitreCar"/>
    <w:qFormat/>
    <w:rsid w:val="00E62C3F"/>
    <w:pPr>
      <w:spacing w:after="0" w:line="240" w:lineRule="auto"/>
      <w:jc w:val="center"/>
    </w:pPr>
    <w:rPr>
      <w:rFonts w:ascii="Times New Roman" w:eastAsia="Times New Roman" w:hAnsi="Times New Roman" w:cs="Times New Roman"/>
      <w:i/>
      <w:iCs/>
      <w:sz w:val="36"/>
      <w:szCs w:val="24"/>
      <w:lang w:eastAsia="fr-FR"/>
    </w:rPr>
  </w:style>
  <w:style w:type="character" w:customStyle="1" w:styleId="TitreCar">
    <w:name w:val="Titre Car"/>
    <w:basedOn w:val="Policepardfaut"/>
    <w:link w:val="Titre"/>
    <w:rsid w:val="00E62C3F"/>
    <w:rPr>
      <w:rFonts w:ascii="Times New Roman" w:eastAsia="Times New Roman" w:hAnsi="Times New Roman" w:cs="Times New Roman"/>
      <w:i/>
      <w:iCs/>
      <w:sz w:val="36"/>
      <w:szCs w:val="24"/>
      <w:lang w:eastAsia="fr-FR"/>
    </w:rPr>
  </w:style>
  <w:style w:type="paragraph" w:customStyle="1" w:styleId="BodyText25">
    <w:name w:val="Body Text 25"/>
    <w:basedOn w:val="Normal"/>
    <w:rsid w:val="00E62C3F"/>
    <w:pPr>
      <w:tabs>
        <w:tab w:val="left" w:pos="-720"/>
        <w:tab w:val="left" w:pos="0"/>
        <w:tab w:val="left" w:pos="720"/>
        <w:tab w:val="left" w:pos="100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E62C3F"/>
    <w:pPr>
      <w:spacing w:after="0" w:line="240" w:lineRule="auto"/>
      <w:jc w:val="both"/>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rsid w:val="00E62C3F"/>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rsid w:val="00E62C3F"/>
    <w:pPr>
      <w:spacing w:after="0" w:line="240" w:lineRule="auto"/>
      <w:ind w:firstLine="708"/>
      <w:jc w:val="both"/>
    </w:pPr>
    <w:rPr>
      <w:rFonts w:ascii="Arial Narrow" w:eastAsia="Times New Roman" w:hAnsi="Arial Narrow" w:cs="Arial"/>
      <w:sz w:val="24"/>
      <w:szCs w:val="24"/>
      <w:lang w:eastAsia="fr-FR"/>
    </w:rPr>
  </w:style>
  <w:style w:type="character" w:customStyle="1" w:styleId="RetraitcorpsdetexteCar">
    <w:name w:val="Retrait corps de texte Car"/>
    <w:basedOn w:val="Policepardfaut"/>
    <w:link w:val="Retraitcorpsdetexte"/>
    <w:rsid w:val="00E62C3F"/>
    <w:rPr>
      <w:rFonts w:ascii="Arial Narrow" w:eastAsia="Times New Roman" w:hAnsi="Arial Narrow" w:cs="Arial"/>
      <w:sz w:val="24"/>
      <w:szCs w:val="24"/>
      <w:lang w:eastAsia="fr-FR"/>
    </w:rPr>
  </w:style>
  <w:style w:type="paragraph" w:styleId="En-tte">
    <w:name w:val="header"/>
    <w:basedOn w:val="Normal"/>
    <w:link w:val="En-tteCar"/>
    <w:rsid w:val="00E62C3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E62C3F"/>
    <w:rPr>
      <w:rFonts w:ascii="Times New Roman" w:eastAsia="Times New Roman" w:hAnsi="Times New Roman" w:cs="Times New Roman"/>
      <w:sz w:val="24"/>
      <w:szCs w:val="24"/>
    </w:rPr>
  </w:style>
  <w:style w:type="paragraph" w:styleId="Pieddepage">
    <w:name w:val="footer"/>
    <w:basedOn w:val="Normal"/>
    <w:link w:val="PieddepageCar"/>
    <w:rsid w:val="007C7BC0"/>
    <w:pPr>
      <w:widowControl w:val="0"/>
      <w:tabs>
        <w:tab w:val="center" w:pos="4536"/>
        <w:tab w:val="right" w:pos="9072"/>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fr-FR"/>
    </w:rPr>
  </w:style>
  <w:style w:type="character" w:customStyle="1" w:styleId="PieddepageCar">
    <w:name w:val="Pied de page Car"/>
    <w:basedOn w:val="Policepardfaut"/>
    <w:link w:val="Pieddepage"/>
    <w:rsid w:val="007C7BC0"/>
    <w:rPr>
      <w:rFonts w:ascii="Times New Roman" w:eastAsia="Times New Roman" w:hAnsi="Times New Roman" w:cs="Times New Roman"/>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8883</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c:creator>
  <cp:lastModifiedBy>RR</cp:lastModifiedBy>
  <cp:revision>3</cp:revision>
  <dcterms:created xsi:type="dcterms:W3CDTF">2012-12-03T07:20:00Z</dcterms:created>
  <dcterms:modified xsi:type="dcterms:W3CDTF">2012-12-03T07:21:00Z</dcterms:modified>
</cp:coreProperties>
</file>