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8C" w:rsidRPr="006E5680" w:rsidRDefault="00D1198C" w:rsidP="00D1198C">
      <w:pPr>
        <w:jc w:val="both"/>
        <w:rPr>
          <w:rFonts w:ascii="Arial" w:hAnsi="Arial"/>
          <w:u w:val="single"/>
        </w:rPr>
      </w:pPr>
      <w:r>
        <w:rPr>
          <w:rFonts w:ascii="Arial" w:hAnsi="Arial"/>
          <w:u w:val="single"/>
        </w:rPr>
        <w:t>I. Executive Summary</w:t>
      </w:r>
    </w:p>
    <w:p w:rsidR="00D1198C" w:rsidRDefault="00D1198C" w:rsidP="00D1198C">
      <w:pPr>
        <w:jc w:val="both"/>
        <w:rPr>
          <w:rFonts w:ascii="Arial" w:hAnsi="Arial"/>
          <w:u w:val="single"/>
        </w:rPr>
      </w:pPr>
    </w:p>
    <w:p w:rsidR="00D1198C" w:rsidRDefault="00D1198C" w:rsidP="00D1198C">
      <w:pPr>
        <w:jc w:val="both"/>
        <w:rPr>
          <w:rFonts w:ascii="Arial" w:hAnsi="Arial"/>
        </w:rPr>
      </w:pPr>
      <w:r>
        <w:rPr>
          <w:rFonts w:ascii="Arial" w:hAnsi="Arial"/>
        </w:rPr>
        <w:t>The MDG-F Gender Equality and Women´s Empowerment (GEWE) Programme in the occupied Palestinian territory (oPt) has been implemented by six United Nations (UN) agencies in an effort to address gender based violence (GBV), violence against women (VAW), political participation of women and equal economic rights in a joint effort by strengthening the national Gender Machinery in oPt for the very first time.</w:t>
      </w:r>
    </w:p>
    <w:p w:rsidR="00D1198C" w:rsidRDefault="00D1198C" w:rsidP="00D1198C">
      <w:pPr>
        <w:jc w:val="both"/>
        <w:rPr>
          <w:rFonts w:ascii="Arial" w:hAnsi="Arial"/>
        </w:rPr>
      </w:pPr>
    </w:p>
    <w:p w:rsidR="00D1198C" w:rsidRPr="00CF108D" w:rsidRDefault="00D1198C" w:rsidP="00D1198C">
      <w:pPr>
        <w:jc w:val="both"/>
        <w:rPr>
          <w:rFonts w:ascii="Arial" w:hAnsi="Arial"/>
        </w:rPr>
      </w:pPr>
      <w:r>
        <w:rPr>
          <w:rFonts w:ascii="Arial" w:hAnsi="Arial"/>
        </w:rPr>
        <w:t xml:space="preserve">Although the time period for writing </w:t>
      </w:r>
      <w:r w:rsidRPr="00CF108D">
        <w:rPr>
          <w:rFonts w:ascii="Arial" w:hAnsi="Arial"/>
        </w:rPr>
        <w:t>the proposal of the joint program was short and did not allow for proper consultation</w:t>
      </w:r>
      <w:r>
        <w:rPr>
          <w:rFonts w:ascii="Arial" w:hAnsi="Arial"/>
        </w:rPr>
        <w:t xml:space="preserve">s with all stakeholders equally, </w:t>
      </w:r>
      <w:r w:rsidRPr="00CF108D">
        <w:rPr>
          <w:rFonts w:ascii="Arial" w:hAnsi="Arial"/>
        </w:rPr>
        <w:t>the inception phase was</w:t>
      </w:r>
      <w:r>
        <w:rPr>
          <w:rFonts w:ascii="Arial" w:hAnsi="Arial"/>
        </w:rPr>
        <w:t>, nevertheless,</w:t>
      </w:r>
      <w:r w:rsidRPr="00CF108D">
        <w:rPr>
          <w:rFonts w:ascii="Arial" w:hAnsi="Arial"/>
        </w:rPr>
        <w:t xml:space="preserve"> longer and allowed for more participation and involvement by </w:t>
      </w:r>
      <w:r w:rsidRPr="00CF108D">
        <w:rPr>
          <w:rFonts w:ascii="Arial" w:hAnsi="Arial"/>
          <w:u w:val="single"/>
        </w:rPr>
        <w:t>social, political and economic</w:t>
      </w:r>
      <w:r w:rsidRPr="00CF108D">
        <w:rPr>
          <w:rFonts w:ascii="Arial" w:hAnsi="Arial"/>
        </w:rPr>
        <w:t xml:space="preserve"> actors from the West Bank and Gaza</w:t>
      </w:r>
      <w:r>
        <w:rPr>
          <w:rFonts w:ascii="Arial" w:hAnsi="Arial"/>
        </w:rPr>
        <w:t>,</w:t>
      </w:r>
      <w:r w:rsidRPr="00CF108D">
        <w:rPr>
          <w:rFonts w:ascii="Arial" w:hAnsi="Arial"/>
        </w:rPr>
        <w:t xml:space="preserve"> thus</w:t>
      </w:r>
      <w:r>
        <w:rPr>
          <w:rFonts w:ascii="Arial" w:hAnsi="Arial"/>
        </w:rPr>
        <w:t xml:space="preserve"> making</w:t>
      </w:r>
      <w:r w:rsidRPr="00CF108D">
        <w:rPr>
          <w:rFonts w:ascii="Arial" w:hAnsi="Arial"/>
        </w:rPr>
        <w:t xml:space="preserve"> the JP integrative and holistic in its nature. </w:t>
      </w:r>
    </w:p>
    <w:p w:rsidR="00D1198C" w:rsidRDefault="00D1198C" w:rsidP="00D1198C">
      <w:pPr>
        <w:jc w:val="both"/>
        <w:rPr>
          <w:rFonts w:ascii="Arial" w:hAnsi="Arial"/>
        </w:rPr>
      </w:pPr>
    </w:p>
    <w:p w:rsidR="00D1198C" w:rsidRPr="000D09F5" w:rsidRDefault="00D1198C" w:rsidP="00D1198C">
      <w:pPr>
        <w:jc w:val="both"/>
        <w:rPr>
          <w:rFonts w:ascii="Arial" w:hAnsi="Arial"/>
        </w:rPr>
      </w:pPr>
      <w:r w:rsidRPr="000D09F5">
        <w:rPr>
          <w:rFonts w:ascii="Arial" w:hAnsi="Arial"/>
          <w:u w:val="single"/>
        </w:rPr>
        <w:t>Activities were implemented through a two-tie</w:t>
      </w:r>
      <w:r w:rsidRPr="00632927">
        <w:rPr>
          <w:rFonts w:ascii="Arial" w:hAnsi="Arial"/>
          <w:u w:val="single"/>
        </w:rPr>
        <w:t xml:space="preserve">r </w:t>
      </w:r>
      <w:r w:rsidRPr="000D09F5">
        <w:rPr>
          <w:rFonts w:ascii="Arial" w:hAnsi="Arial"/>
          <w:u w:val="single"/>
        </w:rPr>
        <w:t xml:space="preserve">process </w:t>
      </w:r>
      <w:r w:rsidRPr="000D09F5">
        <w:rPr>
          <w:rFonts w:ascii="Arial" w:hAnsi="Arial"/>
        </w:rPr>
        <w:t>by linking research with policy action to im</w:t>
      </w:r>
      <w:r>
        <w:rPr>
          <w:rFonts w:ascii="Arial" w:hAnsi="Arial"/>
        </w:rPr>
        <w:t>prove service provision of the Palestinian Authority</w:t>
      </w:r>
      <w:r w:rsidRPr="000D09F5">
        <w:rPr>
          <w:rFonts w:ascii="Arial" w:hAnsi="Arial"/>
        </w:rPr>
        <w:t xml:space="preserve">, its institutions and civil society organizations (CSOs), and by developing </w:t>
      </w:r>
      <w:r>
        <w:rPr>
          <w:rFonts w:ascii="Arial" w:hAnsi="Arial"/>
        </w:rPr>
        <w:t xml:space="preserve">sustainable </w:t>
      </w:r>
      <w:r w:rsidRPr="000D09F5">
        <w:rPr>
          <w:rFonts w:ascii="Arial" w:hAnsi="Arial"/>
        </w:rPr>
        <w:t xml:space="preserve">institutional capacities and </w:t>
      </w:r>
      <w:r>
        <w:rPr>
          <w:rFonts w:ascii="Arial" w:hAnsi="Arial"/>
        </w:rPr>
        <w:t xml:space="preserve">encouraging </w:t>
      </w:r>
      <w:r w:rsidRPr="000D09F5">
        <w:rPr>
          <w:rFonts w:ascii="Arial" w:hAnsi="Arial"/>
        </w:rPr>
        <w:t xml:space="preserve">innovative projects. </w:t>
      </w:r>
    </w:p>
    <w:p w:rsidR="00D1198C" w:rsidRDefault="00D1198C" w:rsidP="00D1198C">
      <w:pPr>
        <w:jc w:val="both"/>
        <w:rPr>
          <w:rFonts w:ascii="Arial" w:hAnsi="Arial"/>
        </w:rPr>
      </w:pPr>
    </w:p>
    <w:p w:rsidR="00D1198C" w:rsidRDefault="00D1198C" w:rsidP="00D1198C">
      <w:pPr>
        <w:jc w:val="both"/>
        <w:rPr>
          <w:rFonts w:ascii="Arial" w:hAnsi="Arial"/>
        </w:rPr>
      </w:pPr>
      <w:r>
        <w:rPr>
          <w:rFonts w:ascii="Arial" w:hAnsi="Arial"/>
        </w:rPr>
        <w:t>Thus, the JP has significantly contributed to the goals of the thematic window 2 on Gender Equality and Women´s Empowerment of the MDG Achievement Fund, which has been funding the JP with a total amount of 9.000.000 USD.</w:t>
      </w:r>
    </w:p>
    <w:p w:rsidR="00D1198C" w:rsidRDefault="00D1198C" w:rsidP="00D1198C">
      <w:pPr>
        <w:jc w:val="both"/>
        <w:rPr>
          <w:rFonts w:ascii="Arial" w:hAnsi="Arial"/>
        </w:rPr>
      </w:pPr>
    </w:p>
    <w:p w:rsidR="00D1198C" w:rsidRDefault="00D1198C" w:rsidP="00D1198C">
      <w:pPr>
        <w:jc w:val="both"/>
        <w:rPr>
          <w:rFonts w:ascii="Arial" w:hAnsi="Arial"/>
        </w:rPr>
      </w:pPr>
      <w:r>
        <w:rPr>
          <w:rFonts w:ascii="Arial" w:hAnsi="Arial"/>
        </w:rPr>
        <w:t xml:space="preserve">Despite the challenges to set up an organizational structure based on the specifications of the MDG-F Implementation Guidelines, which would have enabled the JP to be implemented more smoothly, the JP has nevertheless achieved measurable progress in addressing and contributing to the achievement of the MDGs at the national level, </w:t>
      </w:r>
    </w:p>
    <w:p w:rsidR="00D1198C" w:rsidRDefault="00D1198C" w:rsidP="00D1198C">
      <w:pPr>
        <w:jc w:val="both"/>
        <w:rPr>
          <w:rFonts w:ascii="Arial" w:hAnsi="Arial"/>
        </w:rPr>
      </w:pPr>
    </w:p>
    <w:p w:rsidR="00D1198C" w:rsidRDefault="00D1198C" w:rsidP="00D1198C">
      <w:pPr>
        <w:numPr>
          <w:ilvl w:val="0"/>
          <w:numId w:val="2"/>
        </w:numPr>
        <w:contextualSpacing/>
        <w:jc w:val="both"/>
        <w:rPr>
          <w:rFonts w:ascii="Arial" w:hAnsi="Arial"/>
        </w:rPr>
      </w:pPr>
      <w:r w:rsidRPr="00D42F7C">
        <w:rPr>
          <w:rFonts w:ascii="Arial" w:hAnsi="Arial"/>
        </w:rPr>
        <w:t xml:space="preserve">Through the development and endorsement of the </w:t>
      </w:r>
      <w:r w:rsidRPr="00410AE2">
        <w:rPr>
          <w:rFonts w:ascii="Arial" w:hAnsi="Arial"/>
          <w:i/>
        </w:rPr>
        <w:t>Violence Against Women</w:t>
      </w:r>
      <w:r>
        <w:rPr>
          <w:rFonts w:ascii="Arial" w:hAnsi="Arial"/>
          <w:i/>
        </w:rPr>
        <w:t xml:space="preserve"> (VAW)</w:t>
      </w:r>
      <w:r w:rsidRPr="00410AE2">
        <w:rPr>
          <w:rFonts w:ascii="Arial" w:hAnsi="Arial"/>
          <w:i/>
        </w:rPr>
        <w:t xml:space="preserve"> Strategy</w:t>
      </w:r>
      <w:r w:rsidRPr="00D42F7C">
        <w:rPr>
          <w:rFonts w:ascii="Arial" w:hAnsi="Arial"/>
        </w:rPr>
        <w:t>, which was enacted in January 2011 by the Minister</w:t>
      </w:r>
      <w:r>
        <w:rPr>
          <w:rFonts w:ascii="Arial" w:hAnsi="Arial"/>
        </w:rPr>
        <w:t xml:space="preserve">s Cabinet, </w:t>
      </w:r>
    </w:p>
    <w:p w:rsidR="00D1198C" w:rsidRDefault="00D1198C" w:rsidP="00D1198C">
      <w:pPr>
        <w:jc w:val="both"/>
        <w:rPr>
          <w:rFonts w:ascii="Arial" w:hAnsi="Arial"/>
        </w:rPr>
      </w:pPr>
    </w:p>
    <w:p w:rsidR="00D1198C" w:rsidRDefault="00D1198C" w:rsidP="00D1198C">
      <w:pPr>
        <w:numPr>
          <w:ilvl w:val="0"/>
          <w:numId w:val="2"/>
        </w:numPr>
        <w:contextualSpacing/>
        <w:jc w:val="both"/>
        <w:rPr>
          <w:rFonts w:ascii="Arial" w:hAnsi="Arial"/>
        </w:rPr>
      </w:pPr>
      <w:r>
        <w:rPr>
          <w:rFonts w:ascii="Arial" w:hAnsi="Arial"/>
        </w:rPr>
        <w:t xml:space="preserve">The </w:t>
      </w:r>
      <w:r w:rsidRPr="00410AE2">
        <w:rPr>
          <w:rFonts w:ascii="Arial" w:hAnsi="Arial"/>
          <w:i/>
        </w:rPr>
        <w:t>implementation of the VAW Strategy through the line ministries</w:t>
      </w:r>
      <w:r>
        <w:rPr>
          <w:rFonts w:ascii="Arial" w:hAnsi="Arial"/>
        </w:rPr>
        <w:t xml:space="preserve"> by developing action plans, </w:t>
      </w:r>
    </w:p>
    <w:p w:rsidR="00D1198C" w:rsidRPr="00AF2D75" w:rsidRDefault="00D1198C" w:rsidP="00D1198C">
      <w:pPr>
        <w:jc w:val="both"/>
        <w:rPr>
          <w:rFonts w:ascii="Arial" w:hAnsi="Arial"/>
        </w:rPr>
      </w:pPr>
    </w:p>
    <w:p w:rsidR="00D1198C" w:rsidRDefault="00D1198C" w:rsidP="00D1198C">
      <w:pPr>
        <w:numPr>
          <w:ilvl w:val="0"/>
          <w:numId w:val="2"/>
        </w:numPr>
        <w:contextualSpacing/>
        <w:jc w:val="both"/>
        <w:rPr>
          <w:rFonts w:ascii="Arial" w:hAnsi="Arial"/>
        </w:rPr>
      </w:pPr>
      <w:r>
        <w:rPr>
          <w:rFonts w:ascii="Arial" w:hAnsi="Arial"/>
        </w:rPr>
        <w:t xml:space="preserve">In support of the above, the </w:t>
      </w:r>
      <w:r w:rsidRPr="00410AE2">
        <w:rPr>
          <w:rFonts w:ascii="Arial" w:hAnsi="Arial"/>
          <w:i/>
        </w:rPr>
        <w:t>draft</w:t>
      </w:r>
      <w:r>
        <w:rPr>
          <w:rFonts w:ascii="Arial" w:hAnsi="Arial"/>
          <w:i/>
        </w:rPr>
        <w:t xml:space="preserve"> of the Cross- Sector</w:t>
      </w:r>
      <w:r w:rsidRPr="00410AE2">
        <w:rPr>
          <w:rFonts w:ascii="Arial" w:hAnsi="Arial"/>
          <w:i/>
        </w:rPr>
        <w:t>al National Strategy on Gender</w:t>
      </w:r>
      <w:r>
        <w:rPr>
          <w:rFonts w:ascii="Arial" w:hAnsi="Arial"/>
          <w:i/>
        </w:rPr>
        <w:t xml:space="preserve"> (CSNSG) 2011-2013</w:t>
      </w:r>
      <w:r>
        <w:rPr>
          <w:rFonts w:ascii="Arial" w:hAnsi="Arial"/>
        </w:rPr>
        <w:t>, the very first in its kind advocating to mainstream gender across all sectors in oPt,</w:t>
      </w:r>
    </w:p>
    <w:p w:rsidR="00D1198C" w:rsidRPr="00D9164A" w:rsidRDefault="00D1198C" w:rsidP="00D1198C">
      <w:pPr>
        <w:jc w:val="both"/>
        <w:rPr>
          <w:rFonts w:ascii="Arial" w:hAnsi="Arial"/>
        </w:rPr>
      </w:pPr>
    </w:p>
    <w:p w:rsidR="00D1198C" w:rsidRDefault="00D1198C" w:rsidP="00D1198C">
      <w:pPr>
        <w:numPr>
          <w:ilvl w:val="0"/>
          <w:numId w:val="2"/>
        </w:numPr>
        <w:contextualSpacing/>
        <w:jc w:val="both"/>
        <w:rPr>
          <w:rFonts w:ascii="Arial" w:hAnsi="Arial"/>
        </w:rPr>
      </w:pPr>
      <w:r>
        <w:rPr>
          <w:rFonts w:ascii="Arial" w:hAnsi="Arial"/>
        </w:rPr>
        <w:t xml:space="preserve">The development of the </w:t>
      </w:r>
      <w:r w:rsidRPr="002A4FF7">
        <w:rPr>
          <w:rFonts w:ascii="Arial" w:hAnsi="Arial"/>
          <w:i/>
        </w:rPr>
        <w:t>Media and Advocacy Strategy</w:t>
      </w:r>
      <w:r>
        <w:rPr>
          <w:rFonts w:ascii="Arial" w:hAnsi="Arial"/>
        </w:rPr>
        <w:t xml:space="preserve"> on GEWE issues for the very first time in oPt,</w:t>
      </w:r>
    </w:p>
    <w:p w:rsidR="00D1198C" w:rsidRPr="00AF2D75" w:rsidRDefault="00D1198C" w:rsidP="00D1198C">
      <w:pPr>
        <w:jc w:val="both"/>
        <w:rPr>
          <w:rFonts w:ascii="Arial" w:hAnsi="Arial"/>
        </w:rPr>
      </w:pPr>
    </w:p>
    <w:p w:rsidR="00D1198C" w:rsidRDefault="00D1198C" w:rsidP="00D1198C">
      <w:pPr>
        <w:numPr>
          <w:ilvl w:val="0"/>
          <w:numId w:val="2"/>
        </w:numPr>
        <w:contextualSpacing/>
        <w:jc w:val="both"/>
        <w:rPr>
          <w:rFonts w:ascii="Arial" w:hAnsi="Arial"/>
        </w:rPr>
      </w:pPr>
      <w:r>
        <w:rPr>
          <w:rFonts w:ascii="Arial" w:hAnsi="Arial"/>
        </w:rPr>
        <w:t xml:space="preserve">The </w:t>
      </w:r>
      <w:r w:rsidRPr="00410AE2">
        <w:rPr>
          <w:rFonts w:ascii="Arial" w:hAnsi="Arial"/>
          <w:i/>
        </w:rPr>
        <w:t>institutionalization of the national Gender Machinery towards the end of th</w:t>
      </w:r>
      <w:r>
        <w:rPr>
          <w:rFonts w:ascii="Arial" w:hAnsi="Arial"/>
          <w:i/>
        </w:rPr>
        <w:t>e JP by means of establishing a</w:t>
      </w:r>
      <w:r w:rsidRPr="00410AE2">
        <w:rPr>
          <w:rFonts w:ascii="Arial" w:hAnsi="Arial"/>
          <w:i/>
        </w:rPr>
        <w:t xml:space="preserve"> M</w:t>
      </w:r>
      <w:r>
        <w:rPr>
          <w:rFonts w:ascii="Arial" w:hAnsi="Arial"/>
          <w:i/>
        </w:rPr>
        <w:t xml:space="preserve">onitoring </w:t>
      </w:r>
      <w:r w:rsidRPr="00410AE2">
        <w:rPr>
          <w:rFonts w:ascii="Arial" w:hAnsi="Arial"/>
          <w:i/>
        </w:rPr>
        <w:t>&amp;</w:t>
      </w:r>
      <w:r>
        <w:rPr>
          <w:rFonts w:ascii="Arial" w:hAnsi="Arial"/>
          <w:i/>
        </w:rPr>
        <w:t xml:space="preserve"> </w:t>
      </w:r>
      <w:r w:rsidRPr="00410AE2">
        <w:rPr>
          <w:rFonts w:ascii="Arial" w:hAnsi="Arial"/>
          <w:i/>
        </w:rPr>
        <w:t>E</w:t>
      </w:r>
      <w:r>
        <w:rPr>
          <w:rFonts w:ascii="Arial" w:hAnsi="Arial"/>
          <w:i/>
        </w:rPr>
        <w:t>valuation (M&amp;E)</w:t>
      </w:r>
      <w:r w:rsidRPr="00410AE2">
        <w:rPr>
          <w:rFonts w:ascii="Arial" w:hAnsi="Arial"/>
          <w:i/>
        </w:rPr>
        <w:t xml:space="preserve"> Unit within the Ministry of Women Affairs</w:t>
      </w:r>
      <w:r>
        <w:rPr>
          <w:rFonts w:ascii="Arial" w:hAnsi="Arial"/>
          <w:i/>
        </w:rPr>
        <w:t xml:space="preserve"> (MoWA)</w:t>
      </w:r>
      <w:r>
        <w:rPr>
          <w:rFonts w:ascii="Arial" w:hAnsi="Arial"/>
        </w:rPr>
        <w:t xml:space="preserve">, being in charge of developing and monitoring national gender indicators in close cooperation with the Palestinian Central Bureau of Statistics (PCBS) and the Development Assistance and Reform Platform (DARP) of the </w:t>
      </w:r>
      <w:r>
        <w:rPr>
          <w:rFonts w:ascii="Arial" w:hAnsi="Arial"/>
        </w:rPr>
        <w:lastRenderedPageBreak/>
        <w:t xml:space="preserve">Ministry of Planning and Administrative Development (MoPAD), whereby gender mainstreaming can be initiated through a three tier process: by linking the national level with that of the sub-national and local (tawassol) and vice versa, </w:t>
      </w:r>
    </w:p>
    <w:p w:rsidR="00D1198C" w:rsidRPr="00607EA4" w:rsidRDefault="00D1198C" w:rsidP="00D1198C">
      <w:pPr>
        <w:jc w:val="both"/>
        <w:rPr>
          <w:rFonts w:ascii="Arial" w:hAnsi="Arial"/>
        </w:rPr>
      </w:pPr>
    </w:p>
    <w:p w:rsidR="00D1198C" w:rsidRDefault="00D1198C" w:rsidP="00D1198C">
      <w:pPr>
        <w:numPr>
          <w:ilvl w:val="0"/>
          <w:numId w:val="2"/>
        </w:numPr>
        <w:contextualSpacing/>
        <w:jc w:val="both"/>
        <w:rPr>
          <w:rFonts w:ascii="Arial" w:hAnsi="Arial"/>
        </w:rPr>
      </w:pPr>
      <w:r>
        <w:rPr>
          <w:rFonts w:ascii="Arial" w:hAnsi="Arial"/>
        </w:rPr>
        <w:t xml:space="preserve">The </w:t>
      </w:r>
      <w:r w:rsidRPr="00F0065E">
        <w:rPr>
          <w:rFonts w:ascii="Arial" w:hAnsi="Arial"/>
          <w:i/>
        </w:rPr>
        <w:t>publication of the most gender sensitive “violence survey</w:t>
      </w:r>
      <w:r>
        <w:rPr>
          <w:rFonts w:ascii="Arial" w:hAnsi="Arial"/>
        </w:rPr>
        <w:t>”, the PCBS has ever published through capacity development interventions by the JP, hence enabling policy-makers to address violence cases in a much more targeted and comprehensive way,</w:t>
      </w:r>
    </w:p>
    <w:p w:rsidR="00D1198C" w:rsidRDefault="00D1198C" w:rsidP="00D1198C">
      <w:pPr>
        <w:jc w:val="both"/>
        <w:rPr>
          <w:rFonts w:ascii="Arial" w:hAnsi="Arial"/>
        </w:rPr>
      </w:pPr>
    </w:p>
    <w:p w:rsidR="00D1198C" w:rsidRDefault="00D1198C" w:rsidP="00D1198C">
      <w:pPr>
        <w:numPr>
          <w:ilvl w:val="0"/>
          <w:numId w:val="2"/>
        </w:numPr>
        <w:contextualSpacing/>
        <w:jc w:val="both"/>
        <w:rPr>
          <w:rFonts w:ascii="Arial" w:hAnsi="Arial"/>
        </w:rPr>
      </w:pPr>
      <w:r w:rsidRPr="00652238">
        <w:rPr>
          <w:rFonts w:ascii="Arial" w:hAnsi="Arial"/>
        </w:rPr>
        <w:t xml:space="preserve">The </w:t>
      </w:r>
      <w:r w:rsidRPr="00652238">
        <w:rPr>
          <w:rFonts w:ascii="Arial" w:hAnsi="Arial"/>
          <w:i/>
        </w:rPr>
        <w:t>development of guidelines for Family Protection Units of the Police</w:t>
      </w:r>
      <w:r w:rsidRPr="00652238">
        <w:rPr>
          <w:rFonts w:ascii="Arial" w:hAnsi="Arial"/>
        </w:rPr>
        <w:t>, the curricula to eliminate VAW in schools and the one for lawyers, judges and prosecutors on how to deal with cases of VAW, which</w:t>
      </w:r>
      <w:r>
        <w:rPr>
          <w:rFonts w:ascii="Arial" w:hAnsi="Arial"/>
        </w:rPr>
        <w:t xml:space="preserve"> were institutionalized within the relevant departments,</w:t>
      </w:r>
    </w:p>
    <w:p w:rsidR="00D1198C" w:rsidRPr="00713401" w:rsidRDefault="00D1198C" w:rsidP="00D1198C">
      <w:pPr>
        <w:jc w:val="both"/>
        <w:rPr>
          <w:rFonts w:ascii="Arial" w:hAnsi="Arial"/>
        </w:rPr>
      </w:pPr>
    </w:p>
    <w:p w:rsidR="00D1198C" w:rsidRPr="00713401" w:rsidRDefault="00D1198C" w:rsidP="00D1198C">
      <w:pPr>
        <w:numPr>
          <w:ilvl w:val="0"/>
          <w:numId w:val="2"/>
        </w:numPr>
        <w:contextualSpacing/>
        <w:jc w:val="both"/>
        <w:rPr>
          <w:rFonts w:ascii="Arial" w:hAnsi="Arial"/>
        </w:rPr>
      </w:pPr>
      <w:r w:rsidRPr="00713401">
        <w:rPr>
          <w:rFonts w:ascii="Arial" w:hAnsi="Arial"/>
        </w:rPr>
        <w:t xml:space="preserve">The establishment of the </w:t>
      </w:r>
      <w:r w:rsidRPr="007F7326">
        <w:rPr>
          <w:rFonts w:ascii="Arial" w:hAnsi="Arial"/>
          <w:i/>
        </w:rPr>
        <w:t>National Committee on Women´s Employment</w:t>
      </w:r>
      <w:r w:rsidRPr="00713401">
        <w:rPr>
          <w:rFonts w:ascii="Arial" w:hAnsi="Arial"/>
        </w:rPr>
        <w:t xml:space="preserve"> (NCWE) as an advisory body to the Minister of Labor</w:t>
      </w:r>
      <w:r>
        <w:rPr>
          <w:rFonts w:ascii="Arial" w:hAnsi="Arial"/>
        </w:rPr>
        <w:t>.</w:t>
      </w:r>
      <w:r w:rsidRPr="00713401">
        <w:rPr>
          <w:rFonts w:ascii="Arial" w:hAnsi="Arial"/>
        </w:rPr>
        <w:t xml:space="preserve"> </w:t>
      </w:r>
      <w:r>
        <w:rPr>
          <w:rFonts w:ascii="Arial" w:hAnsi="Arial"/>
        </w:rPr>
        <w:t>The NCWE was endorsed by the Cabinet of Ministers and is</w:t>
      </w:r>
      <w:r w:rsidRPr="00713401">
        <w:rPr>
          <w:rFonts w:ascii="Arial" w:hAnsi="Arial"/>
        </w:rPr>
        <w:t xml:space="preserve"> comprising of</w:t>
      </w:r>
      <w:r>
        <w:rPr>
          <w:rFonts w:ascii="Arial" w:hAnsi="Arial"/>
        </w:rPr>
        <w:t xml:space="preserve"> the</w:t>
      </w:r>
      <w:r w:rsidRPr="00713401">
        <w:rPr>
          <w:rFonts w:ascii="Arial" w:hAnsi="Arial"/>
        </w:rPr>
        <w:t xml:space="preserve"> M</w:t>
      </w:r>
      <w:r>
        <w:rPr>
          <w:rFonts w:ascii="Arial" w:hAnsi="Arial"/>
        </w:rPr>
        <w:t>inistry of Labor (MoL)</w:t>
      </w:r>
      <w:r w:rsidRPr="00713401">
        <w:rPr>
          <w:rFonts w:ascii="Arial" w:hAnsi="Arial"/>
        </w:rPr>
        <w:t>, M</w:t>
      </w:r>
      <w:r>
        <w:rPr>
          <w:rFonts w:ascii="Arial" w:hAnsi="Arial"/>
        </w:rPr>
        <w:t>inistry of Women´s Affairs (Mo</w:t>
      </w:r>
      <w:r w:rsidRPr="00713401">
        <w:rPr>
          <w:rFonts w:ascii="Arial" w:hAnsi="Arial"/>
        </w:rPr>
        <w:t>WA</w:t>
      </w:r>
      <w:r>
        <w:rPr>
          <w:rFonts w:ascii="Arial" w:hAnsi="Arial"/>
        </w:rPr>
        <w:t>)</w:t>
      </w:r>
      <w:r w:rsidRPr="00713401">
        <w:rPr>
          <w:rFonts w:ascii="Arial" w:hAnsi="Arial"/>
        </w:rPr>
        <w:t>, P</w:t>
      </w:r>
      <w:r>
        <w:rPr>
          <w:rFonts w:ascii="Arial" w:hAnsi="Arial"/>
        </w:rPr>
        <w:t xml:space="preserve">alestinian </w:t>
      </w:r>
      <w:r w:rsidRPr="00713401">
        <w:rPr>
          <w:rFonts w:ascii="Arial" w:hAnsi="Arial"/>
        </w:rPr>
        <w:t>G</w:t>
      </w:r>
      <w:r>
        <w:rPr>
          <w:rFonts w:ascii="Arial" w:hAnsi="Arial"/>
        </w:rPr>
        <w:t xml:space="preserve">eneral </w:t>
      </w:r>
      <w:r w:rsidRPr="00713401">
        <w:rPr>
          <w:rFonts w:ascii="Arial" w:hAnsi="Arial"/>
        </w:rPr>
        <w:t>F</w:t>
      </w:r>
      <w:r>
        <w:rPr>
          <w:rFonts w:ascii="Arial" w:hAnsi="Arial"/>
        </w:rPr>
        <w:t xml:space="preserve">ederation of </w:t>
      </w:r>
      <w:r w:rsidRPr="00713401">
        <w:rPr>
          <w:rFonts w:ascii="Arial" w:hAnsi="Arial"/>
        </w:rPr>
        <w:t>T</w:t>
      </w:r>
      <w:r>
        <w:rPr>
          <w:rFonts w:ascii="Arial" w:hAnsi="Arial"/>
        </w:rPr>
        <w:t xml:space="preserve">rade </w:t>
      </w:r>
      <w:r w:rsidRPr="00713401">
        <w:rPr>
          <w:rFonts w:ascii="Arial" w:hAnsi="Arial"/>
        </w:rPr>
        <w:t>U</w:t>
      </w:r>
      <w:r>
        <w:rPr>
          <w:rFonts w:ascii="Arial" w:hAnsi="Arial"/>
        </w:rPr>
        <w:t>nions (PGFTU)</w:t>
      </w:r>
      <w:r w:rsidRPr="00713401">
        <w:rPr>
          <w:rFonts w:ascii="Arial" w:hAnsi="Arial"/>
        </w:rPr>
        <w:t>, Developme</w:t>
      </w:r>
      <w:r>
        <w:rPr>
          <w:rFonts w:ascii="Arial" w:hAnsi="Arial"/>
        </w:rPr>
        <w:t>nt Center of Birzeit University and the</w:t>
      </w:r>
      <w:r w:rsidRPr="00713401">
        <w:rPr>
          <w:rFonts w:ascii="Arial" w:hAnsi="Arial"/>
        </w:rPr>
        <w:t xml:space="preserve"> Center for Democracy and Women´s Rights. It´s mandate is to advocate for gender sensitive policies, legislations, capacity building interventions, social safety net for women workers </w:t>
      </w:r>
      <w:r>
        <w:rPr>
          <w:rFonts w:ascii="Arial" w:hAnsi="Arial"/>
        </w:rPr>
        <w:t>and a healthy work environment, and</w:t>
      </w:r>
    </w:p>
    <w:p w:rsidR="00D1198C" w:rsidRPr="00713401" w:rsidRDefault="00D1198C" w:rsidP="00D1198C">
      <w:pPr>
        <w:jc w:val="both"/>
        <w:rPr>
          <w:rFonts w:ascii="Arial" w:hAnsi="Arial"/>
        </w:rPr>
      </w:pPr>
    </w:p>
    <w:p w:rsidR="00D1198C" w:rsidRPr="00C87BC9" w:rsidRDefault="00D1198C" w:rsidP="00D1198C">
      <w:pPr>
        <w:numPr>
          <w:ilvl w:val="0"/>
          <w:numId w:val="2"/>
        </w:numPr>
        <w:contextualSpacing/>
        <w:jc w:val="both"/>
        <w:rPr>
          <w:rFonts w:ascii="Arial" w:hAnsi="Arial"/>
        </w:rPr>
      </w:pPr>
      <w:r w:rsidRPr="00C87BC9">
        <w:rPr>
          <w:rFonts w:ascii="Arial" w:hAnsi="Arial"/>
          <w:i/>
        </w:rPr>
        <w:t>The J</w:t>
      </w:r>
      <w:r>
        <w:rPr>
          <w:rFonts w:ascii="Arial" w:hAnsi="Arial"/>
          <w:i/>
        </w:rPr>
        <w:t>P allowed UN agencies</w:t>
      </w:r>
      <w:r w:rsidRPr="00C87BC9">
        <w:rPr>
          <w:rFonts w:ascii="Arial" w:hAnsi="Arial"/>
          <w:i/>
        </w:rPr>
        <w:t xml:space="preserve"> to </w:t>
      </w:r>
      <w:r>
        <w:rPr>
          <w:rFonts w:ascii="Arial" w:hAnsi="Arial"/>
          <w:i/>
        </w:rPr>
        <w:t>develop more holistic interventions in</w:t>
      </w:r>
      <w:r w:rsidRPr="00C87BC9">
        <w:rPr>
          <w:rFonts w:ascii="Arial" w:hAnsi="Arial"/>
          <w:i/>
        </w:rPr>
        <w:t xml:space="preserve"> t</w:t>
      </w:r>
      <w:r>
        <w:rPr>
          <w:rFonts w:ascii="Arial" w:hAnsi="Arial"/>
          <w:i/>
        </w:rPr>
        <w:t xml:space="preserve">he </w:t>
      </w:r>
      <w:r w:rsidRPr="00C87BC9">
        <w:rPr>
          <w:rFonts w:ascii="Arial" w:hAnsi="Arial"/>
          <w:i/>
        </w:rPr>
        <w:t>field of GBV, VAW and GEWE</w:t>
      </w:r>
      <w:r>
        <w:rPr>
          <w:rFonts w:ascii="Arial" w:hAnsi="Arial"/>
          <w:i/>
        </w:rPr>
        <w:t xml:space="preserve">. </w:t>
      </w:r>
      <w:r w:rsidRPr="00C87BC9">
        <w:rPr>
          <w:rFonts w:ascii="Arial" w:hAnsi="Arial"/>
          <w:i/>
        </w:rPr>
        <w:t>It also increased the organizations’ technical expertise to mainstream gender within their programmatic areas</w:t>
      </w:r>
      <w:r>
        <w:rPr>
          <w:rFonts w:ascii="Arial" w:hAnsi="Arial"/>
          <w:i/>
        </w:rPr>
        <w:t xml:space="preserve">. </w:t>
      </w:r>
      <w:r>
        <w:rPr>
          <w:rFonts w:ascii="Arial" w:hAnsi="Arial"/>
        </w:rPr>
        <w:t xml:space="preserve">UNRWA, for instance, </w:t>
      </w:r>
      <w:r w:rsidRPr="00C87BC9">
        <w:rPr>
          <w:rFonts w:ascii="Arial" w:hAnsi="Arial"/>
        </w:rPr>
        <w:t>adopted GEWE, GBV and VAW</w:t>
      </w:r>
      <w:r>
        <w:rPr>
          <w:rFonts w:ascii="Arial" w:hAnsi="Arial"/>
        </w:rPr>
        <w:t xml:space="preserve"> within its programmatic areas </w:t>
      </w:r>
      <w:r w:rsidRPr="00C87BC9">
        <w:rPr>
          <w:rFonts w:ascii="Arial" w:hAnsi="Arial"/>
        </w:rPr>
        <w:t>for the very first time in oPt, rightly so, as violence cases are more prevalent in the refugee camps, one finding the latest violence survey came up with.</w:t>
      </w:r>
    </w:p>
    <w:p w:rsidR="00D1198C" w:rsidRDefault="00D1198C" w:rsidP="00D1198C">
      <w:pPr>
        <w:jc w:val="both"/>
        <w:rPr>
          <w:rFonts w:ascii="Arial" w:hAnsi="Arial"/>
        </w:rPr>
      </w:pPr>
    </w:p>
    <w:p w:rsidR="00D1198C" w:rsidRPr="000F7D4E" w:rsidRDefault="00D1198C" w:rsidP="00D1198C">
      <w:pPr>
        <w:jc w:val="both"/>
        <w:rPr>
          <w:rFonts w:ascii="Arial" w:hAnsi="Arial"/>
        </w:rPr>
      </w:pPr>
      <w:r w:rsidRPr="000F7D4E">
        <w:rPr>
          <w:rFonts w:ascii="Arial" w:hAnsi="Arial"/>
          <w:i/>
          <w:u w:val="single"/>
        </w:rPr>
        <w:t>The outreach of the J</w:t>
      </w:r>
      <w:r>
        <w:rPr>
          <w:rFonts w:ascii="Arial" w:hAnsi="Arial"/>
          <w:i/>
          <w:u w:val="single"/>
        </w:rPr>
        <w:t>P went beyond the contribution to</w:t>
      </w:r>
      <w:r w:rsidRPr="000F7D4E">
        <w:rPr>
          <w:rFonts w:ascii="Arial" w:hAnsi="Arial"/>
          <w:i/>
          <w:u w:val="single"/>
        </w:rPr>
        <w:t xml:space="preserve"> MDG 1 and </w:t>
      </w:r>
      <w:r w:rsidRPr="00416E9F">
        <w:rPr>
          <w:rFonts w:ascii="Arial" w:hAnsi="Arial"/>
          <w:i/>
          <w:u w:val="single"/>
        </w:rPr>
        <w:t>MDG 3</w:t>
      </w:r>
      <w:r w:rsidRPr="000F7D4E">
        <w:rPr>
          <w:rFonts w:ascii="Arial" w:hAnsi="Arial"/>
        </w:rPr>
        <w:t>; in</w:t>
      </w:r>
      <w:r>
        <w:rPr>
          <w:rFonts w:ascii="Arial" w:hAnsi="Arial"/>
        </w:rPr>
        <w:t xml:space="preserve"> fact it contributed to </w:t>
      </w:r>
      <w:r w:rsidRPr="000F7D4E">
        <w:rPr>
          <w:rFonts w:ascii="Arial" w:hAnsi="Arial"/>
        </w:rPr>
        <w:t xml:space="preserve">6 out of 8 MDGs at the micro, meso </w:t>
      </w:r>
      <w:r>
        <w:rPr>
          <w:rFonts w:ascii="Arial" w:hAnsi="Arial"/>
        </w:rPr>
        <w:t>and macro level, thus making the JP a success story.</w:t>
      </w:r>
    </w:p>
    <w:p w:rsidR="00D1198C" w:rsidRDefault="00D1198C" w:rsidP="00D1198C">
      <w:pPr>
        <w:jc w:val="both"/>
        <w:rPr>
          <w:rFonts w:ascii="Arial" w:hAnsi="Arial"/>
        </w:rPr>
      </w:pPr>
    </w:p>
    <w:p w:rsidR="00D1198C" w:rsidRDefault="00D1198C" w:rsidP="00D1198C">
      <w:pPr>
        <w:jc w:val="both"/>
        <w:rPr>
          <w:rFonts w:ascii="Arial" w:hAnsi="Arial"/>
        </w:rPr>
      </w:pPr>
      <w:r w:rsidRPr="00833436">
        <w:rPr>
          <w:rFonts w:ascii="Arial" w:hAnsi="Arial"/>
          <w:i/>
          <w:u w:val="single"/>
        </w:rPr>
        <w:t>The contribution of the JP via MoPAD to support the Paris Declaration on Aid Effectiveness is rated as medium</w:t>
      </w:r>
      <w:r w:rsidRPr="000F7D4E">
        <w:rPr>
          <w:rFonts w:ascii="Arial" w:hAnsi="Arial"/>
        </w:rPr>
        <w:t xml:space="preserve">, although oPt has been involved in the Paris Declaration Monitoring Survey </w:t>
      </w:r>
      <w:r>
        <w:rPr>
          <w:rFonts w:ascii="Arial" w:hAnsi="Arial"/>
        </w:rPr>
        <w:t xml:space="preserve">for the very first time </w:t>
      </w:r>
      <w:r w:rsidRPr="000F7D4E">
        <w:rPr>
          <w:rFonts w:ascii="Arial" w:hAnsi="Arial"/>
        </w:rPr>
        <w:t>only two years ago. This is an average result.</w:t>
      </w:r>
    </w:p>
    <w:p w:rsidR="00D1198C" w:rsidRDefault="00D1198C" w:rsidP="00D1198C">
      <w:pPr>
        <w:jc w:val="both"/>
        <w:rPr>
          <w:rFonts w:ascii="Arial" w:hAnsi="Arial"/>
        </w:rPr>
      </w:pPr>
    </w:p>
    <w:p w:rsidR="00D1198C" w:rsidRPr="00A15C02" w:rsidRDefault="00D1198C" w:rsidP="00D1198C">
      <w:pPr>
        <w:jc w:val="both"/>
        <w:rPr>
          <w:rFonts w:ascii="Arial" w:hAnsi="Arial"/>
          <w:i/>
          <w:u w:val="single"/>
        </w:rPr>
      </w:pPr>
      <w:r w:rsidRPr="00080BBA">
        <w:rPr>
          <w:rFonts w:ascii="Arial" w:hAnsi="Arial"/>
          <w:i/>
          <w:u w:val="single"/>
        </w:rPr>
        <w:t>The contribution of the JP to the Delivering as One approach/ UN reform, however, is rather low.</w:t>
      </w:r>
    </w:p>
    <w:p w:rsidR="00D1198C" w:rsidRDefault="00D1198C" w:rsidP="00D1198C">
      <w:pPr>
        <w:ind w:left="708"/>
        <w:jc w:val="both"/>
        <w:rPr>
          <w:rFonts w:ascii="Arial" w:hAnsi="Arial"/>
        </w:rPr>
      </w:pPr>
    </w:p>
    <w:p w:rsidR="00D1198C" w:rsidRDefault="00D1198C" w:rsidP="00D1198C">
      <w:pPr>
        <w:jc w:val="both"/>
        <w:rPr>
          <w:rFonts w:ascii="Arial" w:hAnsi="Arial"/>
        </w:rPr>
      </w:pPr>
      <w:r>
        <w:rPr>
          <w:rFonts w:ascii="Arial" w:hAnsi="Arial"/>
        </w:rPr>
        <w:t xml:space="preserve">In order to take up </w:t>
      </w:r>
      <w:r w:rsidRPr="00080BBA">
        <w:rPr>
          <w:rFonts w:ascii="Arial" w:hAnsi="Arial"/>
        </w:rPr>
        <w:t xml:space="preserve">the success stories and replicate </w:t>
      </w:r>
      <w:r>
        <w:rPr>
          <w:rFonts w:ascii="Arial" w:hAnsi="Arial"/>
        </w:rPr>
        <w:t>them in</w:t>
      </w:r>
      <w:r w:rsidRPr="00080BBA">
        <w:rPr>
          <w:rFonts w:ascii="Arial" w:hAnsi="Arial"/>
        </w:rPr>
        <w:t xml:space="preserve"> possible/ future JP interventions, the following recommendations are proposed in order to ensure sustainability of the JP accomplishments.</w:t>
      </w:r>
    </w:p>
    <w:p w:rsidR="00D1198C" w:rsidRDefault="00D1198C" w:rsidP="00D1198C">
      <w:pPr>
        <w:jc w:val="both"/>
        <w:rPr>
          <w:rFonts w:ascii="Arial" w:hAnsi="Arial"/>
        </w:rPr>
      </w:pPr>
    </w:p>
    <w:p w:rsidR="00D1198C" w:rsidRPr="00080BBA" w:rsidRDefault="00D1198C" w:rsidP="00D1198C">
      <w:pPr>
        <w:jc w:val="both"/>
        <w:rPr>
          <w:rFonts w:ascii="Arial" w:hAnsi="Arial"/>
        </w:rPr>
      </w:pPr>
    </w:p>
    <w:p w:rsidR="00D1198C" w:rsidRPr="002E244B" w:rsidRDefault="00D1198C" w:rsidP="00D1198C">
      <w:pPr>
        <w:pStyle w:val="NoSpacing"/>
        <w:numPr>
          <w:ilvl w:val="0"/>
          <w:numId w:val="1"/>
        </w:numPr>
        <w:jc w:val="both"/>
        <w:rPr>
          <w:rFonts w:ascii="Arial" w:hAnsi="Arial"/>
        </w:rPr>
      </w:pPr>
      <w:r w:rsidRPr="002E244B">
        <w:rPr>
          <w:rFonts w:ascii="Arial" w:hAnsi="Arial"/>
          <w:u w:val="single"/>
        </w:rPr>
        <w:t>To conduct an in depth capacity development needs assessment of the capacities of the main implementing ministries at the design phase</w:t>
      </w:r>
      <w:r w:rsidRPr="002E244B">
        <w:rPr>
          <w:rFonts w:ascii="Arial" w:hAnsi="Arial"/>
        </w:rPr>
        <w:t>, in order to better address the structural / systematic weaknesses that exist within the PA institutions so as to ensure sustainability and impact. UNDP´s and UN Women´s wide repository of knowledge products on issues such as capacity development within public institutions/ for gender mainstreaming should be continuously utilized for this purpose</w:t>
      </w:r>
      <w:r>
        <w:rPr>
          <w:rFonts w:ascii="Arial" w:hAnsi="Arial"/>
        </w:rPr>
        <w:t xml:space="preserve"> as well as ILO’s Participatory Gender Audit Strategy.</w:t>
      </w:r>
    </w:p>
    <w:p w:rsidR="00D1198C" w:rsidRPr="002E244B" w:rsidRDefault="00D1198C" w:rsidP="00D1198C">
      <w:pPr>
        <w:pStyle w:val="NoSpacing"/>
        <w:jc w:val="both"/>
        <w:rPr>
          <w:rFonts w:ascii="Arial" w:hAnsi="Arial"/>
        </w:rPr>
      </w:pPr>
    </w:p>
    <w:p w:rsidR="00D1198C" w:rsidRPr="002E244B" w:rsidRDefault="00D1198C" w:rsidP="00D1198C">
      <w:pPr>
        <w:pStyle w:val="NoSpacing"/>
        <w:numPr>
          <w:ilvl w:val="0"/>
          <w:numId w:val="1"/>
        </w:numPr>
        <w:jc w:val="both"/>
        <w:rPr>
          <w:rFonts w:ascii="Arial" w:hAnsi="Arial"/>
        </w:rPr>
      </w:pPr>
      <w:r w:rsidRPr="002E244B">
        <w:rPr>
          <w:rFonts w:ascii="Arial" w:hAnsi="Arial"/>
          <w:u w:val="single"/>
        </w:rPr>
        <w:t xml:space="preserve">The design of the programme should be more results based. </w:t>
      </w:r>
      <w:r w:rsidRPr="002E244B">
        <w:rPr>
          <w:rFonts w:ascii="Arial" w:hAnsi="Arial"/>
        </w:rPr>
        <w:t xml:space="preserve">The Results Based Management (RBM) tool of the UN should be more adhered to.  Results and outputs should be formulated to be as accurate as possible. The activities should then be designed to lead to the desired results, outputs and outcomes. </w:t>
      </w:r>
    </w:p>
    <w:p w:rsidR="00D1198C" w:rsidRPr="002E244B" w:rsidRDefault="00D1198C" w:rsidP="00D1198C">
      <w:pPr>
        <w:pStyle w:val="NoSpacing"/>
        <w:jc w:val="both"/>
        <w:rPr>
          <w:rFonts w:ascii="Arial" w:hAnsi="Arial"/>
          <w:u w:val="single"/>
        </w:rPr>
      </w:pPr>
    </w:p>
    <w:p w:rsidR="00D1198C" w:rsidRPr="002E244B" w:rsidRDefault="00D1198C" w:rsidP="00D1198C">
      <w:pPr>
        <w:pStyle w:val="NoSpacing"/>
        <w:numPr>
          <w:ilvl w:val="0"/>
          <w:numId w:val="1"/>
        </w:numPr>
        <w:jc w:val="both"/>
        <w:rPr>
          <w:rFonts w:ascii="Arial" w:hAnsi="Arial"/>
          <w:u w:val="single"/>
        </w:rPr>
      </w:pPr>
      <w:r w:rsidRPr="002E244B">
        <w:rPr>
          <w:rFonts w:ascii="Arial" w:hAnsi="Arial"/>
          <w:u w:val="single"/>
        </w:rPr>
        <w:t>The monitoring should exceed the monitoring of activities into monitoring and evaluating the achievements of outputs</w:t>
      </w:r>
      <w:r w:rsidRPr="002E244B">
        <w:rPr>
          <w:rFonts w:ascii="Arial" w:hAnsi="Arial"/>
        </w:rPr>
        <w:t>. Monitoring reports should elaborate on the problems and challenges faced by the implementers to include main discussion points and suggested solutions.</w:t>
      </w:r>
    </w:p>
    <w:p w:rsidR="00D1198C" w:rsidRPr="002E244B" w:rsidRDefault="00D1198C" w:rsidP="00D1198C">
      <w:pPr>
        <w:pStyle w:val="NoSpacing"/>
        <w:ind w:left="720"/>
        <w:jc w:val="both"/>
        <w:rPr>
          <w:rFonts w:ascii="Arial" w:hAnsi="Arial"/>
          <w:u w:val="single"/>
        </w:rPr>
      </w:pPr>
    </w:p>
    <w:p w:rsidR="00D1198C" w:rsidRPr="002E244B" w:rsidRDefault="00D1198C" w:rsidP="00D1198C">
      <w:pPr>
        <w:numPr>
          <w:ilvl w:val="0"/>
          <w:numId w:val="1"/>
        </w:numPr>
        <w:contextualSpacing/>
        <w:jc w:val="both"/>
        <w:rPr>
          <w:rFonts w:ascii="Arial" w:hAnsi="Arial"/>
          <w:u w:val="single"/>
        </w:rPr>
      </w:pPr>
      <w:r w:rsidRPr="002E244B">
        <w:rPr>
          <w:rFonts w:ascii="Arial" w:hAnsi="Arial"/>
          <w:u w:val="single"/>
        </w:rPr>
        <w:t xml:space="preserve">A proper review of the ToRs of the NSC, PMC, PS and PMT should be done at the inception phase. </w:t>
      </w:r>
      <w:r w:rsidRPr="002E244B">
        <w:rPr>
          <w:rFonts w:ascii="Arial" w:hAnsi="Arial"/>
        </w:rPr>
        <w:t>The review should examine whether the proposed governance structure is a) applicable to the current context</w:t>
      </w:r>
      <w:r>
        <w:rPr>
          <w:rFonts w:ascii="Arial" w:hAnsi="Arial"/>
        </w:rPr>
        <w:t xml:space="preserve"> and </w:t>
      </w:r>
      <w:r w:rsidRPr="002E244B">
        <w:rPr>
          <w:rFonts w:ascii="Arial" w:hAnsi="Arial"/>
        </w:rPr>
        <w:t>b)</w:t>
      </w:r>
      <w:r>
        <w:rPr>
          <w:rFonts w:ascii="Arial" w:hAnsi="Arial"/>
        </w:rPr>
        <w:t xml:space="preserve"> by</w:t>
      </w:r>
      <w:r w:rsidRPr="002E244B">
        <w:rPr>
          <w:rFonts w:ascii="Arial" w:hAnsi="Arial"/>
        </w:rPr>
        <w:t xml:space="preserve"> considering local needs and </w:t>
      </w:r>
      <w:r>
        <w:rPr>
          <w:rFonts w:ascii="Arial" w:hAnsi="Arial"/>
        </w:rPr>
        <w:t xml:space="preserve">existing </w:t>
      </w:r>
      <w:r w:rsidRPr="002E244B">
        <w:rPr>
          <w:rFonts w:ascii="Arial" w:hAnsi="Arial"/>
        </w:rPr>
        <w:t xml:space="preserve">capacities. </w:t>
      </w:r>
    </w:p>
    <w:p w:rsidR="00D1198C" w:rsidRPr="000219FD" w:rsidRDefault="00D1198C" w:rsidP="00D1198C">
      <w:pPr>
        <w:rPr>
          <w:rFonts w:ascii="Arial" w:hAnsi="Arial"/>
          <w:u w:val="single"/>
        </w:rPr>
      </w:pPr>
    </w:p>
    <w:p w:rsidR="00D1198C" w:rsidRPr="000219FD" w:rsidRDefault="00D1198C" w:rsidP="00D1198C">
      <w:pPr>
        <w:numPr>
          <w:ilvl w:val="0"/>
          <w:numId w:val="1"/>
        </w:numPr>
        <w:contextualSpacing/>
        <w:jc w:val="both"/>
        <w:rPr>
          <w:rFonts w:ascii="Arial" w:hAnsi="Arial"/>
          <w:u w:val="single"/>
        </w:rPr>
      </w:pPr>
      <w:r w:rsidRPr="000219FD">
        <w:rPr>
          <w:rFonts w:ascii="Arial" w:hAnsi="Arial"/>
          <w:u w:val="single"/>
        </w:rPr>
        <w:t>The UN agencies financial systems should be adjusted to produce disaggregated financial data on the West Bank and Gaza</w:t>
      </w:r>
      <w:r w:rsidRPr="000219FD">
        <w:rPr>
          <w:rFonts w:ascii="Arial" w:hAnsi="Arial"/>
        </w:rPr>
        <w:t xml:space="preserve"> by showing the amounts disbursed in Gaza and the West Bank separately, so that financial imbalances favoring West Bank over Gaza are not occurring.</w:t>
      </w:r>
    </w:p>
    <w:p w:rsidR="00D1198C" w:rsidRPr="0028001D" w:rsidRDefault="00D1198C" w:rsidP="00D1198C">
      <w:pPr>
        <w:pStyle w:val="NoSpacing"/>
        <w:jc w:val="both"/>
        <w:rPr>
          <w:rFonts w:ascii="Arial" w:hAnsi="Arial"/>
          <w:u w:val="single"/>
        </w:rPr>
      </w:pPr>
    </w:p>
    <w:p w:rsidR="00D1198C" w:rsidRPr="009C3E4A" w:rsidRDefault="00D1198C" w:rsidP="00D1198C">
      <w:pPr>
        <w:pStyle w:val="NoSpacing"/>
        <w:numPr>
          <w:ilvl w:val="0"/>
          <w:numId w:val="1"/>
        </w:numPr>
        <w:jc w:val="both"/>
        <w:rPr>
          <w:rFonts w:ascii="Arial" w:hAnsi="Arial"/>
          <w:u w:val="single"/>
        </w:rPr>
      </w:pPr>
      <w:r>
        <w:rPr>
          <w:rFonts w:ascii="Arial" w:hAnsi="Arial"/>
          <w:u w:val="single"/>
        </w:rPr>
        <w:t>A technical review of the budget</w:t>
      </w:r>
      <w:r>
        <w:rPr>
          <w:rFonts w:ascii="Arial" w:hAnsi="Arial"/>
        </w:rPr>
        <w:t>- as rec</w:t>
      </w:r>
      <w:r w:rsidRPr="009C3E4A">
        <w:rPr>
          <w:rFonts w:ascii="Arial" w:hAnsi="Arial"/>
        </w:rPr>
        <w:t xml:space="preserve">ommended in the midterm evaluation- </w:t>
      </w:r>
      <w:r w:rsidRPr="004542C1">
        <w:rPr>
          <w:rFonts w:ascii="Arial" w:hAnsi="Arial"/>
          <w:u w:val="single"/>
        </w:rPr>
        <w:t>remains also valid in the final evaluation</w:t>
      </w:r>
      <w:r w:rsidRPr="009C3E4A">
        <w:rPr>
          <w:rFonts w:ascii="Arial" w:hAnsi="Arial"/>
        </w:rPr>
        <w:t xml:space="preserve">. It should be done prior to the approval of the application and include an analysis of the annual allocations. Further, it </w:t>
      </w:r>
      <w:r>
        <w:rPr>
          <w:rFonts w:ascii="Arial" w:hAnsi="Arial"/>
        </w:rPr>
        <w:t xml:space="preserve">is </w:t>
      </w:r>
      <w:r w:rsidRPr="009C3E4A">
        <w:rPr>
          <w:rFonts w:ascii="Arial" w:hAnsi="Arial"/>
        </w:rPr>
        <w:t xml:space="preserve">recommended that the review should also appraise the accuracy of the costs. The evaluation specifically recommends the use of the Activity-Based Costing (ABC) method in preparing budgets, because this method is </w:t>
      </w:r>
      <w:r>
        <w:rPr>
          <w:rFonts w:ascii="Arial" w:hAnsi="Arial"/>
        </w:rPr>
        <w:t xml:space="preserve">consistent with the concepts of </w:t>
      </w:r>
      <w:r w:rsidRPr="009C3E4A">
        <w:rPr>
          <w:rFonts w:ascii="Arial" w:hAnsi="Arial"/>
        </w:rPr>
        <w:t>RBM. The evaluation is also not recommending the use of the commitment rate method for fund releases in JP that may be supported by the MDG-F in the future.</w:t>
      </w:r>
    </w:p>
    <w:p w:rsidR="00D1198C" w:rsidRPr="00080BBA" w:rsidRDefault="00D1198C" w:rsidP="00D1198C">
      <w:pPr>
        <w:ind w:left="360"/>
        <w:rPr>
          <w:rFonts w:ascii="Arial" w:hAnsi="Arial"/>
        </w:rPr>
      </w:pPr>
      <w:r w:rsidRPr="008206D0">
        <w:rPr>
          <w:rFonts w:ascii="Arial" w:hAnsi="Arial"/>
        </w:rPr>
        <w:t xml:space="preserve">  </w:t>
      </w:r>
    </w:p>
    <w:p w:rsidR="00D1198C" w:rsidRPr="004A2BC1" w:rsidRDefault="00D1198C" w:rsidP="00D1198C">
      <w:pPr>
        <w:pStyle w:val="NoSpacing"/>
        <w:numPr>
          <w:ilvl w:val="0"/>
          <w:numId w:val="1"/>
        </w:numPr>
        <w:jc w:val="both"/>
        <w:rPr>
          <w:rFonts w:ascii="Arial" w:hAnsi="Arial"/>
        </w:rPr>
      </w:pPr>
      <w:r w:rsidRPr="004A2BC1">
        <w:rPr>
          <w:rFonts w:ascii="Arial" w:hAnsi="Arial"/>
          <w:u w:val="single"/>
        </w:rPr>
        <w:t>The Media and Advocacy Strategy should be developed at the outset of program implementation (design phase).</w:t>
      </w:r>
      <w:r w:rsidRPr="004A2BC1">
        <w:rPr>
          <w:rFonts w:ascii="Arial" w:hAnsi="Arial"/>
        </w:rPr>
        <w:t xml:space="preserve"> It should specify the type of messages, advocacy campaigns and strategies to be used in order for the main messages to be mainstreamed. The current Strategy could be amended accordingly and should target more men, youth male, and children and marginalized groups. </w:t>
      </w:r>
    </w:p>
    <w:p w:rsidR="00D1198C" w:rsidRPr="004A2BC1" w:rsidRDefault="00D1198C" w:rsidP="00D1198C">
      <w:pPr>
        <w:rPr>
          <w:rFonts w:ascii="Arial" w:hAnsi="Arial"/>
          <w:u w:val="single"/>
        </w:rPr>
      </w:pPr>
    </w:p>
    <w:p w:rsidR="00D1198C" w:rsidRPr="004A2BC1" w:rsidRDefault="00D1198C" w:rsidP="00D1198C">
      <w:pPr>
        <w:pStyle w:val="NoSpacing"/>
        <w:numPr>
          <w:ilvl w:val="0"/>
          <w:numId w:val="1"/>
        </w:numPr>
        <w:jc w:val="both"/>
        <w:rPr>
          <w:rFonts w:ascii="Arial" w:hAnsi="Arial"/>
        </w:rPr>
      </w:pPr>
      <w:r w:rsidRPr="004A2BC1">
        <w:rPr>
          <w:rFonts w:ascii="Arial" w:hAnsi="Arial"/>
          <w:u w:val="single"/>
        </w:rPr>
        <w:t xml:space="preserve"> It is recommended that in future projects the establishment of an M&amp;E to monitor gender equity goals at the national, sub-national and local level should be established at the onset of the program, in order to centralize data on </w:t>
      </w:r>
      <w:r>
        <w:rPr>
          <w:rFonts w:ascii="Arial" w:hAnsi="Arial"/>
          <w:u w:val="single"/>
        </w:rPr>
        <w:t xml:space="preserve">gender based violence, </w:t>
      </w:r>
      <w:r w:rsidRPr="004A2BC1">
        <w:rPr>
          <w:rFonts w:ascii="Arial" w:hAnsi="Arial"/>
          <w:u w:val="single"/>
        </w:rPr>
        <w:t>political participation and economic empowerment as well as other women related issues.</w:t>
      </w:r>
      <w:r w:rsidRPr="004A2BC1">
        <w:rPr>
          <w:rFonts w:ascii="Arial" w:hAnsi="Arial"/>
        </w:rPr>
        <w:t xml:space="preserve"> The unit should also be equipped to </w:t>
      </w:r>
      <w:r w:rsidRPr="00F94CFF">
        <w:rPr>
          <w:rFonts w:ascii="Arial" w:hAnsi="Arial"/>
        </w:rPr>
        <w:t>provide support and guidance to other ministries and agencies so that all sectoral strategies are gender mainstreamed and monitored based on harmonized national gender indicators.</w:t>
      </w:r>
      <w:r w:rsidRPr="004A2BC1">
        <w:rPr>
          <w:rFonts w:ascii="Arial" w:hAnsi="Arial"/>
          <w:u w:val="single"/>
        </w:rPr>
        <w:t xml:space="preserve"> </w:t>
      </w:r>
    </w:p>
    <w:p w:rsidR="00D1198C" w:rsidRDefault="00D1198C" w:rsidP="00D1198C">
      <w:pPr>
        <w:pStyle w:val="NoSpacing"/>
        <w:ind w:left="720"/>
        <w:jc w:val="both"/>
        <w:rPr>
          <w:rFonts w:ascii="Arial" w:hAnsi="Arial"/>
          <w:u w:val="single"/>
        </w:rPr>
      </w:pPr>
    </w:p>
    <w:p w:rsidR="00D1198C" w:rsidRPr="003E0DE1" w:rsidRDefault="00D1198C" w:rsidP="00D1198C">
      <w:pPr>
        <w:pStyle w:val="NoSpacing"/>
        <w:numPr>
          <w:ilvl w:val="0"/>
          <w:numId w:val="1"/>
        </w:numPr>
        <w:jc w:val="both"/>
        <w:rPr>
          <w:rFonts w:ascii="Arial" w:hAnsi="Arial"/>
          <w:u w:val="single"/>
        </w:rPr>
      </w:pPr>
      <w:r w:rsidRPr="003E0DE1">
        <w:rPr>
          <w:rFonts w:ascii="Arial" w:hAnsi="Arial"/>
          <w:u w:val="single"/>
        </w:rPr>
        <w:t>Strengthening of and aligning the referral system created by MoH/ MoSA and Family Protection Unit of Police (MoI) with that of UNRWA.</w:t>
      </w:r>
    </w:p>
    <w:p w:rsidR="00D1198C" w:rsidRPr="00CD380C" w:rsidRDefault="00D1198C" w:rsidP="00D1198C">
      <w:pPr>
        <w:pStyle w:val="NoSpacing"/>
        <w:ind w:left="720"/>
        <w:jc w:val="both"/>
        <w:rPr>
          <w:rFonts w:ascii="Arial" w:hAnsi="Arial"/>
        </w:rPr>
      </w:pPr>
      <w:r w:rsidRPr="00F94CFF">
        <w:rPr>
          <w:rFonts w:ascii="Arial" w:hAnsi="Arial"/>
        </w:rPr>
        <w:t>Even though UNRWA is operating under a different legal environment to</w:t>
      </w:r>
      <w:r w:rsidRPr="004A2BC1">
        <w:rPr>
          <w:rFonts w:ascii="Arial" w:hAnsi="Arial"/>
          <w:u w:val="single"/>
        </w:rPr>
        <w:t xml:space="preserve"> </w:t>
      </w:r>
      <w:r w:rsidRPr="003E0DE1">
        <w:rPr>
          <w:rFonts w:ascii="Arial" w:hAnsi="Arial"/>
        </w:rPr>
        <w:t>which the one of the national institutions do not apply, the further institutionalization of the referral system within UNRWA is pivotal to address the highest amount of GB</w:t>
      </w:r>
      <w:r w:rsidRPr="00CD380C">
        <w:rPr>
          <w:rFonts w:ascii="Arial" w:hAnsi="Arial"/>
        </w:rPr>
        <w:t xml:space="preserve">V and any other type of violence cases in the future.  Alliances should be build with the EU funded projects on the establishment of a national referral system. </w:t>
      </w:r>
    </w:p>
    <w:p w:rsidR="00D1198C" w:rsidRPr="00CD380C" w:rsidRDefault="00D1198C" w:rsidP="00D1198C">
      <w:pPr>
        <w:pStyle w:val="NoSpacing"/>
        <w:jc w:val="both"/>
        <w:rPr>
          <w:rFonts w:ascii="Arial" w:hAnsi="Arial"/>
        </w:rPr>
      </w:pPr>
    </w:p>
    <w:p w:rsidR="00D1198C" w:rsidRPr="004A2BC1" w:rsidRDefault="00D1198C" w:rsidP="00D1198C">
      <w:pPr>
        <w:pStyle w:val="NoSpacing"/>
        <w:numPr>
          <w:ilvl w:val="0"/>
          <w:numId w:val="1"/>
        </w:numPr>
        <w:jc w:val="both"/>
        <w:rPr>
          <w:rFonts w:ascii="Arial" w:hAnsi="Arial"/>
        </w:rPr>
      </w:pPr>
      <w:r w:rsidRPr="004A2BC1">
        <w:rPr>
          <w:rFonts w:ascii="Arial" w:hAnsi="Arial"/>
          <w:bCs/>
          <w:u w:val="single"/>
        </w:rPr>
        <w:t>Gaza</w:t>
      </w:r>
    </w:p>
    <w:p w:rsidR="00D1198C" w:rsidRDefault="00D1198C" w:rsidP="00D1198C">
      <w:pPr>
        <w:ind w:left="708"/>
        <w:jc w:val="both"/>
        <w:rPr>
          <w:rFonts w:ascii="Arial" w:hAnsi="Arial"/>
        </w:rPr>
      </w:pPr>
      <w:r w:rsidRPr="004A2BC1">
        <w:rPr>
          <w:rFonts w:ascii="Arial" w:hAnsi="Arial"/>
        </w:rPr>
        <w:t>The no contact policy with the existing government and public institutions in Gaza should be revised, as the humanitarian as well as the developmental needs of Gaza is severe and pressing.</w:t>
      </w:r>
      <w:r w:rsidRPr="004A2BC1" w:rsidDel="00650A2B">
        <w:rPr>
          <w:rFonts w:ascii="Arial" w:hAnsi="Arial"/>
        </w:rPr>
        <w:t xml:space="preserve"> </w:t>
      </w:r>
      <w:r w:rsidRPr="004A2BC1">
        <w:rPr>
          <w:rFonts w:ascii="Arial" w:hAnsi="Arial"/>
        </w:rPr>
        <w:t>To ensure sustainability and impact of future programs in Gaza, a focus and emphasis on public institutional building is essential</w:t>
      </w:r>
      <w:r>
        <w:rPr>
          <w:rFonts w:ascii="Arial" w:hAnsi="Arial"/>
        </w:rPr>
        <w:t>.</w:t>
      </w:r>
    </w:p>
    <w:p w:rsidR="00D1198C" w:rsidRDefault="00D1198C" w:rsidP="00D1198C">
      <w:pPr>
        <w:jc w:val="both"/>
        <w:rPr>
          <w:rFonts w:ascii="Arial" w:hAnsi="Arial"/>
        </w:rPr>
      </w:pPr>
    </w:p>
    <w:p w:rsidR="00D1198C" w:rsidRPr="00E1578A" w:rsidRDefault="00D1198C" w:rsidP="00D1198C">
      <w:pPr>
        <w:jc w:val="both"/>
        <w:rPr>
          <w:rFonts w:ascii="Arial" w:hAnsi="Arial"/>
          <w:i/>
          <w:u w:val="single"/>
        </w:rPr>
      </w:pPr>
      <w:r>
        <w:rPr>
          <w:rFonts w:ascii="Arial" w:hAnsi="Arial"/>
          <w:i/>
          <w:u w:val="single"/>
        </w:rPr>
        <w:t>Proposed future JP interventions to accelerate the attainment of the MDGs in oPt</w:t>
      </w:r>
    </w:p>
    <w:p w:rsidR="00D1198C" w:rsidRDefault="00D1198C" w:rsidP="00D1198C">
      <w:pPr>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328"/>
      </w:tblGrid>
      <w:tr w:rsidR="00D1198C" w:rsidRPr="00E05D01" w:rsidTr="00891F58">
        <w:tc>
          <w:tcPr>
            <w:tcW w:w="1134" w:type="dxa"/>
          </w:tcPr>
          <w:p w:rsidR="00D1198C" w:rsidRPr="00E05D01" w:rsidRDefault="00D1198C" w:rsidP="00891F58">
            <w:pPr>
              <w:pStyle w:val="NoSpacing"/>
              <w:jc w:val="both"/>
              <w:rPr>
                <w:rFonts w:ascii="Arial" w:hAnsi="Arial"/>
                <w:sz w:val="22"/>
                <w:szCs w:val="22"/>
              </w:rPr>
            </w:pPr>
            <w:r w:rsidRPr="00E05D01">
              <w:rPr>
                <w:rFonts w:ascii="Arial" w:hAnsi="Arial"/>
                <w:sz w:val="22"/>
                <w:szCs w:val="22"/>
              </w:rPr>
              <w:t>MDG 1</w:t>
            </w:r>
          </w:p>
        </w:tc>
        <w:tc>
          <w:tcPr>
            <w:tcW w:w="8040" w:type="dxa"/>
          </w:tcPr>
          <w:p w:rsidR="00D1198C" w:rsidRPr="00E05D01" w:rsidRDefault="00D1198C" w:rsidP="00891F58">
            <w:pPr>
              <w:pStyle w:val="NoSpacing"/>
              <w:jc w:val="both"/>
              <w:rPr>
                <w:rFonts w:ascii="Arial" w:hAnsi="Arial"/>
                <w:sz w:val="22"/>
                <w:szCs w:val="22"/>
              </w:rPr>
            </w:pPr>
            <w:r w:rsidRPr="00E05D01">
              <w:rPr>
                <w:rFonts w:ascii="Arial" w:hAnsi="Arial"/>
                <w:b/>
                <w:sz w:val="22"/>
                <w:szCs w:val="22"/>
                <w:u w:val="single"/>
              </w:rPr>
              <w:t>ILO and UNRWA</w:t>
            </w:r>
            <w:r w:rsidRPr="00E05D01">
              <w:rPr>
                <w:rFonts w:ascii="Arial" w:hAnsi="Arial"/>
                <w:sz w:val="22"/>
                <w:szCs w:val="22"/>
              </w:rPr>
              <w:t xml:space="preserve"> should take up their income generation projects, TVET, SME, cooperatives and women engineers placement projects and continue with these in the next phase, by putting more emphasize on integration of women and marginalized groups (youth criminals, youth that are trafficking etc.) into the local labor market and measuring the impact of such interventions by developing indicators with regard to improvement of income, decline of poverty rate, increase of GDP in oPt, social coherence (differentiation into Gaza and WB) through JP intervention. These indicators could be developed with MoLG, MoSA, MoEHE and MoL through a bottom up approach and channeled through the relevant sectoral strategies (Employment, Social Protection, Agriculture and Economic Development). Emphasize should be also given to standardization and equalization of certification received by youth criminals with that of students certified by the MoEHE. UN agencies should facilitate this process by enabling MoSA, MoEHE and MoL to develop a policy paper to take action in this regard.</w:t>
            </w:r>
          </w:p>
          <w:p w:rsidR="00D1198C" w:rsidRPr="00E05D01" w:rsidRDefault="00D1198C" w:rsidP="00891F58">
            <w:pPr>
              <w:pStyle w:val="NoSpacing"/>
              <w:jc w:val="both"/>
              <w:rPr>
                <w:rFonts w:ascii="Arial" w:hAnsi="Arial"/>
                <w:sz w:val="22"/>
                <w:szCs w:val="22"/>
              </w:rPr>
            </w:pPr>
          </w:p>
        </w:tc>
      </w:tr>
      <w:tr w:rsidR="00D1198C" w:rsidRPr="00E05D01" w:rsidTr="00891F58">
        <w:tc>
          <w:tcPr>
            <w:tcW w:w="1134" w:type="dxa"/>
          </w:tcPr>
          <w:p w:rsidR="00D1198C" w:rsidRPr="00E05D01" w:rsidRDefault="00D1198C" w:rsidP="00891F58">
            <w:pPr>
              <w:pStyle w:val="NoSpacing"/>
              <w:jc w:val="both"/>
              <w:rPr>
                <w:rFonts w:ascii="Arial" w:hAnsi="Arial"/>
                <w:sz w:val="22"/>
                <w:szCs w:val="22"/>
              </w:rPr>
            </w:pPr>
            <w:r w:rsidRPr="00E05D01">
              <w:rPr>
                <w:rFonts w:ascii="Arial" w:hAnsi="Arial"/>
                <w:sz w:val="22"/>
                <w:szCs w:val="22"/>
              </w:rPr>
              <w:t>MDG 2</w:t>
            </w:r>
          </w:p>
        </w:tc>
        <w:tc>
          <w:tcPr>
            <w:tcW w:w="8040" w:type="dxa"/>
          </w:tcPr>
          <w:p w:rsidR="00D1198C" w:rsidRPr="00E05D01" w:rsidRDefault="00D1198C" w:rsidP="00891F58">
            <w:pPr>
              <w:pStyle w:val="NoSpacing"/>
              <w:jc w:val="both"/>
              <w:rPr>
                <w:rFonts w:ascii="Arial" w:hAnsi="Arial"/>
                <w:sz w:val="22"/>
                <w:szCs w:val="22"/>
              </w:rPr>
            </w:pPr>
            <w:r w:rsidRPr="00E05D01">
              <w:rPr>
                <w:rFonts w:ascii="Arial" w:hAnsi="Arial"/>
                <w:b/>
                <w:sz w:val="22"/>
                <w:szCs w:val="22"/>
                <w:u w:val="single"/>
              </w:rPr>
              <w:t>UNFPA and UNRWA</w:t>
            </w:r>
            <w:r w:rsidRPr="00E05D01">
              <w:rPr>
                <w:rFonts w:ascii="Arial" w:hAnsi="Arial"/>
                <w:sz w:val="22"/>
                <w:szCs w:val="22"/>
              </w:rPr>
              <w:t xml:space="preserve"> should work closely with MoEHE and MoSA to contribute to the further development of school curriculum, training of teachers etc. by integrating awareness raising and prevention of GBV, VAW and other types of violence into school curriculum. PCC, MaDAD and other CSO´s working within the education sector and in refugee camps should be further involved in the actual implementation by providing continuous support in parents-children counseling, counseling of teachers dealing with violence cases and prevention of VAW. The consultation of the CSO´s for the further development of the Education and Social Protection Strategy is pivotal, from which the M&amp;E Unit of MoWA will benefit too.</w:t>
            </w:r>
            <w:bookmarkStart w:id="0" w:name="_GoBack"/>
            <w:bookmarkEnd w:id="0"/>
          </w:p>
        </w:tc>
      </w:tr>
      <w:tr w:rsidR="00D1198C" w:rsidRPr="00E05D01" w:rsidTr="00891F58">
        <w:tc>
          <w:tcPr>
            <w:tcW w:w="1134" w:type="dxa"/>
          </w:tcPr>
          <w:p w:rsidR="00D1198C" w:rsidRPr="00E05D01" w:rsidRDefault="00D1198C" w:rsidP="00891F58">
            <w:pPr>
              <w:pStyle w:val="NoSpacing"/>
              <w:jc w:val="both"/>
              <w:rPr>
                <w:rFonts w:ascii="Arial" w:hAnsi="Arial"/>
                <w:sz w:val="22"/>
                <w:szCs w:val="22"/>
              </w:rPr>
            </w:pPr>
            <w:r w:rsidRPr="00E05D01">
              <w:rPr>
                <w:rFonts w:ascii="Arial" w:hAnsi="Arial"/>
                <w:sz w:val="22"/>
                <w:szCs w:val="22"/>
              </w:rPr>
              <w:t>MDG 3</w:t>
            </w:r>
          </w:p>
        </w:tc>
        <w:tc>
          <w:tcPr>
            <w:tcW w:w="8040" w:type="dxa"/>
          </w:tcPr>
          <w:p w:rsidR="00D1198C" w:rsidRPr="00E05D01" w:rsidRDefault="00D1198C" w:rsidP="00891F58">
            <w:pPr>
              <w:pStyle w:val="NoSpacing"/>
              <w:jc w:val="both"/>
              <w:rPr>
                <w:rFonts w:ascii="Arial" w:hAnsi="Arial"/>
                <w:sz w:val="22"/>
                <w:szCs w:val="22"/>
              </w:rPr>
            </w:pPr>
            <w:r w:rsidRPr="00E05D01">
              <w:rPr>
                <w:rFonts w:ascii="Arial" w:hAnsi="Arial"/>
                <w:sz w:val="22"/>
                <w:szCs w:val="22"/>
              </w:rPr>
              <w:t xml:space="preserve">As this goal is very holistic and cross cutting, </w:t>
            </w:r>
            <w:r w:rsidRPr="00E05D01">
              <w:rPr>
                <w:rFonts w:ascii="Arial" w:hAnsi="Arial"/>
                <w:b/>
                <w:sz w:val="22"/>
                <w:szCs w:val="22"/>
                <w:u w:val="single"/>
              </w:rPr>
              <w:t>each UN agency should and could contribute to this</w:t>
            </w:r>
            <w:r w:rsidRPr="00E05D01">
              <w:rPr>
                <w:rFonts w:ascii="Arial" w:hAnsi="Arial"/>
                <w:sz w:val="22"/>
                <w:szCs w:val="22"/>
              </w:rPr>
              <w:t xml:space="preserve"> as done under the current JP. However, the </w:t>
            </w:r>
          </w:p>
          <w:p w:rsidR="00D1198C" w:rsidRPr="00E05D01" w:rsidRDefault="00D1198C" w:rsidP="00D1198C">
            <w:pPr>
              <w:pStyle w:val="NoSpacing"/>
              <w:numPr>
                <w:ilvl w:val="0"/>
                <w:numId w:val="3"/>
              </w:numPr>
              <w:jc w:val="both"/>
              <w:rPr>
                <w:rFonts w:ascii="Arial" w:hAnsi="Arial"/>
                <w:sz w:val="22"/>
                <w:szCs w:val="22"/>
              </w:rPr>
            </w:pPr>
            <w:r w:rsidRPr="00E05D01">
              <w:rPr>
                <w:rFonts w:ascii="Arial" w:hAnsi="Arial"/>
                <w:sz w:val="22"/>
                <w:szCs w:val="22"/>
              </w:rPr>
              <w:t>Establishment of a full fledged and standardized national referral system (MoSA, MoH, UNWomen, UNFPA)</w:t>
            </w:r>
          </w:p>
          <w:p w:rsidR="00D1198C" w:rsidRPr="00E05D01" w:rsidRDefault="00D1198C" w:rsidP="00D1198C">
            <w:pPr>
              <w:pStyle w:val="NoSpacing"/>
              <w:numPr>
                <w:ilvl w:val="0"/>
                <w:numId w:val="3"/>
              </w:numPr>
              <w:jc w:val="both"/>
              <w:rPr>
                <w:rFonts w:ascii="Arial" w:hAnsi="Arial"/>
                <w:sz w:val="22"/>
                <w:szCs w:val="22"/>
              </w:rPr>
            </w:pPr>
            <w:r w:rsidRPr="00E05D01">
              <w:rPr>
                <w:rFonts w:ascii="Arial" w:hAnsi="Arial"/>
                <w:sz w:val="22"/>
                <w:szCs w:val="22"/>
              </w:rPr>
              <w:t>Improvement of the legal standing of the Sharia law (personal status law, setting up Gender Units in the court administration, education of female lawyers and judges by interventions of UNDP, UNWomen, BZU, MoJ)</w:t>
            </w:r>
          </w:p>
          <w:p w:rsidR="00D1198C" w:rsidRPr="00E05D01" w:rsidRDefault="00D1198C" w:rsidP="00D1198C">
            <w:pPr>
              <w:pStyle w:val="NoSpacing"/>
              <w:numPr>
                <w:ilvl w:val="0"/>
                <w:numId w:val="3"/>
              </w:numPr>
              <w:jc w:val="both"/>
              <w:rPr>
                <w:rFonts w:ascii="Arial" w:hAnsi="Arial"/>
                <w:sz w:val="22"/>
                <w:szCs w:val="22"/>
              </w:rPr>
            </w:pPr>
            <w:r w:rsidRPr="00E05D01">
              <w:rPr>
                <w:rFonts w:ascii="Arial" w:hAnsi="Arial"/>
                <w:sz w:val="22"/>
                <w:szCs w:val="22"/>
              </w:rPr>
              <w:t>Design of an advocacy campaign targeting more youth male, marginalized groups at the local level (UNFPA, UNRWA and UNESCO)</w:t>
            </w:r>
          </w:p>
          <w:p w:rsidR="00D1198C" w:rsidRPr="00E05D01" w:rsidRDefault="00D1198C" w:rsidP="00D1198C">
            <w:pPr>
              <w:pStyle w:val="NoSpacing"/>
              <w:numPr>
                <w:ilvl w:val="0"/>
                <w:numId w:val="3"/>
              </w:numPr>
              <w:jc w:val="both"/>
              <w:rPr>
                <w:rFonts w:ascii="Arial" w:hAnsi="Arial"/>
                <w:sz w:val="22"/>
                <w:szCs w:val="22"/>
              </w:rPr>
            </w:pPr>
            <w:r w:rsidRPr="00E05D01">
              <w:rPr>
                <w:rFonts w:ascii="Arial" w:hAnsi="Arial"/>
                <w:sz w:val="22"/>
                <w:szCs w:val="22"/>
              </w:rPr>
              <w:t>The fulfillment of NCWE´s role (ILO, UNDP, MoL)</w:t>
            </w:r>
          </w:p>
          <w:p w:rsidR="00D1198C" w:rsidRPr="00E05D01" w:rsidRDefault="00D1198C" w:rsidP="00D1198C">
            <w:pPr>
              <w:pStyle w:val="NoSpacing"/>
              <w:numPr>
                <w:ilvl w:val="0"/>
                <w:numId w:val="3"/>
              </w:numPr>
              <w:jc w:val="both"/>
              <w:rPr>
                <w:rFonts w:ascii="Arial" w:hAnsi="Arial"/>
                <w:sz w:val="22"/>
                <w:szCs w:val="22"/>
              </w:rPr>
            </w:pPr>
            <w:r w:rsidRPr="00E05D01">
              <w:rPr>
                <w:rFonts w:ascii="Arial" w:hAnsi="Arial"/>
                <w:sz w:val="22"/>
                <w:szCs w:val="22"/>
              </w:rPr>
              <w:t>The further support of the Family Protection Units of the Police (UNWomen, UNFPA, UNDP, MoI, MoJ) and</w:t>
            </w:r>
          </w:p>
          <w:p w:rsidR="00D1198C" w:rsidRPr="00E05D01" w:rsidRDefault="00D1198C" w:rsidP="00D1198C">
            <w:pPr>
              <w:pStyle w:val="NoSpacing"/>
              <w:numPr>
                <w:ilvl w:val="0"/>
                <w:numId w:val="3"/>
              </w:numPr>
              <w:jc w:val="both"/>
              <w:rPr>
                <w:rFonts w:ascii="Arial" w:hAnsi="Arial"/>
                <w:sz w:val="22"/>
                <w:szCs w:val="22"/>
              </w:rPr>
            </w:pPr>
            <w:r w:rsidRPr="00E05D01">
              <w:rPr>
                <w:rFonts w:ascii="Arial" w:hAnsi="Arial"/>
                <w:sz w:val="22"/>
                <w:szCs w:val="22"/>
              </w:rPr>
              <w:t>The further revision of laws (election, labor, women representation by ILO, UNWomen, UNDP, MoL, MoJ, MoLG)</w:t>
            </w:r>
          </w:p>
          <w:p w:rsidR="00D1198C" w:rsidRPr="00E05D01" w:rsidRDefault="00D1198C" w:rsidP="00891F58">
            <w:pPr>
              <w:pStyle w:val="NoSpacing"/>
              <w:jc w:val="both"/>
              <w:rPr>
                <w:rFonts w:ascii="Arial" w:hAnsi="Arial"/>
                <w:sz w:val="22"/>
                <w:szCs w:val="22"/>
              </w:rPr>
            </w:pPr>
            <w:proofErr w:type="gramStart"/>
            <w:r w:rsidRPr="00E05D01">
              <w:rPr>
                <w:rFonts w:ascii="Arial" w:hAnsi="Arial"/>
                <w:sz w:val="22"/>
                <w:szCs w:val="22"/>
              </w:rPr>
              <w:t>are</w:t>
            </w:r>
            <w:proofErr w:type="gramEnd"/>
            <w:r w:rsidRPr="00E05D01">
              <w:rPr>
                <w:rFonts w:ascii="Arial" w:hAnsi="Arial"/>
                <w:sz w:val="22"/>
                <w:szCs w:val="22"/>
              </w:rPr>
              <w:t xml:space="preserve"> major interventions that should be addressed in future joint projects which will support the attainment of MDG 3.</w:t>
            </w:r>
          </w:p>
          <w:p w:rsidR="00D1198C" w:rsidRPr="00E05D01" w:rsidRDefault="00D1198C" w:rsidP="00891F58">
            <w:pPr>
              <w:pStyle w:val="NoSpacing"/>
              <w:jc w:val="both"/>
              <w:rPr>
                <w:rFonts w:ascii="Arial" w:hAnsi="Arial"/>
                <w:sz w:val="22"/>
                <w:szCs w:val="22"/>
              </w:rPr>
            </w:pPr>
          </w:p>
        </w:tc>
      </w:tr>
      <w:tr w:rsidR="00D1198C" w:rsidRPr="00E05D01" w:rsidTr="00891F58">
        <w:tc>
          <w:tcPr>
            <w:tcW w:w="1134" w:type="dxa"/>
          </w:tcPr>
          <w:p w:rsidR="00D1198C" w:rsidRPr="00E05D01" w:rsidRDefault="00D1198C" w:rsidP="00891F58">
            <w:pPr>
              <w:pStyle w:val="NoSpacing"/>
              <w:jc w:val="both"/>
              <w:rPr>
                <w:rFonts w:ascii="Arial" w:hAnsi="Arial"/>
                <w:sz w:val="22"/>
                <w:szCs w:val="22"/>
              </w:rPr>
            </w:pPr>
            <w:r w:rsidRPr="00E05D01">
              <w:rPr>
                <w:rFonts w:ascii="Arial" w:hAnsi="Arial"/>
                <w:sz w:val="22"/>
                <w:szCs w:val="22"/>
              </w:rPr>
              <w:t>MDG 4</w:t>
            </w:r>
          </w:p>
        </w:tc>
        <w:tc>
          <w:tcPr>
            <w:tcW w:w="8040" w:type="dxa"/>
          </w:tcPr>
          <w:p w:rsidR="00D1198C" w:rsidRPr="00E05D01" w:rsidRDefault="00D1198C" w:rsidP="00891F58">
            <w:pPr>
              <w:pStyle w:val="NoSpacing"/>
              <w:jc w:val="both"/>
              <w:rPr>
                <w:rFonts w:ascii="Arial" w:hAnsi="Arial"/>
                <w:sz w:val="22"/>
                <w:szCs w:val="22"/>
              </w:rPr>
            </w:pPr>
            <w:r w:rsidRPr="00E05D01">
              <w:rPr>
                <w:rFonts w:ascii="Arial" w:hAnsi="Arial"/>
                <w:sz w:val="22"/>
                <w:szCs w:val="22"/>
              </w:rPr>
              <w:t>The national indicators developed under this goal are very vague, although the causes for infant mortality are plausible. Therefore, this MDG goal should be further elaborated at the national level under the leadership of UNFPA, WHO and UNICEF.</w:t>
            </w:r>
          </w:p>
          <w:p w:rsidR="00D1198C" w:rsidRPr="00E05D01" w:rsidRDefault="00D1198C" w:rsidP="00891F58">
            <w:pPr>
              <w:pStyle w:val="NoSpacing"/>
              <w:jc w:val="both"/>
              <w:rPr>
                <w:rFonts w:ascii="Arial" w:hAnsi="Arial"/>
                <w:sz w:val="22"/>
                <w:szCs w:val="22"/>
              </w:rPr>
            </w:pPr>
          </w:p>
        </w:tc>
      </w:tr>
      <w:tr w:rsidR="00D1198C" w:rsidRPr="00E05D01" w:rsidTr="00891F58">
        <w:tc>
          <w:tcPr>
            <w:tcW w:w="1134" w:type="dxa"/>
          </w:tcPr>
          <w:p w:rsidR="00D1198C" w:rsidRPr="00E05D01" w:rsidRDefault="00D1198C" w:rsidP="00891F58">
            <w:pPr>
              <w:pStyle w:val="NoSpacing"/>
              <w:jc w:val="both"/>
              <w:rPr>
                <w:rFonts w:ascii="Arial" w:hAnsi="Arial"/>
                <w:sz w:val="22"/>
                <w:szCs w:val="22"/>
              </w:rPr>
            </w:pPr>
            <w:r w:rsidRPr="00E05D01">
              <w:rPr>
                <w:rFonts w:ascii="Arial" w:hAnsi="Arial"/>
                <w:sz w:val="22"/>
                <w:szCs w:val="22"/>
              </w:rPr>
              <w:t>MDG 5</w:t>
            </w:r>
          </w:p>
        </w:tc>
        <w:tc>
          <w:tcPr>
            <w:tcW w:w="8040" w:type="dxa"/>
          </w:tcPr>
          <w:p w:rsidR="00D1198C" w:rsidRPr="00E05D01" w:rsidRDefault="00D1198C" w:rsidP="00891F58">
            <w:pPr>
              <w:pStyle w:val="NoSpacing"/>
              <w:jc w:val="both"/>
              <w:rPr>
                <w:rFonts w:ascii="Arial" w:hAnsi="Arial"/>
                <w:sz w:val="22"/>
                <w:szCs w:val="22"/>
              </w:rPr>
            </w:pPr>
            <w:r w:rsidRPr="00E05D01">
              <w:rPr>
                <w:rFonts w:ascii="Arial" w:hAnsi="Arial"/>
                <w:b/>
                <w:sz w:val="22"/>
                <w:szCs w:val="22"/>
                <w:u w:val="single"/>
              </w:rPr>
              <w:t>UNFPA, MoH and MoSA</w:t>
            </w:r>
            <w:r w:rsidRPr="00E05D01">
              <w:rPr>
                <w:rFonts w:ascii="Arial" w:hAnsi="Arial"/>
                <w:sz w:val="22"/>
                <w:szCs w:val="22"/>
              </w:rPr>
              <w:t xml:space="preserve"> should improve the HIS system of the MoH by developing more appropriate indicators on GBV and various types of violence as part of a standardized national referral system. </w:t>
            </w:r>
            <w:r w:rsidRPr="00E05D01">
              <w:rPr>
                <w:rFonts w:ascii="Arial" w:hAnsi="Arial"/>
                <w:sz w:val="22"/>
                <w:szCs w:val="22"/>
                <w:u w:val="single"/>
              </w:rPr>
              <w:t xml:space="preserve">UNRWA </w:t>
            </w:r>
            <w:r w:rsidRPr="00E05D01">
              <w:rPr>
                <w:rFonts w:ascii="Arial" w:hAnsi="Arial"/>
                <w:sz w:val="22"/>
                <w:szCs w:val="22"/>
              </w:rPr>
              <w:t xml:space="preserve">should be involved in this intervention by conducting awareness </w:t>
            </w:r>
            <w:proofErr w:type="gramStart"/>
            <w:r w:rsidRPr="00E05D01">
              <w:rPr>
                <w:rFonts w:ascii="Arial" w:hAnsi="Arial"/>
                <w:sz w:val="22"/>
                <w:szCs w:val="22"/>
              </w:rPr>
              <w:t>raising</w:t>
            </w:r>
            <w:proofErr w:type="gramEnd"/>
            <w:r w:rsidRPr="00E05D01">
              <w:rPr>
                <w:rFonts w:ascii="Arial" w:hAnsi="Arial"/>
                <w:sz w:val="22"/>
                <w:szCs w:val="22"/>
              </w:rPr>
              <w:t xml:space="preserve"> sessions on early dangers of early marriage and sexual education/ safe sex consulting with PCC and SAWA.</w:t>
            </w:r>
          </w:p>
        </w:tc>
      </w:tr>
      <w:tr w:rsidR="00D1198C" w:rsidRPr="00E05D01" w:rsidTr="00891F58">
        <w:tc>
          <w:tcPr>
            <w:tcW w:w="1134" w:type="dxa"/>
          </w:tcPr>
          <w:p w:rsidR="00D1198C" w:rsidRPr="00E05D01" w:rsidRDefault="00D1198C" w:rsidP="00891F58">
            <w:pPr>
              <w:pStyle w:val="NoSpacing"/>
              <w:jc w:val="both"/>
              <w:rPr>
                <w:rFonts w:ascii="Arial" w:hAnsi="Arial"/>
                <w:sz w:val="22"/>
                <w:szCs w:val="22"/>
              </w:rPr>
            </w:pPr>
            <w:r w:rsidRPr="00E05D01">
              <w:rPr>
                <w:rFonts w:ascii="Arial" w:hAnsi="Arial"/>
                <w:sz w:val="22"/>
                <w:szCs w:val="22"/>
              </w:rPr>
              <w:t>MDG 6</w:t>
            </w:r>
          </w:p>
        </w:tc>
        <w:tc>
          <w:tcPr>
            <w:tcW w:w="8040" w:type="dxa"/>
          </w:tcPr>
          <w:p w:rsidR="00D1198C" w:rsidRPr="00E05D01" w:rsidRDefault="00D1198C" w:rsidP="00891F58">
            <w:pPr>
              <w:pStyle w:val="NoSpacing"/>
              <w:jc w:val="both"/>
              <w:rPr>
                <w:rFonts w:ascii="Arial" w:hAnsi="Arial"/>
                <w:sz w:val="22"/>
                <w:szCs w:val="22"/>
              </w:rPr>
            </w:pPr>
            <w:r w:rsidRPr="00E05D01">
              <w:rPr>
                <w:rFonts w:ascii="Arial" w:hAnsi="Arial"/>
                <w:b/>
                <w:sz w:val="22"/>
                <w:szCs w:val="22"/>
                <w:u w:val="single"/>
              </w:rPr>
              <w:t>UNFPA and UNRWA</w:t>
            </w:r>
            <w:r w:rsidRPr="00E05D01">
              <w:rPr>
                <w:rFonts w:ascii="Arial" w:hAnsi="Arial"/>
                <w:sz w:val="22"/>
                <w:szCs w:val="22"/>
              </w:rPr>
              <w:t xml:space="preserve"> should address this goal; even if HIV/AIDS is currently not a serious threat in oPt, by providing awareness </w:t>
            </w:r>
            <w:proofErr w:type="gramStart"/>
            <w:r w:rsidRPr="00E05D01">
              <w:rPr>
                <w:rFonts w:ascii="Arial" w:hAnsi="Arial"/>
                <w:sz w:val="22"/>
                <w:szCs w:val="22"/>
              </w:rPr>
              <w:t>raising</w:t>
            </w:r>
            <w:proofErr w:type="gramEnd"/>
            <w:r w:rsidRPr="00E05D01">
              <w:rPr>
                <w:rFonts w:ascii="Arial" w:hAnsi="Arial"/>
                <w:sz w:val="22"/>
                <w:szCs w:val="22"/>
              </w:rPr>
              <w:t xml:space="preserve"> sessions on sexual education/ safe sex in close alignment with the activities under MDG 5. </w:t>
            </w:r>
          </w:p>
          <w:p w:rsidR="00D1198C" w:rsidRPr="00E05D01" w:rsidRDefault="00D1198C" w:rsidP="00891F58">
            <w:pPr>
              <w:pStyle w:val="NoSpacing"/>
              <w:jc w:val="both"/>
              <w:rPr>
                <w:rFonts w:ascii="Arial" w:hAnsi="Arial"/>
                <w:sz w:val="22"/>
                <w:szCs w:val="22"/>
              </w:rPr>
            </w:pPr>
          </w:p>
        </w:tc>
      </w:tr>
      <w:tr w:rsidR="00D1198C" w:rsidRPr="00E05D01" w:rsidTr="00891F58">
        <w:tc>
          <w:tcPr>
            <w:tcW w:w="1134" w:type="dxa"/>
          </w:tcPr>
          <w:p w:rsidR="00D1198C" w:rsidRPr="00E05D01" w:rsidRDefault="00D1198C" w:rsidP="00891F58">
            <w:pPr>
              <w:pStyle w:val="NoSpacing"/>
              <w:jc w:val="both"/>
              <w:rPr>
                <w:rFonts w:ascii="Arial" w:hAnsi="Arial"/>
                <w:sz w:val="22"/>
                <w:szCs w:val="22"/>
              </w:rPr>
            </w:pPr>
            <w:r w:rsidRPr="00E05D01">
              <w:rPr>
                <w:rFonts w:ascii="Arial" w:hAnsi="Arial"/>
                <w:sz w:val="22"/>
                <w:szCs w:val="22"/>
              </w:rPr>
              <w:t>MDG 7</w:t>
            </w:r>
          </w:p>
        </w:tc>
        <w:tc>
          <w:tcPr>
            <w:tcW w:w="8040" w:type="dxa"/>
          </w:tcPr>
          <w:p w:rsidR="00D1198C" w:rsidRPr="00E05D01" w:rsidRDefault="00D1198C" w:rsidP="00891F58">
            <w:pPr>
              <w:pStyle w:val="NoSpacing"/>
              <w:jc w:val="both"/>
              <w:rPr>
                <w:rFonts w:ascii="Arial" w:hAnsi="Arial"/>
                <w:sz w:val="22"/>
                <w:szCs w:val="22"/>
              </w:rPr>
            </w:pPr>
            <w:r w:rsidRPr="00E05D01">
              <w:rPr>
                <w:rFonts w:ascii="Arial" w:hAnsi="Arial"/>
                <w:sz w:val="22"/>
                <w:szCs w:val="22"/>
              </w:rPr>
              <w:t xml:space="preserve">All UN agencies can contribute to the achievement of this goal by involving ministries such as MoH, Ministry of Agriculture, MoWA, Water Authority and CSO´s to integrate environmental indicators into the programmatic areas. As </w:t>
            </w:r>
            <w:r w:rsidRPr="00E05D01">
              <w:rPr>
                <w:rFonts w:ascii="Arial" w:hAnsi="Arial"/>
                <w:b/>
                <w:sz w:val="22"/>
                <w:szCs w:val="22"/>
                <w:u w:val="single"/>
              </w:rPr>
              <w:t>UNRWA</w:t>
            </w:r>
            <w:r w:rsidRPr="00E05D01">
              <w:rPr>
                <w:rFonts w:ascii="Arial" w:hAnsi="Arial"/>
                <w:sz w:val="22"/>
                <w:szCs w:val="22"/>
              </w:rPr>
              <w:t xml:space="preserve"> covers currently 19 refugee camps, they could initiate and support more projects in this regard, as shown in the case of the refugee camp in Jenin.</w:t>
            </w:r>
          </w:p>
          <w:p w:rsidR="00D1198C" w:rsidRPr="00E05D01" w:rsidRDefault="00D1198C" w:rsidP="00891F58">
            <w:pPr>
              <w:pStyle w:val="NoSpacing"/>
              <w:jc w:val="both"/>
              <w:rPr>
                <w:rFonts w:ascii="Arial" w:hAnsi="Arial"/>
                <w:sz w:val="22"/>
                <w:szCs w:val="22"/>
              </w:rPr>
            </w:pPr>
          </w:p>
        </w:tc>
      </w:tr>
      <w:tr w:rsidR="00D1198C" w:rsidRPr="00E05D01" w:rsidTr="00891F58">
        <w:tc>
          <w:tcPr>
            <w:tcW w:w="1134" w:type="dxa"/>
          </w:tcPr>
          <w:p w:rsidR="00D1198C" w:rsidRPr="00E05D01" w:rsidRDefault="00D1198C" w:rsidP="00891F58">
            <w:pPr>
              <w:pStyle w:val="NoSpacing"/>
              <w:jc w:val="both"/>
              <w:rPr>
                <w:rFonts w:ascii="Arial" w:hAnsi="Arial"/>
                <w:sz w:val="22"/>
                <w:szCs w:val="22"/>
              </w:rPr>
            </w:pPr>
            <w:r w:rsidRPr="00E05D01">
              <w:rPr>
                <w:rFonts w:ascii="Arial" w:hAnsi="Arial"/>
                <w:sz w:val="22"/>
                <w:szCs w:val="22"/>
              </w:rPr>
              <w:t>MDG 8</w:t>
            </w:r>
          </w:p>
        </w:tc>
        <w:tc>
          <w:tcPr>
            <w:tcW w:w="8040" w:type="dxa"/>
          </w:tcPr>
          <w:p w:rsidR="00D1198C" w:rsidRPr="00E05D01" w:rsidRDefault="00D1198C" w:rsidP="00891F58">
            <w:pPr>
              <w:pStyle w:val="NoSpacing"/>
              <w:jc w:val="both"/>
              <w:rPr>
                <w:rFonts w:ascii="Arial" w:hAnsi="Arial"/>
                <w:sz w:val="22"/>
                <w:szCs w:val="22"/>
              </w:rPr>
            </w:pPr>
            <w:r w:rsidRPr="00E05D01">
              <w:rPr>
                <w:rFonts w:ascii="Arial" w:hAnsi="Arial"/>
                <w:b/>
                <w:sz w:val="22"/>
                <w:szCs w:val="22"/>
                <w:u w:val="single"/>
              </w:rPr>
              <w:t>UNWomen</w:t>
            </w:r>
            <w:r w:rsidRPr="00E05D01">
              <w:rPr>
                <w:rFonts w:ascii="Arial" w:hAnsi="Arial"/>
                <w:sz w:val="22"/>
                <w:szCs w:val="22"/>
              </w:rPr>
              <w:t xml:space="preserve">, MoWA, PCBS, </w:t>
            </w:r>
            <w:r w:rsidRPr="00E05D01">
              <w:rPr>
                <w:rFonts w:ascii="Arial" w:hAnsi="Arial"/>
                <w:b/>
                <w:sz w:val="22"/>
                <w:szCs w:val="22"/>
                <w:u w:val="single"/>
              </w:rPr>
              <w:t>UNDP</w:t>
            </w:r>
            <w:r w:rsidRPr="00E05D01">
              <w:rPr>
                <w:rFonts w:ascii="Arial" w:hAnsi="Arial"/>
                <w:sz w:val="22"/>
                <w:szCs w:val="22"/>
              </w:rPr>
              <w:t xml:space="preserve"> and MoPAD should contribute to this by upgrading the M&amp;E Unit within MoWA, reviewing and modification of all sectoral strategies (2011-2013) from a gender perspective and the further support of the DARP system to improve oPt´s contribution to the Paris Declaration on Aid Effectiveness Principles and the UN reform process in the wider sense.</w:t>
            </w:r>
          </w:p>
        </w:tc>
      </w:tr>
    </w:tbl>
    <w:p w:rsidR="00D1198C" w:rsidRDefault="00D1198C" w:rsidP="00D1198C">
      <w:pPr>
        <w:jc w:val="both"/>
        <w:rPr>
          <w:rFonts w:ascii="Arial" w:hAnsi="Arial"/>
        </w:rPr>
      </w:pPr>
    </w:p>
    <w:p w:rsidR="00D1198C" w:rsidRDefault="00D1198C" w:rsidP="00D1198C">
      <w:pPr>
        <w:jc w:val="both"/>
        <w:rPr>
          <w:rFonts w:ascii="Arial" w:hAnsi="Arial"/>
        </w:rPr>
      </w:pPr>
    </w:p>
    <w:p w:rsidR="00D1198C" w:rsidRDefault="00D1198C" w:rsidP="00D1198C">
      <w:pPr>
        <w:jc w:val="both"/>
        <w:rPr>
          <w:rFonts w:ascii="Arial" w:hAnsi="Arial"/>
        </w:rPr>
      </w:pPr>
    </w:p>
    <w:p w:rsidR="00D1198C" w:rsidRDefault="00D1198C" w:rsidP="00D1198C">
      <w:pPr>
        <w:jc w:val="both"/>
        <w:rPr>
          <w:rFonts w:ascii="Arial" w:hAnsi="Arial"/>
        </w:rPr>
      </w:pPr>
    </w:p>
    <w:p w:rsidR="009D44B7" w:rsidRDefault="009D44B7"/>
    <w:sectPr w:rsidR="009D44B7" w:rsidSect="009D44B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2B78"/>
    <w:multiLevelType w:val="hybridMultilevel"/>
    <w:tmpl w:val="17D83A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D529D9"/>
    <w:multiLevelType w:val="hybridMultilevel"/>
    <w:tmpl w:val="3A564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234EA2"/>
    <w:multiLevelType w:val="hybridMultilevel"/>
    <w:tmpl w:val="EFC630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8C"/>
    <w:rsid w:val="009D44B7"/>
    <w:rsid w:val="00D11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E8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8C"/>
    <w:rPr>
      <w:rFonts w:ascii="Cambria" w:eastAsia="MS Mincho" w:hAnsi="Cambria" w:cs="Courier New"/>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98C"/>
    <w:rPr>
      <w:rFonts w:ascii="Cambria" w:eastAsia="MS Mincho" w:hAnsi="Cambria" w:cs="Courier New"/>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8C"/>
    <w:rPr>
      <w:rFonts w:ascii="Cambria" w:eastAsia="MS Mincho" w:hAnsi="Cambria" w:cs="Courier New"/>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98C"/>
    <w:rPr>
      <w:rFonts w:ascii="Cambria" w:eastAsia="MS Mincho" w:hAnsi="Cambria"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11695</Characters>
  <Application>Microsoft Macintosh Word</Application>
  <DocSecurity>0</DocSecurity>
  <Lines>167</Lines>
  <Paragraphs>28</Paragraphs>
  <ScaleCrop>false</ScaleCrop>
  <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Al-Hammal</dc:creator>
  <cp:keywords/>
  <dc:description/>
  <cp:lastModifiedBy>Ahmad Al-Hammal</cp:lastModifiedBy>
  <cp:revision>1</cp:revision>
  <dcterms:created xsi:type="dcterms:W3CDTF">2013-01-14T21:48:00Z</dcterms:created>
  <dcterms:modified xsi:type="dcterms:W3CDTF">2013-01-14T21:48:00Z</dcterms:modified>
</cp:coreProperties>
</file>