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D6" w:rsidRPr="00EC33C8" w:rsidRDefault="00882CD6" w:rsidP="00882CD6">
      <w:pPr>
        <w:pStyle w:val="NoSpacing"/>
        <w:jc w:val="both"/>
        <w:rPr>
          <w:rFonts w:ascii="Arial" w:hAnsi="Arial"/>
          <w:u w:val="single"/>
        </w:rPr>
      </w:pPr>
      <w:r w:rsidRPr="00EC33C8">
        <w:rPr>
          <w:rFonts w:ascii="Arial" w:hAnsi="Arial"/>
        </w:rPr>
        <w:t xml:space="preserve">VII. </w:t>
      </w:r>
      <w:r w:rsidRPr="00EC33C8">
        <w:rPr>
          <w:rFonts w:ascii="Arial" w:hAnsi="Arial"/>
          <w:u w:val="single"/>
        </w:rPr>
        <w:t>Best Practices/ Success stories</w:t>
      </w:r>
    </w:p>
    <w:p w:rsidR="00882CD6" w:rsidRPr="00EC33C8" w:rsidRDefault="00882CD6" w:rsidP="00882CD6">
      <w:pPr>
        <w:pStyle w:val="NoSpacing"/>
        <w:jc w:val="both"/>
        <w:rPr>
          <w:rFonts w:ascii="Arial" w:hAnsi="Arial"/>
          <w:u w:val="single"/>
        </w:rPr>
      </w:pPr>
    </w:p>
    <w:p w:rsidR="00882CD6" w:rsidRPr="00EC33C8" w:rsidRDefault="00882CD6" w:rsidP="00882CD6">
      <w:pPr>
        <w:pStyle w:val="NoSpacing"/>
        <w:jc w:val="both"/>
        <w:rPr>
          <w:rFonts w:ascii="Arial" w:hAnsi="Arial"/>
        </w:rPr>
      </w:pPr>
      <w:r w:rsidRPr="00EC33C8">
        <w:rPr>
          <w:rFonts w:ascii="Arial" w:hAnsi="Arial"/>
        </w:rPr>
        <w:t>Success stories and best practices have been visible across all outputs and outcome levels, although they have been more visible at the nationa</w:t>
      </w:r>
      <w:r>
        <w:rPr>
          <w:rFonts w:ascii="Arial" w:hAnsi="Arial"/>
        </w:rPr>
        <w:t>l than the local level, despite the fact that</w:t>
      </w:r>
      <w:r w:rsidRPr="00EC33C8">
        <w:rPr>
          <w:rFonts w:ascii="Arial" w:hAnsi="Arial"/>
        </w:rPr>
        <w:t xml:space="preserve"> the needs to address GBV, VAW, increase of women representation and equal access to women to the labor market were more important at the local level.</w:t>
      </w:r>
    </w:p>
    <w:p w:rsidR="00882CD6" w:rsidRPr="00EC33C8" w:rsidRDefault="00882CD6" w:rsidP="00882CD6">
      <w:pPr>
        <w:pStyle w:val="NoSpacing"/>
        <w:jc w:val="both"/>
        <w:rPr>
          <w:rFonts w:ascii="Arial" w:hAnsi="Arial"/>
        </w:rPr>
      </w:pPr>
      <w:r w:rsidRPr="00EC33C8">
        <w:rPr>
          <w:rFonts w:ascii="Arial" w:hAnsi="Arial"/>
        </w:rPr>
        <w:t>Based on the findings, the JP initiated a change on GEWE issues through the following best practices/ success stories:</w:t>
      </w:r>
    </w:p>
    <w:p w:rsidR="00882CD6" w:rsidRPr="00EC33C8" w:rsidRDefault="00882CD6" w:rsidP="00882CD6">
      <w:pPr>
        <w:pStyle w:val="NoSpacing"/>
        <w:jc w:val="both"/>
        <w:rPr>
          <w:rFonts w:ascii="Arial" w:hAnsi="Arial"/>
        </w:rPr>
      </w:pPr>
    </w:p>
    <w:p w:rsidR="00882CD6" w:rsidRDefault="00882CD6" w:rsidP="00882CD6">
      <w:pPr>
        <w:numPr>
          <w:ilvl w:val="0"/>
          <w:numId w:val="1"/>
        </w:numPr>
        <w:contextualSpacing/>
        <w:jc w:val="both"/>
        <w:rPr>
          <w:rFonts w:ascii="Arial" w:hAnsi="Arial"/>
        </w:rPr>
      </w:pPr>
      <w:r w:rsidRPr="00D42F7C">
        <w:rPr>
          <w:rFonts w:ascii="Arial" w:hAnsi="Arial"/>
        </w:rPr>
        <w:t xml:space="preserve">Through the development and endorsement of the </w:t>
      </w:r>
      <w:r w:rsidRPr="00410AE2">
        <w:rPr>
          <w:rFonts w:ascii="Arial" w:hAnsi="Arial"/>
          <w:i/>
        </w:rPr>
        <w:t>Violence Against Women</w:t>
      </w:r>
      <w:r>
        <w:rPr>
          <w:rFonts w:ascii="Arial" w:hAnsi="Arial"/>
          <w:i/>
        </w:rPr>
        <w:t xml:space="preserve"> (VAW)</w:t>
      </w:r>
      <w:r w:rsidRPr="00410AE2">
        <w:rPr>
          <w:rFonts w:ascii="Arial" w:hAnsi="Arial"/>
          <w:i/>
        </w:rPr>
        <w:t xml:space="preserve"> Strategy</w:t>
      </w:r>
      <w:r w:rsidRPr="00D42F7C">
        <w:rPr>
          <w:rFonts w:ascii="Arial" w:hAnsi="Arial"/>
        </w:rPr>
        <w:t>, which was enacted in January 2011 by the Minister</w:t>
      </w:r>
      <w:r>
        <w:rPr>
          <w:rFonts w:ascii="Arial" w:hAnsi="Arial"/>
        </w:rPr>
        <w:t xml:space="preserve">s Cabinet, </w:t>
      </w:r>
    </w:p>
    <w:p w:rsidR="00882CD6" w:rsidRDefault="00882CD6" w:rsidP="00882CD6">
      <w:pPr>
        <w:jc w:val="both"/>
        <w:rPr>
          <w:rFonts w:ascii="Arial" w:hAnsi="Arial"/>
        </w:rPr>
      </w:pPr>
    </w:p>
    <w:p w:rsidR="00882CD6" w:rsidRDefault="00882CD6" w:rsidP="00882CD6">
      <w:pPr>
        <w:numPr>
          <w:ilvl w:val="0"/>
          <w:numId w:val="1"/>
        </w:numPr>
        <w:contextualSpacing/>
        <w:jc w:val="both"/>
        <w:rPr>
          <w:rFonts w:ascii="Arial" w:hAnsi="Arial"/>
        </w:rPr>
      </w:pPr>
      <w:r>
        <w:rPr>
          <w:rFonts w:ascii="Arial" w:hAnsi="Arial"/>
        </w:rPr>
        <w:t xml:space="preserve">The </w:t>
      </w:r>
      <w:r w:rsidRPr="00410AE2">
        <w:rPr>
          <w:rFonts w:ascii="Arial" w:hAnsi="Arial"/>
          <w:i/>
        </w:rPr>
        <w:t>implementation of the VAW Strategy through the line ministries</w:t>
      </w:r>
      <w:r>
        <w:rPr>
          <w:rFonts w:ascii="Arial" w:hAnsi="Arial"/>
        </w:rPr>
        <w:t xml:space="preserve"> by developing action plans, </w:t>
      </w:r>
    </w:p>
    <w:p w:rsidR="00882CD6" w:rsidRPr="00AF2D75" w:rsidRDefault="00882CD6" w:rsidP="00882CD6">
      <w:pPr>
        <w:jc w:val="both"/>
        <w:rPr>
          <w:rFonts w:ascii="Arial" w:hAnsi="Arial"/>
        </w:rPr>
      </w:pPr>
    </w:p>
    <w:p w:rsidR="00882CD6" w:rsidRDefault="00882CD6" w:rsidP="00882CD6">
      <w:pPr>
        <w:numPr>
          <w:ilvl w:val="0"/>
          <w:numId w:val="1"/>
        </w:numPr>
        <w:contextualSpacing/>
        <w:jc w:val="both"/>
        <w:rPr>
          <w:rFonts w:ascii="Arial" w:hAnsi="Arial"/>
        </w:rPr>
      </w:pPr>
      <w:r>
        <w:rPr>
          <w:rFonts w:ascii="Arial" w:hAnsi="Arial"/>
        </w:rPr>
        <w:t xml:space="preserve">In support of the above, the </w:t>
      </w:r>
      <w:r w:rsidRPr="00410AE2">
        <w:rPr>
          <w:rFonts w:ascii="Arial" w:hAnsi="Arial"/>
          <w:i/>
        </w:rPr>
        <w:t>draft</w:t>
      </w:r>
      <w:r>
        <w:rPr>
          <w:rFonts w:ascii="Arial" w:hAnsi="Arial"/>
          <w:i/>
        </w:rPr>
        <w:t xml:space="preserve"> of the Cross- </w:t>
      </w:r>
      <w:proofErr w:type="spellStart"/>
      <w:r>
        <w:rPr>
          <w:rFonts w:ascii="Arial" w:hAnsi="Arial"/>
          <w:i/>
        </w:rPr>
        <w:t>Sector</w:t>
      </w:r>
      <w:r w:rsidRPr="00410AE2">
        <w:rPr>
          <w:rFonts w:ascii="Arial" w:hAnsi="Arial"/>
          <w:i/>
        </w:rPr>
        <w:t>al</w:t>
      </w:r>
      <w:proofErr w:type="spellEnd"/>
      <w:r w:rsidRPr="00410AE2">
        <w:rPr>
          <w:rFonts w:ascii="Arial" w:hAnsi="Arial"/>
          <w:i/>
        </w:rPr>
        <w:t xml:space="preserve"> National Strategy on Gender</w:t>
      </w:r>
      <w:r>
        <w:rPr>
          <w:rFonts w:ascii="Arial" w:hAnsi="Arial"/>
          <w:i/>
        </w:rPr>
        <w:t xml:space="preserve"> (CSNSG) 2011-2013</w:t>
      </w:r>
      <w:r>
        <w:rPr>
          <w:rFonts w:ascii="Arial" w:hAnsi="Arial"/>
        </w:rPr>
        <w:t xml:space="preserve">, the very first in its kind advocating to mainstream gender across all sectors in </w:t>
      </w:r>
      <w:proofErr w:type="spellStart"/>
      <w:r>
        <w:rPr>
          <w:rFonts w:ascii="Arial" w:hAnsi="Arial"/>
        </w:rPr>
        <w:t>oPt</w:t>
      </w:r>
      <w:proofErr w:type="spellEnd"/>
      <w:r>
        <w:rPr>
          <w:rFonts w:ascii="Arial" w:hAnsi="Arial"/>
        </w:rPr>
        <w:t>,</w:t>
      </w:r>
    </w:p>
    <w:p w:rsidR="00882CD6" w:rsidRPr="00D9164A" w:rsidRDefault="00882CD6" w:rsidP="00882CD6">
      <w:pPr>
        <w:jc w:val="both"/>
        <w:rPr>
          <w:rFonts w:ascii="Arial" w:hAnsi="Arial"/>
        </w:rPr>
      </w:pPr>
    </w:p>
    <w:p w:rsidR="00882CD6" w:rsidRDefault="00882CD6" w:rsidP="00882CD6">
      <w:pPr>
        <w:numPr>
          <w:ilvl w:val="0"/>
          <w:numId w:val="1"/>
        </w:numPr>
        <w:contextualSpacing/>
        <w:jc w:val="both"/>
        <w:rPr>
          <w:rFonts w:ascii="Arial" w:hAnsi="Arial"/>
        </w:rPr>
      </w:pPr>
      <w:r>
        <w:rPr>
          <w:rFonts w:ascii="Arial" w:hAnsi="Arial"/>
        </w:rPr>
        <w:t xml:space="preserve">The development of the </w:t>
      </w:r>
      <w:r w:rsidRPr="002A4FF7">
        <w:rPr>
          <w:rFonts w:ascii="Arial" w:hAnsi="Arial"/>
          <w:i/>
        </w:rPr>
        <w:t>Media and Advocacy Strategy</w:t>
      </w:r>
      <w:r>
        <w:rPr>
          <w:rFonts w:ascii="Arial" w:hAnsi="Arial"/>
        </w:rPr>
        <w:t xml:space="preserve"> on GEWE issues for the very first time in </w:t>
      </w:r>
      <w:proofErr w:type="spellStart"/>
      <w:r>
        <w:rPr>
          <w:rFonts w:ascii="Arial" w:hAnsi="Arial"/>
        </w:rPr>
        <w:t>oPt</w:t>
      </w:r>
      <w:proofErr w:type="spellEnd"/>
      <w:r>
        <w:rPr>
          <w:rFonts w:ascii="Arial" w:hAnsi="Arial"/>
        </w:rPr>
        <w:t>,</w:t>
      </w:r>
    </w:p>
    <w:p w:rsidR="00882CD6" w:rsidRPr="00AF2D75" w:rsidRDefault="00882CD6" w:rsidP="00882CD6">
      <w:pPr>
        <w:jc w:val="both"/>
        <w:rPr>
          <w:rFonts w:ascii="Arial" w:hAnsi="Arial"/>
        </w:rPr>
      </w:pPr>
    </w:p>
    <w:p w:rsidR="00882CD6" w:rsidRDefault="00882CD6" w:rsidP="00882CD6">
      <w:pPr>
        <w:numPr>
          <w:ilvl w:val="0"/>
          <w:numId w:val="1"/>
        </w:numPr>
        <w:contextualSpacing/>
        <w:jc w:val="both"/>
        <w:rPr>
          <w:rFonts w:ascii="Arial" w:hAnsi="Arial"/>
        </w:rPr>
      </w:pPr>
      <w:r>
        <w:rPr>
          <w:rFonts w:ascii="Arial" w:hAnsi="Arial"/>
        </w:rPr>
        <w:t xml:space="preserve">The </w:t>
      </w:r>
      <w:r w:rsidRPr="00410AE2">
        <w:rPr>
          <w:rFonts w:ascii="Arial" w:hAnsi="Arial"/>
          <w:i/>
        </w:rPr>
        <w:t>institutionalization of the national Gender Machinery towards the end of th</w:t>
      </w:r>
      <w:r>
        <w:rPr>
          <w:rFonts w:ascii="Arial" w:hAnsi="Arial"/>
          <w:i/>
        </w:rPr>
        <w:t>e JP by means of establishing a</w:t>
      </w:r>
      <w:r w:rsidRPr="00410AE2">
        <w:rPr>
          <w:rFonts w:ascii="Arial" w:hAnsi="Arial"/>
          <w:i/>
        </w:rPr>
        <w:t xml:space="preserve"> M</w:t>
      </w:r>
      <w:r>
        <w:rPr>
          <w:rFonts w:ascii="Arial" w:hAnsi="Arial"/>
          <w:i/>
        </w:rPr>
        <w:t xml:space="preserve">onitoring </w:t>
      </w:r>
      <w:r w:rsidRPr="00410AE2">
        <w:rPr>
          <w:rFonts w:ascii="Arial" w:hAnsi="Arial"/>
          <w:i/>
        </w:rPr>
        <w:t>&amp;</w:t>
      </w:r>
      <w:r>
        <w:rPr>
          <w:rFonts w:ascii="Arial" w:hAnsi="Arial"/>
          <w:i/>
        </w:rPr>
        <w:t xml:space="preserve"> </w:t>
      </w:r>
      <w:r w:rsidRPr="00410AE2">
        <w:rPr>
          <w:rFonts w:ascii="Arial" w:hAnsi="Arial"/>
          <w:i/>
        </w:rPr>
        <w:t>E</w:t>
      </w:r>
      <w:r>
        <w:rPr>
          <w:rFonts w:ascii="Arial" w:hAnsi="Arial"/>
          <w:i/>
        </w:rPr>
        <w:t>valuation (M&amp;E)</w:t>
      </w:r>
      <w:r w:rsidRPr="00410AE2">
        <w:rPr>
          <w:rFonts w:ascii="Arial" w:hAnsi="Arial"/>
          <w:i/>
        </w:rPr>
        <w:t xml:space="preserve"> Unit within the Ministry of Women Affairs</w:t>
      </w:r>
      <w:r>
        <w:rPr>
          <w:rFonts w:ascii="Arial" w:hAnsi="Arial"/>
          <w:i/>
        </w:rPr>
        <w:t xml:space="preserve"> (</w:t>
      </w:r>
      <w:proofErr w:type="spellStart"/>
      <w:r>
        <w:rPr>
          <w:rFonts w:ascii="Arial" w:hAnsi="Arial"/>
          <w:i/>
        </w:rPr>
        <w:t>MoWA</w:t>
      </w:r>
      <w:proofErr w:type="spellEnd"/>
      <w:r>
        <w:rPr>
          <w:rFonts w:ascii="Arial" w:hAnsi="Arial"/>
          <w:i/>
        </w:rPr>
        <w:t>)</w:t>
      </w:r>
      <w:r>
        <w:rPr>
          <w:rFonts w:ascii="Arial" w:hAnsi="Arial"/>
        </w:rPr>
        <w:t>, being in charge of developing and monitoring national gender indicators in close cooperation with the Palestinian Central Bureau of Statistics (PCBS) and the Development Assistance and Reform Platform (DARP) of the Ministry of Planning and Administrative Development (</w:t>
      </w:r>
      <w:proofErr w:type="spellStart"/>
      <w:r>
        <w:rPr>
          <w:rFonts w:ascii="Arial" w:hAnsi="Arial"/>
        </w:rPr>
        <w:t>MoPAD</w:t>
      </w:r>
      <w:proofErr w:type="spellEnd"/>
      <w:r>
        <w:rPr>
          <w:rFonts w:ascii="Arial" w:hAnsi="Arial"/>
        </w:rPr>
        <w:t>), whereby gender mainstreaming can be initiated through a three tier process: by linking the national level with that of the sub-national and local (</w:t>
      </w:r>
      <w:proofErr w:type="spellStart"/>
      <w:r>
        <w:rPr>
          <w:rFonts w:ascii="Arial" w:hAnsi="Arial"/>
        </w:rPr>
        <w:t>tawassol</w:t>
      </w:r>
      <w:proofErr w:type="spellEnd"/>
      <w:r>
        <w:rPr>
          <w:rFonts w:ascii="Arial" w:hAnsi="Arial"/>
        </w:rPr>
        <w:t xml:space="preserve">) and vice versa, </w:t>
      </w:r>
    </w:p>
    <w:p w:rsidR="00882CD6" w:rsidRPr="00607EA4" w:rsidRDefault="00882CD6" w:rsidP="00882CD6">
      <w:pPr>
        <w:jc w:val="both"/>
        <w:rPr>
          <w:rFonts w:ascii="Arial" w:hAnsi="Arial"/>
        </w:rPr>
      </w:pPr>
    </w:p>
    <w:p w:rsidR="00882CD6" w:rsidRDefault="00882CD6" w:rsidP="00882CD6">
      <w:pPr>
        <w:numPr>
          <w:ilvl w:val="0"/>
          <w:numId w:val="1"/>
        </w:numPr>
        <w:contextualSpacing/>
        <w:jc w:val="both"/>
        <w:rPr>
          <w:rFonts w:ascii="Arial" w:hAnsi="Arial"/>
        </w:rPr>
      </w:pPr>
      <w:r>
        <w:rPr>
          <w:rFonts w:ascii="Arial" w:hAnsi="Arial"/>
        </w:rPr>
        <w:t xml:space="preserve">The </w:t>
      </w:r>
      <w:r w:rsidRPr="00F0065E">
        <w:rPr>
          <w:rFonts w:ascii="Arial" w:hAnsi="Arial"/>
          <w:i/>
        </w:rPr>
        <w:t>publication of the most gender sensitive “violence survey</w:t>
      </w:r>
      <w:r>
        <w:rPr>
          <w:rFonts w:ascii="Arial" w:hAnsi="Arial"/>
        </w:rPr>
        <w:t>”, the PCBS has ever published through capacity development interventions by the JP, hence enabling policy-makers to address violence cases in a much more targeted and comprehensive way,</w:t>
      </w:r>
    </w:p>
    <w:p w:rsidR="00882CD6" w:rsidRDefault="00882CD6" w:rsidP="00882CD6">
      <w:pPr>
        <w:jc w:val="both"/>
        <w:rPr>
          <w:rFonts w:ascii="Arial" w:hAnsi="Arial"/>
        </w:rPr>
      </w:pPr>
    </w:p>
    <w:p w:rsidR="00882CD6" w:rsidRDefault="00882CD6" w:rsidP="00882CD6">
      <w:pPr>
        <w:numPr>
          <w:ilvl w:val="0"/>
          <w:numId w:val="1"/>
        </w:numPr>
        <w:contextualSpacing/>
        <w:jc w:val="both"/>
        <w:rPr>
          <w:rFonts w:ascii="Arial" w:hAnsi="Arial"/>
        </w:rPr>
      </w:pPr>
      <w:r w:rsidRPr="00652238">
        <w:rPr>
          <w:rFonts w:ascii="Arial" w:hAnsi="Arial"/>
        </w:rPr>
        <w:t xml:space="preserve">The </w:t>
      </w:r>
      <w:r w:rsidRPr="00652238">
        <w:rPr>
          <w:rFonts w:ascii="Arial" w:hAnsi="Arial"/>
          <w:i/>
        </w:rPr>
        <w:t>development of guidelines for Family Protection Units of the Police</w:t>
      </w:r>
      <w:r w:rsidRPr="00652238">
        <w:rPr>
          <w:rFonts w:ascii="Arial" w:hAnsi="Arial"/>
        </w:rPr>
        <w:t>, the curricula to eliminate VAW in schools and the one for lawyers, judges and prosecutors on how to deal with cases of VAW, which</w:t>
      </w:r>
      <w:r>
        <w:rPr>
          <w:rFonts w:ascii="Arial" w:hAnsi="Arial"/>
        </w:rPr>
        <w:t xml:space="preserve"> were institutionalized within</w:t>
      </w:r>
      <w:r w:rsidRPr="00652238">
        <w:rPr>
          <w:rFonts w:ascii="Arial" w:hAnsi="Arial"/>
        </w:rPr>
        <w:t xml:space="preserve"> the relevant departments.</w:t>
      </w:r>
    </w:p>
    <w:p w:rsidR="00882CD6" w:rsidRPr="00713401" w:rsidRDefault="00882CD6" w:rsidP="00882CD6">
      <w:pPr>
        <w:jc w:val="both"/>
        <w:rPr>
          <w:rFonts w:ascii="Arial" w:hAnsi="Arial"/>
        </w:rPr>
      </w:pPr>
    </w:p>
    <w:p w:rsidR="00882CD6" w:rsidRPr="00713401" w:rsidRDefault="00882CD6" w:rsidP="00882CD6">
      <w:pPr>
        <w:numPr>
          <w:ilvl w:val="0"/>
          <w:numId w:val="1"/>
        </w:numPr>
        <w:contextualSpacing/>
        <w:jc w:val="both"/>
        <w:rPr>
          <w:rFonts w:ascii="Arial" w:hAnsi="Arial"/>
        </w:rPr>
      </w:pPr>
      <w:r w:rsidRPr="00713401">
        <w:rPr>
          <w:rFonts w:ascii="Arial" w:hAnsi="Arial"/>
        </w:rPr>
        <w:t xml:space="preserve">The establishment of the </w:t>
      </w:r>
      <w:r w:rsidRPr="007F7326">
        <w:rPr>
          <w:rFonts w:ascii="Arial" w:hAnsi="Arial"/>
          <w:i/>
        </w:rPr>
        <w:t>National Committee on Women´s Employment</w:t>
      </w:r>
      <w:r w:rsidRPr="00713401">
        <w:rPr>
          <w:rFonts w:ascii="Arial" w:hAnsi="Arial"/>
        </w:rPr>
        <w:t xml:space="preserve"> (NCWE) as an advisory body to the Minister of Labor</w:t>
      </w:r>
      <w:r>
        <w:rPr>
          <w:rFonts w:ascii="Arial" w:hAnsi="Arial"/>
        </w:rPr>
        <w:t>.</w:t>
      </w:r>
      <w:r w:rsidRPr="00713401">
        <w:rPr>
          <w:rFonts w:ascii="Arial" w:hAnsi="Arial"/>
        </w:rPr>
        <w:t xml:space="preserve"> </w:t>
      </w:r>
      <w:r>
        <w:rPr>
          <w:rFonts w:ascii="Arial" w:hAnsi="Arial"/>
        </w:rPr>
        <w:t>The NCWE was endorses by the Cabinet of Ministers and is</w:t>
      </w:r>
      <w:r w:rsidRPr="00713401">
        <w:rPr>
          <w:rFonts w:ascii="Arial" w:hAnsi="Arial"/>
        </w:rPr>
        <w:t xml:space="preserve"> comprising of</w:t>
      </w:r>
      <w:r>
        <w:rPr>
          <w:rFonts w:ascii="Arial" w:hAnsi="Arial"/>
        </w:rPr>
        <w:t xml:space="preserve"> the</w:t>
      </w:r>
      <w:r w:rsidRPr="00713401">
        <w:rPr>
          <w:rFonts w:ascii="Arial" w:hAnsi="Arial"/>
        </w:rPr>
        <w:t xml:space="preserve"> M</w:t>
      </w:r>
      <w:r>
        <w:rPr>
          <w:rFonts w:ascii="Arial" w:hAnsi="Arial"/>
        </w:rPr>
        <w:t>inistry of Labor (</w:t>
      </w:r>
      <w:proofErr w:type="spellStart"/>
      <w:r>
        <w:rPr>
          <w:rFonts w:ascii="Arial" w:hAnsi="Arial"/>
        </w:rPr>
        <w:t>MoL</w:t>
      </w:r>
      <w:proofErr w:type="spellEnd"/>
      <w:r>
        <w:rPr>
          <w:rFonts w:ascii="Arial" w:hAnsi="Arial"/>
        </w:rPr>
        <w:t>)</w:t>
      </w:r>
      <w:r w:rsidRPr="00713401">
        <w:rPr>
          <w:rFonts w:ascii="Arial" w:hAnsi="Arial"/>
        </w:rPr>
        <w:t>, M</w:t>
      </w:r>
      <w:r>
        <w:rPr>
          <w:rFonts w:ascii="Arial" w:hAnsi="Arial"/>
        </w:rPr>
        <w:t>inistry of Women´s Affairs (</w:t>
      </w:r>
      <w:proofErr w:type="spellStart"/>
      <w:r>
        <w:rPr>
          <w:rFonts w:ascii="Arial" w:hAnsi="Arial"/>
        </w:rPr>
        <w:t>Mo</w:t>
      </w:r>
      <w:r w:rsidRPr="00713401">
        <w:rPr>
          <w:rFonts w:ascii="Arial" w:hAnsi="Arial"/>
        </w:rPr>
        <w:t>WA</w:t>
      </w:r>
      <w:proofErr w:type="spellEnd"/>
      <w:r>
        <w:rPr>
          <w:rFonts w:ascii="Arial" w:hAnsi="Arial"/>
        </w:rPr>
        <w:t>)</w:t>
      </w:r>
      <w:r w:rsidRPr="00713401">
        <w:rPr>
          <w:rFonts w:ascii="Arial" w:hAnsi="Arial"/>
        </w:rPr>
        <w:t>, P</w:t>
      </w:r>
      <w:r>
        <w:rPr>
          <w:rFonts w:ascii="Arial" w:hAnsi="Arial"/>
        </w:rPr>
        <w:t xml:space="preserve">alestinian </w:t>
      </w:r>
      <w:r w:rsidRPr="00713401">
        <w:rPr>
          <w:rFonts w:ascii="Arial" w:hAnsi="Arial"/>
        </w:rPr>
        <w:t>G</w:t>
      </w:r>
      <w:r>
        <w:rPr>
          <w:rFonts w:ascii="Arial" w:hAnsi="Arial"/>
        </w:rPr>
        <w:t xml:space="preserve">eneral </w:t>
      </w:r>
      <w:r w:rsidRPr="00713401">
        <w:rPr>
          <w:rFonts w:ascii="Arial" w:hAnsi="Arial"/>
        </w:rPr>
        <w:t>F</w:t>
      </w:r>
      <w:r>
        <w:rPr>
          <w:rFonts w:ascii="Arial" w:hAnsi="Arial"/>
        </w:rPr>
        <w:t xml:space="preserve">ederation of </w:t>
      </w:r>
      <w:r w:rsidRPr="00713401">
        <w:rPr>
          <w:rFonts w:ascii="Arial" w:hAnsi="Arial"/>
        </w:rPr>
        <w:t>T</w:t>
      </w:r>
      <w:r>
        <w:rPr>
          <w:rFonts w:ascii="Arial" w:hAnsi="Arial"/>
        </w:rPr>
        <w:t xml:space="preserve">rade </w:t>
      </w:r>
      <w:r w:rsidRPr="00713401">
        <w:rPr>
          <w:rFonts w:ascii="Arial" w:hAnsi="Arial"/>
        </w:rPr>
        <w:t>U</w:t>
      </w:r>
      <w:r>
        <w:rPr>
          <w:rFonts w:ascii="Arial" w:hAnsi="Arial"/>
        </w:rPr>
        <w:t>nions (PGFTU)</w:t>
      </w:r>
      <w:r w:rsidRPr="00713401">
        <w:rPr>
          <w:rFonts w:ascii="Arial" w:hAnsi="Arial"/>
        </w:rPr>
        <w:t xml:space="preserve">, </w:t>
      </w:r>
      <w:r w:rsidRPr="00713401">
        <w:rPr>
          <w:rFonts w:ascii="Arial" w:hAnsi="Arial"/>
        </w:rPr>
        <w:lastRenderedPageBreak/>
        <w:t>Developme</w:t>
      </w:r>
      <w:r>
        <w:rPr>
          <w:rFonts w:ascii="Arial" w:hAnsi="Arial"/>
        </w:rPr>
        <w:t xml:space="preserve">nt Center of </w:t>
      </w:r>
      <w:proofErr w:type="spellStart"/>
      <w:r>
        <w:rPr>
          <w:rFonts w:ascii="Arial" w:hAnsi="Arial"/>
        </w:rPr>
        <w:t>Birzeit</w:t>
      </w:r>
      <w:proofErr w:type="spellEnd"/>
      <w:r>
        <w:rPr>
          <w:rFonts w:ascii="Arial" w:hAnsi="Arial"/>
        </w:rPr>
        <w:t xml:space="preserve"> University and the</w:t>
      </w:r>
      <w:r w:rsidRPr="00713401">
        <w:rPr>
          <w:rFonts w:ascii="Arial" w:hAnsi="Arial"/>
        </w:rPr>
        <w:t xml:space="preserve"> Center for Democracy and Women´s Rights. It´s mandate is to advocate for gender sensitive policies, legislations, capacity building interventions, social safety net for women workers and a healthy work environment. </w:t>
      </w:r>
    </w:p>
    <w:p w:rsidR="00882CD6" w:rsidRPr="00713401" w:rsidRDefault="00882CD6" w:rsidP="00882CD6">
      <w:pPr>
        <w:jc w:val="both"/>
        <w:rPr>
          <w:rFonts w:ascii="Arial" w:hAnsi="Arial"/>
        </w:rPr>
      </w:pPr>
    </w:p>
    <w:p w:rsidR="00882CD6" w:rsidRDefault="00882CD6" w:rsidP="00882CD6">
      <w:pPr>
        <w:numPr>
          <w:ilvl w:val="0"/>
          <w:numId w:val="1"/>
        </w:numPr>
        <w:contextualSpacing/>
        <w:jc w:val="both"/>
        <w:rPr>
          <w:rFonts w:ascii="Arial" w:hAnsi="Arial"/>
        </w:rPr>
      </w:pPr>
      <w:r w:rsidRPr="00C87BC9">
        <w:rPr>
          <w:rFonts w:ascii="Arial" w:hAnsi="Arial"/>
          <w:i/>
        </w:rPr>
        <w:t>The JP</w:t>
      </w:r>
      <w:r>
        <w:rPr>
          <w:rFonts w:ascii="Arial" w:hAnsi="Arial"/>
          <w:i/>
        </w:rPr>
        <w:t xml:space="preserve"> allowed UN agencies </w:t>
      </w:r>
      <w:r w:rsidRPr="00C87BC9">
        <w:rPr>
          <w:rFonts w:ascii="Arial" w:hAnsi="Arial"/>
          <w:i/>
        </w:rPr>
        <w:t xml:space="preserve">to </w:t>
      </w:r>
      <w:r>
        <w:rPr>
          <w:rFonts w:ascii="Arial" w:hAnsi="Arial"/>
          <w:i/>
        </w:rPr>
        <w:t>develop more holistic interventions in</w:t>
      </w:r>
      <w:r w:rsidRPr="00C87BC9">
        <w:rPr>
          <w:rFonts w:ascii="Arial" w:hAnsi="Arial"/>
          <w:i/>
        </w:rPr>
        <w:t xml:space="preserve"> t</w:t>
      </w:r>
      <w:r>
        <w:rPr>
          <w:rFonts w:ascii="Arial" w:hAnsi="Arial"/>
          <w:i/>
        </w:rPr>
        <w:t xml:space="preserve">he </w:t>
      </w:r>
      <w:r w:rsidRPr="00C87BC9">
        <w:rPr>
          <w:rFonts w:ascii="Arial" w:hAnsi="Arial"/>
          <w:i/>
        </w:rPr>
        <w:t>field of GBV, VAW and GEWE</w:t>
      </w:r>
      <w:r>
        <w:rPr>
          <w:rFonts w:ascii="Arial" w:hAnsi="Arial"/>
          <w:i/>
        </w:rPr>
        <w:t xml:space="preserve">. </w:t>
      </w:r>
      <w:r w:rsidRPr="00C87BC9">
        <w:rPr>
          <w:rFonts w:ascii="Arial" w:hAnsi="Arial"/>
          <w:i/>
        </w:rPr>
        <w:t>It also increased the organizations’ technical expertise to mainstream gender within their programmatic areas</w:t>
      </w:r>
      <w:r>
        <w:rPr>
          <w:rFonts w:ascii="Arial" w:hAnsi="Arial"/>
          <w:i/>
        </w:rPr>
        <w:t xml:space="preserve">. </w:t>
      </w:r>
      <w:r>
        <w:rPr>
          <w:rFonts w:ascii="Arial" w:hAnsi="Arial"/>
        </w:rPr>
        <w:t xml:space="preserve">UNRWA, for instance, </w:t>
      </w:r>
      <w:r w:rsidRPr="00C87BC9">
        <w:rPr>
          <w:rFonts w:ascii="Arial" w:hAnsi="Arial"/>
        </w:rPr>
        <w:t>adopted GEWE, GBV and VAW</w:t>
      </w:r>
      <w:r>
        <w:rPr>
          <w:rFonts w:ascii="Arial" w:hAnsi="Arial"/>
        </w:rPr>
        <w:t xml:space="preserve"> within its programmatic areas </w:t>
      </w:r>
      <w:r w:rsidRPr="00C87BC9">
        <w:rPr>
          <w:rFonts w:ascii="Arial" w:hAnsi="Arial"/>
        </w:rPr>
        <w:t xml:space="preserve">for the very first time in </w:t>
      </w:r>
      <w:proofErr w:type="spellStart"/>
      <w:r w:rsidRPr="00C87BC9">
        <w:rPr>
          <w:rFonts w:ascii="Arial" w:hAnsi="Arial"/>
        </w:rPr>
        <w:t>oPt</w:t>
      </w:r>
      <w:proofErr w:type="spellEnd"/>
      <w:r w:rsidRPr="00C87BC9">
        <w:rPr>
          <w:rFonts w:ascii="Arial" w:hAnsi="Arial"/>
        </w:rPr>
        <w:t>, rightly so, as violence cases are more prevalent in the refugee camps, one finding the latest violence survey came up with.</w:t>
      </w:r>
    </w:p>
    <w:p w:rsidR="00882CD6" w:rsidRPr="0038697A" w:rsidRDefault="00882CD6" w:rsidP="00882CD6">
      <w:pPr>
        <w:jc w:val="both"/>
        <w:rPr>
          <w:rFonts w:ascii="Arial" w:hAnsi="Arial"/>
        </w:rPr>
      </w:pPr>
    </w:p>
    <w:p w:rsidR="00882CD6" w:rsidRDefault="00882CD6" w:rsidP="00882CD6">
      <w:pPr>
        <w:numPr>
          <w:ilvl w:val="0"/>
          <w:numId w:val="1"/>
        </w:numPr>
        <w:contextualSpacing/>
        <w:jc w:val="both"/>
        <w:rPr>
          <w:rFonts w:ascii="Arial" w:hAnsi="Arial"/>
        </w:rPr>
      </w:pPr>
      <w:r w:rsidRPr="0038697A">
        <w:rPr>
          <w:rFonts w:ascii="Arial" w:hAnsi="Arial"/>
          <w:i/>
          <w:u w:val="single"/>
        </w:rPr>
        <w:t>The outreach of the JP went beyond the contribution to MDG 1 and MDG 3</w:t>
      </w:r>
      <w:r w:rsidRPr="0038697A">
        <w:rPr>
          <w:rFonts w:ascii="Arial" w:hAnsi="Arial"/>
        </w:rPr>
        <w:t xml:space="preserve">; in fact it contributed to 6 out of 8 MDGs at the micro, </w:t>
      </w:r>
      <w:proofErr w:type="spellStart"/>
      <w:r w:rsidRPr="0038697A">
        <w:rPr>
          <w:rFonts w:ascii="Arial" w:hAnsi="Arial"/>
        </w:rPr>
        <w:t>meso</w:t>
      </w:r>
      <w:proofErr w:type="spellEnd"/>
      <w:r w:rsidRPr="0038697A">
        <w:rPr>
          <w:rFonts w:ascii="Arial" w:hAnsi="Arial"/>
        </w:rPr>
        <w:t xml:space="preserve"> and macro level, thus making the JP a success story.</w:t>
      </w:r>
    </w:p>
    <w:p w:rsidR="00882CD6" w:rsidRPr="0038697A" w:rsidRDefault="00882CD6" w:rsidP="00882CD6">
      <w:pPr>
        <w:jc w:val="both"/>
        <w:rPr>
          <w:rFonts w:ascii="Arial" w:hAnsi="Arial"/>
        </w:rPr>
      </w:pPr>
    </w:p>
    <w:p w:rsidR="00882CD6" w:rsidRPr="0038697A" w:rsidRDefault="00882CD6" w:rsidP="00882CD6">
      <w:pPr>
        <w:numPr>
          <w:ilvl w:val="0"/>
          <w:numId w:val="1"/>
        </w:numPr>
        <w:contextualSpacing/>
        <w:jc w:val="both"/>
        <w:rPr>
          <w:rFonts w:ascii="Arial" w:hAnsi="Arial"/>
        </w:rPr>
      </w:pPr>
      <w:r w:rsidRPr="0038697A">
        <w:rPr>
          <w:rFonts w:ascii="Arial" w:hAnsi="Arial"/>
          <w:i/>
          <w:u w:val="single"/>
        </w:rPr>
        <w:t xml:space="preserve">The contribution of the JP via </w:t>
      </w:r>
      <w:proofErr w:type="spellStart"/>
      <w:r w:rsidRPr="0038697A">
        <w:rPr>
          <w:rFonts w:ascii="Arial" w:hAnsi="Arial"/>
          <w:i/>
          <w:u w:val="single"/>
        </w:rPr>
        <w:t>MoPAD</w:t>
      </w:r>
      <w:proofErr w:type="spellEnd"/>
      <w:r w:rsidRPr="0038697A">
        <w:rPr>
          <w:rFonts w:ascii="Arial" w:hAnsi="Arial"/>
          <w:i/>
          <w:u w:val="single"/>
        </w:rPr>
        <w:t xml:space="preserve"> to support the Paris Declaration on Aid Effectiveness is rated as medium</w:t>
      </w:r>
      <w:r w:rsidRPr="0038697A">
        <w:rPr>
          <w:rFonts w:ascii="Arial" w:hAnsi="Arial"/>
        </w:rPr>
        <w:t xml:space="preserve">, although </w:t>
      </w:r>
      <w:proofErr w:type="spellStart"/>
      <w:r w:rsidRPr="0038697A">
        <w:rPr>
          <w:rFonts w:ascii="Arial" w:hAnsi="Arial"/>
        </w:rPr>
        <w:t>oPt</w:t>
      </w:r>
      <w:proofErr w:type="spellEnd"/>
      <w:r w:rsidRPr="0038697A">
        <w:rPr>
          <w:rFonts w:ascii="Arial" w:hAnsi="Arial"/>
        </w:rPr>
        <w:t xml:space="preserve"> has been involved in the Paris Declaration Monitoring Survey for the very first time only two years ago. This is an average result.</w:t>
      </w:r>
    </w:p>
    <w:p w:rsidR="009D44B7" w:rsidRDefault="009D44B7">
      <w:bookmarkStart w:id="0" w:name="_GoBack"/>
      <w:bookmarkEnd w:id="0"/>
    </w:p>
    <w:sectPr w:rsidR="009D44B7" w:rsidSect="009D44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29D9"/>
    <w:multiLevelType w:val="hybridMultilevel"/>
    <w:tmpl w:val="3A564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D6"/>
    <w:rsid w:val="00882CD6"/>
    <w:rsid w:val="009D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E8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D6"/>
    <w:rPr>
      <w:rFonts w:ascii="Cambria" w:eastAsia="MS Mincho" w:hAnsi="Cambria" w:cs="Courier New"/>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CD6"/>
    <w:rPr>
      <w:rFonts w:ascii="Cambria" w:eastAsia="MS Mincho" w:hAnsi="Cambria" w:cs="Courier New"/>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D6"/>
    <w:rPr>
      <w:rFonts w:ascii="Cambria" w:eastAsia="MS Mincho" w:hAnsi="Cambria" w:cs="Courier New"/>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CD6"/>
    <w:rPr>
      <w:rFonts w:ascii="Cambria" w:eastAsia="MS Mincho" w:hAnsi="Cambria"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3119</Characters>
  <Application>Microsoft Macintosh Word</Application>
  <DocSecurity>0</DocSecurity>
  <Lines>44</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Al-Hammal</dc:creator>
  <cp:keywords/>
  <dc:description/>
  <cp:lastModifiedBy>Ahmad Al-Hammal</cp:lastModifiedBy>
  <cp:revision>1</cp:revision>
  <dcterms:created xsi:type="dcterms:W3CDTF">2013-01-14T21:51:00Z</dcterms:created>
  <dcterms:modified xsi:type="dcterms:W3CDTF">2013-01-14T21:52:00Z</dcterms:modified>
</cp:coreProperties>
</file>