
<file path=[Content_Types].xml><?xml version="1.0" encoding="utf-8"?>
<Types xmlns="http://schemas.openxmlformats.org/package/2006/content-types">
  <Override PartName="/word/comments.xml" ContentType="application/vnd.openxmlformats-officedocument.wordprocessingml.comment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57F6" w:rsidRPr="00451408" w:rsidRDefault="008157F6" w:rsidP="008157F6">
      <w:pPr>
        <w:pStyle w:val="Heading1"/>
        <w:ind w:left="0"/>
        <w:rPr>
          <w:rFonts w:asciiTheme="minorHAnsi" w:hAnsiTheme="minorHAnsi"/>
          <w:b w:val="0"/>
          <w:color w:val="auto"/>
          <w:sz w:val="22"/>
          <w:szCs w:val="22"/>
          <w:lang w:val="en-US"/>
        </w:rPr>
      </w:pPr>
      <w:bookmarkStart w:id="0" w:name="_Toc346214447"/>
      <w:r w:rsidRPr="00451408">
        <w:rPr>
          <w:rFonts w:asciiTheme="minorHAnsi" w:hAnsiTheme="minorHAnsi"/>
          <w:color w:val="auto"/>
          <w:sz w:val="22"/>
          <w:szCs w:val="22"/>
          <w:lang w:val="en-US"/>
        </w:rPr>
        <w:t>Executive Summary</w:t>
      </w:r>
      <w:bookmarkEnd w:id="0"/>
      <w:r w:rsidRPr="00451408">
        <w:rPr>
          <w:rFonts w:asciiTheme="minorHAnsi" w:hAnsiTheme="minorHAnsi"/>
          <w:color w:val="auto"/>
          <w:sz w:val="22"/>
          <w:szCs w:val="22"/>
          <w:lang w:val="en-US"/>
        </w:rPr>
        <w:t xml:space="preserve"> </w:t>
      </w:r>
    </w:p>
    <w:p w:rsidR="008157F6" w:rsidRDefault="008157F6" w:rsidP="008157F6">
      <w:pPr>
        <w:spacing w:after="120"/>
        <w:ind w:left="0" w:right="0"/>
      </w:pPr>
      <w:r w:rsidRPr="00845B3B">
        <w:t>The project “Building Capacity and Mainstreaming Sustainable Land Management in Seychelles” has been successful in raising awareness of SLM</w:t>
      </w:r>
      <w:r>
        <w:t xml:space="preserve"> (sustainable land management)</w:t>
      </w:r>
      <w:r w:rsidRPr="00845B3B">
        <w:t xml:space="preserve"> across key sectors in Seychelles, increasing capacity in a range of relevant skills and catalysing reviews / updating of laws and policies to mainstream SLM </w:t>
      </w:r>
      <w:r w:rsidRPr="00845B3B">
        <w:rPr>
          <w:i/>
        </w:rPr>
        <w:t>inter alia</w:t>
      </w:r>
      <w:r w:rsidRPr="00845B3B">
        <w:t xml:space="preserve"> in agriculture, forestry, national parks. </w:t>
      </w:r>
      <w:r>
        <w:t xml:space="preserve">Preparation of a National Action Plan for SLM and an Integrated Financing Strategy by the project should further ensure mainstreaming and assure funding. </w:t>
      </w:r>
      <w:r w:rsidRPr="00845B3B">
        <w:t>Project activities supporting development of a new soils testing laboratory, developing an SLM module</w:t>
      </w:r>
      <w:r>
        <w:t xml:space="preserve"> for</w:t>
      </w:r>
      <w:r w:rsidRPr="00845B3B">
        <w:t xml:space="preserve"> training student</w:t>
      </w:r>
      <w:r>
        <w:t xml:space="preserve"> farmers</w:t>
      </w:r>
      <w:r w:rsidRPr="00845B3B">
        <w:t xml:space="preserve"> and an in-service course for farmers, involving staff of the University of Seychelles, also developing capacity in TRASS to offer services to land owners to restore burned land / involve community groups, means that the project will bring long term benefits.</w:t>
      </w:r>
      <w:r>
        <w:t xml:space="preserve"> </w:t>
      </w:r>
    </w:p>
    <w:p w:rsidR="008157F6" w:rsidRPr="00451408" w:rsidRDefault="008157F6" w:rsidP="008157F6">
      <w:pPr>
        <w:spacing w:after="120"/>
        <w:ind w:left="0" w:right="0"/>
        <w:rPr>
          <w:b/>
          <w:lang w:val="en-US"/>
        </w:rPr>
      </w:pPr>
    </w:p>
    <w:p w:rsidR="008157F6" w:rsidRPr="00451408" w:rsidRDefault="008157F6" w:rsidP="008157F6">
      <w:pPr>
        <w:pStyle w:val="Heading1"/>
        <w:spacing w:before="0" w:after="120"/>
        <w:ind w:left="0" w:right="0"/>
        <w:rPr>
          <w:rFonts w:asciiTheme="minorHAnsi" w:hAnsiTheme="minorHAnsi"/>
          <w:color w:val="auto"/>
          <w:sz w:val="22"/>
          <w:szCs w:val="22"/>
          <w:lang w:val="en-US"/>
        </w:rPr>
      </w:pPr>
      <w:bookmarkStart w:id="1" w:name="_Toc346214448"/>
      <w:r w:rsidRPr="00451408">
        <w:rPr>
          <w:rFonts w:asciiTheme="minorHAnsi" w:hAnsiTheme="minorHAnsi"/>
          <w:color w:val="auto"/>
          <w:sz w:val="22"/>
          <w:szCs w:val="22"/>
          <w:lang w:val="en-US"/>
        </w:rPr>
        <w:t>Project Summary Table</w:t>
      </w:r>
      <w:bookmarkEnd w:id="1"/>
      <w:r w:rsidRPr="00451408">
        <w:rPr>
          <w:rFonts w:asciiTheme="minorHAnsi" w:hAnsiTheme="minorHAnsi"/>
          <w:color w:val="auto"/>
          <w:sz w:val="22"/>
          <w:szCs w:val="22"/>
          <w:lang w:val="en-US"/>
        </w:rPr>
        <w:t xml:space="preserve"> </w:t>
      </w:r>
    </w:p>
    <w:tbl>
      <w:tblPr>
        <w:tblStyle w:val="TableGrid"/>
        <w:tblW w:w="0" w:type="auto"/>
        <w:tblLook w:val="04A0"/>
      </w:tblPr>
      <w:tblGrid>
        <w:gridCol w:w="1752"/>
        <w:gridCol w:w="2038"/>
        <w:gridCol w:w="1939"/>
        <w:gridCol w:w="1722"/>
        <w:gridCol w:w="2125"/>
      </w:tblGrid>
      <w:tr w:rsidR="008157F6" w:rsidRPr="00451408" w:rsidTr="00C54B93">
        <w:tc>
          <w:tcPr>
            <w:tcW w:w="0" w:type="auto"/>
            <w:shd w:val="clear" w:color="auto" w:fill="BFBFBF" w:themeFill="background1" w:themeFillShade="BF"/>
          </w:tcPr>
          <w:p w:rsidR="008157F6" w:rsidRPr="00451408" w:rsidRDefault="008157F6" w:rsidP="00C54B93">
            <w:pPr>
              <w:pStyle w:val="Default"/>
              <w:jc w:val="center"/>
              <w:rPr>
                <w:rFonts w:asciiTheme="minorHAnsi" w:hAnsiTheme="minorHAnsi"/>
                <w:b/>
                <w:sz w:val="20"/>
                <w:szCs w:val="20"/>
              </w:rPr>
            </w:pPr>
            <w:r w:rsidRPr="00451408">
              <w:rPr>
                <w:rFonts w:asciiTheme="minorHAnsi" w:hAnsiTheme="minorHAnsi"/>
                <w:b/>
                <w:sz w:val="20"/>
                <w:szCs w:val="20"/>
              </w:rPr>
              <w:t>Project Title</w:t>
            </w:r>
          </w:p>
        </w:tc>
        <w:tc>
          <w:tcPr>
            <w:tcW w:w="0" w:type="auto"/>
            <w:gridSpan w:val="4"/>
            <w:shd w:val="clear" w:color="auto" w:fill="BFBFBF" w:themeFill="background1" w:themeFillShade="BF"/>
          </w:tcPr>
          <w:p w:rsidR="008157F6" w:rsidRPr="00451408" w:rsidRDefault="008157F6" w:rsidP="00C54B93">
            <w:pPr>
              <w:pStyle w:val="Default"/>
              <w:jc w:val="center"/>
              <w:rPr>
                <w:rFonts w:asciiTheme="minorHAnsi" w:hAnsiTheme="minorHAnsi"/>
                <w:b/>
                <w:sz w:val="20"/>
                <w:szCs w:val="20"/>
              </w:rPr>
            </w:pPr>
            <w:r w:rsidRPr="00451408">
              <w:rPr>
                <w:rFonts w:asciiTheme="minorHAnsi" w:hAnsiTheme="minorHAnsi"/>
                <w:b/>
                <w:bCs/>
                <w:sz w:val="20"/>
                <w:szCs w:val="20"/>
              </w:rPr>
              <w:t>Capacity Building for Sustainable Land Management in Seychelles</w:t>
            </w:r>
          </w:p>
        </w:tc>
      </w:tr>
      <w:tr w:rsidR="008157F6" w:rsidRPr="00451408" w:rsidTr="00C54B93">
        <w:tc>
          <w:tcPr>
            <w:tcW w:w="0" w:type="auto"/>
          </w:tcPr>
          <w:p w:rsidR="008157F6" w:rsidRPr="00451408" w:rsidRDefault="008157F6" w:rsidP="00C54B93">
            <w:pPr>
              <w:pStyle w:val="Default"/>
              <w:rPr>
                <w:rFonts w:asciiTheme="minorHAnsi" w:hAnsiTheme="minorHAnsi"/>
                <w:sz w:val="20"/>
                <w:szCs w:val="20"/>
              </w:rPr>
            </w:pPr>
          </w:p>
          <w:p w:rsidR="008157F6" w:rsidRPr="00451408" w:rsidRDefault="008157F6" w:rsidP="00C54B93">
            <w:pPr>
              <w:pStyle w:val="Default"/>
              <w:rPr>
                <w:rFonts w:asciiTheme="minorHAnsi" w:hAnsiTheme="minorHAnsi"/>
                <w:sz w:val="20"/>
                <w:szCs w:val="20"/>
              </w:rPr>
            </w:pPr>
            <w:r w:rsidRPr="00451408">
              <w:rPr>
                <w:rFonts w:asciiTheme="minorHAnsi" w:hAnsiTheme="minorHAnsi"/>
                <w:sz w:val="20"/>
                <w:szCs w:val="20"/>
              </w:rPr>
              <w:t>GEF Project ID:</w:t>
            </w:r>
          </w:p>
        </w:tc>
        <w:tc>
          <w:tcPr>
            <w:tcW w:w="0" w:type="auto"/>
          </w:tcPr>
          <w:tbl>
            <w:tblPr>
              <w:tblW w:w="0" w:type="auto"/>
              <w:tblBorders>
                <w:top w:val="nil"/>
                <w:left w:val="nil"/>
                <w:bottom w:val="nil"/>
                <w:right w:val="nil"/>
              </w:tblBorders>
              <w:tblLook w:val="0000"/>
            </w:tblPr>
            <w:tblGrid>
              <w:gridCol w:w="222"/>
              <w:gridCol w:w="222"/>
            </w:tblGrid>
            <w:tr w:rsidR="008157F6" w:rsidRPr="00451408" w:rsidTr="00C54B93">
              <w:trPr>
                <w:trHeight w:val="199"/>
              </w:trPr>
              <w:tc>
                <w:tcPr>
                  <w:tcW w:w="0" w:type="auto"/>
                </w:tcPr>
                <w:p w:rsidR="008157F6" w:rsidRPr="00451408" w:rsidRDefault="008157F6" w:rsidP="00C54B93">
                  <w:pPr>
                    <w:pStyle w:val="Default"/>
                    <w:rPr>
                      <w:rFonts w:asciiTheme="minorHAnsi" w:hAnsiTheme="minorHAnsi"/>
                      <w:sz w:val="20"/>
                      <w:szCs w:val="20"/>
                    </w:rPr>
                  </w:pPr>
                  <w:r w:rsidRPr="00451408">
                    <w:rPr>
                      <w:rFonts w:asciiTheme="minorHAnsi" w:hAnsiTheme="minorHAnsi"/>
                      <w:sz w:val="20"/>
                      <w:szCs w:val="20"/>
                    </w:rPr>
                    <w:t xml:space="preserve"> </w:t>
                  </w:r>
                </w:p>
              </w:tc>
              <w:tc>
                <w:tcPr>
                  <w:tcW w:w="0" w:type="auto"/>
                </w:tcPr>
                <w:p w:rsidR="008157F6" w:rsidRPr="00451408" w:rsidRDefault="008157F6" w:rsidP="00C54B93">
                  <w:pPr>
                    <w:pStyle w:val="Default"/>
                    <w:rPr>
                      <w:rFonts w:asciiTheme="minorHAnsi" w:hAnsiTheme="minorHAnsi"/>
                      <w:sz w:val="20"/>
                      <w:szCs w:val="20"/>
                    </w:rPr>
                  </w:pPr>
                </w:p>
              </w:tc>
            </w:tr>
          </w:tbl>
          <w:p w:rsidR="008157F6" w:rsidRPr="00451408" w:rsidRDefault="008157F6" w:rsidP="00C54B93">
            <w:pPr>
              <w:ind w:left="0" w:right="0"/>
              <w:jc w:val="left"/>
              <w:rPr>
                <w:sz w:val="20"/>
                <w:szCs w:val="20"/>
              </w:rPr>
            </w:pPr>
            <w:r>
              <w:rPr>
                <w:sz w:val="20"/>
                <w:szCs w:val="20"/>
              </w:rPr>
              <w:t xml:space="preserve"> PMIS 3360</w:t>
            </w:r>
          </w:p>
        </w:tc>
        <w:tc>
          <w:tcPr>
            <w:tcW w:w="0" w:type="auto"/>
          </w:tcPr>
          <w:p w:rsidR="008157F6" w:rsidRPr="00451408" w:rsidRDefault="008157F6" w:rsidP="00C54B93">
            <w:pPr>
              <w:ind w:left="0" w:right="0"/>
              <w:jc w:val="left"/>
              <w:rPr>
                <w:sz w:val="20"/>
                <w:szCs w:val="20"/>
              </w:rPr>
            </w:pPr>
          </w:p>
        </w:tc>
        <w:tc>
          <w:tcPr>
            <w:tcW w:w="0" w:type="auto"/>
          </w:tcPr>
          <w:p w:rsidR="008157F6" w:rsidRPr="00451408" w:rsidRDefault="008157F6" w:rsidP="00C54B93">
            <w:pPr>
              <w:ind w:left="0" w:right="0"/>
              <w:jc w:val="left"/>
              <w:rPr>
                <w:sz w:val="20"/>
                <w:szCs w:val="20"/>
              </w:rPr>
            </w:pPr>
            <w:r w:rsidRPr="00451408">
              <w:rPr>
                <w:i/>
                <w:iCs/>
                <w:sz w:val="20"/>
                <w:szCs w:val="20"/>
              </w:rPr>
              <w:t>at endorsement (US$)</w:t>
            </w:r>
          </w:p>
        </w:tc>
        <w:tc>
          <w:tcPr>
            <w:tcW w:w="0" w:type="auto"/>
          </w:tcPr>
          <w:p w:rsidR="008157F6" w:rsidRPr="00451408" w:rsidRDefault="008157F6" w:rsidP="00C54B93">
            <w:pPr>
              <w:pStyle w:val="Default"/>
              <w:rPr>
                <w:rFonts w:asciiTheme="minorHAnsi" w:hAnsiTheme="minorHAnsi"/>
                <w:sz w:val="20"/>
                <w:szCs w:val="20"/>
              </w:rPr>
            </w:pPr>
            <w:r w:rsidRPr="00451408">
              <w:rPr>
                <w:rFonts w:asciiTheme="minorHAnsi" w:hAnsiTheme="minorHAnsi"/>
                <w:i/>
                <w:iCs/>
                <w:sz w:val="20"/>
                <w:szCs w:val="20"/>
              </w:rPr>
              <w:t xml:space="preserve">at completion (US$) </w:t>
            </w:r>
          </w:p>
          <w:p w:rsidR="008157F6" w:rsidRPr="00451408" w:rsidRDefault="008157F6" w:rsidP="00C54B93">
            <w:pPr>
              <w:ind w:left="0" w:right="0"/>
              <w:jc w:val="left"/>
              <w:rPr>
                <w:sz w:val="20"/>
                <w:szCs w:val="20"/>
              </w:rPr>
            </w:pPr>
          </w:p>
        </w:tc>
      </w:tr>
      <w:tr w:rsidR="008157F6" w:rsidRPr="00451408" w:rsidTr="00C54B93">
        <w:tc>
          <w:tcPr>
            <w:tcW w:w="0" w:type="auto"/>
          </w:tcPr>
          <w:p w:rsidR="008157F6" w:rsidRPr="00451408" w:rsidRDefault="008157F6" w:rsidP="00C54B93">
            <w:pPr>
              <w:pStyle w:val="Default"/>
              <w:rPr>
                <w:rFonts w:asciiTheme="minorHAnsi" w:hAnsiTheme="minorHAnsi"/>
                <w:sz w:val="20"/>
                <w:szCs w:val="20"/>
              </w:rPr>
            </w:pPr>
            <w:r w:rsidRPr="00451408">
              <w:rPr>
                <w:rFonts w:asciiTheme="minorHAnsi" w:hAnsiTheme="minorHAnsi"/>
                <w:sz w:val="20"/>
                <w:szCs w:val="20"/>
              </w:rPr>
              <w:t>UNDP Project ID:</w:t>
            </w:r>
          </w:p>
        </w:tc>
        <w:tc>
          <w:tcPr>
            <w:tcW w:w="0" w:type="auto"/>
          </w:tcPr>
          <w:tbl>
            <w:tblPr>
              <w:tblW w:w="0" w:type="auto"/>
              <w:tblBorders>
                <w:top w:val="nil"/>
                <w:left w:val="nil"/>
                <w:bottom w:val="nil"/>
                <w:right w:val="nil"/>
              </w:tblBorders>
              <w:tblLook w:val="0000"/>
            </w:tblPr>
            <w:tblGrid>
              <w:gridCol w:w="222"/>
              <w:gridCol w:w="1600"/>
            </w:tblGrid>
            <w:tr w:rsidR="008157F6" w:rsidRPr="00451408" w:rsidTr="00C54B93">
              <w:trPr>
                <w:trHeight w:val="90"/>
              </w:trPr>
              <w:tc>
                <w:tcPr>
                  <w:tcW w:w="0" w:type="auto"/>
                </w:tcPr>
                <w:p w:rsidR="008157F6" w:rsidRPr="00451408" w:rsidRDefault="008157F6" w:rsidP="00C54B93">
                  <w:pPr>
                    <w:pStyle w:val="Default"/>
                    <w:rPr>
                      <w:rFonts w:asciiTheme="minorHAnsi" w:hAnsiTheme="minorHAnsi"/>
                      <w:sz w:val="20"/>
                      <w:szCs w:val="20"/>
                    </w:rPr>
                  </w:pPr>
                </w:p>
              </w:tc>
              <w:tc>
                <w:tcPr>
                  <w:tcW w:w="0" w:type="auto"/>
                </w:tcPr>
                <w:p w:rsidR="008157F6" w:rsidRPr="00451408" w:rsidRDefault="008157F6" w:rsidP="00C54B93">
                  <w:pPr>
                    <w:pStyle w:val="Default"/>
                    <w:rPr>
                      <w:rFonts w:asciiTheme="minorHAnsi" w:hAnsiTheme="minorHAnsi"/>
                      <w:sz w:val="20"/>
                      <w:szCs w:val="20"/>
                    </w:rPr>
                  </w:pPr>
                  <w:r w:rsidRPr="00451408">
                    <w:rPr>
                      <w:rFonts w:asciiTheme="minorHAnsi" w:hAnsiTheme="minorHAnsi"/>
                      <w:sz w:val="20"/>
                      <w:szCs w:val="20"/>
                    </w:rPr>
                    <w:t>00048158</w:t>
                  </w:r>
                  <w:r>
                    <w:rPr>
                      <w:rFonts w:asciiTheme="minorHAnsi" w:hAnsiTheme="minorHAnsi"/>
                      <w:sz w:val="20"/>
                      <w:szCs w:val="20"/>
                    </w:rPr>
                    <w:t xml:space="preserve"> (PIMS 3390)</w:t>
                  </w:r>
                </w:p>
              </w:tc>
            </w:tr>
          </w:tbl>
          <w:p w:rsidR="008157F6" w:rsidRPr="00451408" w:rsidRDefault="008157F6" w:rsidP="00C54B93">
            <w:pPr>
              <w:ind w:left="0" w:right="0"/>
              <w:jc w:val="left"/>
              <w:rPr>
                <w:sz w:val="20"/>
                <w:szCs w:val="20"/>
              </w:rPr>
            </w:pPr>
          </w:p>
        </w:tc>
        <w:tc>
          <w:tcPr>
            <w:tcW w:w="0" w:type="auto"/>
          </w:tcPr>
          <w:p w:rsidR="008157F6" w:rsidRPr="00451408" w:rsidRDefault="008157F6" w:rsidP="00C54B93">
            <w:pPr>
              <w:ind w:left="0" w:right="0"/>
              <w:jc w:val="left"/>
              <w:rPr>
                <w:sz w:val="20"/>
                <w:szCs w:val="20"/>
              </w:rPr>
            </w:pPr>
            <w:r w:rsidRPr="00451408">
              <w:rPr>
                <w:sz w:val="20"/>
                <w:szCs w:val="20"/>
              </w:rPr>
              <w:t>GEF financing:</w:t>
            </w:r>
          </w:p>
        </w:tc>
        <w:tc>
          <w:tcPr>
            <w:tcW w:w="0" w:type="auto"/>
          </w:tcPr>
          <w:p w:rsidR="008157F6" w:rsidRPr="00451408" w:rsidRDefault="008157F6" w:rsidP="00C54B93">
            <w:pPr>
              <w:pStyle w:val="Default"/>
              <w:rPr>
                <w:rFonts w:asciiTheme="minorHAnsi" w:hAnsiTheme="minorHAnsi"/>
                <w:sz w:val="20"/>
                <w:szCs w:val="20"/>
              </w:rPr>
            </w:pPr>
            <w:r w:rsidRPr="00451408">
              <w:rPr>
                <w:rFonts w:asciiTheme="minorHAnsi" w:hAnsiTheme="minorHAnsi"/>
                <w:sz w:val="20"/>
                <w:szCs w:val="20"/>
              </w:rPr>
              <w:t>500,000</w:t>
            </w:r>
          </w:p>
        </w:tc>
        <w:tc>
          <w:tcPr>
            <w:tcW w:w="0" w:type="auto"/>
          </w:tcPr>
          <w:p w:rsidR="008157F6" w:rsidRPr="00451408" w:rsidRDefault="008157F6" w:rsidP="00C54B93">
            <w:pPr>
              <w:pStyle w:val="Default"/>
              <w:rPr>
                <w:rFonts w:asciiTheme="minorHAnsi" w:hAnsiTheme="minorHAnsi"/>
                <w:sz w:val="20"/>
                <w:szCs w:val="20"/>
              </w:rPr>
            </w:pPr>
            <w:r>
              <w:rPr>
                <w:rFonts w:asciiTheme="minorHAnsi" w:hAnsiTheme="minorHAnsi"/>
                <w:sz w:val="20"/>
                <w:szCs w:val="20"/>
              </w:rPr>
              <w:t>500,000</w:t>
            </w:r>
          </w:p>
        </w:tc>
      </w:tr>
      <w:tr w:rsidR="008157F6" w:rsidRPr="00451408" w:rsidTr="00C54B93">
        <w:tc>
          <w:tcPr>
            <w:tcW w:w="0" w:type="auto"/>
          </w:tcPr>
          <w:p w:rsidR="008157F6" w:rsidRPr="00451408" w:rsidRDefault="008157F6" w:rsidP="00C54B93">
            <w:pPr>
              <w:pStyle w:val="Default"/>
              <w:rPr>
                <w:rFonts w:asciiTheme="minorHAnsi" w:hAnsiTheme="minorHAnsi"/>
                <w:sz w:val="20"/>
                <w:szCs w:val="20"/>
              </w:rPr>
            </w:pPr>
            <w:r w:rsidRPr="00451408">
              <w:rPr>
                <w:rFonts w:asciiTheme="minorHAnsi" w:hAnsiTheme="minorHAnsi"/>
                <w:sz w:val="20"/>
                <w:szCs w:val="20"/>
              </w:rPr>
              <w:t>Country</w:t>
            </w:r>
          </w:p>
        </w:tc>
        <w:tc>
          <w:tcPr>
            <w:tcW w:w="0" w:type="auto"/>
          </w:tcPr>
          <w:p w:rsidR="008157F6" w:rsidRPr="00451408" w:rsidRDefault="008157F6" w:rsidP="00C54B93">
            <w:pPr>
              <w:pStyle w:val="Default"/>
              <w:rPr>
                <w:rFonts w:asciiTheme="minorHAnsi" w:hAnsiTheme="minorHAnsi"/>
                <w:sz w:val="20"/>
                <w:szCs w:val="20"/>
              </w:rPr>
            </w:pPr>
            <w:r w:rsidRPr="00451408">
              <w:rPr>
                <w:rFonts w:asciiTheme="minorHAnsi" w:hAnsiTheme="minorHAnsi"/>
                <w:sz w:val="20"/>
                <w:szCs w:val="20"/>
              </w:rPr>
              <w:t>Seychelles</w:t>
            </w:r>
          </w:p>
        </w:tc>
        <w:tc>
          <w:tcPr>
            <w:tcW w:w="0" w:type="auto"/>
          </w:tcPr>
          <w:tbl>
            <w:tblPr>
              <w:tblW w:w="0" w:type="auto"/>
              <w:tblBorders>
                <w:top w:val="nil"/>
                <w:left w:val="nil"/>
                <w:bottom w:val="nil"/>
                <w:right w:val="nil"/>
              </w:tblBorders>
              <w:tblLook w:val="0000"/>
            </w:tblPr>
            <w:tblGrid>
              <w:gridCol w:w="1089"/>
            </w:tblGrid>
            <w:tr w:rsidR="008157F6" w:rsidRPr="00451408" w:rsidTr="00C54B93">
              <w:trPr>
                <w:trHeight w:val="90"/>
              </w:trPr>
              <w:tc>
                <w:tcPr>
                  <w:tcW w:w="0" w:type="auto"/>
                </w:tcPr>
                <w:p w:rsidR="008157F6" w:rsidRPr="00451408" w:rsidRDefault="008157F6" w:rsidP="00C54B93">
                  <w:pPr>
                    <w:pStyle w:val="Default"/>
                    <w:rPr>
                      <w:rFonts w:asciiTheme="minorHAnsi" w:hAnsiTheme="minorHAnsi"/>
                      <w:sz w:val="18"/>
                      <w:szCs w:val="18"/>
                    </w:rPr>
                  </w:pPr>
                  <w:r w:rsidRPr="00451408">
                    <w:rPr>
                      <w:rFonts w:asciiTheme="minorHAnsi" w:hAnsiTheme="minorHAnsi"/>
                    </w:rPr>
                    <w:t xml:space="preserve"> </w:t>
                  </w:r>
                  <w:r w:rsidRPr="00451408">
                    <w:rPr>
                      <w:rFonts w:asciiTheme="minorHAnsi" w:hAnsiTheme="minorHAnsi"/>
                      <w:sz w:val="18"/>
                      <w:szCs w:val="18"/>
                    </w:rPr>
                    <w:t xml:space="preserve">IA/EA own: </w:t>
                  </w:r>
                </w:p>
              </w:tc>
            </w:tr>
          </w:tbl>
          <w:p w:rsidR="008157F6" w:rsidRPr="00451408" w:rsidRDefault="008157F6" w:rsidP="00C54B93">
            <w:pPr>
              <w:pStyle w:val="Default"/>
              <w:rPr>
                <w:rFonts w:asciiTheme="minorHAnsi" w:hAnsiTheme="minorHAnsi"/>
                <w:sz w:val="20"/>
                <w:szCs w:val="20"/>
              </w:rPr>
            </w:pPr>
          </w:p>
        </w:tc>
        <w:tc>
          <w:tcPr>
            <w:tcW w:w="0" w:type="auto"/>
          </w:tcPr>
          <w:p w:rsidR="008157F6" w:rsidRPr="00451408" w:rsidRDefault="008157F6" w:rsidP="00C54B93">
            <w:pPr>
              <w:pStyle w:val="Default"/>
              <w:rPr>
                <w:rFonts w:asciiTheme="minorHAnsi" w:hAnsiTheme="minorHAnsi"/>
                <w:sz w:val="20"/>
                <w:szCs w:val="20"/>
              </w:rPr>
            </w:pPr>
          </w:p>
        </w:tc>
        <w:tc>
          <w:tcPr>
            <w:tcW w:w="0" w:type="auto"/>
          </w:tcPr>
          <w:p w:rsidR="008157F6" w:rsidRPr="00451408" w:rsidRDefault="008157F6" w:rsidP="00C54B93">
            <w:pPr>
              <w:pStyle w:val="Default"/>
              <w:rPr>
                <w:rFonts w:asciiTheme="minorHAnsi" w:hAnsiTheme="minorHAnsi"/>
                <w:sz w:val="20"/>
                <w:szCs w:val="20"/>
              </w:rPr>
            </w:pPr>
          </w:p>
        </w:tc>
      </w:tr>
      <w:tr w:rsidR="008157F6" w:rsidRPr="00451408" w:rsidTr="00C54B93">
        <w:tc>
          <w:tcPr>
            <w:tcW w:w="0" w:type="auto"/>
          </w:tcPr>
          <w:p w:rsidR="008157F6" w:rsidRPr="00451408" w:rsidRDefault="008157F6" w:rsidP="00C54B93">
            <w:pPr>
              <w:pStyle w:val="Default"/>
              <w:rPr>
                <w:rFonts w:asciiTheme="minorHAnsi" w:hAnsiTheme="minorHAnsi"/>
                <w:sz w:val="20"/>
                <w:szCs w:val="20"/>
              </w:rPr>
            </w:pPr>
            <w:r w:rsidRPr="00451408">
              <w:rPr>
                <w:rFonts w:asciiTheme="minorHAnsi" w:hAnsiTheme="minorHAnsi"/>
                <w:sz w:val="20"/>
                <w:szCs w:val="20"/>
              </w:rPr>
              <w:t>Region</w:t>
            </w:r>
          </w:p>
        </w:tc>
        <w:tc>
          <w:tcPr>
            <w:tcW w:w="0" w:type="auto"/>
          </w:tcPr>
          <w:p w:rsidR="008157F6" w:rsidRPr="00451408" w:rsidRDefault="008157F6" w:rsidP="00C54B93">
            <w:pPr>
              <w:pStyle w:val="Default"/>
              <w:rPr>
                <w:rFonts w:asciiTheme="minorHAnsi" w:hAnsiTheme="minorHAnsi"/>
                <w:sz w:val="20"/>
                <w:szCs w:val="20"/>
              </w:rPr>
            </w:pPr>
            <w:r>
              <w:rPr>
                <w:rFonts w:asciiTheme="minorHAnsi" w:hAnsiTheme="minorHAnsi"/>
                <w:sz w:val="20"/>
                <w:szCs w:val="20"/>
              </w:rPr>
              <w:t>Africa</w:t>
            </w:r>
          </w:p>
        </w:tc>
        <w:tc>
          <w:tcPr>
            <w:tcW w:w="0" w:type="auto"/>
          </w:tcPr>
          <w:p w:rsidR="008157F6" w:rsidRPr="00451408" w:rsidRDefault="008157F6" w:rsidP="00C54B93">
            <w:pPr>
              <w:pStyle w:val="Default"/>
              <w:rPr>
                <w:rFonts w:asciiTheme="minorHAnsi" w:hAnsiTheme="minorHAnsi"/>
                <w:sz w:val="20"/>
                <w:szCs w:val="20"/>
              </w:rPr>
            </w:pPr>
            <w:r w:rsidRPr="00451408">
              <w:rPr>
                <w:rFonts w:asciiTheme="minorHAnsi" w:hAnsiTheme="minorHAnsi"/>
                <w:sz w:val="20"/>
                <w:szCs w:val="20"/>
              </w:rPr>
              <w:t>Government</w:t>
            </w:r>
          </w:p>
        </w:tc>
        <w:tc>
          <w:tcPr>
            <w:tcW w:w="0" w:type="auto"/>
          </w:tcPr>
          <w:p w:rsidR="008157F6" w:rsidRPr="00451408" w:rsidRDefault="008157F6" w:rsidP="00C54B93">
            <w:pPr>
              <w:pStyle w:val="Default"/>
              <w:rPr>
                <w:rFonts w:asciiTheme="minorHAnsi" w:hAnsiTheme="minorHAnsi"/>
                <w:sz w:val="20"/>
                <w:szCs w:val="20"/>
              </w:rPr>
            </w:pPr>
            <w:r w:rsidRPr="00451408">
              <w:rPr>
                <w:rFonts w:asciiTheme="minorHAnsi" w:hAnsiTheme="minorHAnsi"/>
                <w:sz w:val="20"/>
                <w:szCs w:val="20"/>
              </w:rPr>
              <w:t>1,003,000</w:t>
            </w:r>
          </w:p>
        </w:tc>
        <w:tc>
          <w:tcPr>
            <w:tcW w:w="0" w:type="auto"/>
          </w:tcPr>
          <w:p w:rsidR="008157F6" w:rsidRPr="00451408" w:rsidRDefault="008157F6" w:rsidP="00C54B93">
            <w:pPr>
              <w:pStyle w:val="Default"/>
              <w:rPr>
                <w:rFonts w:asciiTheme="minorHAnsi" w:hAnsiTheme="minorHAnsi"/>
                <w:sz w:val="20"/>
                <w:szCs w:val="20"/>
              </w:rPr>
            </w:pPr>
            <w:r w:rsidRPr="00451408">
              <w:rPr>
                <w:rFonts w:asciiTheme="minorHAnsi" w:hAnsiTheme="minorHAnsi"/>
                <w:sz w:val="20"/>
                <w:szCs w:val="20"/>
              </w:rPr>
              <w:t>2,094,293</w:t>
            </w:r>
          </w:p>
        </w:tc>
      </w:tr>
      <w:tr w:rsidR="008157F6" w:rsidRPr="00451408" w:rsidTr="00C54B93">
        <w:tc>
          <w:tcPr>
            <w:tcW w:w="0" w:type="auto"/>
          </w:tcPr>
          <w:p w:rsidR="008157F6" w:rsidRPr="00451408" w:rsidRDefault="008157F6" w:rsidP="00C54B93">
            <w:pPr>
              <w:pStyle w:val="Default"/>
              <w:rPr>
                <w:rFonts w:asciiTheme="minorHAnsi" w:hAnsiTheme="minorHAnsi"/>
                <w:sz w:val="20"/>
                <w:szCs w:val="20"/>
              </w:rPr>
            </w:pPr>
            <w:r w:rsidRPr="00451408">
              <w:rPr>
                <w:rFonts w:asciiTheme="minorHAnsi" w:hAnsiTheme="minorHAnsi"/>
                <w:sz w:val="20"/>
                <w:szCs w:val="20"/>
              </w:rPr>
              <w:t>Focal Area</w:t>
            </w:r>
          </w:p>
        </w:tc>
        <w:tc>
          <w:tcPr>
            <w:tcW w:w="0" w:type="auto"/>
          </w:tcPr>
          <w:p w:rsidR="008157F6" w:rsidRPr="00451408" w:rsidRDefault="008157F6" w:rsidP="00C54B93">
            <w:pPr>
              <w:pStyle w:val="Default"/>
              <w:rPr>
                <w:rFonts w:asciiTheme="minorHAnsi" w:hAnsiTheme="minorHAnsi"/>
                <w:sz w:val="20"/>
                <w:szCs w:val="20"/>
              </w:rPr>
            </w:pPr>
            <w:r w:rsidRPr="00451408">
              <w:rPr>
                <w:rFonts w:asciiTheme="minorHAnsi" w:hAnsiTheme="minorHAnsi"/>
                <w:sz w:val="20"/>
                <w:szCs w:val="20"/>
              </w:rPr>
              <w:t>Land Degradation</w:t>
            </w:r>
          </w:p>
        </w:tc>
        <w:tc>
          <w:tcPr>
            <w:tcW w:w="0" w:type="auto"/>
          </w:tcPr>
          <w:p w:rsidR="008157F6" w:rsidRPr="00451408" w:rsidRDefault="008157F6" w:rsidP="00C54B93">
            <w:pPr>
              <w:pStyle w:val="Default"/>
              <w:rPr>
                <w:rFonts w:asciiTheme="minorHAnsi" w:hAnsiTheme="minorHAnsi"/>
                <w:sz w:val="20"/>
                <w:szCs w:val="20"/>
              </w:rPr>
            </w:pPr>
            <w:r w:rsidRPr="00451408">
              <w:rPr>
                <w:rFonts w:asciiTheme="minorHAnsi" w:hAnsiTheme="minorHAnsi"/>
                <w:sz w:val="20"/>
                <w:szCs w:val="20"/>
              </w:rPr>
              <w:t>Other</w:t>
            </w:r>
          </w:p>
        </w:tc>
        <w:tc>
          <w:tcPr>
            <w:tcW w:w="0" w:type="auto"/>
          </w:tcPr>
          <w:p w:rsidR="008157F6" w:rsidRPr="00451408" w:rsidRDefault="008157F6" w:rsidP="00C54B93">
            <w:pPr>
              <w:pStyle w:val="Default"/>
              <w:rPr>
                <w:rFonts w:asciiTheme="minorHAnsi" w:hAnsiTheme="minorHAnsi"/>
                <w:sz w:val="20"/>
                <w:szCs w:val="20"/>
              </w:rPr>
            </w:pPr>
            <w:r w:rsidRPr="00451408">
              <w:rPr>
                <w:rFonts w:asciiTheme="minorHAnsi" w:hAnsiTheme="minorHAnsi"/>
                <w:sz w:val="20"/>
                <w:szCs w:val="20"/>
              </w:rPr>
              <w:t>512,000</w:t>
            </w:r>
          </w:p>
        </w:tc>
        <w:tc>
          <w:tcPr>
            <w:tcW w:w="0" w:type="auto"/>
          </w:tcPr>
          <w:p w:rsidR="008157F6" w:rsidRPr="00451408" w:rsidRDefault="008157F6" w:rsidP="00C54B93">
            <w:pPr>
              <w:pStyle w:val="Default"/>
              <w:rPr>
                <w:rFonts w:asciiTheme="minorHAnsi" w:hAnsiTheme="minorHAnsi"/>
                <w:sz w:val="20"/>
                <w:szCs w:val="20"/>
              </w:rPr>
            </w:pPr>
            <w:r w:rsidRPr="00451408">
              <w:rPr>
                <w:rFonts w:asciiTheme="minorHAnsi" w:hAnsiTheme="minorHAnsi"/>
                <w:sz w:val="20"/>
                <w:szCs w:val="20"/>
              </w:rPr>
              <w:t>547,715</w:t>
            </w:r>
          </w:p>
        </w:tc>
      </w:tr>
      <w:tr w:rsidR="008157F6" w:rsidRPr="00451408" w:rsidTr="00C54B93">
        <w:tc>
          <w:tcPr>
            <w:tcW w:w="0" w:type="auto"/>
          </w:tcPr>
          <w:tbl>
            <w:tblPr>
              <w:tblW w:w="0" w:type="auto"/>
              <w:tblBorders>
                <w:top w:val="nil"/>
                <w:left w:val="nil"/>
                <w:bottom w:val="nil"/>
                <w:right w:val="nil"/>
              </w:tblBorders>
              <w:tblLook w:val="0000"/>
            </w:tblPr>
            <w:tblGrid>
              <w:gridCol w:w="1536"/>
            </w:tblGrid>
            <w:tr w:rsidR="008157F6" w:rsidRPr="00451408" w:rsidTr="00C54B93">
              <w:trPr>
                <w:trHeight w:val="90"/>
              </w:trPr>
              <w:tc>
                <w:tcPr>
                  <w:tcW w:w="0" w:type="auto"/>
                </w:tcPr>
                <w:p w:rsidR="008157F6" w:rsidRPr="00451408" w:rsidRDefault="008157F6" w:rsidP="00C54B93">
                  <w:pPr>
                    <w:pStyle w:val="Default"/>
                    <w:rPr>
                      <w:rFonts w:asciiTheme="minorHAnsi" w:hAnsiTheme="minorHAnsi"/>
                      <w:sz w:val="20"/>
                      <w:szCs w:val="20"/>
                    </w:rPr>
                  </w:pPr>
                  <w:r w:rsidRPr="00451408">
                    <w:rPr>
                      <w:rFonts w:asciiTheme="minorHAnsi" w:hAnsiTheme="minorHAnsi"/>
                      <w:sz w:val="20"/>
                      <w:szCs w:val="20"/>
                    </w:rPr>
                    <w:t xml:space="preserve">Operational Program: </w:t>
                  </w:r>
                </w:p>
              </w:tc>
            </w:tr>
          </w:tbl>
          <w:p w:rsidR="008157F6" w:rsidRPr="00451408" w:rsidRDefault="008157F6" w:rsidP="00C54B93">
            <w:pPr>
              <w:pStyle w:val="Default"/>
              <w:rPr>
                <w:rFonts w:asciiTheme="minorHAnsi" w:hAnsiTheme="minorHAnsi"/>
                <w:sz w:val="20"/>
                <w:szCs w:val="20"/>
              </w:rPr>
            </w:pPr>
          </w:p>
        </w:tc>
        <w:tc>
          <w:tcPr>
            <w:tcW w:w="0" w:type="auto"/>
          </w:tcPr>
          <w:p w:rsidR="008157F6" w:rsidRPr="00451408" w:rsidRDefault="008157F6" w:rsidP="00C54B93">
            <w:pPr>
              <w:pStyle w:val="Default"/>
              <w:rPr>
                <w:rFonts w:asciiTheme="minorHAnsi" w:hAnsiTheme="minorHAnsi"/>
                <w:sz w:val="20"/>
                <w:szCs w:val="20"/>
              </w:rPr>
            </w:pPr>
            <w:r w:rsidRPr="00451408">
              <w:rPr>
                <w:rFonts w:asciiTheme="minorHAnsi" w:hAnsiTheme="minorHAnsi"/>
                <w:sz w:val="20"/>
                <w:szCs w:val="20"/>
              </w:rPr>
              <w:t>Sustainable Land Management (SLM)</w:t>
            </w:r>
          </w:p>
        </w:tc>
        <w:tc>
          <w:tcPr>
            <w:tcW w:w="0" w:type="auto"/>
          </w:tcPr>
          <w:tbl>
            <w:tblPr>
              <w:tblW w:w="0" w:type="auto"/>
              <w:tblBorders>
                <w:top w:val="nil"/>
                <w:left w:val="nil"/>
                <w:bottom w:val="nil"/>
                <w:right w:val="nil"/>
              </w:tblBorders>
              <w:tblLook w:val="0000"/>
            </w:tblPr>
            <w:tblGrid>
              <w:gridCol w:w="1723"/>
            </w:tblGrid>
            <w:tr w:rsidR="008157F6" w:rsidRPr="00451408" w:rsidTr="00C54B93">
              <w:trPr>
                <w:trHeight w:val="199"/>
              </w:trPr>
              <w:tc>
                <w:tcPr>
                  <w:tcW w:w="0" w:type="auto"/>
                </w:tcPr>
                <w:p w:rsidR="008157F6" w:rsidRPr="00451408" w:rsidRDefault="008157F6" w:rsidP="00C54B93">
                  <w:pPr>
                    <w:pStyle w:val="Default"/>
                    <w:rPr>
                      <w:rFonts w:asciiTheme="minorHAnsi" w:hAnsiTheme="minorHAnsi"/>
                      <w:sz w:val="20"/>
                      <w:szCs w:val="20"/>
                    </w:rPr>
                  </w:pPr>
                  <w:r w:rsidRPr="00451408">
                    <w:rPr>
                      <w:rFonts w:asciiTheme="minorHAnsi" w:hAnsiTheme="minorHAnsi"/>
                      <w:sz w:val="20"/>
                      <w:szCs w:val="20"/>
                    </w:rPr>
                    <w:t xml:space="preserve"> Total co-financing: </w:t>
                  </w:r>
                </w:p>
              </w:tc>
            </w:tr>
          </w:tbl>
          <w:p w:rsidR="008157F6" w:rsidRPr="00451408" w:rsidRDefault="008157F6" w:rsidP="00C54B93">
            <w:pPr>
              <w:pStyle w:val="Default"/>
              <w:rPr>
                <w:rFonts w:asciiTheme="minorHAnsi" w:hAnsiTheme="minorHAnsi"/>
                <w:sz w:val="20"/>
                <w:szCs w:val="20"/>
              </w:rPr>
            </w:pPr>
          </w:p>
        </w:tc>
        <w:tc>
          <w:tcPr>
            <w:tcW w:w="0" w:type="auto"/>
          </w:tcPr>
          <w:p w:rsidR="008157F6" w:rsidRPr="00451408" w:rsidRDefault="008157F6" w:rsidP="00C54B93">
            <w:pPr>
              <w:pStyle w:val="Default"/>
              <w:rPr>
                <w:rFonts w:asciiTheme="minorHAnsi" w:hAnsiTheme="minorHAnsi"/>
                <w:sz w:val="20"/>
                <w:szCs w:val="20"/>
              </w:rPr>
            </w:pPr>
            <w:r w:rsidRPr="00451408">
              <w:rPr>
                <w:rFonts w:asciiTheme="minorHAnsi" w:hAnsiTheme="minorHAnsi"/>
                <w:sz w:val="20"/>
                <w:szCs w:val="20"/>
              </w:rPr>
              <w:t>1,515,000</w:t>
            </w:r>
          </w:p>
        </w:tc>
        <w:tc>
          <w:tcPr>
            <w:tcW w:w="0" w:type="auto"/>
          </w:tcPr>
          <w:p w:rsidR="008157F6" w:rsidRPr="00451408" w:rsidRDefault="008157F6" w:rsidP="00C54B93">
            <w:pPr>
              <w:pStyle w:val="Default"/>
              <w:rPr>
                <w:rFonts w:asciiTheme="minorHAnsi" w:hAnsiTheme="minorHAnsi"/>
                <w:sz w:val="20"/>
                <w:szCs w:val="20"/>
              </w:rPr>
            </w:pPr>
            <w:r w:rsidRPr="00451408">
              <w:rPr>
                <w:rFonts w:asciiTheme="minorHAnsi" w:hAnsiTheme="minorHAnsi"/>
                <w:sz w:val="20"/>
                <w:szCs w:val="20"/>
              </w:rPr>
              <w:t>2,642,008</w:t>
            </w:r>
          </w:p>
        </w:tc>
      </w:tr>
      <w:tr w:rsidR="008157F6" w:rsidRPr="00451408" w:rsidTr="00C54B93">
        <w:tc>
          <w:tcPr>
            <w:tcW w:w="0" w:type="auto"/>
          </w:tcPr>
          <w:p w:rsidR="008157F6" w:rsidRPr="00451408" w:rsidRDefault="008157F6" w:rsidP="00C54B93">
            <w:pPr>
              <w:pStyle w:val="Default"/>
              <w:rPr>
                <w:rFonts w:asciiTheme="minorHAnsi" w:hAnsiTheme="minorHAnsi"/>
                <w:sz w:val="20"/>
                <w:szCs w:val="20"/>
              </w:rPr>
            </w:pPr>
            <w:r w:rsidRPr="00451408">
              <w:rPr>
                <w:rFonts w:asciiTheme="minorHAnsi" w:hAnsiTheme="minorHAnsi"/>
                <w:sz w:val="20"/>
                <w:szCs w:val="20"/>
              </w:rPr>
              <w:t>Executing Agency</w:t>
            </w:r>
          </w:p>
        </w:tc>
        <w:tc>
          <w:tcPr>
            <w:tcW w:w="0" w:type="auto"/>
          </w:tcPr>
          <w:tbl>
            <w:tblPr>
              <w:tblW w:w="0" w:type="auto"/>
              <w:tblBorders>
                <w:top w:val="nil"/>
                <w:left w:val="nil"/>
                <w:bottom w:val="nil"/>
                <w:right w:val="nil"/>
              </w:tblBorders>
              <w:tblLook w:val="0000"/>
            </w:tblPr>
            <w:tblGrid>
              <w:gridCol w:w="1822"/>
            </w:tblGrid>
            <w:tr w:rsidR="008157F6" w:rsidRPr="00451408" w:rsidTr="00C54B93">
              <w:trPr>
                <w:trHeight w:val="309"/>
              </w:trPr>
              <w:tc>
                <w:tcPr>
                  <w:tcW w:w="0" w:type="auto"/>
                </w:tcPr>
                <w:p w:rsidR="008157F6" w:rsidRPr="00451408" w:rsidRDefault="008157F6" w:rsidP="00C54B93">
                  <w:pPr>
                    <w:pStyle w:val="Default"/>
                    <w:jc w:val="both"/>
                    <w:rPr>
                      <w:rFonts w:asciiTheme="minorHAnsi" w:hAnsiTheme="minorHAnsi"/>
                      <w:sz w:val="20"/>
                      <w:szCs w:val="20"/>
                    </w:rPr>
                  </w:pPr>
                  <w:r w:rsidRPr="00451408">
                    <w:rPr>
                      <w:rFonts w:asciiTheme="minorHAnsi" w:hAnsiTheme="minorHAnsi"/>
                      <w:sz w:val="20"/>
                      <w:szCs w:val="20"/>
                    </w:rPr>
                    <w:t xml:space="preserve"> Ministry of Environment and Energy/ Land Use and Habitat </w:t>
                  </w:r>
                </w:p>
              </w:tc>
            </w:tr>
          </w:tbl>
          <w:p w:rsidR="008157F6" w:rsidRPr="00451408" w:rsidRDefault="008157F6" w:rsidP="00C54B93">
            <w:pPr>
              <w:pStyle w:val="Default"/>
              <w:rPr>
                <w:rFonts w:asciiTheme="minorHAnsi" w:hAnsiTheme="minorHAnsi"/>
                <w:sz w:val="20"/>
                <w:szCs w:val="20"/>
                <w:lang w:val="en-GB"/>
              </w:rPr>
            </w:pPr>
          </w:p>
        </w:tc>
        <w:tc>
          <w:tcPr>
            <w:tcW w:w="0" w:type="auto"/>
          </w:tcPr>
          <w:tbl>
            <w:tblPr>
              <w:tblW w:w="0" w:type="auto"/>
              <w:tblBorders>
                <w:top w:val="nil"/>
                <w:left w:val="nil"/>
                <w:bottom w:val="nil"/>
                <w:right w:val="nil"/>
              </w:tblBorders>
              <w:tblLook w:val="0000"/>
            </w:tblPr>
            <w:tblGrid>
              <w:gridCol w:w="1612"/>
            </w:tblGrid>
            <w:tr w:rsidR="008157F6" w:rsidRPr="00451408" w:rsidTr="00C54B93">
              <w:trPr>
                <w:trHeight w:val="200"/>
              </w:trPr>
              <w:tc>
                <w:tcPr>
                  <w:tcW w:w="0" w:type="auto"/>
                </w:tcPr>
                <w:p w:rsidR="008157F6" w:rsidRPr="00451408" w:rsidRDefault="008157F6" w:rsidP="00C54B93">
                  <w:pPr>
                    <w:pStyle w:val="Default"/>
                    <w:rPr>
                      <w:rFonts w:asciiTheme="minorHAnsi" w:hAnsiTheme="minorHAnsi"/>
                      <w:sz w:val="18"/>
                      <w:szCs w:val="18"/>
                    </w:rPr>
                  </w:pPr>
                  <w:r w:rsidRPr="00451408">
                    <w:rPr>
                      <w:rFonts w:asciiTheme="minorHAnsi" w:hAnsiTheme="minorHAnsi"/>
                    </w:rPr>
                    <w:t xml:space="preserve"> </w:t>
                  </w:r>
                  <w:r w:rsidRPr="00451408">
                    <w:rPr>
                      <w:rFonts w:asciiTheme="minorHAnsi" w:hAnsiTheme="minorHAnsi"/>
                      <w:sz w:val="18"/>
                      <w:szCs w:val="18"/>
                    </w:rPr>
                    <w:t xml:space="preserve">Total Project Cost: </w:t>
                  </w:r>
                </w:p>
              </w:tc>
            </w:tr>
          </w:tbl>
          <w:p w:rsidR="008157F6" w:rsidRPr="00451408" w:rsidRDefault="008157F6" w:rsidP="00C54B93">
            <w:pPr>
              <w:pStyle w:val="Default"/>
              <w:rPr>
                <w:rFonts w:asciiTheme="minorHAnsi" w:hAnsiTheme="minorHAnsi"/>
                <w:sz w:val="20"/>
                <w:szCs w:val="20"/>
              </w:rPr>
            </w:pPr>
          </w:p>
        </w:tc>
        <w:tc>
          <w:tcPr>
            <w:tcW w:w="0" w:type="auto"/>
          </w:tcPr>
          <w:p w:rsidR="008157F6" w:rsidRPr="00451408" w:rsidRDefault="008157F6" w:rsidP="00C54B93">
            <w:pPr>
              <w:pStyle w:val="Default"/>
              <w:rPr>
                <w:rFonts w:asciiTheme="minorHAnsi" w:hAnsiTheme="minorHAnsi"/>
                <w:sz w:val="20"/>
                <w:szCs w:val="20"/>
              </w:rPr>
            </w:pPr>
            <w:r w:rsidRPr="00451408">
              <w:rPr>
                <w:rFonts w:asciiTheme="minorHAnsi" w:hAnsiTheme="minorHAnsi"/>
                <w:sz w:val="20"/>
                <w:szCs w:val="20"/>
              </w:rPr>
              <w:t>2,015,000</w:t>
            </w:r>
          </w:p>
        </w:tc>
        <w:tc>
          <w:tcPr>
            <w:tcW w:w="0" w:type="auto"/>
          </w:tcPr>
          <w:p w:rsidR="008157F6" w:rsidRPr="00451408" w:rsidRDefault="008157F6" w:rsidP="00C54B93">
            <w:pPr>
              <w:pStyle w:val="Default"/>
              <w:rPr>
                <w:rFonts w:asciiTheme="minorHAnsi" w:hAnsiTheme="minorHAnsi"/>
                <w:sz w:val="20"/>
                <w:szCs w:val="20"/>
              </w:rPr>
            </w:pPr>
            <w:r w:rsidRPr="00451408">
              <w:rPr>
                <w:rFonts w:asciiTheme="minorHAnsi" w:hAnsiTheme="minorHAnsi"/>
                <w:sz w:val="20"/>
                <w:szCs w:val="20"/>
              </w:rPr>
              <w:t>3,117,008</w:t>
            </w:r>
          </w:p>
        </w:tc>
      </w:tr>
      <w:tr w:rsidR="008157F6" w:rsidRPr="00451408" w:rsidTr="00C54B93">
        <w:tc>
          <w:tcPr>
            <w:tcW w:w="0" w:type="auto"/>
            <w:vMerge w:val="restart"/>
          </w:tcPr>
          <w:tbl>
            <w:tblPr>
              <w:tblW w:w="0" w:type="auto"/>
              <w:tblBorders>
                <w:top w:val="nil"/>
                <w:left w:val="nil"/>
                <w:bottom w:val="nil"/>
                <w:right w:val="nil"/>
              </w:tblBorders>
              <w:tblLook w:val="0000"/>
            </w:tblPr>
            <w:tblGrid>
              <w:gridCol w:w="1536"/>
            </w:tblGrid>
            <w:tr w:rsidR="008157F6" w:rsidRPr="00451408" w:rsidTr="00C54B93">
              <w:trPr>
                <w:trHeight w:val="200"/>
              </w:trPr>
              <w:tc>
                <w:tcPr>
                  <w:tcW w:w="0" w:type="auto"/>
                </w:tcPr>
                <w:p w:rsidR="008157F6" w:rsidRPr="00451408" w:rsidRDefault="008157F6" w:rsidP="00C54B93">
                  <w:pPr>
                    <w:pStyle w:val="Default"/>
                    <w:rPr>
                      <w:rFonts w:asciiTheme="minorHAnsi" w:hAnsiTheme="minorHAnsi"/>
                      <w:sz w:val="20"/>
                      <w:szCs w:val="20"/>
                    </w:rPr>
                  </w:pPr>
                  <w:r w:rsidRPr="00451408">
                    <w:rPr>
                      <w:rFonts w:asciiTheme="minorHAnsi" w:hAnsiTheme="minorHAnsi"/>
                      <w:sz w:val="20"/>
                      <w:szCs w:val="20"/>
                    </w:rPr>
                    <w:t xml:space="preserve"> Other Partners involved: </w:t>
                  </w:r>
                </w:p>
              </w:tc>
            </w:tr>
          </w:tbl>
          <w:p w:rsidR="008157F6" w:rsidRPr="00451408" w:rsidRDefault="008157F6" w:rsidP="00C54B93">
            <w:pPr>
              <w:pStyle w:val="Default"/>
              <w:rPr>
                <w:rFonts w:asciiTheme="minorHAnsi" w:hAnsiTheme="minorHAnsi"/>
                <w:sz w:val="20"/>
                <w:szCs w:val="20"/>
              </w:rPr>
            </w:pPr>
          </w:p>
        </w:tc>
        <w:tc>
          <w:tcPr>
            <w:tcW w:w="0" w:type="auto"/>
            <w:vMerge w:val="restart"/>
          </w:tcPr>
          <w:p w:rsidR="008157F6" w:rsidRPr="00451408" w:rsidRDefault="008157F6" w:rsidP="00C54B93">
            <w:pPr>
              <w:pStyle w:val="Default"/>
              <w:rPr>
                <w:rFonts w:asciiTheme="minorHAnsi" w:hAnsiTheme="minorHAnsi"/>
                <w:sz w:val="20"/>
                <w:szCs w:val="20"/>
              </w:rPr>
            </w:pPr>
            <w:r w:rsidRPr="00451408">
              <w:rPr>
                <w:rFonts w:asciiTheme="minorHAnsi" w:hAnsiTheme="minorHAnsi"/>
                <w:sz w:val="20"/>
                <w:szCs w:val="20"/>
              </w:rPr>
              <w:t xml:space="preserve">Ministry of Land Use and </w:t>
            </w:r>
            <w:r w:rsidRPr="00451408">
              <w:rPr>
                <w:rFonts w:asciiTheme="minorHAnsi" w:hAnsiTheme="minorHAnsi"/>
                <w:sz w:val="20"/>
                <w:szCs w:val="20"/>
              </w:rPr>
              <w:lastRenderedPageBreak/>
              <w:t>Habitat / Ministry of Natural Resources and Industry / Seychelles National Park Authority  / Seychelles Agricultural Agency / Plant</w:t>
            </w:r>
          </w:p>
        </w:tc>
        <w:tc>
          <w:tcPr>
            <w:tcW w:w="0" w:type="auto"/>
            <w:gridSpan w:val="2"/>
          </w:tcPr>
          <w:tbl>
            <w:tblPr>
              <w:tblW w:w="0" w:type="auto"/>
              <w:tblBorders>
                <w:top w:val="nil"/>
                <w:left w:val="nil"/>
                <w:bottom w:val="nil"/>
                <w:right w:val="nil"/>
              </w:tblBorders>
              <w:tblLook w:val="0000"/>
            </w:tblPr>
            <w:tblGrid>
              <w:gridCol w:w="3122"/>
            </w:tblGrid>
            <w:tr w:rsidR="008157F6" w:rsidRPr="00451408" w:rsidTr="00C54B93">
              <w:trPr>
                <w:trHeight w:val="90"/>
              </w:trPr>
              <w:tc>
                <w:tcPr>
                  <w:tcW w:w="0" w:type="auto"/>
                </w:tcPr>
                <w:p w:rsidR="008157F6" w:rsidRPr="00451408" w:rsidRDefault="008157F6" w:rsidP="00C54B93">
                  <w:pPr>
                    <w:pStyle w:val="Default"/>
                    <w:rPr>
                      <w:rFonts w:asciiTheme="minorHAnsi" w:hAnsiTheme="minorHAnsi"/>
                      <w:sz w:val="18"/>
                      <w:szCs w:val="18"/>
                    </w:rPr>
                  </w:pPr>
                  <w:r w:rsidRPr="00451408">
                    <w:rPr>
                      <w:rFonts w:asciiTheme="minorHAnsi" w:hAnsiTheme="minorHAnsi"/>
                    </w:rPr>
                    <w:lastRenderedPageBreak/>
                    <w:t xml:space="preserve"> </w:t>
                  </w:r>
                  <w:proofErr w:type="spellStart"/>
                  <w:r w:rsidRPr="00451408">
                    <w:rPr>
                      <w:rFonts w:asciiTheme="minorHAnsi" w:hAnsiTheme="minorHAnsi"/>
                      <w:sz w:val="18"/>
                      <w:szCs w:val="18"/>
                    </w:rPr>
                    <w:t>ProDoc</w:t>
                  </w:r>
                  <w:proofErr w:type="spellEnd"/>
                  <w:r w:rsidRPr="00451408">
                    <w:rPr>
                      <w:rFonts w:asciiTheme="minorHAnsi" w:hAnsiTheme="minorHAnsi"/>
                      <w:sz w:val="18"/>
                      <w:szCs w:val="18"/>
                    </w:rPr>
                    <w:t xml:space="preserve"> Signature (date project began): </w:t>
                  </w:r>
                </w:p>
              </w:tc>
            </w:tr>
          </w:tbl>
          <w:p w:rsidR="008157F6" w:rsidRPr="00451408" w:rsidRDefault="008157F6" w:rsidP="00C54B93">
            <w:pPr>
              <w:pStyle w:val="Default"/>
              <w:rPr>
                <w:rFonts w:asciiTheme="minorHAnsi" w:hAnsiTheme="minorHAnsi"/>
                <w:sz w:val="20"/>
                <w:szCs w:val="20"/>
                <w:lang w:val="en-GB"/>
              </w:rPr>
            </w:pPr>
          </w:p>
        </w:tc>
        <w:tc>
          <w:tcPr>
            <w:tcW w:w="0" w:type="auto"/>
          </w:tcPr>
          <w:p w:rsidR="008157F6" w:rsidRPr="00451408" w:rsidRDefault="008157F6" w:rsidP="00C54B93">
            <w:pPr>
              <w:pStyle w:val="Default"/>
              <w:rPr>
                <w:rFonts w:asciiTheme="minorHAnsi" w:hAnsiTheme="minorHAnsi"/>
                <w:sz w:val="20"/>
                <w:szCs w:val="20"/>
              </w:rPr>
            </w:pPr>
            <w:r w:rsidRPr="00451408">
              <w:rPr>
                <w:rFonts w:asciiTheme="minorHAnsi" w:hAnsiTheme="minorHAnsi"/>
                <w:sz w:val="20"/>
                <w:szCs w:val="20"/>
              </w:rPr>
              <w:t>21/06/07</w:t>
            </w:r>
          </w:p>
        </w:tc>
      </w:tr>
      <w:tr w:rsidR="008157F6" w:rsidRPr="00451408" w:rsidTr="00C54B93">
        <w:tc>
          <w:tcPr>
            <w:tcW w:w="0" w:type="auto"/>
            <w:vMerge/>
          </w:tcPr>
          <w:p w:rsidR="008157F6" w:rsidRPr="00451408" w:rsidRDefault="008157F6" w:rsidP="00C54B93">
            <w:pPr>
              <w:pStyle w:val="Default"/>
              <w:rPr>
                <w:rFonts w:asciiTheme="minorHAnsi" w:hAnsiTheme="minorHAnsi"/>
                <w:sz w:val="20"/>
                <w:szCs w:val="20"/>
                <w:lang w:val="en-GB"/>
              </w:rPr>
            </w:pPr>
          </w:p>
        </w:tc>
        <w:tc>
          <w:tcPr>
            <w:tcW w:w="0" w:type="auto"/>
            <w:vMerge/>
          </w:tcPr>
          <w:p w:rsidR="008157F6" w:rsidRPr="00451408" w:rsidRDefault="008157F6" w:rsidP="00C54B93">
            <w:pPr>
              <w:pStyle w:val="Default"/>
              <w:rPr>
                <w:rFonts w:asciiTheme="minorHAnsi" w:hAnsiTheme="minorHAnsi"/>
                <w:sz w:val="20"/>
                <w:szCs w:val="20"/>
              </w:rPr>
            </w:pPr>
          </w:p>
        </w:tc>
        <w:tc>
          <w:tcPr>
            <w:tcW w:w="0" w:type="auto"/>
            <w:gridSpan w:val="2"/>
          </w:tcPr>
          <w:tbl>
            <w:tblPr>
              <w:tblW w:w="0" w:type="auto"/>
              <w:tblBorders>
                <w:top w:val="nil"/>
                <w:left w:val="nil"/>
                <w:bottom w:val="nil"/>
                <w:right w:val="nil"/>
              </w:tblBorders>
              <w:tblLook w:val="0000"/>
            </w:tblPr>
            <w:tblGrid>
              <w:gridCol w:w="2250"/>
            </w:tblGrid>
            <w:tr w:rsidR="008157F6" w:rsidRPr="00451408" w:rsidTr="00C54B93">
              <w:trPr>
                <w:trHeight w:val="199"/>
              </w:trPr>
              <w:tc>
                <w:tcPr>
                  <w:tcW w:w="0" w:type="auto"/>
                </w:tcPr>
                <w:p w:rsidR="008157F6" w:rsidRPr="00451408" w:rsidRDefault="008157F6" w:rsidP="00C54B93">
                  <w:pPr>
                    <w:pStyle w:val="Default"/>
                    <w:rPr>
                      <w:rFonts w:asciiTheme="minorHAnsi" w:hAnsiTheme="minorHAnsi"/>
                      <w:sz w:val="18"/>
                      <w:szCs w:val="18"/>
                    </w:rPr>
                  </w:pPr>
                  <w:r w:rsidRPr="00451408">
                    <w:rPr>
                      <w:rFonts w:asciiTheme="minorHAnsi" w:hAnsiTheme="minorHAnsi"/>
                    </w:rPr>
                    <w:t xml:space="preserve"> </w:t>
                  </w:r>
                  <w:r w:rsidRPr="00451408">
                    <w:rPr>
                      <w:rFonts w:asciiTheme="minorHAnsi" w:hAnsiTheme="minorHAnsi"/>
                      <w:sz w:val="18"/>
                      <w:szCs w:val="18"/>
                    </w:rPr>
                    <w:t xml:space="preserve">(Operational) Closing Date: </w:t>
                  </w:r>
                </w:p>
              </w:tc>
            </w:tr>
          </w:tbl>
          <w:p w:rsidR="008157F6" w:rsidRPr="00451408" w:rsidRDefault="008157F6" w:rsidP="00C54B93">
            <w:pPr>
              <w:pStyle w:val="Default"/>
              <w:rPr>
                <w:rFonts w:asciiTheme="minorHAnsi" w:hAnsiTheme="minorHAnsi"/>
                <w:sz w:val="20"/>
                <w:szCs w:val="20"/>
              </w:rPr>
            </w:pPr>
          </w:p>
        </w:tc>
        <w:tc>
          <w:tcPr>
            <w:tcW w:w="0" w:type="auto"/>
          </w:tcPr>
          <w:p w:rsidR="008157F6" w:rsidRPr="00451408" w:rsidRDefault="008157F6" w:rsidP="00C54B93">
            <w:pPr>
              <w:pStyle w:val="Default"/>
              <w:rPr>
                <w:rFonts w:asciiTheme="minorHAnsi" w:hAnsiTheme="minorHAnsi"/>
                <w:sz w:val="20"/>
                <w:szCs w:val="20"/>
              </w:rPr>
            </w:pPr>
            <w:r w:rsidRPr="00451408">
              <w:rPr>
                <w:rFonts w:asciiTheme="minorHAnsi" w:hAnsiTheme="minorHAnsi"/>
                <w:sz w:val="20"/>
                <w:szCs w:val="20"/>
              </w:rPr>
              <w:t xml:space="preserve">Proposed: </w:t>
            </w:r>
            <w:r w:rsidRPr="00451408">
              <w:rPr>
                <w:rFonts w:asciiTheme="minorHAnsi" w:hAnsiTheme="minorHAnsi"/>
                <w:sz w:val="20"/>
                <w:szCs w:val="20"/>
              </w:rPr>
              <w:lastRenderedPageBreak/>
              <w:t>30/06/11</w:t>
            </w:r>
          </w:p>
          <w:p w:rsidR="008157F6" w:rsidRPr="00451408" w:rsidRDefault="008157F6" w:rsidP="00C54B93">
            <w:pPr>
              <w:pStyle w:val="Default"/>
              <w:rPr>
                <w:rFonts w:asciiTheme="minorHAnsi" w:hAnsiTheme="minorHAnsi"/>
                <w:sz w:val="20"/>
                <w:szCs w:val="20"/>
              </w:rPr>
            </w:pPr>
            <w:r w:rsidRPr="00451408">
              <w:rPr>
                <w:rFonts w:asciiTheme="minorHAnsi" w:hAnsiTheme="minorHAnsi"/>
                <w:sz w:val="20"/>
                <w:szCs w:val="20"/>
              </w:rPr>
              <w:t>Actual:31/07/12</w:t>
            </w:r>
          </w:p>
        </w:tc>
      </w:tr>
    </w:tbl>
    <w:p w:rsidR="008157F6" w:rsidRPr="00451408" w:rsidRDefault="008157F6" w:rsidP="008157F6">
      <w:pPr>
        <w:spacing w:after="120"/>
        <w:ind w:left="0" w:right="0"/>
        <w:rPr>
          <w:b/>
          <w:lang w:val="en-US"/>
        </w:rPr>
      </w:pPr>
    </w:p>
    <w:p w:rsidR="008157F6" w:rsidRPr="00451408" w:rsidRDefault="008157F6" w:rsidP="008157F6">
      <w:pPr>
        <w:pStyle w:val="Heading1"/>
        <w:spacing w:before="0" w:after="120"/>
        <w:ind w:left="0" w:right="0"/>
        <w:rPr>
          <w:rFonts w:asciiTheme="minorHAnsi" w:hAnsiTheme="minorHAnsi"/>
          <w:color w:val="auto"/>
          <w:sz w:val="22"/>
          <w:szCs w:val="22"/>
          <w:lang w:val="en-US"/>
        </w:rPr>
      </w:pPr>
      <w:bookmarkStart w:id="2" w:name="_Toc346214449"/>
      <w:r w:rsidRPr="00451408">
        <w:rPr>
          <w:rFonts w:asciiTheme="minorHAnsi" w:hAnsiTheme="minorHAnsi"/>
          <w:color w:val="auto"/>
          <w:sz w:val="22"/>
          <w:szCs w:val="22"/>
          <w:lang w:val="en-US"/>
        </w:rPr>
        <w:t>Project Description</w:t>
      </w:r>
      <w:bookmarkEnd w:id="2"/>
    </w:p>
    <w:p w:rsidR="008157F6" w:rsidRPr="00451408" w:rsidRDefault="008157F6" w:rsidP="008157F6">
      <w:pPr>
        <w:pStyle w:val="Default"/>
        <w:spacing w:after="120"/>
        <w:jc w:val="both"/>
        <w:rPr>
          <w:rFonts w:asciiTheme="minorHAnsi" w:hAnsiTheme="minorHAnsi"/>
          <w:sz w:val="22"/>
          <w:szCs w:val="22"/>
        </w:rPr>
      </w:pPr>
      <w:r w:rsidRPr="00451408">
        <w:rPr>
          <w:rFonts w:asciiTheme="minorHAnsi" w:hAnsiTheme="minorHAnsi"/>
          <w:sz w:val="22"/>
          <w:szCs w:val="22"/>
        </w:rPr>
        <w:t>The granitic islands of the Seychelles are composed of a core of ancient granitic rock which forms the steep uplands, with narrow surrounding coastal plains formed by beach sand. Both types of soils are physically and chemically poor. Over 80% of Seychelles land area is under some form of forest or vegetation cover, though less so on the more urbanized main islands. Land degradation has mainly occurred because of forest fires, clearing of forest for development purposes (agriculture, including plantations; housing; tourist facilities; infrastructure), effects of invasive alien spe</w:t>
      </w:r>
      <w:r>
        <w:rPr>
          <w:rFonts w:asciiTheme="minorHAnsi" w:hAnsiTheme="minorHAnsi"/>
          <w:sz w:val="22"/>
          <w:szCs w:val="22"/>
        </w:rPr>
        <w:t>cies, unsustainable agriculture,</w:t>
      </w:r>
      <w:r w:rsidRPr="00451408">
        <w:rPr>
          <w:rFonts w:asciiTheme="minorHAnsi" w:hAnsiTheme="minorHAnsi"/>
          <w:sz w:val="22"/>
          <w:szCs w:val="22"/>
        </w:rPr>
        <w:t xml:space="preserve"> construction practices and landslides </w:t>
      </w:r>
      <w:r>
        <w:rPr>
          <w:rFonts w:asciiTheme="minorHAnsi" w:hAnsiTheme="minorHAnsi"/>
          <w:sz w:val="22"/>
          <w:szCs w:val="22"/>
        </w:rPr>
        <w:t>/</w:t>
      </w:r>
      <w:r w:rsidRPr="00451408">
        <w:rPr>
          <w:rFonts w:asciiTheme="minorHAnsi" w:hAnsiTheme="minorHAnsi"/>
          <w:sz w:val="22"/>
          <w:szCs w:val="22"/>
        </w:rPr>
        <w:t xml:space="preserve"> rock falls. </w:t>
      </w:r>
    </w:p>
    <w:p w:rsidR="008157F6" w:rsidRPr="00451408" w:rsidRDefault="008157F6" w:rsidP="008157F6">
      <w:pPr>
        <w:pStyle w:val="Default"/>
        <w:spacing w:after="120"/>
        <w:jc w:val="both"/>
        <w:rPr>
          <w:rFonts w:asciiTheme="minorHAnsi" w:hAnsiTheme="minorHAnsi"/>
          <w:sz w:val="22"/>
          <w:szCs w:val="22"/>
        </w:rPr>
      </w:pPr>
      <w:r w:rsidRPr="00451408">
        <w:rPr>
          <w:rFonts w:asciiTheme="minorHAnsi" w:hAnsiTheme="minorHAnsi"/>
          <w:sz w:val="22"/>
          <w:szCs w:val="22"/>
        </w:rPr>
        <w:t xml:space="preserve">Prevention and control of forest fires is taking place, but needed a comprehensive all-encompassing strategy, including models for rehabilitation of degraded areas. Unsustainable harvesting of forest products was on the increase and made worse because of the lack of forest management models. Invasive alien creepers that are smothering the forest were a relatively </w:t>
      </w:r>
      <w:r>
        <w:rPr>
          <w:rFonts w:asciiTheme="minorHAnsi" w:hAnsiTheme="minorHAnsi"/>
          <w:sz w:val="22"/>
          <w:szCs w:val="22"/>
        </w:rPr>
        <w:t>new phenomenon of which little wa</w:t>
      </w:r>
      <w:r w:rsidRPr="00451408">
        <w:rPr>
          <w:rFonts w:asciiTheme="minorHAnsi" w:hAnsiTheme="minorHAnsi"/>
          <w:sz w:val="22"/>
          <w:szCs w:val="22"/>
        </w:rPr>
        <w:t xml:space="preserve">s known and no control measures are established. Soil conservation in agriculture was not effectively addressed because of non-conducive lease agreements of state agricultural land, non-effective extension </w:t>
      </w:r>
      <w:r>
        <w:rPr>
          <w:rFonts w:asciiTheme="minorHAnsi" w:hAnsiTheme="minorHAnsi"/>
          <w:sz w:val="22"/>
          <w:szCs w:val="22"/>
        </w:rPr>
        <w:t>service</w:t>
      </w:r>
      <w:r w:rsidRPr="00451408">
        <w:rPr>
          <w:rFonts w:asciiTheme="minorHAnsi" w:hAnsiTheme="minorHAnsi"/>
          <w:sz w:val="22"/>
          <w:szCs w:val="22"/>
        </w:rPr>
        <w:t xml:space="preserve"> and </w:t>
      </w:r>
      <w:r>
        <w:rPr>
          <w:rFonts w:asciiTheme="minorHAnsi" w:hAnsiTheme="minorHAnsi"/>
          <w:sz w:val="22"/>
          <w:szCs w:val="22"/>
        </w:rPr>
        <w:t xml:space="preserve">the </w:t>
      </w:r>
      <w:r w:rsidRPr="00451408">
        <w:rPr>
          <w:rFonts w:asciiTheme="minorHAnsi" w:hAnsiTheme="minorHAnsi"/>
          <w:sz w:val="22"/>
          <w:szCs w:val="22"/>
        </w:rPr>
        <w:t xml:space="preserve">lack of adequate soil testing facilities. Risks of landslides were not well incorporated in land use planning and construction practices. Seychelles had no National Action Plan or Investment Plan for sustainable land management. </w:t>
      </w:r>
    </w:p>
    <w:p w:rsidR="008157F6" w:rsidRPr="00451408" w:rsidRDefault="008157F6" w:rsidP="008157F6">
      <w:pPr>
        <w:pStyle w:val="Default"/>
        <w:spacing w:after="120"/>
        <w:jc w:val="both"/>
        <w:rPr>
          <w:rFonts w:asciiTheme="minorHAnsi" w:hAnsiTheme="minorHAnsi"/>
          <w:sz w:val="22"/>
          <w:szCs w:val="22"/>
        </w:rPr>
      </w:pPr>
      <w:r w:rsidRPr="00451408">
        <w:rPr>
          <w:rFonts w:asciiTheme="minorHAnsi" w:hAnsiTheme="minorHAnsi"/>
          <w:sz w:val="22"/>
          <w:szCs w:val="22"/>
        </w:rPr>
        <w:t xml:space="preserve">The project aimed to increase capacity in prevention and control of forest fires, rehabilitation of degraded areas, control of invasive alien species creepers, </w:t>
      </w:r>
      <w:proofErr w:type="gramStart"/>
      <w:r w:rsidRPr="00451408">
        <w:rPr>
          <w:rFonts w:asciiTheme="minorHAnsi" w:hAnsiTheme="minorHAnsi"/>
          <w:sz w:val="22"/>
          <w:szCs w:val="22"/>
        </w:rPr>
        <w:t>development</w:t>
      </w:r>
      <w:proofErr w:type="gramEnd"/>
      <w:r w:rsidRPr="00451408">
        <w:rPr>
          <w:rFonts w:asciiTheme="minorHAnsi" w:hAnsiTheme="minorHAnsi"/>
          <w:sz w:val="22"/>
          <w:szCs w:val="22"/>
        </w:rPr>
        <w:t xml:space="preserve"> of forest management plans, </w:t>
      </w:r>
      <w:r>
        <w:rPr>
          <w:rFonts w:asciiTheme="minorHAnsi" w:hAnsiTheme="minorHAnsi"/>
          <w:sz w:val="22"/>
          <w:szCs w:val="22"/>
        </w:rPr>
        <w:t xml:space="preserve">restoration of degraded agricultural </w:t>
      </w:r>
      <w:r w:rsidRPr="00451408">
        <w:rPr>
          <w:rFonts w:asciiTheme="minorHAnsi" w:hAnsiTheme="minorHAnsi"/>
          <w:sz w:val="22"/>
          <w:szCs w:val="22"/>
        </w:rPr>
        <w:t>soil</w:t>
      </w:r>
      <w:r>
        <w:rPr>
          <w:rFonts w:asciiTheme="minorHAnsi" w:hAnsiTheme="minorHAnsi"/>
          <w:sz w:val="22"/>
          <w:szCs w:val="22"/>
        </w:rPr>
        <w:t>s</w:t>
      </w:r>
      <w:r w:rsidRPr="00451408">
        <w:rPr>
          <w:rFonts w:asciiTheme="minorHAnsi" w:hAnsiTheme="minorHAnsi"/>
          <w:sz w:val="22"/>
          <w:szCs w:val="22"/>
        </w:rPr>
        <w:t xml:space="preserve"> and minimizing risks of land movements. It was also designed to mainstream sustainable land management into relevant policy and regulatory frameworks, to support the development of a National Action Plan and Medium Term Investment Plan (</w:t>
      </w:r>
      <w:r>
        <w:rPr>
          <w:rFonts w:asciiTheme="minorHAnsi" w:hAnsiTheme="minorHAnsi"/>
          <w:sz w:val="22"/>
          <w:szCs w:val="22"/>
        </w:rPr>
        <w:t xml:space="preserve">MTIP - </w:t>
      </w:r>
      <w:r w:rsidRPr="00451408">
        <w:rPr>
          <w:rFonts w:asciiTheme="minorHAnsi" w:hAnsiTheme="minorHAnsi"/>
          <w:sz w:val="22"/>
          <w:szCs w:val="22"/>
        </w:rPr>
        <w:t xml:space="preserve">re-named Integrated Financial Strategy </w:t>
      </w:r>
      <w:r>
        <w:rPr>
          <w:rFonts w:asciiTheme="minorHAnsi" w:hAnsiTheme="minorHAnsi"/>
          <w:sz w:val="22"/>
          <w:szCs w:val="22"/>
        </w:rPr>
        <w:t xml:space="preserve">(IFS) </w:t>
      </w:r>
      <w:r w:rsidRPr="00451408">
        <w:rPr>
          <w:rFonts w:asciiTheme="minorHAnsi" w:hAnsiTheme="minorHAnsi"/>
          <w:sz w:val="22"/>
          <w:szCs w:val="22"/>
        </w:rPr>
        <w:t xml:space="preserve">during the project). </w:t>
      </w:r>
    </w:p>
    <w:p w:rsidR="008157F6" w:rsidRPr="00451408" w:rsidRDefault="008157F6" w:rsidP="008157F6">
      <w:pPr>
        <w:pStyle w:val="Default"/>
        <w:spacing w:after="120"/>
        <w:jc w:val="both"/>
        <w:rPr>
          <w:rFonts w:asciiTheme="minorHAnsi" w:hAnsiTheme="minorHAnsi"/>
          <w:sz w:val="22"/>
          <w:szCs w:val="22"/>
        </w:rPr>
      </w:pPr>
      <w:r w:rsidRPr="00451408">
        <w:rPr>
          <w:rFonts w:asciiTheme="minorHAnsi" w:hAnsiTheme="minorHAnsi"/>
          <w:sz w:val="22"/>
          <w:szCs w:val="22"/>
        </w:rPr>
        <w:t xml:space="preserve">The objective of the project was to build capacities for sustainable land management (SLM) in appropriate government and civil society institutions/user groups in Seychelles and to ensure SLM was mainstreamed into government planning and strategy development. </w:t>
      </w:r>
    </w:p>
    <w:p w:rsidR="008157F6" w:rsidRPr="00451408" w:rsidRDefault="008157F6" w:rsidP="008157F6">
      <w:pPr>
        <w:pStyle w:val="Default"/>
        <w:spacing w:after="120"/>
        <w:jc w:val="both"/>
        <w:rPr>
          <w:rFonts w:asciiTheme="minorHAnsi" w:hAnsiTheme="minorHAnsi"/>
          <w:sz w:val="22"/>
          <w:szCs w:val="22"/>
        </w:rPr>
      </w:pPr>
      <w:r w:rsidRPr="00451408">
        <w:rPr>
          <w:rFonts w:asciiTheme="minorHAnsi" w:hAnsiTheme="minorHAnsi"/>
          <w:sz w:val="22"/>
          <w:szCs w:val="22"/>
        </w:rPr>
        <w:t xml:space="preserve">The Project “Building Capacity and Mainstreaming Sustainable Land Management in Seychelles” was a Global Environment Facility (GEF) funded Project through the United Nations Development Program (UNDP). The Project has been implemented by the Ministry of Environment and Energy. The Project has been supervised by the UNDP </w:t>
      </w:r>
      <w:proofErr w:type="spellStart"/>
      <w:r w:rsidRPr="00451408">
        <w:rPr>
          <w:rFonts w:asciiTheme="minorHAnsi" w:hAnsiTheme="minorHAnsi"/>
          <w:sz w:val="22"/>
          <w:szCs w:val="22"/>
        </w:rPr>
        <w:t>Programme</w:t>
      </w:r>
      <w:proofErr w:type="spellEnd"/>
      <w:r w:rsidRPr="00451408">
        <w:rPr>
          <w:rFonts w:asciiTheme="minorHAnsi" w:hAnsiTheme="minorHAnsi"/>
          <w:sz w:val="22"/>
          <w:szCs w:val="22"/>
        </w:rPr>
        <w:t xml:space="preserve"> Coordination Unit (PCU) and received technical guidance from the Chief Technical Advisor (Johan Robinson - until 2011) and Regional Technical Advisor (Veronica Muthui).</w:t>
      </w:r>
    </w:p>
    <w:p w:rsidR="008157F6" w:rsidRPr="00451408" w:rsidRDefault="008157F6" w:rsidP="008157F6">
      <w:pPr>
        <w:spacing w:after="120"/>
        <w:ind w:left="0" w:right="0"/>
        <w:rPr>
          <w:b/>
          <w:lang w:val="en-US"/>
        </w:rPr>
      </w:pPr>
    </w:p>
    <w:p w:rsidR="008157F6" w:rsidRPr="00451408" w:rsidRDefault="008157F6" w:rsidP="008157F6">
      <w:pPr>
        <w:pStyle w:val="Heading1"/>
        <w:spacing w:before="0" w:after="120"/>
        <w:ind w:left="0" w:right="0"/>
        <w:rPr>
          <w:rFonts w:asciiTheme="minorHAnsi" w:hAnsiTheme="minorHAnsi"/>
          <w:color w:val="auto"/>
          <w:sz w:val="22"/>
          <w:szCs w:val="22"/>
          <w:lang w:val="en-US"/>
        </w:rPr>
      </w:pPr>
      <w:bookmarkStart w:id="3" w:name="_Toc346214450"/>
      <w:r w:rsidRPr="00451408">
        <w:rPr>
          <w:rFonts w:asciiTheme="minorHAnsi" w:hAnsiTheme="minorHAnsi"/>
          <w:color w:val="auto"/>
          <w:sz w:val="22"/>
          <w:szCs w:val="22"/>
          <w:lang w:val="en-US"/>
        </w:rPr>
        <w:t>Evaluation Rating Table</w:t>
      </w:r>
      <w:bookmarkEnd w:id="3"/>
    </w:p>
    <w:tbl>
      <w:tblPr>
        <w:tblW w:w="488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33"/>
        <w:gridCol w:w="1054"/>
        <w:gridCol w:w="4604"/>
        <w:gridCol w:w="867"/>
      </w:tblGrid>
      <w:tr w:rsidR="008157F6" w:rsidRPr="00AD46E2" w:rsidTr="00C54B93">
        <w:trPr>
          <w:trHeight w:val="206"/>
        </w:trPr>
        <w:tc>
          <w:tcPr>
            <w:tcW w:w="5000" w:type="pct"/>
            <w:gridSpan w:val="4"/>
            <w:vAlign w:val="center"/>
            <w:hideMark/>
          </w:tcPr>
          <w:p w:rsidR="008157F6" w:rsidRPr="00AD46E2" w:rsidRDefault="008157F6" w:rsidP="00C54B93">
            <w:pPr>
              <w:tabs>
                <w:tab w:val="right" w:pos="0"/>
              </w:tabs>
              <w:spacing w:after="0"/>
              <w:ind w:left="0" w:right="0"/>
              <w:jc w:val="left"/>
              <w:rPr>
                <w:rFonts w:ascii="Calibri" w:eastAsia="Times New Roman" w:hAnsi="Calibri" w:cs="Calibri"/>
                <w:b/>
                <w:color w:val="000000"/>
                <w:szCs w:val="24"/>
                <w:lang w:val="en-US" w:eastAsia="es-ES"/>
              </w:rPr>
            </w:pPr>
            <w:r w:rsidRPr="00AD46E2">
              <w:rPr>
                <w:rFonts w:ascii="Calibri" w:eastAsia="Times New Roman" w:hAnsi="Calibri" w:cs="Calibri"/>
                <w:b/>
                <w:color w:val="000000"/>
                <w:lang w:val="en-US" w:eastAsia="es-ES"/>
              </w:rPr>
              <w:t>Evaluation Ratings:</w:t>
            </w:r>
          </w:p>
        </w:tc>
      </w:tr>
      <w:tr w:rsidR="008157F6" w:rsidRPr="00AD46E2" w:rsidTr="00C54B93">
        <w:tc>
          <w:tcPr>
            <w:tcW w:w="1514" w:type="pct"/>
            <w:shd w:val="clear" w:color="auto" w:fill="7F7F7F"/>
            <w:hideMark/>
          </w:tcPr>
          <w:p w:rsidR="008157F6" w:rsidRPr="00AD46E2" w:rsidRDefault="008157F6" w:rsidP="00C54B93">
            <w:pPr>
              <w:spacing w:after="0"/>
              <w:ind w:left="0" w:right="0"/>
              <w:jc w:val="left"/>
              <w:rPr>
                <w:rFonts w:ascii="Calibri" w:eastAsia="Times New Roman" w:hAnsi="Calibri" w:cs="Calibri"/>
                <w:b/>
                <w:bCs/>
                <w:color w:val="FFFFFF"/>
                <w:szCs w:val="24"/>
                <w:lang w:val="en-US" w:eastAsia="es-ES"/>
              </w:rPr>
            </w:pPr>
            <w:bookmarkStart w:id="4" w:name="_Toc299133036"/>
            <w:r w:rsidRPr="00AD46E2">
              <w:rPr>
                <w:rFonts w:ascii="Calibri" w:eastAsia="Times New Roman" w:hAnsi="Calibri" w:cs="Calibri"/>
                <w:b/>
                <w:color w:val="FFFFFF"/>
                <w:lang w:val="en-US" w:eastAsia="es-ES"/>
              </w:rPr>
              <w:t>1. Monitoring and Evaluation</w:t>
            </w:r>
          </w:p>
        </w:tc>
        <w:tc>
          <w:tcPr>
            <w:tcW w:w="563" w:type="pct"/>
            <w:shd w:val="clear" w:color="auto" w:fill="7F7F7F"/>
            <w:hideMark/>
          </w:tcPr>
          <w:p w:rsidR="008157F6" w:rsidRPr="00AD46E2" w:rsidRDefault="008157F6" w:rsidP="00C54B93">
            <w:pPr>
              <w:spacing w:after="0"/>
              <w:ind w:left="0" w:right="0"/>
              <w:jc w:val="center"/>
              <w:rPr>
                <w:rFonts w:ascii="Calibri" w:eastAsia="Times New Roman" w:hAnsi="Calibri" w:cs="Calibri"/>
                <w:b/>
                <w:bCs/>
                <w:color w:val="FFFFFF"/>
                <w:szCs w:val="24"/>
                <w:lang w:val="en-US" w:eastAsia="es-ES"/>
              </w:rPr>
            </w:pPr>
            <w:r w:rsidRPr="00AD46E2">
              <w:rPr>
                <w:rFonts w:ascii="Calibri" w:eastAsia="Times New Roman" w:hAnsi="Calibri" w:cs="Calibri"/>
                <w:b/>
                <w:i/>
                <w:color w:val="FFFFFF"/>
                <w:lang w:val="en-US" w:eastAsia="es-ES"/>
              </w:rPr>
              <w:t>rating</w:t>
            </w:r>
          </w:p>
        </w:tc>
        <w:tc>
          <w:tcPr>
            <w:tcW w:w="2460" w:type="pct"/>
            <w:shd w:val="clear" w:color="auto" w:fill="7F7F7F"/>
            <w:hideMark/>
          </w:tcPr>
          <w:p w:rsidR="008157F6" w:rsidRPr="00AD46E2" w:rsidRDefault="008157F6" w:rsidP="00C54B93">
            <w:pPr>
              <w:spacing w:after="0"/>
              <w:ind w:left="0" w:right="0"/>
              <w:jc w:val="left"/>
              <w:rPr>
                <w:rFonts w:ascii="Calibri" w:eastAsia="Times New Roman" w:hAnsi="Calibri" w:cs="Calibri"/>
                <w:b/>
                <w:i/>
                <w:color w:val="FFFFFF"/>
                <w:szCs w:val="24"/>
                <w:lang w:val="en-US" w:eastAsia="es-ES"/>
              </w:rPr>
            </w:pPr>
            <w:r w:rsidRPr="00AD46E2">
              <w:rPr>
                <w:rFonts w:ascii="Calibri" w:eastAsia="Times New Roman" w:hAnsi="Calibri" w:cs="Calibri"/>
                <w:b/>
                <w:color w:val="FFFFFF"/>
                <w:lang w:val="en-US" w:eastAsia="es-ES"/>
              </w:rPr>
              <w:t>2. IA</w:t>
            </w:r>
            <w:r w:rsidRPr="00AD46E2">
              <w:rPr>
                <w:rFonts w:ascii="Calibri" w:eastAsia="Times New Roman" w:hAnsi="Calibri" w:cs="Calibri"/>
                <w:lang w:val="en-US" w:eastAsia="es-ES"/>
              </w:rPr>
              <w:t xml:space="preserve"> </w:t>
            </w:r>
            <w:r w:rsidRPr="00AD46E2">
              <w:rPr>
                <w:rFonts w:ascii="Calibri" w:eastAsia="Times New Roman" w:hAnsi="Calibri" w:cs="Calibri"/>
                <w:b/>
                <w:color w:val="FFFFFF"/>
                <w:lang w:val="en-US" w:eastAsia="es-ES"/>
              </w:rPr>
              <w:t>&amp; EA Execution</w:t>
            </w:r>
          </w:p>
        </w:tc>
        <w:tc>
          <w:tcPr>
            <w:tcW w:w="462" w:type="pct"/>
            <w:shd w:val="clear" w:color="auto" w:fill="7F7F7F"/>
            <w:hideMark/>
          </w:tcPr>
          <w:p w:rsidR="008157F6" w:rsidRPr="00AD46E2" w:rsidRDefault="008157F6" w:rsidP="00C54B93">
            <w:pPr>
              <w:spacing w:after="0"/>
              <w:ind w:left="0" w:right="0"/>
              <w:jc w:val="center"/>
              <w:rPr>
                <w:rFonts w:ascii="Calibri" w:eastAsia="Times New Roman" w:hAnsi="Calibri" w:cs="Calibri"/>
                <w:b/>
                <w:i/>
                <w:color w:val="FFFFFF"/>
                <w:szCs w:val="24"/>
                <w:lang w:val="en-US" w:eastAsia="es-ES"/>
              </w:rPr>
            </w:pPr>
            <w:r w:rsidRPr="00AD46E2">
              <w:rPr>
                <w:rFonts w:ascii="Calibri" w:eastAsia="Times New Roman" w:hAnsi="Calibri" w:cs="Calibri"/>
                <w:b/>
                <w:i/>
                <w:color w:val="FFFFFF"/>
                <w:lang w:val="en-US" w:eastAsia="es-ES"/>
              </w:rPr>
              <w:t>rating</w:t>
            </w:r>
          </w:p>
        </w:tc>
      </w:tr>
      <w:tr w:rsidR="008157F6" w:rsidRPr="00AD46E2" w:rsidTr="00C54B93">
        <w:tc>
          <w:tcPr>
            <w:tcW w:w="1514" w:type="pct"/>
            <w:tcBorders>
              <w:top w:val="single" w:sz="4" w:space="0" w:color="000000"/>
              <w:left w:val="single" w:sz="4" w:space="0" w:color="000000"/>
              <w:bottom w:val="single" w:sz="4" w:space="0" w:color="000000"/>
              <w:right w:val="single" w:sz="4" w:space="0" w:color="000000"/>
            </w:tcBorders>
            <w:hideMark/>
          </w:tcPr>
          <w:p w:rsidR="008157F6" w:rsidRPr="00AD46E2" w:rsidRDefault="008157F6" w:rsidP="00C54B93">
            <w:pPr>
              <w:spacing w:after="0"/>
              <w:ind w:left="0" w:right="0"/>
              <w:jc w:val="left"/>
              <w:rPr>
                <w:rFonts w:ascii="Calibri" w:eastAsia="Times New Roman" w:hAnsi="Calibri" w:cs="Calibri"/>
                <w:szCs w:val="24"/>
                <w:lang w:val="en-US" w:eastAsia="es-ES"/>
              </w:rPr>
            </w:pPr>
            <w:r w:rsidRPr="00AD46E2">
              <w:rPr>
                <w:rFonts w:ascii="Calibri" w:eastAsia="Times New Roman" w:hAnsi="Calibri" w:cs="Calibri"/>
                <w:lang w:val="en-US" w:eastAsia="es-ES"/>
              </w:rPr>
              <w:t>M&amp;E design at entry</w:t>
            </w:r>
          </w:p>
        </w:tc>
        <w:tc>
          <w:tcPr>
            <w:tcW w:w="563" w:type="pct"/>
            <w:tcBorders>
              <w:top w:val="single" w:sz="4" w:space="0" w:color="000000"/>
              <w:left w:val="single" w:sz="4" w:space="0" w:color="000000"/>
              <w:right w:val="single" w:sz="4" w:space="0" w:color="000000"/>
            </w:tcBorders>
            <w:hideMark/>
          </w:tcPr>
          <w:p w:rsidR="008157F6" w:rsidRPr="00AD46E2" w:rsidRDefault="008157F6" w:rsidP="00C54B93">
            <w:pPr>
              <w:spacing w:after="0"/>
              <w:ind w:left="0" w:right="0"/>
              <w:jc w:val="left"/>
              <w:rPr>
                <w:rFonts w:ascii="Calibri" w:eastAsia="Times New Roman" w:hAnsi="Calibri" w:cs="Calibri"/>
                <w:szCs w:val="24"/>
                <w:lang w:val="en-US" w:eastAsia="es-ES"/>
              </w:rPr>
            </w:pPr>
            <w:r>
              <w:rPr>
                <w:rFonts w:ascii="Calibri" w:eastAsia="Times New Roman" w:hAnsi="Calibri" w:cs="Calibri"/>
                <w:lang w:val="en-US" w:eastAsia="es-ES"/>
              </w:rPr>
              <w:t>S</w:t>
            </w:r>
          </w:p>
        </w:tc>
        <w:tc>
          <w:tcPr>
            <w:tcW w:w="2460" w:type="pct"/>
            <w:tcBorders>
              <w:top w:val="single" w:sz="4" w:space="0" w:color="000000"/>
              <w:left w:val="single" w:sz="4" w:space="0" w:color="000000"/>
              <w:right w:val="single" w:sz="4" w:space="0" w:color="000000"/>
            </w:tcBorders>
            <w:hideMark/>
          </w:tcPr>
          <w:p w:rsidR="008157F6" w:rsidRPr="00AD46E2" w:rsidRDefault="008157F6" w:rsidP="00C54B93">
            <w:pPr>
              <w:spacing w:after="0"/>
              <w:ind w:left="0" w:right="0"/>
              <w:jc w:val="left"/>
              <w:rPr>
                <w:rFonts w:ascii="Calibri" w:eastAsia="Times New Roman" w:hAnsi="Calibri" w:cs="Calibri"/>
                <w:szCs w:val="24"/>
                <w:lang w:val="en-US" w:eastAsia="es-ES"/>
              </w:rPr>
            </w:pPr>
            <w:r w:rsidRPr="00AD46E2">
              <w:rPr>
                <w:rFonts w:ascii="Calibri" w:eastAsia="Times New Roman" w:hAnsi="Calibri" w:cs="Calibri"/>
                <w:lang w:val="en-US" w:eastAsia="es-ES"/>
              </w:rPr>
              <w:t>Quality of UNDP Implementation</w:t>
            </w:r>
          </w:p>
        </w:tc>
        <w:tc>
          <w:tcPr>
            <w:tcW w:w="462" w:type="pct"/>
            <w:tcBorders>
              <w:top w:val="single" w:sz="4" w:space="0" w:color="000000"/>
              <w:left w:val="single" w:sz="4" w:space="0" w:color="000000"/>
              <w:right w:val="single" w:sz="4" w:space="0" w:color="000000"/>
            </w:tcBorders>
            <w:hideMark/>
          </w:tcPr>
          <w:p w:rsidR="008157F6" w:rsidRPr="00AD46E2" w:rsidRDefault="008157F6" w:rsidP="00C54B93">
            <w:pPr>
              <w:spacing w:after="0"/>
              <w:ind w:left="0" w:right="0"/>
              <w:jc w:val="left"/>
              <w:rPr>
                <w:rFonts w:ascii="Calibri" w:eastAsia="Times New Roman" w:hAnsi="Calibri" w:cs="Calibri"/>
                <w:szCs w:val="24"/>
                <w:lang w:val="en-US" w:eastAsia="es-ES"/>
              </w:rPr>
            </w:pPr>
            <w:r>
              <w:rPr>
                <w:rFonts w:ascii="Calibri" w:eastAsia="Times New Roman" w:hAnsi="Calibri" w:cs="Calibri"/>
                <w:lang w:val="en-US" w:eastAsia="es-ES"/>
              </w:rPr>
              <w:t>S</w:t>
            </w:r>
          </w:p>
        </w:tc>
      </w:tr>
      <w:tr w:rsidR="008157F6" w:rsidRPr="00AD46E2" w:rsidTr="00C54B93">
        <w:tc>
          <w:tcPr>
            <w:tcW w:w="1514" w:type="pct"/>
            <w:tcBorders>
              <w:top w:val="single" w:sz="4" w:space="0" w:color="000000"/>
              <w:left w:val="single" w:sz="4" w:space="0" w:color="000000"/>
              <w:bottom w:val="single" w:sz="4" w:space="0" w:color="000000"/>
              <w:right w:val="single" w:sz="4" w:space="0" w:color="000000"/>
            </w:tcBorders>
            <w:hideMark/>
          </w:tcPr>
          <w:p w:rsidR="008157F6" w:rsidRPr="00AD46E2" w:rsidRDefault="008157F6" w:rsidP="00C54B93">
            <w:pPr>
              <w:spacing w:after="0"/>
              <w:ind w:left="0" w:right="0"/>
              <w:jc w:val="left"/>
              <w:rPr>
                <w:rFonts w:ascii="Calibri" w:eastAsia="Times New Roman" w:hAnsi="Calibri" w:cs="Calibri"/>
                <w:szCs w:val="24"/>
                <w:lang w:val="en-US" w:eastAsia="es-ES"/>
              </w:rPr>
            </w:pPr>
            <w:r w:rsidRPr="00AD46E2">
              <w:rPr>
                <w:rFonts w:ascii="Calibri" w:eastAsia="Times New Roman" w:hAnsi="Calibri" w:cs="Calibri"/>
                <w:lang w:val="en-US" w:eastAsia="es-ES"/>
              </w:rPr>
              <w:t>M&amp;E Plan Implementation</w:t>
            </w:r>
          </w:p>
        </w:tc>
        <w:tc>
          <w:tcPr>
            <w:tcW w:w="563" w:type="pct"/>
            <w:tcBorders>
              <w:top w:val="single" w:sz="4" w:space="0" w:color="000000"/>
              <w:left w:val="single" w:sz="4" w:space="0" w:color="000000"/>
              <w:right w:val="single" w:sz="4" w:space="0" w:color="000000"/>
            </w:tcBorders>
            <w:hideMark/>
          </w:tcPr>
          <w:p w:rsidR="008157F6" w:rsidRPr="00AD46E2" w:rsidRDefault="008157F6" w:rsidP="00C54B93">
            <w:pPr>
              <w:spacing w:after="0"/>
              <w:ind w:left="0" w:right="0"/>
              <w:jc w:val="left"/>
              <w:rPr>
                <w:rFonts w:ascii="Calibri" w:eastAsia="Times New Roman" w:hAnsi="Calibri" w:cs="Calibri"/>
                <w:szCs w:val="24"/>
                <w:lang w:val="en-US" w:eastAsia="es-ES"/>
              </w:rPr>
            </w:pPr>
            <w:r>
              <w:rPr>
                <w:rFonts w:ascii="Calibri" w:eastAsia="Times New Roman" w:hAnsi="Calibri" w:cs="Calibri"/>
                <w:lang w:val="en-US" w:eastAsia="es-ES"/>
              </w:rPr>
              <w:t>S</w:t>
            </w:r>
          </w:p>
        </w:tc>
        <w:tc>
          <w:tcPr>
            <w:tcW w:w="2460" w:type="pct"/>
            <w:tcBorders>
              <w:top w:val="single" w:sz="4" w:space="0" w:color="000000"/>
              <w:left w:val="single" w:sz="4" w:space="0" w:color="000000"/>
              <w:right w:val="single" w:sz="4" w:space="0" w:color="000000"/>
            </w:tcBorders>
            <w:hideMark/>
          </w:tcPr>
          <w:p w:rsidR="008157F6" w:rsidRPr="00AD46E2" w:rsidRDefault="008157F6" w:rsidP="00C54B93">
            <w:pPr>
              <w:spacing w:after="0"/>
              <w:ind w:left="0" w:right="0"/>
              <w:jc w:val="left"/>
              <w:rPr>
                <w:rFonts w:ascii="Calibri" w:eastAsia="Times New Roman" w:hAnsi="Calibri" w:cs="Calibri"/>
                <w:szCs w:val="24"/>
                <w:lang w:val="en-US" w:eastAsia="es-ES"/>
              </w:rPr>
            </w:pPr>
            <w:r w:rsidRPr="00AD46E2">
              <w:rPr>
                <w:rFonts w:ascii="Calibri" w:eastAsia="Times New Roman" w:hAnsi="Calibri" w:cs="Calibri"/>
                <w:lang w:val="en-US" w:eastAsia="es-ES"/>
              </w:rPr>
              <w:t xml:space="preserve">Quality of Execution - Executing Agency </w:t>
            </w:r>
          </w:p>
        </w:tc>
        <w:tc>
          <w:tcPr>
            <w:tcW w:w="462" w:type="pct"/>
            <w:tcBorders>
              <w:top w:val="single" w:sz="4" w:space="0" w:color="000000"/>
              <w:left w:val="single" w:sz="4" w:space="0" w:color="000000"/>
              <w:right w:val="single" w:sz="4" w:space="0" w:color="000000"/>
            </w:tcBorders>
            <w:hideMark/>
          </w:tcPr>
          <w:p w:rsidR="008157F6" w:rsidRPr="00AD46E2" w:rsidRDefault="008157F6" w:rsidP="00C54B93">
            <w:pPr>
              <w:spacing w:after="0"/>
              <w:ind w:left="0" w:right="0"/>
              <w:jc w:val="left"/>
              <w:rPr>
                <w:rFonts w:ascii="Calibri" w:eastAsia="Times New Roman" w:hAnsi="Calibri" w:cs="Calibri"/>
                <w:szCs w:val="24"/>
                <w:lang w:val="en-US" w:eastAsia="es-ES"/>
              </w:rPr>
            </w:pPr>
            <w:r>
              <w:rPr>
                <w:rFonts w:ascii="Calibri" w:eastAsia="Times New Roman" w:hAnsi="Calibri" w:cs="Calibri"/>
                <w:lang w:val="en-US" w:eastAsia="es-ES"/>
              </w:rPr>
              <w:t>S</w:t>
            </w:r>
          </w:p>
        </w:tc>
      </w:tr>
      <w:tr w:rsidR="008157F6" w:rsidRPr="00AD46E2" w:rsidTr="00C54B93">
        <w:tc>
          <w:tcPr>
            <w:tcW w:w="1514" w:type="pct"/>
            <w:tcBorders>
              <w:top w:val="single" w:sz="4" w:space="0" w:color="000000"/>
              <w:left w:val="single" w:sz="4" w:space="0" w:color="000000"/>
              <w:bottom w:val="single" w:sz="4" w:space="0" w:color="000000"/>
              <w:right w:val="single" w:sz="4" w:space="0" w:color="000000"/>
            </w:tcBorders>
            <w:hideMark/>
          </w:tcPr>
          <w:p w:rsidR="008157F6" w:rsidRPr="00AD46E2" w:rsidRDefault="008157F6" w:rsidP="00C54B93">
            <w:pPr>
              <w:spacing w:after="0"/>
              <w:ind w:left="0" w:right="0"/>
              <w:jc w:val="left"/>
              <w:rPr>
                <w:rFonts w:ascii="Calibri" w:eastAsia="Times New Roman" w:hAnsi="Calibri" w:cs="Calibri"/>
                <w:szCs w:val="24"/>
                <w:lang w:val="en-US" w:eastAsia="es-ES"/>
              </w:rPr>
            </w:pPr>
            <w:r w:rsidRPr="00AD46E2">
              <w:rPr>
                <w:rFonts w:ascii="Calibri" w:eastAsia="Times New Roman" w:hAnsi="Calibri" w:cs="Calibri"/>
                <w:lang w:val="en-US" w:eastAsia="es-ES"/>
              </w:rPr>
              <w:t>Overall quality of M&amp;E</w:t>
            </w:r>
          </w:p>
        </w:tc>
        <w:tc>
          <w:tcPr>
            <w:tcW w:w="563" w:type="pct"/>
            <w:tcBorders>
              <w:top w:val="single" w:sz="4" w:space="0" w:color="000000"/>
              <w:left w:val="single" w:sz="4" w:space="0" w:color="000000"/>
              <w:right w:val="single" w:sz="4" w:space="0" w:color="000000"/>
            </w:tcBorders>
            <w:hideMark/>
          </w:tcPr>
          <w:p w:rsidR="008157F6" w:rsidRPr="00AD46E2" w:rsidRDefault="008157F6" w:rsidP="00C54B93">
            <w:pPr>
              <w:spacing w:after="0"/>
              <w:ind w:left="0" w:right="0"/>
              <w:jc w:val="left"/>
              <w:rPr>
                <w:rFonts w:ascii="Calibri" w:eastAsia="Times New Roman" w:hAnsi="Calibri" w:cs="Calibri"/>
                <w:szCs w:val="24"/>
                <w:lang w:val="en-US" w:eastAsia="es-ES"/>
              </w:rPr>
            </w:pPr>
            <w:r>
              <w:rPr>
                <w:rFonts w:ascii="Calibri" w:eastAsia="Times New Roman" w:hAnsi="Calibri" w:cs="Calibri"/>
                <w:lang w:val="en-US" w:eastAsia="es-ES"/>
              </w:rPr>
              <w:t>S</w:t>
            </w:r>
          </w:p>
        </w:tc>
        <w:tc>
          <w:tcPr>
            <w:tcW w:w="2460" w:type="pct"/>
            <w:tcBorders>
              <w:top w:val="single" w:sz="4" w:space="0" w:color="000000"/>
              <w:left w:val="single" w:sz="4" w:space="0" w:color="000000"/>
              <w:right w:val="single" w:sz="4" w:space="0" w:color="000000"/>
            </w:tcBorders>
            <w:hideMark/>
          </w:tcPr>
          <w:p w:rsidR="008157F6" w:rsidRPr="00AD46E2" w:rsidRDefault="008157F6" w:rsidP="00C54B93">
            <w:pPr>
              <w:spacing w:after="0"/>
              <w:ind w:left="0" w:right="0"/>
              <w:jc w:val="left"/>
              <w:rPr>
                <w:rFonts w:ascii="Calibri" w:eastAsia="Times New Roman" w:hAnsi="Calibri" w:cs="Calibri"/>
                <w:szCs w:val="24"/>
                <w:lang w:val="en-US" w:eastAsia="es-ES"/>
              </w:rPr>
            </w:pPr>
            <w:r w:rsidRPr="00AD46E2">
              <w:rPr>
                <w:rFonts w:ascii="Calibri" w:eastAsia="Times New Roman" w:hAnsi="Calibri" w:cs="Calibri"/>
                <w:lang w:val="en-US" w:eastAsia="es-ES"/>
              </w:rPr>
              <w:t>Overall quality of Implementation / Execution</w:t>
            </w:r>
          </w:p>
        </w:tc>
        <w:tc>
          <w:tcPr>
            <w:tcW w:w="462" w:type="pct"/>
            <w:tcBorders>
              <w:top w:val="single" w:sz="4" w:space="0" w:color="000000"/>
              <w:left w:val="single" w:sz="4" w:space="0" w:color="000000"/>
              <w:right w:val="single" w:sz="4" w:space="0" w:color="000000"/>
            </w:tcBorders>
            <w:hideMark/>
          </w:tcPr>
          <w:p w:rsidR="008157F6" w:rsidRPr="00AD46E2" w:rsidRDefault="008157F6" w:rsidP="00C54B93">
            <w:pPr>
              <w:spacing w:after="0"/>
              <w:ind w:left="0" w:right="0"/>
              <w:jc w:val="left"/>
              <w:rPr>
                <w:rFonts w:ascii="Calibri" w:eastAsia="Times New Roman" w:hAnsi="Calibri" w:cs="Calibri"/>
                <w:szCs w:val="24"/>
                <w:lang w:val="en-US" w:eastAsia="es-ES"/>
              </w:rPr>
            </w:pPr>
            <w:r>
              <w:rPr>
                <w:rFonts w:ascii="Calibri" w:eastAsia="Times New Roman" w:hAnsi="Calibri" w:cs="Calibri"/>
                <w:lang w:val="en-US" w:eastAsia="es-ES"/>
              </w:rPr>
              <w:t>S</w:t>
            </w:r>
          </w:p>
        </w:tc>
      </w:tr>
      <w:tr w:rsidR="008157F6" w:rsidRPr="00AD46E2" w:rsidTr="00C54B93">
        <w:tc>
          <w:tcPr>
            <w:tcW w:w="1514" w:type="pct"/>
            <w:shd w:val="clear" w:color="auto" w:fill="7F7F7F"/>
            <w:hideMark/>
          </w:tcPr>
          <w:p w:rsidR="008157F6" w:rsidRPr="00AD46E2" w:rsidRDefault="008157F6" w:rsidP="00C54B93">
            <w:pPr>
              <w:spacing w:after="0"/>
              <w:ind w:left="0" w:right="0"/>
              <w:contextualSpacing/>
              <w:jc w:val="left"/>
              <w:rPr>
                <w:rFonts w:ascii="Calibri" w:eastAsia="Times New Roman" w:hAnsi="Calibri" w:cs="Calibri"/>
                <w:b/>
                <w:bCs/>
                <w:color w:val="FFFFFF"/>
                <w:lang w:val="en-US"/>
              </w:rPr>
            </w:pPr>
            <w:r w:rsidRPr="00AD46E2">
              <w:rPr>
                <w:rFonts w:ascii="Calibri" w:eastAsia="Times New Roman" w:hAnsi="Calibri" w:cs="Calibri"/>
                <w:b/>
                <w:bCs/>
                <w:color w:val="FFFFFF"/>
                <w:lang w:val="en-US"/>
              </w:rPr>
              <w:t xml:space="preserve">3. Assessment of Outcomes </w:t>
            </w:r>
          </w:p>
        </w:tc>
        <w:tc>
          <w:tcPr>
            <w:tcW w:w="563" w:type="pct"/>
            <w:shd w:val="clear" w:color="auto" w:fill="7F7F7F"/>
            <w:hideMark/>
          </w:tcPr>
          <w:p w:rsidR="008157F6" w:rsidRPr="00AD46E2" w:rsidRDefault="008157F6" w:rsidP="00C54B93">
            <w:pPr>
              <w:spacing w:after="0"/>
              <w:ind w:left="0" w:right="0"/>
              <w:contextualSpacing/>
              <w:jc w:val="center"/>
              <w:rPr>
                <w:rFonts w:ascii="Calibri" w:eastAsia="Times New Roman" w:hAnsi="Calibri" w:cs="Calibri"/>
                <w:b/>
                <w:bCs/>
                <w:color w:val="FFFFFF"/>
                <w:lang w:val="en-US"/>
              </w:rPr>
            </w:pPr>
            <w:r w:rsidRPr="00AD46E2">
              <w:rPr>
                <w:rFonts w:ascii="Calibri" w:eastAsia="Times New Roman" w:hAnsi="Calibri" w:cs="Calibri"/>
                <w:b/>
                <w:bCs/>
                <w:color w:val="FFFFFF"/>
                <w:lang w:val="en-US"/>
              </w:rPr>
              <w:t>rating</w:t>
            </w:r>
          </w:p>
        </w:tc>
        <w:tc>
          <w:tcPr>
            <w:tcW w:w="2460" w:type="pct"/>
            <w:shd w:val="clear" w:color="auto" w:fill="7F7F7F"/>
            <w:hideMark/>
          </w:tcPr>
          <w:p w:rsidR="008157F6" w:rsidRPr="00AD46E2" w:rsidRDefault="008157F6" w:rsidP="00C54B93">
            <w:pPr>
              <w:spacing w:after="0"/>
              <w:ind w:left="0" w:right="0"/>
              <w:contextualSpacing/>
              <w:jc w:val="left"/>
              <w:rPr>
                <w:rFonts w:ascii="Calibri" w:eastAsia="Times New Roman" w:hAnsi="Calibri" w:cs="Calibri"/>
                <w:b/>
                <w:bCs/>
                <w:color w:val="FFFFFF"/>
                <w:lang w:val="en-US"/>
              </w:rPr>
            </w:pPr>
            <w:r w:rsidRPr="00AD46E2">
              <w:rPr>
                <w:rFonts w:ascii="Calibri" w:eastAsia="Times New Roman" w:hAnsi="Calibri" w:cs="Calibri"/>
                <w:b/>
                <w:bCs/>
                <w:color w:val="FFFFFF"/>
                <w:lang w:val="en-US"/>
              </w:rPr>
              <w:t>4. Sustainability</w:t>
            </w:r>
          </w:p>
        </w:tc>
        <w:tc>
          <w:tcPr>
            <w:tcW w:w="462" w:type="pct"/>
            <w:shd w:val="clear" w:color="auto" w:fill="7F7F7F"/>
            <w:hideMark/>
          </w:tcPr>
          <w:p w:rsidR="008157F6" w:rsidRPr="00AD46E2" w:rsidRDefault="008157F6" w:rsidP="00C54B93">
            <w:pPr>
              <w:spacing w:after="0"/>
              <w:ind w:left="0" w:right="0"/>
              <w:contextualSpacing/>
              <w:jc w:val="center"/>
              <w:rPr>
                <w:rFonts w:ascii="Calibri" w:eastAsia="Times New Roman" w:hAnsi="Calibri" w:cs="Calibri"/>
                <w:b/>
                <w:bCs/>
                <w:color w:val="FFFFFF"/>
                <w:lang w:val="en-US"/>
              </w:rPr>
            </w:pPr>
            <w:r w:rsidRPr="00AD46E2">
              <w:rPr>
                <w:rFonts w:ascii="Calibri" w:eastAsia="Times New Roman" w:hAnsi="Calibri" w:cs="Calibri"/>
                <w:b/>
                <w:bCs/>
                <w:color w:val="FFFFFF"/>
                <w:lang w:val="en-US"/>
              </w:rPr>
              <w:t>rating</w:t>
            </w:r>
          </w:p>
        </w:tc>
      </w:tr>
      <w:tr w:rsidR="008157F6" w:rsidRPr="00AD46E2" w:rsidTr="00C54B93">
        <w:tc>
          <w:tcPr>
            <w:tcW w:w="1514" w:type="pct"/>
            <w:tcBorders>
              <w:top w:val="single" w:sz="4" w:space="0" w:color="000000"/>
              <w:left w:val="single" w:sz="4" w:space="0" w:color="000000"/>
              <w:bottom w:val="single" w:sz="4" w:space="0" w:color="000000"/>
              <w:right w:val="single" w:sz="4" w:space="0" w:color="000000"/>
            </w:tcBorders>
            <w:hideMark/>
          </w:tcPr>
          <w:p w:rsidR="008157F6" w:rsidRPr="00AD46E2" w:rsidRDefault="008157F6" w:rsidP="00C54B93">
            <w:pPr>
              <w:spacing w:after="0"/>
              <w:ind w:left="0" w:right="0"/>
              <w:jc w:val="left"/>
              <w:rPr>
                <w:rFonts w:ascii="Calibri" w:eastAsia="Times New Roman" w:hAnsi="Calibri" w:cs="Calibri"/>
                <w:szCs w:val="24"/>
                <w:lang w:val="en-US" w:eastAsia="es-ES"/>
              </w:rPr>
            </w:pPr>
            <w:r w:rsidRPr="00AD46E2">
              <w:rPr>
                <w:rFonts w:ascii="Calibri" w:eastAsia="Times New Roman" w:hAnsi="Calibri" w:cs="Calibri"/>
                <w:lang w:val="en-US" w:eastAsia="es-ES"/>
              </w:rPr>
              <w:t xml:space="preserve">Relevance </w:t>
            </w:r>
          </w:p>
        </w:tc>
        <w:tc>
          <w:tcPr>
            <w:tcW w:w="563" w:type="pct"/>
            <w:tcBorders>
              <w:top w:val="single" w:sz="4" w:space="0" w:color="000000"/>
              <w:left w:val="single" w:sz="4" w:space="0" w:color="000000"/>
              <w:bottom w:val="single" w:sz="4" w:space="0" w:color="000000"/>
              <w:right w:val="single" w:sz="4" w:space="0" w:color="000000"/>
            </w:tcBorders>
            <w:hideMark/>
          </w:tcPr>
          <w:p w:rsidR="008157F6" w:rsidRPr="00AD46E2" w:rsidRDefault="008157F6" w:rsidP="00C54B93">
            <w:pPr>
              <w:spacing w:after="0"/>
              <w:ind w:left="0" w:right="0"/>
              <w:jc w:val="left"/>
              <w:rPr>
                <w:rFonts w:ascii="Calibri" w:eastAsia="Times New Roman" w:hAnsi="Calibri" w:cs="Calibri"/>
                <w:szCs w:val="24"/>
                <w:lang w:val="en-US" w:eastAsia="es-ES"/>
              </w:rPr>
            </w:pPr>
            <w:r>
              <w:rPr>
                <w:rStyle w:val="CommentReference"/>
              </w:rPr>
              <w:commentReference w:id="5"/>
            </w:r>
            <w:r>
              <w:rPr>
                <w:rFonts w:ascii="Calibri" w:eastAsia="Times New Roman" w:hAnsi="Calibri" w:cs="Calibri"/>
                <w:lang w:val="en-US" w:eastAsia="es-ES"/>
              </w:rPr>
              <w:t>R</w:t>
            </w:r>
          </w:p>
        </w:tc>
        <w:tc>
          <w:tcPr>
            <w:tcW w:w="2460" w:type="pct"/>
            <w:tcBorders>
              <w:top w:val="single" w:sz="4" w:space="0" w:color="000000"/>
              <w:left w:val="single" w:sz="4" w:space="0" w:color="000000"/>
              <w:bottom w:val="single" w:sz="4" w:space="0" w:color="000000"/>
              <w:right w:val="single" w:sz="4" w:space="0" w:color="000000"/>
            </w:tcBorders>
            <w:hideMark/>
          </w:tcPr>
          <w:p w:rsidR="008157F6" w:rsidRPr="00AD46E2" w:rsidRDefault="008157F6" w:rsidP="00C54B93">
            <w:pPr>
              <w:spacing w:after="0"/>
              <w:ind w:left="0" w:right="0"/>
              <w:jc w:val="left"/>
              <w:rPr>
                <w:rFonts w:ascii="Calibri" w:eastAsia="Times New Roman" w:hAnsi="Calibri" w:cs="Calibri"/>
                <w:szCs w:val="24"/>
                <w:lang w:val="en-US" w:eastAsia="es-ES"/>
              </w:rPr>
            </w:pPr>
            <w:r w:rsidRPr="00AD46E2">
              <w:rPr>
                <w:rFonts w:ascii="Calibri" w:eastAsia="Times New Roman" w:hAnsi="Calibri" w:cs="Calibri"/>
                <w:lang w:val="en-US" w:eastAsia="es-ES"/>
              </w:rPr>
              <w:t>Financial resources:</w:t>
            </w:r>
          </w:p>
        </w:tc>
        <w:tc>
          <w:tcPr>
            <w:tcW w:w="462" w:type="pct"/>
            <w:tcBorders>
              <w:top w:val="single" w:sz="4" w:space="0" w:color="000000"/>
              <w:left w:val="single" w:sz="4" w:space="0" w:color="000000"/>
              <w:bottom w:val="single" w:sz="4" w:space="0" w:color="000000"/>
              <w:right w:val="single" w:sz="4" w:space="0" w:color="000000"/>
            </w:tcBorders>
            <w:hideMark/>
          </w:tcPr>
          <w:p w:rsidR="008157F6" w:rsidRPr="00AD46E2" w:rsidRDefault="008157F6" w:rsidP="00C54B93">
            <w:pPr>
              <w:spacing w:after="0"/>
              <w:ind w:left="0" w:right="0"/>
              <w:jc w:val="left"/>
              <w:rPr>
                <w:rFonts w:ascii="Calibri" w:eastAsia="Times New Roman" w:hAnsi="Calibri" w:cs="Calibri"/>
                <w:szCs w:val="24"/>
                <w:lang w:val="en-US" w:eastAsia="es-ES"/>
              </w:rPr>
            </w:pPr>
            <w:r>
              <w:rPr>
                <w:rFonts w:ascii="Calibri" w:eastAsia="Times New Roman" w:hAnsi="Calibri" w:cs="Calibri"/>
                <w:lang w:val="en-US" w:eastAsia="es-ES"/>
              </w:rPr>
              <w:t>L</w:t>
            </w:r>
          </w:p>
        </w:tc>
      </w:tr>
      <w:tr w:rsidR="008157F6" w:rsidRPr="00AD46E2" w:rsidTr="00C54B93">
        <w:tc>
          <w:tcPr>
            <w:tcW w:w="1514" w:type="pct"/>
            <w:tcBorders>
              <w:top w:val="single" w:sz="4" w:space="0" w:color="000000"/>
              <w:left w:val="single" w:sz="4" w:space="0" w:color="000000"/>
              <w:bottom w:val="single" w:sz="4" w:space="0" w:color="000000"/>
              <w:right w:val="single" w:sz="4" w:space="0" w:color="000000"/>
            </w:tcBorders>
            <w:hideMark/>
          </w:tcPr>
          <w:p w:rsidR="008157F6" w:rsidRPr="00AD46E2" w:rsidRDefault="008157F6" w:rsidP="00C54B93">
            <w:pPr>
              <w:spacing w:after="0"/>
              <w:ind w:left="0" w:right="0"/>
              <w:jc w:val="left"/>
              <w:rPr>
                <w:rFonts w:ascii="Calibri" w:eastAsia="Times New Roman" w:hAnsi="Calibri" w:cs="Calibri"/>
                <w:szCs w:val="24"/>
                <w:lang w:val="en-US" w:eastAsia="es-ES"/>
              </w:rPr>
            </w:pPr>
            <w:r w:rsidRPr="00AD46E2">
              <w:rPr>
                <w:rFonts w:ascii="Calibri" w:eastAsia="Times New Roman" w:hAnsi="Calibri" w:cs="Calibri"/>
                <w:lang w:val="en-US" w:eastAsia="es-ES"/>
              </w:rPr>
              <w:t>Effectiveness</w:t>
            </w:r>
          </w:p>
        </w:tc>
        <w:tc>
          <w:tcPr>
            <w:tcW w:w="563" w:type="pct"/>
            <w:tcBorders>
              <w:top w:val="single" w:sz="4" w:space="0" w:color="000000"/>
              <w:left w:val="single" w:sz="4" w:space="0" w:color="000000"/>
              <w:bottom w:val="single" w:sz="4" w:space="0" w:color="000000"/>
              <w:right w:val="single" w:sz="4" w:space="0" w:color="000000"/>
            </w:tcBorders>
            <w:hideMark/>
          </w:tcPr>
          <w:p w:rsidR="008157F6" w:rsidRPr="00AD46E2" w:rsidRDefault="008157F6" w:rsidP="00C54B93">
            <w:pPr>
              <w:spacing w:after="0"/>
              <w:ind w:left="0" w:right="0"/>
              <w:jc w:val="left"/>
              <w:rPr>
                <w:rFonts w:ascii="Calibri" w:eastAsia="Times New Roman" w:hAnsi="Calibri" w:cs="Calibri"/>
                <w:szCs w:val="24"/>
                <w:lang w:val="en-US" w:eastAsia="es-ES"/>
              </w:rPr>
            </w:pPr>
            <w:r>
              <w:rPr>
                <w:rFonts w:ascii="Calibri" w:eastAsia="Times New Roman" w:hAnsi="Calibri" w:cs="Calibri"/>
                <w:lang w:val="en-US" w:eastAsia="es-ES"/>
              </w:rPr>
              <w:t>MS</w:t>
            </w:r>
          </w:p>
        </w:tc>
        <w:tc>
          <w:tcPr>
            <w:tcW w:w="2460" w:type="pct"/>
            <w:tcBorders>
              <w:top w:val="single" w:sz="4" w:space="0" w:color="000000"/>
              <w:left w:val="single" w:sz="4" w:space="0" w:color="000000"/>
              <w:bottom w:val="single" w:sz="4" w:space="0" w:color="000000"/>
              <w:right w:val="single" w:sz="4" w:space="0" w:color="000000"/>
            </w:tcBorders>
            <w:hideMark/>
          </w:tcPr>
          <w:p w:rsidR="008157F6" w:rsidRPr="00AD46E2" w:rsidRDefault="008157F6" w:rsidP="00C54B93">
            <w:pPr>
              <w:spacing w:after="0"/>
              <w:ind w:left="0" w:right="0"/>
              <w:jc w:val="left"/>
              <w:rPr>
                <w:rFonts w:ascii="Calibri" w:eastAsia="Times New Roman" w:hAnsi="Calibri" w:cs="Calibri"/>
                <w:szCs w:val="24"/>
                <w:lang w:val="en-US" w:eastAsia="es-ES"/>
              </w:rPr>
            </w:pPr>
            <w:r w:rsidRPr="00AD46E2">
              <w:rPr>
                <w:rFonts w:ascii="Calibri" w:eastAsia="Times New Roman" w:hAnsi="Calibri" w:cs="Calibri"/>
                <w:lang w:val="en-US" w:eastAsia="es-ES"/>
              </w:rPr>
              <w:t>Socio-political:</w:t>
            </w:r>
          </w:p>
        </w:tc>
        <w:tc>
          <w:tcPr>
            <w:tcW w:w="462" w:type="pct"/>
            <w:tcBorders>
              <w:top w:val="single" w:sz="4" w:space="0" w:color="000000"/>
              <w:left w:val="single" w:sz="4" w:space="0" w:color="000000"/>
              <w:bottom w:val="single" w:sz="4" w:space="0" w:color="000000"/>
              <w:right w:val="single" w:sz="4" w:space="0" w:color="000000"/>
            </w:tcBorders>
            <w:hideMark/>
          </w:tcPr>
          <w:p w:rsidR="008157F6" w:rsidRPr="00AD46E2" w:rsidRDefault="008157F6" w:rsidP="00C54B93">
            <w:pPr>
              <w:spacing w:after="0"/>
              <w:ind w:left="0" w:right="0"/>
              <w:jc w:val="left"/>
              <w:rPr>
                <w:rFonts w:ascii="Calibri" w:eastAsia="Times New Roman" w:hAnsi="Calibri" w:cs="Calibri"/>
                <w:szCs w:val="24"/>
                <w:lang w:val="en-US" w:eastAsia="es-ES"/>
              </w:rPr>
            </w:pPr>
            <w:r>
              <w:rPr>
                <w:rFonts w:ascii="Calibri" w:eastAsia="Times New Roman" w:hAnsi="Calibri" w:cs="Calibri"/>
                <w:lang w:val="en-US" w:eastAsia="es-ES"/>
              </w:rPr>
              <w:t>L</w:t>
            </w:r>
          </w:p>
        </w:tc>
      </w:tr>
      <w:tr w:rsidR="008157F6" w:rsidRPr="00AD46E2" w:rsidTr="00C54B93">
        <w:tc>
          <w:tcPr>
            <w:tcW w:w="1514" w:type="pct"/>
            <w:tcBorders>
              <w:top w:val="single" w:sz="4" w:space="0" w:color="000000"/>
              <w:left w:val="single" w:sz="4" w:space="0" w:color="000000"/>
              <w:bottom w:val="single" w:sz="4" w:space="0" w:color="000000"/>
              <w:right w:val="single" w:sz="4" w:space="0" w:color="000000"/>
            </w:tcBorders>
            <w:hideMark/>
          </w:tcPr>
          <w:p w:rsidR="008157F6" w:rsidRPr="00AD46E2" w:rsidRDefault="008157F6" w:rsidP="00C54B93">
            <w:pPr>
              <w:spacing w:after="0"/>
              <w:ind w:left="0" w:right="0"/>
              <w:jc w:val="left"/>
              <w:rPr>
                <w:rFonts w:ascii="Calibri" w:eastAsia="Times New Roman" w:hAnsi="Calibri" w:cs="Calibri"/>
                <w:szCs w:val="24"/>
                <w:lang w:val="en-US" w:eastAsia="es-ES"/>
              </w:rPr>
            </w:pPr>
            <w:r w:rsidRPr="00AD46E2">
              <w:rPr>
                <w:rFonts w:ascii="Calibri" w:eastAsia="Times New Roman" w:hAnsi="Calibri" w:cs="Calibri"/>
                <w:lang w:val="en-US" w:eastAsia="es-ES"/>
              </w:rPr>
              <w:t xml:space="preserve">Efficiency </w:t>
            </w:r>
          </w:p>
        </w:tc>
        <w:tc>
          <w:tcPr>
            <w:tcW w:w="563" w:type="pct"/>
            <w:tcBorders>
              <w:top w:val="single" w:sz="4" w:space="0" w:color="000000"/>
              <w:left w:val="single" w:sz="4" w:space="0" w:color="000000"/>
              <w:bottom w:val="single" w:sz="4" w:space="0" w:color="000000"/>
              <w:right w:val="single" w:sz="4" w:space="0" w:color="000000"/>
            </w:tcBorders>
            <w:hideMark/>
          </w:tcPr>
          <w:p w:rsidR="008157F6" w:rsidRPr="00AD46E2" w:rsidRDefault="008157F6" w:rsidP="00C54B93">
            <w:pPr>
              <w:spacing w:after="0"/>
              <w:ind w:left="0" w:right="0"/>
              <w:jc w:val="left"/>
              <w:rPr>
                <w:rFonts w:ascii="Calibri" w:eastAsia="Times New Roman" w:hAnsi="Calibri" w:cs="Calibri"/>
                <w:szCs w:val="24"/>
                <w:lang w:val="en-US" w:eastAsia="es-ES"/>
              </w:rPr>
            </w:pPr>
            <w:r>
              <w:rPr>
                <w:rFonts w:ascii="Calibri" w:eastAsia="Times New Roman" w:hAnsi="Calibri" w:cs="Calibri"/>
                <w:lang w:val="en-US" w:eastAsia="es-ES"/>
              </w:rPr>
              <w:t>HS</w:t>
            </w:r>
          </w:p>
        </w:tc>
        <w:tc>
          <w:tcPr>
            <w:tcW w:w="2460" w:type="pct"/>
            <w:tcBorders>
              <w:top w:val="single" w:sz="4" w:space="0" w:color="000000"/>
              <w:left w:val="single" w:sz="4" w:space="0" w:color="000000"/>
              <w:bottom w:val="single" w:sz="4" w:space="0" w:color="000000"/>
              <w:right w:val="single" w:sz="4" w:space="0" w:color="000000"/>
            </w:tcBorders>
            <w:hideMark/>
          </w:tcPr>
          <w:p w:rsidR="008157F6" w:rsidRPr="00AD46E2" w:rsidRDefault="008157F6" w:rsidP="00C54B93">
            <w:pPr>
              <w:spacing w:after="0"/>
              <w:ind w:left="0" w:right="0"/>
              <w:jc w:val="left"/>
              <w:rPr>
                <w:rFonts w:ascii="Calibri" w:eastAsia="Times New Roman" w:hAnsi="Calibri" w:cs="Calibri"/>
                <w:szCs w:val="24"/>
                <w:lang w:val="en-US" w:eastAsia="es-ES"/>
              </w:rPr>
            </w:pPr>
            <w:r w:rsidRPr="00AD46E2">
              <w:rPr>
                <w:rFonts w:ascii="Calibri" w:eastAsia="Times New Roman" w:hAnsi="Calibri" w:cs="Calibri"/>
                <w:lang w:val="en-US" w:eastAsia="es-ES"/>
              </w:rPr>
              <w:t>Institutional framework and governance:</w:t>
            </w:r>
          </w:p>
        </w:tc>
        <w:tc>
          <w:tcPr>
            <w:tcW w:w="462" w:type="pct"/>
            <w:tcBorders>
              <w:top w:val="single" w:sz="4" w:space="0" w:color="000000"/>
              <w:left w:val="single" w:sz="4" w:space="0" w:color="000000"/>
              <w:bottom w:val="single" w:sz="4" w:space="0" w:color="000000"/>
              <w:right w:val="single" w:sz="4" w:space="0" w:color="000000"/>
            </w:tcBorders>
            <w:hideMark/>
          </w:tcPr>
          <w:p w:rsidR="008157F6" w:rsidRPr="00AD46E2" w:rsidRDefault="008157F6" w:rsidP="00C54B93">
            <w:pPr>
              <w:spacing w:after="0"/>
              <w:ind w:left="0" w:right="0"/>
              <w:jc w:val="left"/>
              <w:rPr>
                <w:rFonts w:ascii="Calibri" w:eastAsia="Times New Roman" w:hAnsi="Calibri" w:cs="Calibri"/>
                <w:szCs w:val="24"/>
                <w:lang w:val="en-US" w:eastAsia="es-ES"/>
              </w:rPr>
            </w:pPr>
            <w:r>
              <w:rPr>
                <w:rFonts w:ascii="Calibri" w:eastAsia="Times New Roman" w:hAnsi="Calibri" w:cs="Calibri"/>
                <w:lang w:val="en-US" w:eastAsia="es-ES"/>
              </w:rPr>
              <w:t>L</w:t>
            </w:r>
          </w:p>
        </w:tc>
      </w:tr>
      <w:tr w:rsidR="008157F6" w:rsidRPr="00AD46E2" w:rsidTr="00C54B93">
        <w:tc>
          <w:tcPr>
            <w:tcW w:w="1514" w:type="pct"/>
            <w:tcBorders>
              <w:top w:val="single" w:sz="4" w:space="0" w:color="000000"/>
              <w:left w:val="single" w:sz="4" w:space="0" w:color="000000"/>
              <w:bottom w:val="single" w:sz="4" w:space="0" w:color="000000"/>
              <w:right w:val="single" w:sz="4" w:space="0" w:color="000000"/>
            </w:tcBorders>
            <w:hideMark/>
          </w:tcPr>
          <w:p w:rsidR="008157F6" w:rsidRPr="00AD46E2" w:rsidRDefault="008157F6" w:rsidP="00C54B93">
            <w:pPr>
              <w:spacing w:after="0"/>
              <w:ind w:left="0" w:right="0"/>
              <w:jc w:val="left"/>
              <w:rPr>
                <w:rFonts w:ascii="Calibri" w:eastAsia="Times New Roman" w:hAnsi="Calibri" w:cs="Calibri"/>
                <w:szCs w:val="24"/>
                <w:lang w:val="en-US" w:eastAsia="es-ES"/>
              </w:rPr>
            </w:pPr>
            <w:r w:rsidRPr="00AD46E2">
              <w:rPr>
                <w:rFonts w:ascii="Calibri" w:eastAsia="Times New Roman" w:hAnsi="Calibri" w:cs="Calibri"/>
                <w:lang w:val="en-US" w:eastAsia="es-ES"/>
              </w:rPr>
              <w:t>Overall Project Outcome Rating</w:t>
            </w:r>
          </w:p>
        </w:tc>
        <w:tc>
          <w:tcPr>
            <w:tcW w:w="563" w:type="pct"/>
            <w:tcBorders>
              <w:top w:val="single" w:sz="4" w:space="0" w:color="000000"/>
              <w:left w:val="single" w:sz="4" w:space="0" w:color="000000"/>
              <w:bottom w:val="single" w:sz="4" w:space="0" w:color="000000"/>
              <w:right w:val="single" w:sz="4" w:space="0" w:color="000000"/>
            </w:tcBorders>
            <w:hideMark/>
          </w:tcPr>
          <w:p w:rsidR="008157F6" w:rsidRPr="00AD46E2" w:rsidRDefault="008157F6" w:rsidP="00C54B93">
            <w:pPr>
              <w:spacing w:after="0"/>
              <w:ind w:left="0" w:right="0"/>
              <w:jc w:val="left"/>
              <w:rPr>
                <w:rFonts w:ascii="Calibri" w:eastAsia="Times New Roman" w:hAnsi="Calibri" w:cs="Calibri"/>
                <w:szCs w:val="24"/>
                <w:lang w:val="en-US" w:eastAsia="es-ES"/>
              </w:rPr>
            </w:pPr>
            <w:r>
              <w:rPr>
                <w:rFonts w:ascii="Calibri" w:eastAsia="Times New Roman" w:hAnsi="Calibri" w:cs="Calibri"/>
                <w:lang w:val="en-US" w:eastAsia="es-ES"/>
              </w:rPr>
              <w:t>MS</w:t>
            </w:r>
          </w:p>
        </w:tc>
        <w:tc>
          <w:tcPr>
            <w:tcW w:w="2460" w:type="pct"/>
            <w:tcBorders>
              <w:top w:val="single" w:sz="4" w:space="0" w:color="000000"/>
              <w:left w:val="single" w:sz="4" w:space="0" w:color="000000"/>
              <w:bottom w:val="single" w:sz="4" w:space="0" w:color="000000"/>
              <w:right w:val="single" w:sz="4" w:space="0" w:color="000000"/>
            </w:tcBorders>
            <w:hideMark/>
          </w:tcPr>
          <w:p w:rsidR="008157F6" w:rsidRPr="00AD46E2" w:rsidRDefault="008157F6" w:rsidP="00C54B93">
            <w:pPr>
              <w:spacing w:after="0"/>
              <w:ind w:left="0" w:right="0"/>
              <w:jc w:val="left"/>
              <w:rPr>
                <w:rFonts w:ascii="Calibri" w:eastAsia="Times New Roman" w:hAnsi="Calibri" w:cs="Calibri"/>
                <w:szCs w:val="24"/>
                <w:lang w:val="en-US" w:eastAsia="es-ES"/>
              </w:rPr>
            </w:pPr>
            <w:r w:rsidRPr="00AD46E2">
              <w:rPr>
                <w:rFonts w:ascii="Calibri" w:eastAsia="Times New Roman" w:hAnsi="Calibri" w:cs="Calibri"/>
                <w:lang w:val="en-US" w:eastAsia="es-ES"/>
              </w:rPr>
              <w:t>Environmental :</w:t>
            </w:r>
          </w:p>
        </w:tc>
        <w:tc>
          <w:tcPr>
            <w:tcW w:w="462" w:type="pct"/>
            <w:tcBorders>
              <w:top w:val="single" w:sz="4" w:space="0" w:color="000000"/>
              <w:left w:val="single" w:sz="4" w:space="0" w:color="000000"/>
              <w:bottom w:val="single" w:sz="4" w:space="0" w:color="000000"/>
              <w:right w:val="single" w:sz="4" w:space="0" w:color="000000"/>
            </w:tcBorders>
            <w:hideMark/>
          </w:tcPr>
          <w:p w:rsidR="008157F6" w:rsidRPr="00AD46E2" w:rsidRDefault="008157F6" w:rsidP="00C54B93">
            <w:pPr>
              <w:spacing w:after="0"/>
              <w:ind w:left="0" w:right="0"/>
              <w:jc w:val="left"/>
              <w:rPr>
                <w:rFonts w:ascii="Calibri" w:eastAsia="Times New Roman" w:hAnsi="Calibri" w:cs="Calibri"/>
                <w:szCs w:val="24"/>
                <w:lang w:val="en-US" w:eastAsia="es-ES"/>
              </w:rPr>
            </w:pPr>
            <w:r>
              <w:rPr>
                <w:rFonts w:ascii="Calibri" w:eastAsia="Times New Roman" w:hAnsi="Calibri" w:cs="Calibri"/>
                <w:lang w:val="en-US" w:eastAsia="es-ES"/>
              </w:rPr>
              <w:t>L</w:t>
            </w:r>
          </w:p>
        </w:tc>
      </w:tr>
      <w:tr w:rsidR="008157F6" w:rsidRPr="00AD46E2" w:rsidTr="00C54B93">
        <w:tc>
          <w:tcPr>
            <w:tcW w:w="1514" w:type="pct"/>
            <w:tcBorders>
              <w:top w:val="single" w:sz="4" w:space="0" w:color="000000"/>
              <w:left w:val="single" w:sz="4" w:space="0" w:color="000000"/>
              <w:bottom w:val="single" w:sz="4" w:space="0" w:color="000000"/>
              <w:right w:val="single" w:sz="4" w:space="0" w:color="000000"/>
            </w:tcBorders>
          </w:tcPr>
          <w:p w:rsidR="008157F6" w:rsidRPr="00AD46E2" w:rsidRDefault="008157F6" w:rsidP="00C54B93">
            <w:pPr>
              <w:spacing w:after="0"/>
              <w:ind w:left="0" w:right="0"/>
              <w:jc w:val="left"/>
              <w:rPr>
                <w:rFonts w:ascii="Calibri" w:eastAsia="Times New Roman" w:hAnsi="Calibri" w:cs="Calibri"/>
                <w:szCs w:val="24"/>
                <w:lang w:val="en-US" w:eastAsia="es-ES"/>
              </w:rPr>
            </w:pPr>
          </w:p>
        </w:tc>
        <w:tc>
          <w:tcPr>
            <w:tcW w:w="563" w:type="pct"/>
            <w:tcBorders>
              <w:top w:val="single" w:sz="4" w:space="0" w:color="000000"/>
              <w:left w:val="single" w:sz="4" w:space="0" w:color="000000"/>
              <w:bottom w:val="single" w:sz="4" w:space="0" w:color="000000"/>
              <w:right w:val="single" w:sz="4" w:space="0" w:color="000000"/>
            </w:tcBorders>
          </w:tcPr>
          <w:p w:rsidR="008157F6" w:rsidRPr="00AD46E2" w:rsidRDefault="008157F6" w:rsidP="00C54B93">
            <w:pPr>
              <w:spacing w:after="0"/>
              <w:ind w:left="0" w:right="0"/>
              <w:jc w:val="left"/>
              <w:rPr>
                <w:rFonts w:ascii="Calibri" w:eastAsia="Times New Roman" w:hAnsi="Calibri" w:cs="Calibri"/>
                <w:szCs w:val="24"/>
                <w:lang w:val="en-US" w:eastAsia="es-ES"/>
              </w:rPr>
            </w:pPr>
          </w:p>
        </w:tc>
        <w:tc>
          <w:tcPr>
            <w:tcW w:w="2460" w:type="pct"/>
            <w:tcBorders>
              <w:top w:val="single" w:sz="4" w:space="0" w:color="000000"/>
              <w:left w:val="single" w:sz="4" w:space="0" w:color="000000"/>
              <w:bottom w:val="single" w:sz="4" w:space="0" w:color="000000"/>
              <w:right w:val="single" w:sz="4" w:space="0" w:color="000000"/>
            </w:tcBorders>
            <w:hideMark/>
          </w:tcPr>
          <w:p w:rsidR="008157F6" w:rsidRPr="00AD46E2" w:rsidRDefault="008157F6" w:rsidP="00C54B93">
            <w:pPr>
              <w:spacing w:after="0"/>
              <w:ind w:left="0" w:right="0"/>
              <w:jc w:val="left"/>
              <w:rPr>
                <w:rFonts w:ascii="Calibri" w:eastAsia="Times New Roman" w:hAnsi="Calibri" w:cs="Calibri"/>
                <w:szCs w:val="24"/>
                <w:lang w:val="en-US" w:eastAsia="es-ES"/>
              </w:rPr>
            </w:pPr>
            <w:r w:rsidRPr="00AD46E2">
              <w:rPr>
                <w:rFonts w:ascii="Calibri" w:eastAsia="Times New Roman" w:hAnsi="Calibri" w:cs="Calibri"/>
                <w:lang w:val="en-US" w:eastAsia="es-ES"/>
              </w:rPr>
              <w:t>Overall likelihood of sustainability</w:t>
            </w:r>
          </w:p>
        </w:tc>
        <w:tc>
          <w:tcPr>
            <w:tcW w:w="462" w:type="pct"/>
            <w:tcBorders>
              <w:top w:val="single" w:sz="4" w:space="0" w:color="000000"/>
              <w:left w:val="single" w:sz="4" w:space="0" w:color="000000"/>
              <w:bottom w:val="single" w:sz="4" w:space="0" w:color="000000"/>
              <w:right w:val="single" w:sz="4" w:space="0" w:color="000000"/>
            </w:tcBorders>
            <w:hideMark/>
          </w:tcPr>
          <w:p w:rsidR="008157F6" w:rsidRPr="00AD46E2" w:rsidRDefault="008157F6" w:rsidP="00C54B93">
            <w:pPr>
              <w:spacing w:after="0"/>
              <w:ind w:left="0" w:right="0"/>
              <w:jc w:val="left"/>
              <w:rPr>
                <w:rFonts w:ascii="Calibri" w:eastAsia="Times New Roman" w:hAnsi="Calibri" w:cs="Calibri"/>
                <w:szCs w:val="24"/>
                <w:lang w:val="en-US" w:eastAsia="es-ES"/>
              </w:rPr>
            </w:pPr>
            <w:r>
              <w:rPr>
                <w:rFonts w:ascii="Calibri" w:eastAsia="Times New Roman" w:hAnsi="Calibri" w:cs="Calibri"/>
                <w:lang w:val="en-US" w:eastAsia="es-ES"/>
              </w:rPr>
              <w:t>ML</w:t>
            </w:r>
          </w:p>
        </w:tc>
      </w:tr>
    </w:tbl>
    <w:bookmarkEnd w:id="4"/>
    <w:p w:rsidR="008157F6" w:rsidRDefault="008157F6" w:rsidP="008157F6">
      <w:pPr>
        <w:spacing w:after="0"/>
        <w:ind w:left="0" w:right="0"/>
        <w:rPr>
          <w:bCs/>
          <w:sz w:val="20"/>
          <w:szCs w:val="20"/>
        </w:rPr>
      </w:pPr>
      <w:r>
        <w:rPr>
          <w:bCs/>
          <w:sz w:val="20"/>
          <w:szCs w:val="20"/>
        </w:rPr>
        <w:t>[HS = highly satisfactory, S = satisfactory, MS = moderately satisfactory, L = likely]</w:t>
      </w:r>
    </w:p>
    <w:p w:rsidR="008157F6" w:rsidRPr="00451408" w:rsidRDefault="008157F6" w:rsidP="008157F6">
      <w:pPr>
        <w:spacing w:after="120"/>
        <w:ind w:left="0" w:right="0"/>
        <w:rPr>
          <w:bCs/>
          <w:sz w:val="20"/>
          <w:szCs w:val="20"/>
        </w:rPr>
      </w:pPr>
      <w:r>
        <w:rPr>
          <w:bCs/>
          <w:sz w:val="20"/>
          <w:szCs w:val="20"/>
        </w:rPr>
        <w:t>[</w:t>
      </w:r>
      <w:proofErr w:type="gramStart"/>
      <w:r>
        <w:rPr>
          <w:bCs/>
          <w:sz w:val="20"/>
          <w:szCs w:val="20"/>
        </w:rPr>
        <w:t>s</w:t>
      </w:r>
      <w:r w:rsidRPr="00451408">
        <w:rPr>
          <w:bCs/>
          <w:sz w:val="20"/>
          <w:szCs w:val="20"/>
        </w:rPr>
        <w:t>ee</w:t>
      </w:r>
      <w:proofErr w:type="gramEnd"/>
      <w:r w:rsidRPr="00451408">
        <w:rPr>
          <w:bCs/>
          <w:sz w:val="20"/>
          <w:szCs w:val="20"/>
        </w:rPr>
        <w:t xml:space="preserve"> </w:t>
      </w:r>
      <w:r>
        <w:rPr>
          <w:bCs/>
          <w:sz w:val="20"/>
          <w:szCs w:val="20"/>
        </w:rPr>
        <w:t xml:space="preserve">full </w:t>
      </w:r>
      <w:r w:rsidRPr="00451408">
        <w:rPr>
          <w:bCs/>
          <w:sz w:val="20"/>
          <w:szCs w:val="20"/>
        </w:rPr>
        <w:t>details on ratings in Annex 7</w:t>
      </w:r>
      <w:r>
        <w:rPr>
          <w:bCs/>
          <w:sz w:val="20"/>
          <w:szCs w:val="20"/>
        </w:rPr>
        <w:t>]</w:t>
      </w:r>
    </w:p>
    <w:p w:rsidR="008157F6" w:rsidRPr="002B64FE" w:rsidRDefault="008157F6" w:rsidP="008157F6">
      <w:pPr>
        <w:pStyle w:val="Heading1"/>
        <w:spacing w:before="0" w:after="120"/>
        <w:ind w:left="0" w:right="0"/>
        <w:rPr>
          <w:rFonts w:asciiTheme="minorHAnsi" w:hAnsiTheme="minorHAnsi"/>
          <w:color w:val="auto"/>
          <w:sz w:val="22"/>
          <w:szCs w:val="22"/>
        </w:rPr>
      </w:pPr>
    </w:p>
    <w:p w:rsidR="008157F6" w:rsidRPr="00AD46E2" w:rsidRDefault="008157F6" w:rsidP="008157F6">
      <w:pPr>
        <w:rPr>
          <w:lang w:val="en-US"/>
        </w:rPr>
      </w:pPr>
    </w:p>
    <w:p w:rsidR="008157F6" w:rsidRPr="00451408" w:rsidRDefault="008157F6" w:rsidP="008157F6">
      <w:pPr>
        <w:pStyle w:val="Heading1"/>
        <w:spacing w:before="0" w:after="120"/>
        <w:ind w:left="0" w:right="0"/>
        <w:rPr>
          <w:rFonts w:asciiTheme="minorHAnsi" w:hAnsiTheme="minorHAnsi"/>
          <w:b w:val="0"/>
          <w:bCs w:val="0"/>
          <w:lang w:val="en-US"/>
        </w:rPr>
      </w:pPr>
      <w:bookmarkStart w:id="6" w:name="_Toc346214451"/>
      <w:r w:rsidRPr="00451408">
        <w:rPr>
          <w:rFonts w:asciiTheme="minorHAnsi" w:hAnsiTheme="minorHAnsi"/>
          <w:color w:val="auto"/>
          <w:sz w:val="22"/>
          <w:szCs w:val="22"/>
          <w:lang w:val="en-US"/>
        </w:rPr>
        <w:t>Summary of Conclusions, Lessons Learned</w:t>
      </w:r>
      <w:r>
        <w:rPr>
          <w:rFonts w:asciiTheme="minorHAnsi" w:hAnsiTheme="minorHAnsi"/>
          <w:color w:val="auto"/>
          <w:sz w:val="22"/>
          <w:szCs w:val="22"/>
          <w:lang w:val="en-US"/>
        </w:rPr>
        <w:t xml:space="preserve"> and </w:t>
      </w:r>
      <w:r w:rsidRPr="00451408">
        <w:rPr>
          <w:rFonts w:asciiTheme="minorHAnsi" w:hAnsiTheme="minorHAnsi"/>
          <w:color w:val="auto"/>
          <w:sz w:val="22"/>
          <w:szCs w:val="22"/>
          <w:lang w:val="en-US"/>
        </w:rPr>
        <w:t xml:space="preserve">Recommendations </w:t>
      </w:r>
      <w:bookmarkEnd w:id="6"/>
    </w:p>
    <w:p w:rsidR="008157F6" w:rsidRDefault="008157F6" w:rsidP="008157F6">
      <w:pPr>
        <w:spacing w:after="120"/>
        <w:ind w:left="0" w:right="0"/>
      </w:pPr>
      <w:r w:rsidRPr="0035066C">
        <w:t xml:space="preserve">Based on </w:t>
      </w:r>
      <w:r>
        <w:t>a ca</w:t>
      </w:r>
      <w:r w:rsidRPr="0035066C">
        <w:t>re</w:t>
      </w:r>
      <w:r>
        <w:t xml:space="preserve">ful </w:t>
      </w:r>
      <w:r w:rsidRPr="0035066C">
        <w:t xml:space="preserve">view of the available information, stakeholder interviews, other consultations, field visits and analysis of output – input correlations, the conclusion is that overall, the project has been a success. </w:t>
      </w:r>
    </w:p>
    <w:p w:rsidR="008157F6" w:rsidRDefault="008157F6" w:rsidP="008157F6">
      <w:pPr>
        <w:spacing w:after="0"/>
        <w:ind w:left="0" w:right="0"/>
      </w:pPr>
      <w:r w:rsidRPr="00E36F6A">
        <w:t>In particular, significant achievements have been reached on:</w:t>
      </w:r>
      <w:r w:rsidRPr="00451408">
        <w:t xml:space="preserve"> </w:t>
      </w:r>
    </w:p>
    <w:p w:rsidR="008157F6" w:rsidRDefault="008157F6" w:rsidP="008157F6">
      <w:pPr>
        <w:pStyle w:val="ListParagraph"/>
        <w:numPr>
          <w:ilvl w:val="0"/>
          <w:numId w:val="1"/>
        </w:numPr>
      </w:pPr>
      <w:r>
        <w:t>Up-dating and improving the enabling legal and policy environment for SLM;</w:t>
      </w:r>
    </w:p>
    <w:p w:rsidR="008157F6" w:rsidRDefault="008157F6" w:rsidP="008157F6">
      <w:pPr>
        <w:pStyle w:val="ListParagraph"/>
        <w:numPr>
          <w:ilvl w:val="0"/>
          <w:numId w:val="1"/>
        </w:numPr>
      </w:pPr>
      <w:r>
        <w:t>Preparation and approval of a National Action Plan (NAP);</w:t>
      </w:r>
    </w:p>
    <w:p w:rsidR="008157F6" w:rsidRDefault="008157F6" w:rsidP="008157F6">
      <w:pPr>
        <w:pStyle w:val="ListParagraph"/>
        <w:numPr>
          <w:ilvl w:val="0"/>
          <w:numId w:val="1"/>
        </w:numPr>
      </w:pPr>
      <w:r>
        <w:t>Drafting of an Integrated Financing Strategy (IFS);</w:t>
      </w:r>
    </w:p>
    <w:p w:rsidR="008157F6" w:rsidRDefault="008157F6" w:rsidP="008157F6">
      <w:pPr>
        <w:pStyle w:val="ListParagraph"/>
        <w:numPr>
          <w:ilvl w:val="0"/>
          <w:numId w:val="1"/>
        </w:numPr>
      </w:pPr>
      <w:r>
        <w:t>Capacity building for extension staff, farmers and land owners in SLM;</w:t>
      </w:r>
    </w:p>
    <w:p w:rsidR="008157F6" w:rsidRDefault="008157F6" w:rsidP="008157F6">
      <w:pPr>
        <w:pStyle w:val="ListParagraph"/>
        <w:numPr>
          <w:ilvl w:val="0"/>
          <w:numId w:val="1"/>
        </w:numPr>
      </w:pPr>
      <w:r>
        <w:t>Training of trainers in fire fighting;</w:t>
      </w:r>
    </w:p>
    <w:p w:rsidR="008157F6" w:rsidRDefault="008157F6" w:rsidP="008157F6">
      <w:pPr>
        <w:pStyle w:val="ListParagraph"/>
        <w:numPr>
          <w:ilvl w:val="0"/>
          <w:numId w:val="1"/>
        </w:numPr>
        <w:rPr>
          <w:lang w:val="en-US"/>
        </w:rPr>
      </w:pPr>
      <w:r w:rsidRPr="00246F50">
        <w:rPr>
          <w:lang w:val="en-US"/>
        </w:rPr>
        <w:t>Advancement in developing a dedicated soil testing laboratory in Seychelles</w:t>
      </w:r>
      <w:r>
        <w:rPr>
          <w:lang w:val="en-US"/>
        </w:rPr>
        <w:t>;</w:t>
      </w:r>
    </w:p>
    <w:p w:rsidR="008157F6" w:rsidRDefault="008157F6" w:rsidP="008157F6">
      <w:pPr>
        <w:pStyle w:val="ListParagraph"/>
        <w:numPr>
          <w:ilvl w:val="0"/>
          <w:numId w:val="1"/>
        </w:numPr>
        <w:rPr>
          <w:lang w:val="en-US"/>
        </w:rPr>
      </w:pPr>
      <w:r>
        <w:rPr>
          <w:lang w:val="en-US"/>
        </w:rPr>
        <w:t>Preparation of 15 district-level land use plans;</w:t>
      </w:r>
    </w:p>
    <w:p w:rsidR="008157F6" w:rsidRPr="00246F50" w:rsidRDefault="008157F6" w:rsidP="008157F6">
      <w:pPr>
        <w:pStyle w:val="ListParagraph"/>
        <w:numPr>
          <w:ilvl w:val="0"/>
          <w:numId w:val="1"/>
        </w:numPr>
        <w:rPr>
          <w:lang w:val="en-US"/>
        </w:rPr>
      </w:pPr>
      <w:r>
        <w:rPr>
          <w:lang w:val="en-US"/>
        </w:rPr>
        <w:t xml:space="preserve">SLM now mainstreamed in the activities and policies of key </w:t>
      </w:r>
      <w:proofErr w:type="spellStart"/>
      <w:r>
        <w:rPr>
          <w:lang w:val="en-US"/>
        </w:rPr>
        <w:t>GoS</w:t>
      </w:r>
      <w:proofErr w:type="spellEnd"/>
      <w:r>
        <w:rPr>
          <w:lang w:val="en-US"/>
        </w:rPr>
        <w:t xml:space="preserve"> </w:t>
      </w:r>
      <w:proofErr w:type="spellStart"/>
      <w:r>
        <w:rPr>
          <w:lang w:val="en-US"/>
        </w:rPr>
        <w:t>organisations</w:t>
      </w:r>
      <w:proofErr w:type="spellEnd"/>
      <w:r>
        <w:rPr>
          <w:lang w:val="en-US"/>
        </w:rPr>
        <w:t>, notably SNPA (</w:t>
      </w:r>
      <w:r w:rsidRPr="00451408">
        <w:rPr>
          <w:color w:val="000000"/>
        </w:rPr>
        <w:t xml:space="preserve">Seychelles National Park </w:t>
      </w:r>
      <w:proofErr w:type="gramStart"/>
      <w:r w:rsidRPr="00451408">
        <w:rPr>
          <w:color w:val="000000"/>
        </w:rPr>
        <w:t>Authority</w:t>
      </w:r>
      <w:r>
        <w:rPr>
          <w:lang w:val="en-US"/>
        </w:rPr>
        <w:t xml:space="preserve"> )</w:t>
      </w:r>
      <w:proofErr w:type="gramEnd"/>
      <w:r>
        <w:rPr>
          <w:lang w:val="en-US"/>
        </w:rPr>
        <w:t xml:space="preserve"> and SAA (</w:t>
      </w:r>
      <w:r w:rsidRPr="00451408">
        <w:rPr>
          <w:color w:val="000000"/>
          <w:lang w:val="en-US"/>
        </w:rPr>
        <w:t>Seychelles Agriculture Agency</w:t>
      </w:r>
      <w:r>
        <w:rPr>
          <w:color w:val="000000"/>
          <w:lang w:val="en-US"/>
        </w:rPr>
        <w:t>)</w:t>
      </w:r>
      <w:r>
        <w:rPr>
          <w:lang w:val="en-US"/>
        </w:rPr>
        <w:t>.</w:t>
      </w:r>
    </w:p>
    <w:p w:rsidR="008157F6" w:rsidRPr="00E36F6A" w:rsidRDefault="008157F6" w:rsidP="008157F6">
      <w:pPr>
        <w:spacing w:after="0"/>
        <w:ind w:left="0" w:right="0"/>
      </w:pPr>
      <w:r w:rsidRPr="00E36F6A">
        <w:t>However, the project suffered from:</w:t>
      </w:r>
    </w:p>
    <w:p w:rsidR="008157F6" w:rsidRPr="00E36F6A" w:rsidRDefault="008157F6" w:rsidP="008157F6">
      <w:pPr>
        <w:pStyle w:val="ListParagraph"/>
        <w:numPr>
          <w:ilvl w:val="0"/>
          <w:numId w:val="1"/>
        </w:numPr>
      </w:pPr>
      <w:r w:rsidRPr="00E36F6A">
        <w:t>Human resource issues;</w:t>
      </w:r>
    </w:p>
    <w:p w:rsidR="008157F6" w:rsidRDefault="008157F6" w:rsidP="008157F6">
      <w:pPr>
        <w:pStyle w:val="ListParagraph"/>
        <w:numPr>
          <w:ilvl w:val="0"/>
          <w:numId w:val="1"/>
        </w:numPr>
      </w:pPr>
      <w:r w:rsidRPr="00E36F6A">
        <w:t>Problems securing the funds for Component 3 from the Global Mechanism (GM), with the direct affect of delaying the start of work on Component 4, resulting in certain of the Outputs not being completed</w:t>
      </w:r>
      <w:r>
        <w:t>;</w:t>
      </w:r>
    </w:p>
    <w:p w:rsidR="008157F6" w:rsidRPr="00E36F6A" w:rsidRDefault="008157F6" w:rsidP="008157F6">
      <w:pPr>
        <w:pStyle w:val="ListParagraph"/>
        <w:numPr>
          <w:ilvl w:val="0"/>
          <w:numId w:val="1"/>
        </w:numPr>
        <w:rPr>
          <w:lang w:val="en-US"/>
        </w:rPr>
      </w:pPr>
      <w:r w:rsidRPr="00E36F6A">
        <w:t>Lack of an established baseline or final monitoring for some targets</w:t>
      </w:r>
      <w:r>
        <w:t>;</w:t>
      </w:r>
    </w:p>
    <w:p w:rsidR="008157F6" w:rsidRDefault="008157F6" w:rsidP="008157F6">
      <w:pPr>
        <w:pStyle w:val="ListParagraph"/>
        <w:numPr>
          <w:ilvl w:val="0"/>
          <w:numId w:val="1"/>
        </w:numPr>
        <w:rPr>
          <w:lang w:val="en-US"/>
        </w:rPr>
      </w:pPr>
      <w:r>
        <w:rPr>
          <w:lang w:val="en-US"/>
        </w:rPr>
        <w:t>Lack of an up-to-date forest inventory;</w:t>
      </w:r>
    </w:p>
    <w:p w:rsidR="008157F6" w:rsidRDefault="008157F6" w:rsidP="008157F6">
      <w:pPr>
        <w:pStyle w:val="ListParagraph"/>
        <w:numPr>
          <w:ilvl w:val="0"/>
          <w:numId w:val="1"/>
        </w:numPr>
        <w:rPr>
          <w:lang w:val="en-US"/>
        </w:rPr>
      </w:pPr>
      <w:r>
        <w:rPr>
          <w:lang w:val="en-US"/>
        </w:rPr>
        <w:t>Issues regarding the focus of the land use planning activities;</w:t>
      </w:r>
    </w:p>
    <w:p w:rsidR="008157F6" w:rsidRDefault="008157F6" w:rsidP="008157F6">
      <w:pPr>
        <w:pStyle w:val="ListParagraph"/>
        <w:numPr>
          <w:ilvl w:val="0"/>
          <w:numId w:val="1"/>
        </w:numPr>
        <w:rPr>
          <w:lang w:val="en-US"/>
        </w:rPr>
      </w:pPr>
      <w:r>
        <w:rPr>
          <w:lang w:val="en-US"/>
        </w:rPr>
        <w:t>Persistent poor levels of understanding of SLM.</w:t>
      </w:r>
      <w:r w:rsidRPr="0035066C">
        <w:rPr>
          <w:lang w:val="en-US"/>
        </w:rPr>
        <w:t xml:space="preserve"> </w:t>
      </w:r>
    </w:p>
    <w:p w:rsidR="008157F6" w:rsidRDefault="008157F6" w:rsidP="008157F6">
      <w:pPr>
        <w:spacing w:after="120"/>
        <w:ind w:left="0" w:right="0"/>
      </w:pPr>
      <w:r>
        <w:t xml:space="preserve">A number of issues delayed project implementation and </w:t>
      </w:r>
      <w:r w:rsidRPr="002B64FE">
        <w:rPr>
          <w:b/>
        </w:rPr>
        <w:t>lessons</w:t>
      </w:r>
      <w:r>
        <w:t xml:space="preserve"> must be </w:t>
      </w:r>
      <w:r w:rsidRPr="002B64FE">
        <w:rPr>
          <w:b/>
        </w:rPr>
        <w:t>learned</w:t>
      </w:r>
      <w:r>
        <w:t xml:space="preserve">, for example in ensuring that administrative delays can be avoided, or at least more rapidly overcome. The most damaging to the project was the delay in securing the funding for Component 3 from the Global Mechanism – which prevented completion of Component 4. </w:t>
      </w:r>
    </w:p>
    <w:p w:rsidR="008157F6" w:rsidRPr="00570F68" w:rsidRDefault="008157F6" w:rsidP="008157F6">
      <w:pPr>
        <w:spacing w:after="120"/>
        <w:ind w:left="0" w:right="0"/>
      </w:pPr>
      <w:r>
        <w:t xml:space="preserve">There were also human resources issues from which lessons can be learned for the design of future projects in Seychelles and other SIDS (Small Island Developing States). The project design involved a large number of field / technical studies and did not seem to consider the availability and / or expertise available among national consultants. UNDP also faced problems </w:t>
      </w:r>
      <w:r w:rsidRPr="00570F68">
        <w:t>recruit</w:t>
      </w:r>
      <w:r>
        <w:t>ing</w:t>
      </w:r>
      <w:r w:rsidRPr="00570F68">
        <w:t xml:space="preserve"> and </w:t>
      </w:r>
      <w:r>
        <w:t>r</w:t>
      </w:r>
      <w:r w:rsidRPr="00570F68">
        <w:t>etain</w:t>
      </w:r>
      <w:r>
        <w:t>ing</w:t>
      </w:r>
      <w:r w:rsidRPr="00570F68">
        <w:t xml:space="preserve"> an appropriately skilled project manager</w:t>
      </w:r>
      <w:r>
        <w:t>, again due to the limited pool of suitably skilled personnel in Seychelles</w:t>
      </w:r>
      <w:r w:rsidRPr="00570F68">
        <w:t>.</w:t>
      </w:r>
      <w:r>
        <w:t xml:space="preserve"> </w:t>
      </w:r>
    </w:p>
    <w:p w:rsidR="008157F6" w:rsidRDefault="008157F6" w:rsidP="008157F6">
      <w:pPr>
        <w:spacing w:after="120"/>
        <w:ind w:left="0" w:right="0"/>
      </w:pPr>
      <w:r>
        <w:rPr>
          <w:rFonts w:eastAsia="Times New Roman" w:cs="Times New Roman"/>
          <w:lang w:val="en-US"/>
        </w:rPr>
        <w:t>As part of the project, a</w:t>
      </w:r>
      <w:r w:rsidRPr="00BE598A">
        <w:rPr>
          <w:rFonts w:eastAsia="Times New Roman" w:cs="Times New Roman"/>
          <w:lang w:val="en-US"/>
        </w:rPr>
        <w:t xml:space="preserve"> questionnaire survey was </w:t>
      </w:r>
      <w:r>
        <w:rPr>
          <w:rFonts w:eastAsia="Times New Roman" w:cs="Times New Roman"/>
          <w:lang w:val="en-US"/>
        </w:rPr>
        <w:t xml:space="preserve">designed and implemented </w:t>
      </w:r>
      <w:r w:rsidRPr="00BE598A">
        <w:rPr>
          <w:rFonts w:eastAsia="Times New Roman" w:cs="Times New Roman"/>
          <w:lang w:val="en-US"/>
        </w:rPr>
        <w:t>to collate information about the knowledge and use of SLM among farmers</w:t>
      </w:r>
      <w:r>
        <w:rPr>
          <w:rFonts w:eastAsia="Times New Roman" w:cs="Times New Roman"/>
          <w:lang w:val="en-US"/>
        </w:rPr>
        <w:t xml:space="preserve">. </w:t>
      </w:r>
      <w:r w:rsidRPr="00DD09A4">
        <w:rPr>
          <w:rFonts w:eastAsia="Times New Roman" w:cs="Times New Roman"/>
          <w:lang w:val="en-US"/>
        </w:rPr>
        <w:t xml:space="preserve"> This was poorly </w:t>
      </w:r>
      <w:r w:rsidRPr="00DD09A4">
        <w:t xml:space="preserve">designed and </w:t>
      </w:r>
      <w:r w:rsidRPr="00DD09A4">
        <w:rPr>
          <w:rFonts w:eastAsia="Times New Roman" w:cs="Times New Roman"/>
          <w:lang w:val="en-US"/>
        </w:rPr>
        <w:t>there were some serious short-comings in the survey methodology, which had the then Project Manager (PM) been knowledgeable in SLM this could have been identified and resolved before it was used.</w:t>
      </w:r>
      <w:r w:rsidRPr="00BE598A">
        <w:rPr>
          <w:rFonts w:eastAsia="Times New Roman" w:cs="Times New Roman"/>
          <w:lang w:val="en-US"/>
        </w:rPr>
        <w:t xml:space="preserve"> </w:t>
      </w:r>
      <w:r w:rsidRPr="00DD09A4">
        <w:t>This was a missed opportunity – ideally a well-designed questionnaire survey could have been implemented at baseline to guide activities towards the project Outcomes, then again at project closure to quantify the impacts of the project’s training and awareness raising.</w:t>
      </w:r>
    </w:p>
    <w:p w:rsidR="00FD0D7B" w:rsidRDefault="00FD0D7B"/>
    <w:sectPr w:rsidR="00FD0D7B" w:rsidSect="00FD0D7B">
      <w:pgSz w:w="12240" w:h="15840"/>
      <w:pgMar w:top="1440" w:right="1440" w:bottom="1440" w:left="1440" w:header="720" w:footer="72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5" w:author="Jessie Mee" w:date="2013-06-05T16:37:00Z" w:initials="JM">
    <w:p w:rsidR="008157F6" w:rsidRDefault="008157F6" w:rsidP="008157F6">
      <w:pPr>
        <w:pStyle w:val="CommentText"/>
      </w:pPr>
      <w:r>
        <w:rPr>
          <w:rStyle w:val="CommentReference"/>
        </w:rPr>
        <w:annotationRef/>
      </w:r>
      <w:r w:rsidRPr="0038517B">
        <w:rPr>
          <w:highlight w:val="yellow"/>
        </w:rPr>
        <w:t>NEW COMMENT</w:t>
      </w:r>
      <w:r>
        <w:t xml:space="preserve"> Per the UNDP-GEF TE guidance, “relevance” is rated on a different scale – a project is either “R” (relevant) or “NR” (not relevant)</w:t>
      </w:r>
    </w:p>
  </w:comment>
</w:comment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505CC"/>
    <w:multiLevelType w:val="hybridMultilevel"/>
    <w:tmpl w:val="35A8B51E"/>
    <w:lvl w:ilvl="0" w:tplc="B720CD5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savePreviewPicture/>
  <w:compat/>
  <w:rsids>
    <w:rsidRoot w:val="008157F6"/>
    <w:rsid w:val="008157F6"/>
    <w:rsid w:val="00FD0D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7F6"/>
    <w:pPr>
      <w:spacing w:line="240" w:lineRule="auto"/>
      <w:ind w:left="567" w:right="567"/>
      <w:jc w:val="both"/>
    </w:pPr>
    <w:rPr>
      <w:lang w:val="en-GB"/>
    </w:rPr>
  </w:style>
  <w:style w:type="paragraph" w:styleId="Heading1">
    <w:name w:val="heading 1"/>
    <w:basedOn w:val="Normal"/>
    <w:next w:val="Normal"/>
    <w:link w:val="Heading1Char"/>
    <w:uiPriority w:val="9"/>
    <w:qFormat/>
    <w:rsid w:val="008157F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157F6"/>
    <w:rPr>
      <w:rFonts w:asciiTheme="majorHAnsi" w:eastAsiaTheme="majorEastAsia" w:hAnsiTheme="majorHAnsi" w:cstheme="majorBidi"/>
      <w:b/>
      <w:bCs/>
      <w:color w:val="365F91" w:themeColor="accent1" w:themeShade="BF"/>
      <w:sz w:val="28"/>
      <w:szCs w:val="28"/>
      <w:lang w:val="en-GB"/>
    </w:rPr>
  </w:style>
  <w:style w:type="paragraph" w:customStyle="1" w:styleId="Default">
    <w:name w:val="Default"/>
    <w:rsid w:val="008157F6"/>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link w:val="ListParagraphChar"/>
    <w:uiPriority w:val="34"/>
    <w:qFormat/>
    <w:rsid w:val="008157F6"/>
    <w:pPr>
      <w:ind w:left="720"/>
      <w:contextualSpacing/>
    </w:pPr>
  </w:style>
  <w:style w:type="table" w:styleId="TableGrid">
    <w:name w:val="Table Grid"/>
    <w:basedOn w:val="TableNormal"/>
    <w:uiPriority w:val="59"/>
    <w:rsid w:val="008157F6"/>
    <w:pPr>
      <w:spacing w:after="0" w:line="240" w:lineRule="auto"/>
      <w:ind w:left="567" w:right="567"/>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
    <w:uiPriority w:val="99"/>
    <w:unhideWhenUsed/>
    <w:rsid w:val="008157F6"/>
    <w:rPr>
      <w:sz w:val="20"/>
      <w:szCs w:val="20"/>
    </w:rPr>
  </w:style>
  <w:style w:type="character" w:customStyle="1" w:styleId="CommentTextChar">
    <w:name w:val="Comment Text Char"/>
    <w:basedOn w:val="DefaultParagraphFont"/>
    <w:link w:val="CommentText"/>
    <w:uiPriority w:val="99"/>
    <w:rsid w:val="008157F6"/>
    <w:rPr>
      <w:sz w:val="20"/>
      <w:szCs w:val="20"/>
      <w:lang w:val="en-GB"/>
    </w:rPr>
  </w:style>
  <w:style w:type="character" w:customStyle="1" w:styleId="ListParagraphChar">
    <w:name w:val="List Paragraph Char"/>
    <w:basedOn w:val="DefaultParagraphFont"/>
    <w:link w:val="ListParagraph"/>
    <w:uiPriority w:val="34"/>
    <w:rsid w:val="008157F6"/>
    <w:rPr>
      <w:lang w:val="en-GB"/>
    </w:rPr>
  </w:style>
  <w:style w:type="character" w:styleId="CommentReference">
    <w:name w:val="annotation reference"/>
    <w:basedOn w:val="DefaultParagraphFont"/>
    <w:uiPriority w:val="99"/>
    <w:semiHidden/>
    <w:unhideWhenUsed/>
    <w:rsid w:val="008157F6"/>
    <w:rPr>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comments" Target="comment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1250</Words>
  <Characters>7127</Characters>
  <Application>Microsoft Office Word</Application>
  <DocSecurity>0</DocSecurity>
  <Lines>59</Lines>
  <Paragraphs>16</Paragraphs>
  <ScaleCrop>false</ScaleCrop>
  <Company>Microsoft</Company>
  <LinksUpToDate>false</LinksUpToDate>
  <CharactersWithSpaces>8361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roland.alcindor</dc:creator>
  <cp:lastModifiedBy>roland.alcindor</cp:lastModifiedBy>
  <cp:revision>1</cp:revision>
  <dcterms:created xsi:type="dcterms:W3CDTF">2013-06-05T12:37:00Z</dcterms:created>
  <dcterms:modified xsi:type="dcterms:W3CDTF">2013-06-05T12:38:00Z</dcterms:modified>
</cp:coreProperties>
</file>