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40" w:rsidRDefault="00976040" w:rsidP="009760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lang w:val="uk-UA"/>
        </w:rPr>
        <w:t>EXECUTIVE SUMMARY</w:t>
      </w:r>
    </w:p>
    <w:p w:rsidR="00976040" w:rsidRDefault="00976040" w:rsidP="009760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color w:val="000000"/>
          <w:lang w:val="uk-UA"/>
        </w:rPr>
      </w:pPr>
    </w:p>
    <w:p w:rsidR="00976040" w:rsidRDefault="00976040" w:rsidP="009760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lang w:val="uk-UA"/>
        </w:rPr>
      </w:pPr>
      <w:r>
        <w:rPr>
          <w:rFonts w:ascii="TimesNewRomanPSMT" w:hAnsi="TimesNewRomanPSMT" w:cs="TimesNewRomanPSMT"/>
          <w:color w:val="000000"/>
          <w:lang w:val="uk-UA"/>
        </w:rPr>
        <w:t xml:space="preserve">This report presents evaluation findings of all activities of the EU/UNDP </w:t>
      </w:r>
      <w:r>
        <w:rPr>
          <w:rFonts w:ascii="TimesNewRomanPS-ItalicMT" w:hAnsi="TimesNewRomanPS-ItalicMT" w:cs="TimesNewRomanPS-ItalicMT"/>
          <w:i/>
          <w:iCs/>
          <w:color w:val="000000"/>
          <w:lang w:val="uk-UA"/>
        </w:rPr>
        <w:t>Support to the Regional</w:t>
      </w:r>
    </w:p>
    <w:p w:rsidR="00976040" w:rsidRDefault="00976040" w:rsidP="009760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color w:val="333333"/>
          <w:lang w:val="uk-UA"/>
        </w:rPr>
      </w:pPr>
      <w:r>
        <w:rPr>
          <w:rFonts w:ascii="TimesNewRomanPS-ItalicMT" w:hAnsi="TimesNewRomanPS-ItalicMT" w:cs="TimesNewRomanPS-ItalicMT"/>
          <w:i/>
          <w:iCs/>
          <w:color w:val="000000"/>
          <w:lang w:val="uk-UA"/>
        </w:rPr>
        <w:t xml:space="preserve">Development of Crimea (SRDC) </w:t>
      </w:r>
      <w:r>
        <w:rPr>
          <w:rFonts w:ascii="TimesNewRomanPSMT" w:hAnsi="TimesNewRomanPSMT" w:cs="TimesNewRomanPSMT"/>
          <w:color w:val="000000"/>
          <w:lang w:val="uk-UA"/>
        </w:rPr>
        <w:t>project carried out between March 2012 and the end of June 2013 at both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republican and local levels. The objective of the evaluation was to assess the relevance and quality of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outputs of the EU/UNDP funded SRDC Project and to identify likely outcomes/impa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lang w:val="uk-UA"/>
        </w:rPr>
        <w:t>cts. Moreover, the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evaluation also generated lessons and experiences that could feed into the implementation of other similar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 xml:space="preserve">interventions in the region and on the national level as well. </w:t>
      </w:r>
      <w:r>
        <w:rPr>
          <w:rFonts w:ascii="TimesNewRomanPSMT" w:hAnsi="TimesNewRomanPSMT" w:cs="TimesNewRomanPSMT"/>
          <w:color w:val="333333"/>
          <w:lang w:val="uk-UA"/>
        </w:rPr>
        <w:t>The main objective of the EU/UNDP funded</w:t>
      </w:r>
      <w:r>
        <w:rPr>
          <w:rFonts w:ascii="TimesNewRomanPSMT" w:hAnsi="TimesNewRomanPSMT" w:cs="TimesNewRomanPSMT"/>
          <w:color w:val="333333"/>
        </w:rPr>
        <w:t xml:space="preserve"> </w:t>
      </w:r>
      <w:r>
        <w:rPr>
          <w:rFonts w:ascii="TimesNewRomanPSMT" w:hAnsi="TimesNewRomanPSMT" w:cs="TimesNewRomanPSMT"/>
          <w:color w:val="333333"/>
          <w:lang w:val="uk-UA"/>
        </w:rPr>
        <w:t>Project (second phase of the Support to the Regional Development Agency of Crimea) was to contribute</w:t>
      </w:r>
      <w:r>
        <w:rPr>
          <w:rFonts w:ascii="TimesNewRomanPSMT" w:hAnsi="TimesNewRomanPSMT" w:cs="TimesNewRomanPSMT"/>
          <w:color w:val="333333"/>
        </w:rPr>
        <w:t xml:space="preserve"> </w:t>
      </w:r>
      <w:r>
        <w:rPr>
          <w:rFonts w:ascii="TimesNewRomanPSMT" w:hAnsi="TimesNewRomanPSMT" w:cs="TimesNewRomanPSMT"/>
          <w:color w:val="333333"/>
          <w:lang w:val="uk-UA"/>
        </w:rPr>
        <w:t>to the regional and local development of the peninsula.</w:t>
      </w:r>
    </w:p>
    <w:p w:rsidR="00976040" w:rsidRPr="00976040" w:rsidRDefault="00976040" w:rsidP="009760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color w:val="333333"/>
          <w:lang w:val="uk-UA"/>
        </w:rPr>
      </w:pPr>
    </w:p>
    <w:p w:rsidR="00976040" w:rsidRDefault="00976040" w:rsidP="009760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color w:val="333333"/>
          <w:lang w:val="uk-UA"/>
        </w:rPr>
      </w:pPr>
      <w:r>
        <w:rPr>
          <w:rFonts w:ascii="TimesNewRomanPSMT" w:hAnsi="TimesNewRomanPSMT" w:cs="TimesNewRomanPSMT"/>
          <w:color w:val="333333"/>
          <w:lang w:val="uk-UA"/>
        </w:rPr>
        <w:t xml:space="preserve">Evaluation was conducted during May 28 – June 30 of 2013 and came to the following </w:t>
      </w:r>
      <w:r>
        <w:rPr>
          <w:rFonts w:ascii="TimesNewRomanPS-BoldMT" w:hAnsi="TimesNewRomanPS-BoldMT" w:cs="TimesNewRomanPS-BoldMT"/>
          <w:b/>
          <w:bCs/>
          <w:color w:val="333333"/>
          <w:lang w:val="uk-UA"/>
        </w:rPr>
        <w:t>conclusions</w:t>
      </w:r>
      <w:r>
        <w:rPr>
          <w:rFonts w:ascii="TimesNewRomanPSMT" w:hAnsi="TimesNewRomanPSMT" w:cs="TimesNewRomanPSMT"/>
          <w:color w:val="333333"/>
          <w:lang w:val="uk-UA"/>
        </w:rPr>
        <w:t>.</w:t>
      </w:r>
    </w:p>
    <w:p w:rsidR="00976040" w:rsidRPr="00976040" w:rsidRDefault="00976040" w:rsidP="009760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color w:val="333333"/>
          <w:lang w:val="uk-UA"/>
        </w:rPr>
      </w:pPr>
    </w:p>
    <w:p w:rsidR="00976040" w:rsidRDefault="00976040" w:rsidP="009760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lang w:val="uk-UA"/>
        </w:rPr>
      </w:pPr>
      <w:r>
        <w:rPr>
          <w:rFonts w:ascii="TimesNewRomanPSMT" w:hAnsi="TimesNewRomanPSMT" w:cs="TimesNewRomanPSMT"/>
          <w:color w:val="000000"/>
          <w:lang w:val="uk-UA"/>
        </w:rPr>
        <w:t>The evaluation has demonstrated that the second phase of the SRDC project was relevant as it was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focused on capacity building of regional and local governments in project design, development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investment projects, promotion investment capacities of towns and districts; and that was extremely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important and relevant for the needs of target groups and beneficiaries. At the same time all expected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results were achieved.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The project managed to have achieved all the planned results at the local level and in some instances it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went even beyond the expected results. In particular, a number of events, trainings, seminars,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consultations and studies delivered under the project framework has exceeded and in some instances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substantially exceeded the baseline indicators, namely: the training program has helped train and certify</w:t>
      </w:r>
    </w:p>
    <w:p w:rsidR="00976040" w:rsidRDefault="00976040" w:rsidP="009760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lang w:val="uk-UA"/>
        </w:rPr>
      </w:pPr>
      <w:r>
        <w:rPr>
          <w:rFonts w:ascii="TimesNewRomanPSMT" w:hAnsi="TimesNewRomanPSMT" w:cs="TimesNewRomanPSMT"/>
          <w:color w:val="000000"/>
          <w:lang w:val="uk-UA"/>
        </w:rPr>
        <w:t>29 experts instead of 20 experts as originally planned; the project experts have assisted with the</w:t>
      </w:r>
    </w:p>
    <w:p w:rsidR="00976040" w:rsidRDefault="00976040" w:rsidP="009760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lang w:val="uk-UA"/>
        </w:rPr>
      </w:pPr>
      <w:r>
        <w:rPr>
          <w:rFonts w:ascii="TimesNewRomanPSMT" w:hAnsi="TimesNewRomanPSMT" w:cs="TimesNewRomanPSMT"/>
          <w:color w:val="000000"/>
          <w:lang w:val="uk-UA"/>
        </w:rPr>
        <w:t>preparation of 73 project proposals instead of 21 as originally planned. At the time of the evaluation 12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project proposals were approved and at least 10 more project proposals are expected to be approved for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funding; four local development agencies were established and registered in the districts of Kirovskoye,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Nyzhnegorskoye, Chornomorskoye and the town of Feodosia; the Memorandums of Cooperation on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regional development were signed by i) six NGOs from Bakhchisaray district and the Bakhchisaray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District Public Administration, the Bakhchisaray District Council, the Executive Committee of the Town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Council of the Town of Bakhchisaray and ii) three NGOs from the town of Yevpatoria and the City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Council and the Public Administration of the Yevpatoria Town. In spite of a tight timetable of the SRDC</w:t>
      </w:r>
    </w:p>
    <w:p w:rsidR="00976040" w:rsidRDefault="00976040" w:rsidP="009760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color w:val="000000"/>
          <w:lang w:val="uk-UA"/>
        </w:rPr>
      </w:pPr>
      <w:r>
        <w:rPr>
          <w:rFonts w:ascii="TimesNewRomanPSMT" w:hAnsi="TimesNewRomanPSMT" w:cs="TimesNewRomanPSMT"/>
          <w:color w:val="000000"/>
          <w:lang w:val="uk-UA"/>
        </w:rPr>
        <w:t>project the communities managed to quickly get engaged in the project implementation and the project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events as well as the preparation of project proposals.</w:t>
      </w:r>
    </w:p>
    <w:p w:rsidR="00976040" w:rsidRPr="00976040" w:rsidRDefault="00976040" w:rsidP="009760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color w:val="000000"/>
          <w:lang w:val="uk-UA"/>
        </w:rPr>
      </w:pPr>
    </w:p>
    <w:p w:rsidR="00976040" w:rsidRDefault="00976040" w:rsidP="009760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color w:val="000000"/>
          <w:lang w:val="uk-UA"/>
        </w:rPr>
      </w:pPr>
      <w:r>
        <w:rPr>
          <w:rFonts w:ascii="TimesNewRomanPSMT" w:hAnsi="TimesNewRomanPSMT" w:cs="TimesNewRomanPSMT"/>
          <w:color w:val="000000"/>
          <w:lang w:val="uk-UA"/>
        </w:rPr>
        <w:t>Since the project targeted mainly the local level, the regional and national governments received less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attention and were only engaged in the preparation and organization of the regional events. Unfortunately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the Council of Ministers and other key ministries were not as interested in the project due to its shift from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the regional to the local level. Although the intention to form the Regional Development Coordination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Council and make it operational was voiced by the Council of Ministers, it somehow just remained an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intention and the Council went unnoticed among other councils engaged in similar activities.</w:t>
      </w:r>
    </w:p>
    <w:p w:rsidR="00976040" w:rsidRPr="00976040" w:rsidRDefault="00976040" w:rsidP="009760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color w:val="000000"/>
          <w:lang w:val="uk-UA"/>
        </w:rPr>
      </w:pPr>
    </w:p>
    <w:p w:rsidR="00976040" w:rsidRDefault="00976040" w:rsidP="009760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color w:val="000000"/>
          <w:lang w:val="uk-UA"/>
        </w:rPr>
      </w:pPr>
      <w:r>
        <w:rPr>
          <w:rFonts w:ascii="TimesNewRomanPSMT" w:hAnsi="TimesNewRomanPSMT" w:cs="TimesNewRomanPSMT"/>
          <w:color w:val="000000"/>
          <w:lang w:val="uk-UA"/>
        </w:rPr>
        <w:t>The project was a success as it has changed the understanding of investments by the local communities.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The project made sure that all pilot communities had the community investment passports prepared as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well as the investor’s road-maps; the project developed attractive promotional materials and identified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 xml:space="preserve">greenfield and brownfield. However, the support to FDI </w:t>
      </w:r>
      <w:r>
        <w:rPr>
          <w:rFonts w:ascii="TimesNewRomanPSMT" w:hAnsi="TimesNewRomanPSMT" w:cs="TimesNewRomanPSMT"/>
          <w:color w:val="000000"/>
          <w:lang w:val="uk-UA"/>
        </w:rPr>
        <w:lastRenderedPageBreak/>
        <w:t>promotion has identified the lack of district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master plans in the communities and that hinders the preparation of land plots and municipal facilities for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perspective investments.</w:t>
      </w:r>
    </w:p>
    <w:p w:rsidR="00976040" w:rsidRPr="00976040" w:rsidRDefault="00976040" w:rsidP="009760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color w:val="000000"/>
          <w:lang w:val="uk-UA"/>
        </w:rPr>
      </w:pPr>
    </w:p>
    <w:p w:rsidR="00976040" w:rsidRDefault="00976040" w:rsidP="009760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color w:val="000000"/>
          <w:lang w:val="uk-UA"/>
        </w:rPr>
      </w:pPr>
      <w:r>
        <w:rPr>
          <w:rFonts w:ascii="TimesNewRomanPSMT" w:hAnsi="TimesNewRomanPSMT" w:cs="TimesNewRomanPSMT"/>
          <w:color w:val="000000"/>
          <w:lang w:val="uk-UA"/>
        </w:rPr>
        <w:t>The findings of the evaluation demonstrate that the SRDC project results make a solid foundation for a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coherent institutional architecture for regional development in Crimea. Effective approaches that can be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applied in other districts of Crimea and in other regions of Ukraine taking into consideration the lessons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learned from the project were identified during the implementation of the second phase of the project.</w:t>
      </w:r>
    </w:p>
    <w:p w:rsidR="00976040" w:rsidRDefault="00976040" w:rsidP="009760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color w:val="000000"/>
          <w:lang w:val="uk-UA"/>
        </w:rPr>
      </w:pPr>
    </w:p>
    <w:p w:rsidR="00976040" w:rsidRDefault="00976040" w:rsidP="009760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color w:val="000000"/>
          <w:lang w:val="uk-UA"/>
        </w:rPr>
      </w:pPr>
      <w:r>
        <w:rPr>
          <w:rFonts w:ascii="TimesNewRomanPSMT" w:hAnsi="TimesNewRomanPSMT" w:cs="TimesNewRomanPSMT"/>
          <w:color w:val="000000"/>
          <w:lang w:val="uk-UA"/>
        </w:rPr>
        <w:t>The evaluation identified the SRDC project's best practices that can be used or replicated in the other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districts of Crimea and throughout Ukraine. They include: quality of the group of selected pilot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communities; the approach the local regional development agencies started with; the project work with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communities on investment activity; monitoring and researching reports; a joint database of projects and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project ideas; study visits.</w:t>
      </w:r>
    </w:p>
    <w:p w:rsidR="00976040" w:rsidRPr="00976040" w:rsidRDefault="00976040" w:rsidP="009760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color w:val="000000"/>
          <w:lang w:val="uk-UA"/>
        </w:rPr>
      </w:pPr>
    </w:p>
    <w:p w:rsidR="00976040" w:rsidRDefault="00976040" w:rsidP="009760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lang w:val="uk-UA"/>
        </w:rPr>
        <w:t>The evaluation summarized the lessons learned from the SRDC project implementation. The main takeaway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is that more time is needed for capacity building, in particular at the local and regional level.</w:t>
      </w:r>
      <w:r>
        <w:rPr>
          <w:rFonts w:ascii="TimesNewRomanPSMT" w:hAnsi="TimesNewRomanPSMT" w:cs="TimesNewRomanPSMT"/>
          <w:color w:val="000000"/>
        </w:rPr>
        <w:t xml:space="preserve"> </w:t>
      </w:r>
    </w:p>
    <w:p w:rsidR="00976040" w:rsidRDefault="00976040" w:rsidP="009760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976040" w:rsidRDefault="00976040" w:rsidP="009760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lang w:val="uk-UA"/>
        </w:rPr>
      </w:pPr>
      <w:r>
        <w:rPr>
          <w:rFonts w:ascii="TimesNewRomanPSMT" w:hAnsi="TimesNewRomanPSMT" w:cs="TimesNewRomanPSMT"/>
          <w:color w:val="000000"/>
          <w:lang w:val="uk-UA"/>
        </w:rPr>
        <w:t>In conclusion, with respect to programming in regional development, achieving tangible results in a short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period of time is a complex task because of the breadth of stakeholders and the necessity of working with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civil society and different levels of government. District administrations are the level of government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responsible for delivering many of the services that citizens see and need on a daily basis. In this sense,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local authorities lack the institutional capabilities and budgets to implement their own policies and are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heavily dependent on decisions and transfers from the central level. A major challenge is the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identification and implementation of projects. The necessity for capacity building in project management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and needs assessment, operational planning and building partnerships with NGOs and community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members are especially needed at the local level closest to the citizens and their problems firstly, and at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the regional level where most of the planning processes are originated and where national resources are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collected secondly. From a development perspective, achieving concrete results in regional development</w:t>
      </w:r>
    </w:p>
    <w:p w:rsidR="00976040" w:rsidRDefault="00976040" w:rsidP="009760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color w:val="000000"/>
          <w:lang w:val="uk-UA"/>
        </w:rPr>
      </w:pPr>
      <w:r>
        <w:rPr>
          <w:rFonts w:ascii="TimesNewRomanPSMT" w:hAnsi="TimesNewRomanPSMT" w:cs="TimesNewRomanPSMT"/>
          <w:color w:val="000000"/>
          <w:lang w:val="uk-UA"/>
        </w:rPr>
        <w:t>requires a long-term approach and an integrated approach where national/regional/local levels are all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included in project design.</w:t>
      </w:r>
    </w:p>
    <w:p w:rsidR="00976040" w:rsidRPr="00976040" w:rsidRDefault="00976040" w:rsidP="009760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color w:val="000000"/>
          <w:lang w:val="uk-UA"/>
        </w:rPr>
      </w:pPr>
    </w:p>
    <w:p w:rsidR="00976040" w:rsidRDefault="00976040" w:rsidP="009760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color w:val="000000"/>
          <w:lang w:val="uk-UA"/>
        </w:rPr>
      </w:pPr>
      <w:r>
        <w:rPr>
          <w:rFonts w:ascii="TimesNewRomanPSMT" w:hAnsi="TimesNewRomanPSMT" w:cs="TimesNewRomanPSMT"/>
          <w:color w:val="000000"/>
          <w:lang w:val="uk-UA"/>
        </w:rPr>
        <w:t xml:space="preserve">The following </w:t>
      </w:r>
      <w:r>
        <w:rPr>
          <w:rFonts w:ascii="TimesNewRomanPS-BoldMT" w:hAnsi="TimesNewRomanPS-BoldMT" w:cs="TimesNewRomanPS-BoldMT"/>
          <w:b/>
          <w:bCs/>
          <w:color w:val="000000"/>
          <w:lang w:val="uk-UA"/>
        </w:rPr>
        <w:t xml:space="preserve">recommendation </w:t>
      </w:r>
      <w:r>
        <w:rPr>
          <w:rFonts w:ascii="TimesNewRomanPSMT" w:hAnsi="TimesNewRomanPSMT" w:cs="TimesNewRomanPSMT"/>
          <w:color w:val="000000"/>
          <w:lang w:val="uk-UA"/>
        </w:rPr>
        <w:t>i</w:t>
      </w:r>
      <w:r>
        <w:rPr>
          <w:rFonts w:ascii="TimesNewRomanPS-BoldMT" w:hAnsi="TimesNewRomanPS-BoldMT" w:cs="TimesNewRomanPS-BoldMT"/>
          <w:b/>
          <w:bCs/>
          <w:color w:val="000000"/>
          <w:lang w:val="uk-UA"/>
        </w:rPr>
        <w:t xml:space="preserve">s </w:t>
      </w:r>
      <w:r>
        <w:rPr>
          <w:rFonts w:ascii="TimesNewRomanPSMT" w:hAnsi="TimesNewRomanPSMT" w:cs="TimesNewRomanPSMT"/>
          <w:color w:val="000000"/>
          <w:lang w:val="uk-UA"/>
        </w:rPr>
        <w:t>proposed - EU and UNDP should continue to support regional and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 w:val="uk-UA"/>
        </w:rPr>
        <w:t>local level programming in the peninsula to strengthen their significant investment already made inregional development and to complement their other projects in this area in Crimea.</w:t>
      </w:r>
    </w:p>
    <w:p w:rsidR="00976040" w:rsidRPr="00976040" w:rsidRDefault="00976040" w:rsidP="009760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color w:val="000000"/>
          <w:lang w:val="uk-UA"/>
        </w:rPr>
      </w:pPr>
    </w:p>
    <w:p w:rsidR="00976040" w:rsidRDefault="00976040" w:rsidP="009760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color w:val="000000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lang w:val="uk-UA"/>
        </w:rPr>
        <w:t xml:space="preserve">Future support </w:t>
      </w:r>
      <w:r>
        <w:rPr>
          <w:rFonts w:ascii="TimesNewRomanPSMT" w:hAnsi="TimesNewRomanPSMT" w:cs="TimesNewRomanPSMT"/>
          <w:color w:val="000000"/>
          <w:lang w:val="uk-UA"/>
        </w:rPr>
        <w:t>is required to:</w:t>
      </w:r>
    </w:p>
    <w:p w:rsidR="00976040" w:rsidRPr="00976040" w:rsidRDefault="00976040" w:rsidP="009760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color w:val="000000"/>
          <w:lang w:val="uk-UA"/>
        </w:rPr>
      </w:pPr>
    </w:p>
    <w:p w:rsidR="00976040" w:rsidRPr="00976040" w:rsidRDefault="00976040" w:rsidP="00976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lang w:val="uk-UA"/>
        </w:rPr>
      </w:pPr>
      <w:r w:rsidRPr="00976040">
        <w:rPr>
          <w:rFonts w:ascii="TimesNewRomanPSMT" w:hAnsi="TimesNewRomanPSMT" w:cs="TimesNewRomanPSMT"/>
          <w:color w:val="000000"/>
          <w:lang w:val="uk-UA"/>
        </w:rPr>
        <w:t>continue to strengthen local and regional capacities to implement and adjust the local and</w:t>
      </w:r>
      <w:r w:rsidRPr="00976040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976040">
        <w:rPr>
          <w:rFonts w:ascii="TimesNewRomanPSMT" w:hAnsi="TimesNewRomanPSMT" w:cs="TimesNewRomanPSMT"/>
          <w:color w:val="000000"/>
          <w:lang w:val="uk-UA"/>
        </w:rPr>
        <w:t>regional strategic plans; to show concrete results through local and regional economic</w:t>
      </w:r>
      <w:r w:rsidRPr="00976040">
        <w:rPr>
          <w:rFonts w:ascii="TimesNewRomanPSMT" w:hAnsi="TimesNewRomanPSMT" w:cs="TimesNewRomanPSMT"/>
          <w:color w:val="000000"/>
          <w:lang w:val="uk-UA"/>
        </w:rPr>
        <w:t xml:space="preserve"> </w:t>
      </w:r>
      <w:r w:rsidRPr="00976040">
        <w:rPr>
          <w:rFonts w:ascii="TimesNewRomanPSMT" w:hAnsi="TimesNewRomanPSMT" w:cs="TimesNewRomanPSMT"/>
          <w:color w:val="000000"/>
          <w:lang w:val="uk-UA"/>
        </w:rPr>
        <w:t>development; and to strengthen the institutional capacity of local and regional</w:t>
      </w:r>
      <w:r w:rsidRPr="00976040">
        <w:rPr>
          <w:rFonts w:ascii="TimesNewRomanPSMT" w:hAnsi="TimesNewRomanPSMT" w:cs="TimesNewRomanPSMT"/>
          <w:color w:val="000000"/>
        </w:rPr>
        <w:t xml:space="preserve"> </w:t>
      </w:r>
      <w:r w:rsidRPr="00976040">
        <w:rPr>
          <w:rFonts w:ascii="TimesNewRomanPSMT" w:hAnsi="TimesNewRomanPSMT" w:cs="TimesNewRomanPSMT"/>
          <w:color w:val="000000"/>
          <w:lang w:val="uk-UA"/>
        </w:rPr>
        <w:t>administrations to incorporate strategic planning more effectively into their decisionmaking</w:t>
      </w:r>
      <w:r w:rsidRPr="00976040">
        <w:rPr>
          <w:rFonts w:ascii="TimesNewRomanPSMT" w:hAnsi="TimesNewRomanPSMT" w:cs="TimesNewRomanPSMT"/>
          <w:color w:val="000000"/>
        </w:rPr>
        <w:t xml:space="preserve"> </w:t>
      </w:r>
      <w:r w:rsidRPr="00976040">
        <w:rPr>
          <w:rFonts w:ascii="TimesNewRomanPSMT" w:hAnsi="TimesNewRomanPSMT" w:cs="TimesNewRomanPSMT"/>
          <w:color w:val="000000"/>
          <w:lang w:val="uk-UA"/>
        </w:rPr>
        <w:t>processes. Emphasis should be placed on in-service mentoring and coaching of</w:t>
      </w:r>
      <w:r w:rsidRPr="00976040">
        <w:rPr>
          <w:rFonts w:ascii="TimesNewRomanPSMT" w:hAnsi="TimesNewRomanPSMT" w:cs="TimesNewRomanPSMT"/>
          <w:color w:val="000000"/>
        </w:rPr>
        <w:t xml:space="preserve"> </w:t>
      </w:r>
      <w:r w:rsidRPr="00976040">
        <w:rPr>
          <w:rFonts w:ascii="TimesNewRomanPSMT" w:hAnsi="TimesNewRomanPSMT" w:cs="TimesNewRomanPSMT"/>
          <w:color w:val="000000"/>
          <w:lang w:val="uk-UA"/>
        </w:rPr>
        <w:t>technical personnel at the regional and rayon levels and seed grant funds should be</w:t>
      </w:r>
      <w:r w:rsidRPr="00976040">
        <w:rPr>
          <w:rFonts w:ascii="TimesNewRomanPSMT" w:hAnsi="TimesNewRomanPSMT" w:cs="TimesNewRomanPSMT"/>
          <w:color w:val="000000"/>
        </w:rPr>
        <w:t xml:space="preserve"> </w:t>
      </w:r>
      <w:r w:rsidRPr="00976040">
        <w:rPr>
          <w:rFonts w:ascii="TimesNewRomanPSMT" w:hAnsi="TimesNewRomanPSMT" w:cs="TimesNewRomanPSMT"/>
          <w:color w:val="000000"/>
          <w:lang w:val="uk-UA"/>
        </w:rPr>
        <w:t>available for support of selected projects</w:t>
      </w:r>
    </w:p>
    <w:p w:rsidR="00976040" w:rsidRPr="00976040" w:rsidRDefault="00976040" w:rsidP="00976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lang w:val="uk-UA"/>
        </w:rPr>
      </w:pPr>
      <w:r w:rsidRPr="00976040">
        <w:rPr>
          <w:rFonts w:ascii="TimesNewRomanPSMT" w:hAnsi="TimesNewRomanPSMT" w:cs="TimesNewRomanPSMT"/>
          <w:color w:val="000000"/>
          <w:lang w:val="uk-UA"/>
        </w:rPr>
        <w:t>expand the project to other districts of Crimea and support those districts in more effective</w:t>
      </w:r>
      <w:r w:rsidRPr="00976040">
        <w:rPr>
          <w:rFonts w:ascii="TimesNewRomanPSMT" w:hAnsi="TimesNewRomanPSMT" w:cs="TimesNewRomanPSMT"/>
          <w:color w:val="000000"/>
        </w:rPr>
        <w:t xml:space="preserve"> </w:t>
      </w:r>
      <w:r w:rsidRPr="00976040">
        <w:rPr>
          <w:rFonts w:ascii="TimesNewRomanPSMT" w:hAnsi="TimesNewRomanPSMT" w:cs="TimesNewRomanPSMT"/>
          <w:color w:val="000000"/>
          <w:lang w:val="uk-UA"/>
        </w:rPr>
        <w:t xml:space="preserve">and efficient means of implementing their strategic plans based on best </w:t>
      </w:r>
      <w:r w:rsidRPr="00976040">
        <w:rPr>
          <w:rFonts w:ascii="TimesNewRomanPSMT" w:hAnsi="TimesNewRomanPSMT" w:cs="TimesNewRomanPSMT"/>
          <w:color w:val="000000"/>
          <w:lang w:val="uk-UA"/>
        </w:rPr>
        <w:lastRenderedPageBreak/>
        <w:t>practices and</w:t>
      </w:r>
      <w:r w:rsidRPr="00976040">
        <w:rPr>
          <w:rFonts w:ascii="TimesNewRomanPSMT" w:hAnsi="TimesNewRomanPSMT" w:cs="TimesNewRomanPSMT"/>
          <w:color w:val="000000"/>
        </w:rPr>
        <w:t xml:space="preserve"> </w:t>
      </w:r>
      <w:r w:rsidRPr="00976040">
        <w:rPr>
          <w:rFonts w:ascii="TimesNewRomanPSMT" w:hAnsi="TimesNewRomanPSMT" w:cs="TimesNewRomanPSMT"/>
          <w:color w:val="000000"/>
          <w:lang w:val="uk-UA"/>
        </w:rPr>
        <w:t>lessons learned from the SRDC project. Special attention should be given to strengthening</w:t>
      </w:r>
      <w:r w:rsidRPr="00976040">
        <w:rPr>
          <w:rFonts w:ascii="TimesNewRomanPSMT" w:hAnsi="TimesNewRomanPSMT" w:cs="TimesNewRomanPSMT"/>
          <w:color w:val="000000"/>
        </w:rPr>
        <w:t xml:space="preserve"> </w:t>
      </w:r>
      <w:r w:rsidRPr="00976040">
        <w:rPr>
          <w:rFonts w:ascii="TimesNewRomanPSMT" w:hAnsi="TimesNewRomanPSMT" w:cs="TimesNewRomanPSMT"/>
          <w:color w:val="000000"/>
          <w:lang w:val="uk-UA"/>
        </w:rPr>
        <w:t>the link between strategic planning and a project based approach</w:t>
      </w:r>
    </w:p>
    <w:p w:rsidR="00976040" w:rsidRPr="00976040" w:rsidRDefault="00976040" w:rsidP="00976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lang w:val="uk-UA"/>
        </w:rPr>
      </w:pPr>
      <w:r w:rsidRPr="00976040">
        <w:rPr>
          <w:rFonts w:ascii="TimesNewRomanPSMT" w:hAnsi="TimesNewRomanPSMT" w:cs="TimesNewRomanPSMT"/>
          <w:color w:val="000000"/>
          <w:lang w:val="uk-UA"/>
        </w:rPr>
        <w:t>strengthen relations between the region and the districts in a more systematically</w:t>
      </w:r>
      <w:r w:rsidRPr="00976040">
        <w:rPr>
          <w:rFonts w:ascii="TimesNewRomanPSMT" w:hAnsi="TimesNewRomanPSMT" w:cs="TimesNewRomanPSMT"/>
          <w:color w:val="000000"/>
        </w:rPr>
        <w:t xml:space="preserve"> </w:t>
      </w:r>
      <w:r w:rsidRPr="00976040">
        <w:rPr>
          <w:rFonts w:ascii="TimesNewRomanPSMT" w:hAnsi="TimesNewRomanPSMT" w:cs="TimesNewRomanPSMT"/>
          <w:color w:val="000000"/>
          <w:lang w:val="uk-UA"/>
        </w:rPr>
        <w:t>institutional way by using various means and activities</w:t>
      </w:r>
      <w:r w:rsidRPr="00976040">
        <w:rPr>
          <w:rFonts w:ascii="TimesNewRomanPSMT" w:hAnsi="TimesNewRomanPSMT" w:cs="TimesNewRomanPSMT"/>
          <w:color w:val="000000"/>
        </w:rPr>
        <w:t xml:space="preserve"> </w:t>
      </w:r>
      <w:r w:rsidRPr="00976040">
        <w:rPr>
          <w:rFonts w:ascii="TimesNewRomanPSMT" w:hAnsi="TimesNewRomanPSMT" w:cs="TimesNewRomanPSMT"/>
          <w:color w:val="000000"/>
          <w:lang w:val="uk-UA"/>
        </w:rPr>
        <w:t>continue capacity building of regional and local development agencies in order to</w:t>
      </w:r>
      <w:r w:rsidRPr="00976040">
        <w:rPr>
          <w:rFonts w:ascii="TimesNewRomanPSMT" w:hAnsi="TimesNewRomanPSMT" w:cs="TimesNewRomanPSMT"/>
          <w:color w:val="000000"/>
        </w:rPr>
        <w:t xml:space="preserve"> </w:t>
      </w:r>
      <w:r w:rsidRPr="00976040">
        <w:rPr>
          <w:rFonts w:ascii="TimesNewRomanPSMT" w:hAnsi="TimesNewRomanPSMT" w:cs="TimesNewRomanPSMT"/>
          <w:color w:val="000000"/>
          <w:lang w:val="uk-UA"/>
        </w:rPr>
        <w:t>transform them into more sophisticated institutions and to disseminate the project</w:t>
      </w:r>
      <w:r w:rsidRPr="00976040">
        <w:rPr>
          <w:rFonts w:ascii="TimesNewRomanPSMT" w:hAnsi="TimesNewRomanPSMT" w:cs="TimesNewRomanPSMT"/>
          <w:color w:val="000000"/>
        </w:rPr>
        <w:t xml:space="preserve"> </w:t>
      </w:r>
      <w:r w:rsidRPr="00976040">
        <w:rPr>
          <w:rFonts w:ascii="TimesNewRomanPSMT" w:hAnsi="TimesNewRomanPSMT" w:cs="TimesNewRomanPSMT"/>
          <w:color w:val="000000"/>
          <w:lang w:val="uk-UA"/>
        </w:rPr>
        <w:t>experience to other districts of Crimea</w:t>
      </w:r>
    </w:p>
    <w:p w:rsidR="00AA3F90" w:rsidRDefault="00976040" w:rsidP="00976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976040">
        <w:rPr>
          <w:rFonts w:ascii="TimesNewRomanPSMT" w:hAnsi="TimesNewRomanPSMT" w:cs="TimesNewRomanPSMT"/>
          <w:color w:val="000000"/>
          <w:lang w:val="uk-UA"/>
        </w:rPr>
        <w:t>develop a network of the regional development actors both in Crimea and across Ukraine</w:t>
      </w:r>
      <w:r w:rsidRPr="00976040">
        <w:rPr>
          <w:rFonts w:ascii="TimesNewRomanPSMT" w:hAnsi="TimesNewRomanPSMT" w:cs="TimesNewRomanPSMT"/>
          <w:color w:val="000000"/>
        </w:rPr>
        <w:t xml:space="preserve"> </w:t>
      </w:r>
      <w:r w:rsidRPr="00976040">
        <w:rPr>
          <w:rFonts w:ascii="TimesNewRomanPSMT" w:hAnsi="TimesNewRomanPSMT" w:cs="TimesNewRomanPSMT"/>
          <w:color w:val="000000"/>
          <w:lang w:val="uk-UA"/>
        </w:rPr>
        <w:t>to initiate exchange</w:t>
      </w:r>
    </w:p>
    <w:sectPr w:rsidR="00AA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62559"/>
    <w:multiLevelType w:val="hybridMultilevel"/>
    <w:tmpl w:val="FB347D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40"/>
    <w:rsid w:val="000075CF"/>
    <w:rsid w:val="00034108"/>
    <w:rsid w:val="00040465"/>
    <w:rsid w:val="000A4001"/>
    <w:rsid w:val="000E5CD7"/>
    <w:rsid w:val="000E61BD"/>
    <w:rsid w:val="000F19DB"/>
    <w:rsid w:val="001242BB"/>
    <w:rsid w:val="001542EE"/>
    <w:rsid w:val="001D1133"/>
    <w:rsid w:val="001E6D4A"/>
    <w:rsid w:val="00207C7E"/>
    <w:rsid w:val="002154F3"/>
    <w:rsid w:val="00215A32"/>
    <w:rsid w:val="00272B4E"/>
    <w:rsid w:val="002946F3"/>
    <w:rsid w:val="002F41E8"/>
    <w:rsid w:val="002F611A"/>
    <w:rsid w:val="00320AA3"/>
    <w:rsid w:val="0035412C"/>
    <w:rsid w:val="00390FFD"/>
    <w:rsid w:val="003A59C6"/>
    <w:rsid w:val="003B45F0"/>
    <w:rsid w:val="003B4F91"/>
    <w:rsid w:val="003C22EF"/>
    <w:rsid w:val="00415FD2"/>
    <w:rsid w:val="0044040B"/>
    <w:rsid w:val="00453062"/>
    <w:rsid w:val="00470B91"/>
    <w:rsid w:val="00485A9D"/>
    <w:rsid w:val="004A34EA"/>
    <w:rsid w:val="004B61BE"/>
    <w:rsid w:val="004D4C47"/>
    <w:rsid w:val="00521998"/>
    <w:rsid w:val="00526538"/>
    <w:rsid w:val="00543B33"/>
    <w:rsid w:val="00551D27"/>
    <w:rsid w:val="00566829"/>
    <w:rsid w:val="005A5AC0"/>
    <w:rsid w:val="005A7386"/>
    <w:rsid w:val="005A7AB5"/>
    <w:rsid w:val="005C0EA8"/>
    <w:rsid w:val="005D6A61"/>
    <w:rsid w:val="00643AF0"/>
    <w:rsid w:val="00677EA0"/>
    <w:rsid w:val="00694FE0"/>
    <w:rsid w:val="006A1787"/>
    <w:rsid w:val="006B7B14"/>
    <w:rsid w:val="006C70FA"/>
    <w:rsid w:val="006D0187"/>
    <w:rsid w:val="006E4FEE"/>
    <w:rsid w:val="007073D6"/>
    <w:rsid w:val="0071431B"/>
    <w:rsid w:val="007878DE"/>
    <w:rsid w:val="007E26F4"/>
    <w:rsid w:val="00816295"/>
    <w:rsid w:val="00834813"/>
    <w:rsid w:val="00835A75"/>
    <w:rsid w:val="008C0BAD"/>
    <w:rsid w:val="008D3ED6"/>
    <w:rsid w:val="008F2D8B"/>
    <w:rsid w:val="00944CCB"/>
    <w:rsid w:val="009610A9"/>
    <w:rsid w:val="0096110E"/>
    <w:rsid w:val="00976040"/>
    <w:rsid w:val="00A050D3"/>
    <w:rsid w:val="00A22FED"/>
    <w:rsid w:val="00A249D6"/>
    <w:rsid w:val="00A279F8"/>
    <w:rsid w:val="00A37F2B"/>
    <w:rsid w:val="00A54ED4"/>
    <w:rsid w:val="00A56026"/>
    <w:rsid w:val="00A562C8"/>
    <w:rsid w:val="00A81C6D"/>
    <w:rsid w:val="00AA3705"/>
    <w:rsid w:val="00AA3F90"/>
    <w:rsid w:val="00AC3263"/>
    <w:rsid w:val="00AD42DD"/>
    <w:rsid w:val="00AE698A"/>
    <w:rsid w:val="00B4389E"/>
    <w:rsid w:val="00B6688B"/>
    <w:rsid w:val="00B807C0"/>
    <w:rsid w:val="00BF0FEE"/>
    <w:rsid w:val="00C16A6D"/>
    <w:rsid w:val="00C22F28"/>
    <w:rsid w:val="00C50A0E"/>
    <w:rsid w:val="00C63D56"/>
    <w:rsid w:val="00CA44B8"/>
    <w:rsid w:val="00CC1909"/>
    <w:rsid w:val="00D61D39"/>
    <w:rsid w:val="00D81608"/>
    <w:rsid w:val="00DA5A1A"/>
    <w:rsid w:val="00DA6D90"/>
    <w:rsid w:val="00DE5C09"/>
    <w:rsid w:val="00E20A0A"/>
    <w:rsid w:val="00E27F2F"/>
    <w:rsid w:val="00E46D96"/>
    <w:rsid w:val="00EC2399"/>
    <w:rsid w:val="00EE0F88"/>
    <w:rsid w:val="00EF0361"/>
    <w:rsid w:val="00F15BFC"/>
    <w:rsid w:val="00F30E91"/>
    <w:rsid w:val="00F62A99"/>
    <w:rsid w:val="00FB495A"/>
    <w:rsid w:val="00FD1C98"/>
    <w:rsid w:val="00FD33A1"/>
    <w:rsid w:val="00FD3EB6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9491F-220A-4E92-8C1C-A6F1182D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Theme="minorHAnsi" w:hAnsi="Myriad Pro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5035</Words>
  <Characters>2870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2013-08-12T08:14:00Z</dcterms:created>
  <dcterms:modified xsi:type="dcterms:W3CDTF">2013-08-12T08:20:00Z</dcterms:modified>
</cp:coreProperties>
</file>