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82383B" w:rsidRDefault="00D6638C" w:rsidP="0082383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sz w:val="28"/>
          <w:szCs w:val="28"/>
        </w:rPr>
      </w:pPr>
      <w:bookmarkStart w:id="0" w:name="_Toc321341546"/>
      <w:bookmarkStart w:id="1" w:name="_Toc323119582"/>
      <w:bookmarkStart w:id="2" w:name="_GoBack"/>
      <w:bookmarkEnd w:id="2"/>
      <w:r w:rsidRPr="0082383B">
        <w:rPr>
          <w:rFonts w:ascii="Calibri" w:eastAsia="Times New Roman" w:hAnsi="Calibri" w:cs="Times New Roman"/>
          <w:b/>
          <w:caps/>
          <w:spacing w:val="15"/>
          <w:sz w:val="28"/>
          <w:szCs w:val="28"/>
        </w:rPr>
        <w:t>Terminal Evaluation Terms of Reference</w:t>
      </w:r>
      <w:bookmarkEnd w:id="0"/>
      <w:bookmarkEnd w:id="1"/>
    </w:p>
    <w:p w:rsidR="0082383B" w:rsidRPr="0082383B" w:rsidRDefault="0082383B" w:rsidP="0082383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sz w:val="28"/>
          <w:szCs w:val="28"/>
        </w:rPr>
      </w:pPr>
      <w:r w:rsidRPr="0082383B">
        <w:rPr>
          <w:b/>
          <w:sz w:val="28"/>
          <w:szCs w:val="28"/>
        </w:rPr>
        <w:t>Capacity Building and Knowledge Management for Sustainable Land Management in Lesotho</w:t>
      </w:r>
    </w:p>
    <w:p w:rsidR="006C1964" w:rsidRDefault="00B913F1" w:rsidP="00F05366">
      <w:pPr>
        <w:pStyle w:val="Heading51"/>
      </w:pPr>
      <w:bookmarkStart w:id="3" w:name="_Toc299126613"/>
      <w:r>
        <w:t>INTRODUCTION</w:t>
      </w:r>
    </w:p>
    <w:p w:rsidR="00B203C5" w:rsidRPr="00B203C5" w:rsidRDefault="00D6638C" w:rsidP="00B203C5">
      <w:pPr>
        <w:spacing w:after="100" w:afterAutospacing="1"/>
        <w:ind w:left="720"/>
        <w:jc w:val="both"/>
        <w:rPr>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C20543">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a Terminal Evaluation (TE) of </w:t>
      </w:r>
      <w:r w:rsidRPr="00B203C5">
        <w:rPr>
          <w:rFonts w:ascii="Calibri" w:eastAsia="Times New Roman" w:hAnsi="Calibri" w:cs="Times New Roman"/>
          <w:sz w:val="20"/>
          <w:szCs w:val="20"/>
        </w:rPr>
        <w:t>the</w:t>
      </w:r>
      <w:r w:rsidRPr="00B203C5">
        <w:rPr>
          <w:rFonts w:ascii="Calibri" w:eastAsia="Times New Roman" w:hAnsi="Calibri" w:cs="Times New Roman"/>
          <w:i/>
          <w:sz w:val="20"/>
          <w:szCs w:val="20"/>
        </w:rPr>
        <w:t xml:space="preserve"> </w:t>
      </w:r>
      <w:r w:rsidR="00B203C5" w:rsidRPr="00B203C5">
        <w:rPr>
          <w:sz w:val="20"/>
          <w:szCs w:val="20"/>
        </w:rPr>
        <w:t>Capacity Building and Knowledge Management for Sustainable Land Management in Lesotho</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w:t>
      </w:r>
      <w:r w:rsidR="00A309C5">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34"/>
        <w:gridCol w:w="932"/>
        <w:gridCol w:w="3850"/>
        <w:gridCol w:w="1921"/>
        <w:gridCol w:w="566"/>
        <w:gridCol w:w="2636"/>
        <w:gridCol w:w="2409"/>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B203C5" w:rsidP="00D6638C">
            <w:pPr>
              <w:spacing w:after="0"/>
              <w:contextualSpacing/>
              <w:rPr>
                <w:rFonts w:ascii="Calibri" w:eastAsia="Times New Roman" w:hAnsi="Calibri" w:cs="Calibri"/>
                <w:bCs/>
                <w:sz w:val="20"/>
                <w:szCs w:val="20"/>
              </w:rPr>
            </w:pPr>
            <w:r w:rsidRPr="00B203C5">
              <w:rPr>
                <w:sz w:val="20"/>
                <w:szCs w:val="20"/>
              </w:rPr>
              <w:t>Capacity Building and Knowledge Management for Sustainable Land Management in Lesotho</w:t>
            </w:r>
          </w:p>
        </w:tc>
      </w:tr>
      <w:tr w:rsidR="00D6638C" w:rsidRPr="00D6638C" w:rsidTr="00CC59BA">
        <w:tblPrEx>
          <w:shd w:val="clear" w:color="auto" w:fill="auto"/>
        </w:tblPrEx>
        <w:trPr>
          <w:trHeight w:val="557"/>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421" w:type="pct"/>
            <w:vAlign w:val="center"/>
          </w:tcPr>
          <w:p w:rsidR="00D6638C" w:rsidRPr="002653E1" w:rsidRDefault="00D62513" w:rsidP="002653E1">
            <w:pPr>
              <w:spacing w:after="100" w:afterAutospacing="1"/>
              <w:rPr>
                <w:rFonts w:cstheme="minorHAnsi"/>
                <w:sz w:val="20"/>
                <w:szCs w:val="20"/>
              </w:rPr>
            </w:pPr>
            <w:r>
              <w:rPr>
                <w:rFonts w:ascii="Myriad Pro" w:hAnsi="Myriad Pro"/>
                <w:sz w:val="20"/>
              </w:rPr>
              <w:t xml:space="preserve"> PIMS </w:t>
            </w:r>
            <w:r w:rsidR="002653E1">
              <w:rPr>
                <w:rFonts w:cstheme="minorHAnsi"/>
                <w:sz w:val="20"/>
              </w:rPr>
              <w:t>3044</w:t>
            </w:r>
          </w:p>
        </w:tc>
        <w:tc>
          <w:tcPr>
            <w:tcW w:w="709" w:type="pct"/>
          </w:tcPr>
          <w:p w:rsidR="00D6638C" w:rsidRPr="00D62513" w:rsidRDefault="00D6638C" w:rsidP="00D62513">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182"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889"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CC59BA">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00063046</w:t>
            </w:r>
          </w:p>
        </w:tc>
        <w:tc>
          <w:tcPr>
            <w:tcW w:w="70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182" w:type="pct"/>
            <w:gridSpan w:val="2"/>
            <w:vAlign w:val="center"/>
          </w:tcPr>
          <w:p w:rsidR="00D6638C" w:rsidRPr="00D6638C" w:rsidRDefault="00BB79BA" w:rsidP="00D6638C">
            <w:pPr>
              <w:spacing w:after="0"/>
              <w:rPr>
                <w:rFonts w:ascii="Calibri" w:eastAsia="Arial Unicode MS" w:hAnsi="Calibri" w:cs="Times New Roman"/>
                <w:sz w:val="20"/>
                <w:szCs w:val="20"/>
              </w:rPr>
            </w:pPr>
            <w:r w:rsidRPr="007E3000">
              <w:rPr>
                <w:rFonts w:ascii="Times New Roman" w:hAnsi="Times New Roman"/>
                <w:kern w:val="2"/>
                <w:lang w:eastAsia="ar-SA"/>
              </w:rPr>
              <w:t>US $1,724,500</w:t>
            </w:r>
          </w:p>
        </w:tc>
        <w:tc>
          <w:tcPr>
            <w:tcW w:w="889" w:type="pct"/>
          </w:tcPr>
          <w:p w:rsidR="00D6638C" w:rsidRPr="00D62513" w:rsidRDefault="00D6638C" w:rsidP="00D6638C">
            <w:pPr>
              <w:spacing w:after="0"/>
              <w:jc w:val="both"/>
              <w:rPr>
                <w:rFonts w:ascii="Calibri" w:eastAsia="Times New Roman" w:hAnsi="Calibri" w:cs="Times New Roman"/>
                <w:noProof/>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Lesotho</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182" w:type="pct"/>
            <w:gridSpan w:val="2"/>
            <w:vAlign w:val="center"/>
          </w:tcPr>
          <w:p w:rsidR="00D6638C" w:rsidRPr="00D6638C" w:rsidRDefault="00BB79BA"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 $350,000</w:t>
            </w:r>
          </w:p>
        </w:tc>
        <w:tc>
          <w:tcPr>
            <w:tcW w:w="889"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SA</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182" w:type="pct"/>
            <w:gridSpan w:val="2"/>
            <w:vAlign w:val="center"/>
          </w:tcPr>
          <w:p w:rsidR="00D6638C" w:rsidRDefault="00096317"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 $112,471</w:t>
            </w:r>
            <w:r w:rsidR="00CC59BA">
              <w:rPr>
                <w:rFonts w:ascii="Calibri" w:eastAsia="Arial Unicode MS" w:hAnsi="Calibri" w:cs="Times New Roman"/>
                <w:sz w:val="20"/>
                <w:szCs w:val="20"/>
              </w:rPr>
              <w:t xml:space="preserve"> + US $400,000(in kind)</w:t>
            </w:r>
          </w:p>
          <w:p w:rsidR="00CC59BA" w:rsidRPr="00D6638C" w:rsidRDefault="00CC59BA" w:rsidP="00D6638C">
            <w:pPr>
              <w:spacing w:after="0"/>
              <w:rPr>
                <w:rFonts w:ascii="Calibri" w:eastAsia="Arial Unicode MS" w:hAnsi="Calibri" w:cs="Times New Roman"/>
                <w:sz w:val="20"/>
                <w:szCs w:val="20"/>
              </w:rPr>
            </w:pPr>
            <w:r>
              <w:rPr>
                <w:rFonts w:ascii="Calibri" w:eastAsia="Arial Unicode MS" w:hAnsi="Calibri" w:cs="Times New Roman"/>
                <w:sz w:val="20"/>
                <w:szCs w:val="20"/>
              </w:rPr>
              <w:t>= US $512,471</w:t>
            </w:r>
          </w:p>
        </w:tc>
        <w:tc>
          <w:tcPr>
            <w:tcW w:w="889"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421" w:type="pct"/>
            <w:vAlign w:val="center"/>
          </w:tcPr>
          <w:p w:rsidR="00D6638C" w:rsidRPr="00D6638C" w:rsidRDefault="00D74E6E" w:rsidP="00D74E6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Land Degradation</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182" w:type="pct"/>
            <w:gridSpan w:val="2"/>
            <w:vAlign w:val="center"/>
          </w:tcPr>
          <w:p w:rsidR="00D6638C" w:rsidRPr="00D6638C" w:rsidRDefault="00D6638C" w:rsidP="00D6638C">
            <w:pPr>
              <w:spacing w:after="0"/>
              <w:rPr>
                <w:rFonts w:ascii="Calibri" w:eastAsia="Times New Roman" w:hAnsi="Calibri" w:cs="Times New Roman"/>
                <w:sz w:val="20"/>
                <w:szCs w:val="20"/>
              </w:rPr>
            </w:pPr>
          </w:p>
        </w:tc>
        <w:tc>
          <w:tcPr>
            <w:tcW w:w="889"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024"/>
        </w:trPr>
        <w:tc>
          <w:tcPr>
            <w:tcW w:w="799" w:type="pct"/>
            <w:gridSpan w:val="2"/>
          </w:tcPr>
          <w:p w:rsidR="002D4EE3"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p w:rsidR="002D4EE3" w:rsidRPr="002D4EE3" w:rsidRDefault="002D4EE3" w:rsidP="002D4EE3">
            <w:pPr>
              <w:rPr>
                <w:rFonts w:ascii="Calibri" w:eastAsia="Arial Unicode MS" w:hAnsi="Calibri" w:cs="Times New Roman"/>
                <w:sz w:val="20"/>
                <w:szCs w:val="20"/>
              </w:rPr>
            </w:pPr>
          </w:p>
          <w:p w:rsidR="00D6638C" w:rsidRPr="002D4EE3" w:rsidRDefault="00D6638C" w:rsidP="002D4EE3">
            <w:pPr>
              <w:rPr>
                <w:rFonts w:ascii="Calibri" w:eastAsia="Arial Unicode MS" w:hAnsi="Calibri" w:cs="Times New Roman"/>
                <w:sz w:val="20"/>
                <w:szCs w:val="20"/>
              </w:rPr>
            </w:pPr>
          </w:p>
        </w:tc>
        <w:tc>
          <w:tcPr>
            <w:tcW w:w="1421" w:type="pct"/>
            <w:vAlign w:val="center"/>
          </w:tcPr>
          <w:p w:rsidR="00D6638C" w:rsidRDefault="00BB79BA" w:rsidP="00BB79BA">
            <w:pPr>
              <w:tabs>
                <w:tab w:val="right" w:pos="0"/>
              </w:tabs>
              <w:spacing w:after="0" w:line="240" w:lineRule="auto"/>
              <w:rPr>
                <w:rFonts w:ascii="Calibri" w:hAnsi="Calibri" w:cs="Times New Roman"/>
                <w:sz w:val="18"/>
                <w:szCs w:val="18"/>
              </w:rPr>
            </w:pPr>
            <w:r>
              <w:rPr>
                <w:rFonts w:ascii="Calibri" w:hAnsi="Calibri" w:cs="Times New Roman"/>
                <w:sz w:val="18"/>
                <w:szCs w:val="18"/>
              </w:rPr>
              <w:t xml:space="preserve">- </w:t>
            </w:r>
            <w:r w:rsidRPr="00BB79BA">
              <w:rPr>
                <w:rFonts w:ascii="Calibri" w:hAnsi="Calibri" w:cs="Times New Roman"/>
                <w:sz w:val="18"/>
                <w:szCs w:val="18"/>
              </w:rPr>
              <w:t>SLM model and techniques ready for national implementation</w:t>
            </w:r>
          </w:p>
          <w:p w:rsidR="00BB79BA" w:rsidRDefault="00BB79BA" w:rsidP="00BB79BA">
            <w:pPr>
              <w:tabs>
                <w:tab w:val="right" w:pos="0"/>
              </w:tabs>
              <w:spacing w:after="0" w:line="240" w:lineRule="auto"/>
              <w:rPr>
                <w:rFonts w:ascii="Calibri" w:hAnsi="Calibri" w:cs="Times New Roman"/>
                <w:sz w:val="18"/>
                <w:szCs w:val="18"/>
              </w:rPr>
            </w:pPr>
          </w:p>
          <w:p w:rsidR="00BB79BA" w:rsidRPr="00BB79BA" w:rsidRDefault="00BB79BA" w:rsidP="00BB79BA">
            <w:pPr>
              <w:spacing w:after="100" w:afterAutospacing="1" w:line="240" w:lineRule="auto"/>
              <w:jc w:val="both"/>
              <w:rPr>
                <w:sz w:val="18"/>
                <w:szCs w:val="18"/>
              </w:rPr>
            </w:pPr>
            <w:r>
              <w:rPr>
                <w:rFonts w:ascii="Calibri" w:hAnsi="Calibri" w:cs="Times New Roman"/>
                <w:sz w:val="18"/>
                <w:szCs w:val="18"/>
              </w:rPr>
              <w:t xml:space="preserve">- </w:t>
            </w:r>
            <w:r>
              <w:rPr>
                <w:sz w:val="18"/>
                <w:szCs w:val="18"/>
              </w:rPr>
              <w:t>L</w:t>
            </w:r>
            <w:r w:rsidRPr="00BB79BA">
              <w:rPr>
                <w:sz w:val="18"/>
                <w:szCs w:val="18"/>
              </w:rPr>
              <w:t xml:space="preserve">ocal and national capacity for adapting and scaling up proven SLM models and techniques in place. </w:t>
            </w:r>
          </w:p>
          <w:p w:rsidR="00BB79BA" w:rsidRPr="00BB79BA" w:rsidRDefault="00BB79BA" w:rsidP="00BB79BA">
            <w:pPr>
              <w:spacing w:after="100" w:afterAutospacing="1" w:line="240" w:lineRule="auto"/>
              <w:jc w:val="both"/>
              <w:rPr>
                <w:sz w:val="18"/>
                <w:szCs w:val="18"/>
              </w:rPr>
            </w:pPr>
            <w:r>
              <w:rPr>
                <w:sz w:val="20"/>
                <w:szCs w:val="20"/>
              </w:rPr>
              <w:t xml:space="preserve">- </w:t>
            </w:r>
            <w:r w:rsidRPr="00BB79BA">
              <w:rPr>
                <w:sz w:val="18"/>
                <w:szCs w:val="18"/>
              </w:rPr>
              <w:t>SLM Policy Enabling Environment</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182" w:type="pct"/>
            <w:gridSpan w:val="2"/>
            <w:vAlign w:val="center"/>
          </w:tcPr>
          <w:p w:rsidR="00D6638C" w:rsidRPr="00D6638C" w:rsidRDefault="00096317" w:rsidP="00CC59BA">
            <w:pPr>
              <w:spacing w:after="0"/>
              <w:rPr>
                <w:rFonts w:ascii="Calibri" w:eastAsia="Arial Unicode MS" w:hAnsi="Calibri" w:cs="Times New Roman"/>
                <w:sz w:val="20"/>
                <w:szCs w:val="20"/>
              </w:rPr>
            </w:pPr>
            <w:r>
              <w:rPr>
                <w:rFonts w:ascii="Calibri" w:eastAsia="Arial Unicode MS" w:hAnsi="Calibri" w:cs="Times New Roman"/>
                <w:sz w:val="20"/>
                <w:szCs w:val="20"/>
              </w:rPr>
              <w:t>US $</w:t>
            </w:r>
            <w:r w:rsidR="00CC59BA">
              <w:rPr>
                <w:rFonts w:ascii="Calibri" w:eastAsia="Arial Unicode MS" w:hAnsi="Calibri" w:cs="Times New Roman"/>
                <w:sz w:val="20"/>
                <w:szCs w:val="20"/>
              </w:rPr>
              <w:t>862,471</w:t>
            </w:r>
          </w:p>
        </w:tc>
        <w:tc>
          <w:tcPr>
            <w:tcW w:w="889" w:type="pct"/>
          </w:tcPr>
          <w:p w:rsidR="00D6638C" w:rsidRPr="002D4EE3" w:rsidRDefault="00D6638C" w:rsidP="002D4EE3">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341"/>
        </w:trPr>
        <w:tc>
          <w:tcPr>
            <w:tcW w:w="799" w:type="pct"/>
            <w:gridSpan w:val="2"/>
          </w:tcPr>
          <w:p w:rsidR="00D6638C" w:rsidRPr="00D6638C" w:rsidRDefault="00BB79BA" w:rsidP="00D6638C">
            <w:pPr>
              <w:spacing w:after="0"/>
              <w:jc w:val="right"/>
              <w:rPr>
                <w:rFonts w:ascii="Calibri" w:eastAsia="Arial Unicode MS" w:hAnsi="Calibri" w:cs="Times New Roman"/>
                <w:color w:val="000000"/>
                <w:sz w:val="20"/>
                <w:szCs w:val="20"/>
              </w:rPr>
            </w:pPr>
            <w:r>
              <w:rPr>
                <w:rFonts w:ascii="Calibri" w:eastAsia="Arial Unicode MS" w:hAnsi="Calibri" w:cs="Times New Roman"/>
                <w:color w:val="000000"/>
                <w:sz w:val="20"/>
                <w:szCs w:val="20"/>
              </w:rPr>
              <w:t>Implementing Agency</w:t>
            </w:r>
          </w:p>
        </w:tc>
        <w:tc>
          <w:tcPr>
            <w:tcW w:w="1421" w:type="pct"/>
            <w:vAlign w:val="center"/>
          </w:tcPr>
          <w:p w:rsidR="00D6638C" w:rsidRPr="00D6638C" w:rsidRDefault="00BB79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70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182" w:type="pct"/>
            <w:gridSpan w:val="2"/>
            <w:vAlign w:val="center"/>
          </w:tcPr>
          <w:p w:rsidR="00096317" w:rsidRPr="00D6638C" w:rsidRDefault="00096317" w:rsidP="00CC59BA">
            <w:pPr>
              <w:spacing w:after="0"/>
              <w:rPr>
                <w:rFonts w:ascii="Calibri" w:eastAsia="Arial Unicode MS" w:hAnsi="Calibri" w:cs="Times New Roman"/>
                <w:sz w:val="20"/>
                <w:szCs w:val="20"/>
              </w:rPr>
            </w:pPr>
            <w:r>
              <w:rPr>
                <w:rFonts w:ascii="Calibri" w:eastAsia="Arial Unicode MS" w:hAnsi="Calibri" w:cs="Times New Roman"/>
                <w:sz w:val="20"/>
                <w:szCs w:val="20"/>
              </w:rPr>
              <w:t>US $ 2,5</w:t>
            </w:r>
            <w:r w:rsidR="00CC59BA">
              <w:rPr>
                <w:rFonts w:ascii="Calibri" w:eastAsia="Arial Unicode MS" w:hAnsi="Calibri" w:cs="Times New Roman"/>
                <w:sz w:val="20"/>
                <w:szCs w:val="20"/>
              </w:rPr>
              <w:t>86,971</w:t>
            </w:r>
          </w:p>
        </w:tc>
        <w:tc>
          <w:tcPr>
            <w:tcW w:w="889"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BB79BA" w:rsidRPr="00D6638C" w:rsidTr="00CC59BA">
        <w:tblPrEx>
          <w:shd w:val="clear" w:color="auto" w:fill="auto"/>
        </w:tblPrEx>
        <w:trPr>
          <w:trHeight w:val="341"/>
        </w:trPr>
        <w:tc>
          <w:tcPr>
            <w:tcW w:w="799" w:type="pct"/>
            <w:gridSpan w:val="2"/>
          </w:tcPr>
          <w:p w:rsidR="00BB79BA" w:rsidRPr="00D6638C" w:rsidRDefault="00BB79BA"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421" w:type="pct"/>
            <w:vAlign w:val="center"/>
          </w:tcPr>
          <w:p w:rsidR="00BB79BA" w:rsidRDefault="00BB79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Ministry of Forestry and Land Reclamation</w:t>
            </w:r>
          </w:p>
        </w:tc>
        <w:tc>
          <w:tcPr>
            <w:tcW w:w="709" w:type="pct"/>
          </w:tcPr>
          <w:p w:rsidR="00BB79BA" w:rsidRPr="00D6638C" w:rsidRDefault="00BB79BA" w:rsidP="00D6638C">
            <w:pPr>
              <w:spacing w:after="0"/>
              <w:jc w:val="right"/>
              <w:rPr>
                <w:rFonts w:ascii="Calibri" w:eastAsia="Times New Roman" w:hAnsi="Calibri" w:cs="Times New Roman"/>
                <w:color w:val="000000"/>
                <w:sz w:val="20"/>
                <w:szCs w:val="20"/>
              </w:rPr>
            </w:pPr>
          </w:p>
        </w:tc>
        <w:tc>
          <w:tcPr>
            <w:tcW w:w="1182" w:type="pct"/>
            <w:gridSpan w:val="2"/>
            <w:vAlign w:val="center"/>
          </w:tcPr>
          <w:p w:rsidR="00BB79BA" w:rsidRPr="00D6638C" w:rsidRDefault="00BB79BA" w:rsidP="00D6638C">
            <w:pPr>
              <w:spacing w:after="0"/>
              <w:rPr>
                <w:rFonts w:ascii="Calibri" w:eastAsia="Times New Roman" w:hAnsi="Calibri" w:cs="Times New Roman"/>
                <w:sz w:val="20"/>
                <w:szCs w:val="20"/>
              </w:rPr>
            </w:pPr>
          </w:p>
        </w:tc>
        <w:tc>
          <w:tcPr>
            <w:tcW w:w="889" w:type="pct"/>
          </w:tcPr>
          <w:p w:rsidR="00BB79BA" w:rsidRPr="00D6638C" w:rsidRDefault="00BB79BA" w:rsidP="00D6638C">
            <w:pPr>
              <w:spacing w:after="0"/>
              <w:jc w:val="both"/>
              <w:rPr>
                <w:rFonts w:ascii="Calibri" w:eastAsia="Times New Roman" w:hAnsi="Calibri" w:cs="Times New Roman"/>
                <w:sz w:val="20"/>
                <w:szCs w:val="20"/>
              </w:rPr>
            </w:pPr>
          </w:p>
        </w:tc>
      </w:tr>
      <w:tr w:rsidR="00D6638C" w:rsidRPr="00D6638C" w:rsidTr="00CC59BA">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xml:space="preserve">Other Partners </w:t>
            </w:r>
            <w:r w:rsidRPr="00D6638C">
              <w:rPr>
                <w:rFonts w:ascii="Calibri" w:eastAsia="Times New Roman" w:hAnsi="Calibri" w:cs="Times New Roman"/>
                <w:sz w:val="20"/>
                <w:szCs w:val="20"/>
              </w:rPr>
              <w:lastRenderedPageBreak/>
              <w:t>involved:</w:t>
            </w:r>
          </w:p>
        </w:tc>
        <w:tc>
          <w:tcPr>
            <w:tcW w:w="1421"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p>
        </w:tc>
        <w:tc>
          <w:tcPr>
            <w:tcW w:w="1891"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889" w:type="pct"/>
            <w:vAlign w:val="center"/>
          </w:tcPr>
          <w:p w:rsidR="00D6638C" w:rsidRPr="00D6638C" w:rsidRDefault="0071199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September 2009</w:t>
            </w:r>
          </w:p>
        </w:tc>
      </w:tr>
      <w:tr w:rsidR="00D6638C" w:rsidRPr="00D6638C" w:rsidTr="00CC59BA">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421"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918"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w:t>
            </w:r>
            <w:r w:rsidR="0082383B" w:rsidRPr="00B203C5">
              <w:rPr>
                <w:sz w:val="20"/>
                <w:szCs w:val="20"/>
              </w:rPr>
              <w:t xml:space="preserve"> Capacity Building and Knowledge Management for Sustainable Land Management in Lesotho</w:t>
            </w:r>
            <w:r w:rsidR="0082383B" w:rsidRPr="00D6638C">
              <w:rPr>
                <w:rFonts w:ascii="Calibri" w:eastAsia="Times New Roman" w:hAnsi="Calibri" w:cs="Times New Roman"/>
                <w:color w:val="000000"/>
                <w:sz w:val="20"/>
                <w:szCs w:val="20"/>
              </w:rPr>
              <w:t xml:space="preserve"> </w:t>
            </w:r>
            <w:r w:rsidRPr="00D6638C">
              <w:rPr>
                <w:rFonts w:ascii="Calibri" w:eastAsia="Times New Roman" w:hAnsi="Calibri" w:cs="Times New Roman"/>
                <w:color w:val="000000"/>
                <w:sz w:val="20"/>
                <w:szCs w:val="20"/>
              </w:rPr>
              <w:t>ate:</w:t>
            </w:r>
          </w:p>
        </w:tc>
        <w:tc>
          <w:tcPr>
            <w:tcW w:w="97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09631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January </w:t>
            </w:r>
            <w:r w:rsidR="000B7F0C">
              <w:rPr>
                <w:rFonts w:ascii="Calibri" w:eastAsia="Times New Roman" w:hAnsi="Calibri" w:cs="Times New Roman"/>
                <w:color w:val="000000"/>
                <w:sz w:val="20"/>
                <w:szCs w:val="20"/>
              </w:rPr>
              <w:t xml:space="preserve"> 2014</w:t>
            </w:r>
          </w:p>
        </w:tc>
        <w:tc>
          <w:tcPr>
            <w:tcW w:w="889" w:type="pct"/>
          </w:tcPr>
          <w:p w:rsidR="00D6638C" w:rsidRPr="00D6638C" w:rsidRDefault="00096317"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r>
              <w:rPr>
                <w:rFonts w:ascii="Calibri" w:eastAsia="Times New Roman" w:hAnsi="Calibri" w:cs="Times New Roman"/>
                <w:color w:val="000000"/>
                <w:sz w:val="20"/>
                <w:szCs w:val="20"/>
              </w:rPr>
              <w:t xml:space="preserve"> December 2014</w:t>
            </w:r>
          </w:p>
          <w:p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rsidR="000B7F0C" w:rsidRDefault="000B7F0C" w:rsidP="00F05366">
      <w:pPr>
        <w:pStyle w:val="Heading51"/>
      </w:pPr>
      <w:bookmarkStart w:id="5" w:name="_Toc321341549"/>
    </w:p>
    <w:p w:rsidR="000B7F0C" w:rsidRPr="000B7F0C" w:rsidRDefault="000B7F0C" w:rsidP="000B7F0C"/>
    <w:p w:rsidR="00D6638C" w:rsidRPr="00B913F1" w:rsidRDefault="00D6638C" w:rsidP="00F05366">
      <w:pPr>
        <w:pStyle w:val="Heading51"/>
      </w:pPr>
      <w:r w:rsidRPr="00B913F1">
        <w:t>Objective and Scope</w:t>
      </w:r>
      <w:bookmarkEnd w:id="5"/>
    </w:p>
    <w:p w:rsidR="00A309C5" w:rsidRDefault="00A309C5" w:rsidP="000B7F0C">
      <w:pPr>
        <w:spacing w:after="0" w:line="240" w:lineRule="auto"/>
        <w:jc w:val="both"/>
        <w:rPr>
          <w:sz w:val="20"/>
          <w:szCs w:val="20"/>
        </w:rPr>
      </w:pPr>
    </w:p>
    <w:p w:rsidR="000B7F0C" w:rsidRPr="000B7F0C" w:rsidRDefault="000B7F0C" w:rsidP="000B7F0C">
      <w:pPr>
        <w:spacing w:after="0" w:line="240" w:lineRule="auto"/>
        <w:jc w:val="both"/>
        <w:rPr>
          <w:sz w:val="20"/>
          <w:szCs w:val="20"/>
        </w:rPr>
      </w:pPr>
      <w:r w:rsidRPr="008B5840">
        <w:rPr>
          <w:sz w:val="20"/>
          <w:szCs w:val="20"/>
        </w:rPr>
        <w:t>The integral functioning of Lesotho’s mountainous ecosystems is vital not only to the livelihoods and welfare of its people, but for the delivery of ecosystem services and global environmental benefits to a large part of Southern Africa. The mountainous Kingdom is the source of rivers that reach the Atlantic Ocean in the west and supply an increasing proportion of the water consumed in South Africa’s industrial heartland. SLM in Lesotho is therefore a vital ingredient of broader environmental wellbeing. Unfortunately, the Kingdom is largely characterized by inhospitable terrain, harsh climate, dense populations and intensively utilized and highly degraded natural resources. Despite numerous attempts and extensive but fragmented technical knowledge, barriers in capacity, knowledge and SLM models continue to obstruct efforts to adopt effective sustainable land management practices and action. As a result, land degradation continues to impoverish local livelihoods and to impose broader environmental costs on the region beyond Lesotho’s borders.</w:t>
      </w:r>
    </w:p>
    <w:p w:rsidR="000B7F0C" w:rsidRPr="008B5840" w:rsidRDefault="000B7F0C" w:rsidP="000B7F0C">
      <w:pPr>
        <w:spacing w:after="0" w:line="240" w:lineRule="auto"/>
        <w:jc w:val="both"/>
        <w:rPr>
          <w:sz w:val="20"/>
          <w:szCs w:val="20"/>
        </w:rPr>
      </w:pPr>
      <w:r w:rsidRPr="008B5840">
        <w:rPr>
          <w:sz w:val="20"/>
          <w:szCs w:val="20"/>
        </w:rPr>
        <w:t>The goal of this MSP is that sustainable land management provides a strong base for sustainable development in Lesotho while providing a range of global benefits to the region. In order to overcome these barriers and address the corresponding programmatic gaps, the specific objective of this MSP is that, supported by a knowledge management network, Lesotho is equipped at local and national levels with the techniques, approaches, capacity and strategy for upscaling successful SLM in support of national biodiversity conservation, food security and poverty reduction strategies. Three project outcomes are intended to achieve this objective:</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Proven, strengthened, participatory, replicable models and techniques that successfully overcome current institutional and governance barriers to SLM are ready for national implementation. </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Adequate local and national capacity for adapting and scaling up proven SLM models and techniques in place. </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SLM Policy Enabling Environment - Enhanced awareness, dialogue, understanding and analysis of SLM best practice at resource user, community, local government, NGO and national government levels across the country, reflected in the relevant policies, strategies and programmes. </w:t>
      </w:r>
    </w:p>
    <w:p w:rsidR="000B7F0C" w:rsidRPr="008B5840" w:rsidRDefault="000B7F0C" w:rsidP="000B7F0C">
      <w:pPr>
        <w:spacing w:after="0" w:line="240" w:lineRule="auto"/>
        <w:jc w:val="both"/>
        <w:rPr>
          <w:sz w:val="20"/>
          <w:szCs w:val="20"/>
        </w:rPr>
      </w:pPr>
      <w:r w:rsidRPr="008B5840">
        <w:rPr>
          <w:sz w:val="20"/>
          <w:szCs w:val="20"/>
        </w:rPr>
        <w:t xml:space="preserve">By building a proven, replicable SLM model for Lesotho and strengthening the capacity and knowledge needed for its subsequent use across the country, implementation of this project will make a direct contribution to the kingdom’s Poverty Reduction Strategy, to its Food Security Policy and to the fulfillment of its National Action Programme in response to the UN Convention to Combat Desertification. </w:t>
      </w:r>
    </w:p>
    <w:p w:rsidR="000B7F0C" w:rsidRPr="00D6638C" w:rsidRDefault="000B7F0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6" w:name="_Toc299133043"/>
      <w:bookmarkStart w:id="7" w:name="_Toc321341550"/>
    </w:p>
    <w:p w:rsidR="00791C82" w:rsidRDefault="00791C82" w:rsidP="00F05366">
      <w:pPr>
        <w:pStyle w:val="Heading51"/>
        <w:rPr>
          <w:rFonts w:eastAsiaTheme="minorHAnsi"/>
          <w:b w:val="0"/>
          <w:caps w:val="0"/>
          <w:spacing w:val="0"/>
        </w:rPr>
      </w:pPr>
    </w:p>
    <w:p w:rsidR="00A309C5" w:rsidRPr="00A309C5" w:rsidRDefault="00A309C5" w:rsidP="00A309C5"/>
    <w:p w:rsidR="00D6638C" w:rsidRPr="00D6638C" w:rsidRDefault="00D6638C" w:rsidP="00F05366">
      <w:pPr>
        <w:pStyle w:val="Heading51"/>
      </w:pPr>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w:t>
      </w:r>
      <w:proofErr w:type="gramStart"/>
      <w:r w:rsidRPr="00D6638C">
        <w:rPr>
          <w:rFonts w:ascii="Calibri" w:eastAsia="Times New Roman" w:hAnsi="Calibri" w:cs="Times New Roman"/>
          <w:sz w:val="20"/>
          <w:szCs w:val="20"/>
        </w:rPr>
        <w:t>financed projects has</w:t>
      </w:r>
      <w:proofErr w:type="gramEnd"/>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w:t>
      </w:r>
      <w:r w:rsidRPr="006C5AE1">
        <w:rPr>
          <w:rFonts w:ascii="Calibri" w:eastAsia="Times New Roman" w:hAnsi="Calibri" w:cs="Times New Roman"/>
          <w:sz w:val="20"/>
          <w:szCs w:val="20"/>
        </w:rPr>
        <w:t xml:space="preserve">TOR </w:t>
      </w:r>
      <w:r w:rsidRPr="006C5AE1">
        <w:rPr>
          <w:rFonts w:ascii="Calibri" w:eastAsia="Times New Roman" w:hAnsi="Calibri" w:cs="Times New Roman"/>
          <w:sz w:val="20"/>
          <w:szCs w:val="20"/>
          <w:shd w:val="clear" w:color="auto" w:fill="FFFFFF" w:themeFill="background1"/>
        </w:rPr>
        <w:t>(</w:t>
      </w:r>
      <w:hyperlink w:anchor="_TOR_Annex_C:" w:history="1">
        <w:r w:rsidRPr="006C5AE1">
          <w:rPr>
            <w:rFonts w:ascii="Calibri" w:eastAsia="Times New Roman" w:hAnsi="Calibri" w:cs="Times New Roman"/>
            <w:i/>
            <w:color w:val="0000FF"/>
            <w:sz w:val="20"/>
            <w:szCs w:val="20"/>
            <w:u w:val="single"/>
            <w:shd w:val="clear" w:color="auto" w:fill="FFFFFF" w:themeFill="background1"/>
          </w:rPr>
          <w:t>Annex C</w:t>
        </w:r>
      </w:hyperlink>
      <w:r w:rsidRPr="006C5AE1">
        <w:rPr>
          <w:rFonts w:ascii="Calibri" w:eastAsia="Times New Roman" w:hAnsi="Calibri" w:cs="Times New Roman"/>
          <w:sz w:val="20"/>
          <w:szCs w:val="20"/>
          <w:shd w:val="clear" w:color="auto" w:fill="FFFFFF" w:themeFill="background1"/>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5F1BC7" w:rsidRDefault="00D6638C" w:rsidP="005F1BC7">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w:t>
      </w:r>
      <w:r w:rsidRPr="004A4891">
        <w:rPr>
          <w:rFonts w:ascii="Calibri" w:eastAsia="Times New Roman" w:hAnsi="Calibri" w:cs="Times New Roman"/>
          <w:sz w:val="20"/>
          <w:szCs w:val="20"/>
        </w:rPr>
        <w:t>project team, UNDP GE</w:t>
      </w:r>
      <w:r w:rsidR="004A4891" w:rsidRPr="004A4891">
        <w:rPr>
          <w:rFonts w:ascii="Calibri" w:eastAsia="Times New Roman" w:hAnsi="Calibri" w:cs="Times New Roman"/>
          <w:sz w:val="20"/>
          <w:szCs w:val="20"/>
        </w:rPr>
        <w:t xml:space="preserve">F </w:t>
      </w:r>
      <w:r w:rsidR="004A4891" w:rsidRPr="004A4891">
        <w:rPr>
          <w:rFonts w:eastAsia="Times New Roman" w:cstheme="minorHAnsi"/>
          <w:sz w:val="20"/>
          <w:szCs w:val="20"/>
        </w:rPr>
        <w:t xml:space="preserve">Technical Adviser based in the region and key stakeholders. The evaluator is expected to conduct a field mission to </w:t>
      </w:r>
      <w:r w:rsidR="004A4891">
        <w:rPr>
          <w:rFonts w:eastAsia="Times New Roman" w:cstheme="minorHAnsi"/>
          <w:sz w:val="20"/>
          <w:szCs w:val="20"/>
        </w:rPr>
        <w:t>Semonkong</w:t>
      </w:r>
      <w:r w:rsidR="004A4891" w:rsidRPr="004A4891">
        <w:rPr>
          <w:rFonts w:eastAsia="Times New Roman" w:cstheme="minorHAnsi"/>
          <w:sz w:val="20"/>
          <w:szCs w:val="20"/>
        </w:rPr>
        <w:t>,</w:t>
      </w:r>
      <w:r w:rsidR="004A4891">
        <w:rPr>
          <w:rFonts w:eastAsia="Times New Roman" w:cstheme="minorHAnsi"/>
          <w:sz w:val="20"/>
          <w:szCs w:val="20"/>
        </w:rPr>
        <w:t xml:space="preserve"> Makhoalipane Community Council, </w:t>
      </w:r>
      <w:r w:rsidR="004A4891" w:rsidRPr="004A4891">
        <w:rPr>
          <w:rFonts w:eastAsia="Times New Roman" w:cstheme="minorHAnsi"/>
          <w:sz w:val="20"/>
          <w:szCs w:val="20"/>
        </w:rPr>
        <w:t xml:space="preserve">including some but not all of the following project </w:t>
      </w:r>
      <w:r w:rsidR="00A309C5">
        <w:rPr>
          <w:rFonts w:eastAsia="Times New Roman" w:cstheme="minorHAnsi"/>
          <w:sz w:val="20"/>
          <w:szCs w:val="20"/>
          <w:shd w:val="clear" w:color="auto" w:fill="FFFFFF"/>
        </w:rPr>
        <w:t>sites</w:t>
      </w:r>
      <w:r w:rsidRPr="00D6638C">
        <w:rPr>
          <w:rFonts w:ascii="Calibri" w:eastAsia="Times New Roman" w:hAnsi="Calibri" w:cs="Times New Roman"/>
          <w:i/>
          <w:sz w:val="20"/>
          <w:szCs w:val="20"/>
        </w:rPr>
        <w:t>.</w:t>
      </w:r>
    </w:p>
    <w:p w:rsidR="006165C1" w:rsidRPr="00A309C5" w:rsidRDefault="006165C1" w:rsidP="005F1BC7">
      <w:pPr>
        <w:spacing w:before="200"/>
        <w:jc w:val="both"/>
        <w:rPr>
          <w:rFonts w:ascii="Calibri" w:eastAsia="Times New Roman" w:hAnsi="Calibri" w:cs="Times New Roman"/>
          <w:b/>
          <w:sz w:val="24"/>
          <w:szCs w:val="24"/>
        </w:rPr>
      </w:pPr>
      <w:r w:rsidRPr="00A309C5">
        <w:rPr>
          <w:rFonts w:ascii="Calibri" w:eastAsia="Times New Roman" w:hAnsi="Calibri" w:cs="Times New Roman"/>
          <w:b/>
          <w:sz w:val="24"/>
          <w:szCs w:val="24"/>
        </w:rPr>
        <w:t xml:space="preserve">List of villages </w:t>
      </w:r>
    </w:p>
    <w:tbl>
      <w:tblPr>
        <w:tblStyle w:val="TableGrid"/>
        <w:tblW w:w="0" w:type="auto"/>
        <w:tblLook w:val="04A0" w:firstRow="1" w:lastRow="0" w:firstColumn="1" w:lastColumn="0" w:noHBand="0" w:noVBand="1"/>
      </w:tblPr>
      <w:tblGrid>
        <w:gridCol w:w="2605"/>
        <w:gridCol w:w="1890"/>
        <w:gridCol w:w="1980"/>
        <w:gridCol w:w="2250"/>
      </w:tblGrid>
      <w:tr w:rsidR="005F1BC7" w:rsidTr="00AF37FF">
        <w:tc>
          <w:tcPr>
            <w:tcW w:w="2605" w:type="dxa"/>
            <w:shd w:val="clear" w:color="auto" w:fill="BFBFBF" w:themeFill="background1" w:themeFillShade="BF"/>
          </w:tcPr>
          <w:p w:rsidR="005F1BC7" w:rsidRDefault="005F1BC7" w:rsidP="00A8439D">
            <w:pPr>
              <w:rPr>
                <w:rFonts w:ascii="Calibri" w:hAnsi="Calibri" w:cs="Calibri"/>
                <w:b/>
                <w:bCs/>
              </w:rPr>
            </w:pPr>
            <w:r>
              <w:rPr>
                <w:rFonts w:ascii="Calibri" w:hAnsi="Calibri" w:cs="Calibri"/>
                <w:b/>
                <w:bCs/>
              </w:rPr>
              <w:t>Grazing Association</w:t>
            </w:r>
          </w:p>
          <w:p w:rsidR="005F1BC7" w:rsidRDefault="005F1BC7" w:rsidP="00A8439D"/>
        </w:tc>
        <w:tc>
          <w:tcPr>
            <w:tcW w:w="1890" w:type="dxa"/>
            <w:shd w:val="clear" w:color="auto" w:fill="BFBFBF" w:themeFill="background1" w:themeFillShade="BF"/>
          </w:tcPr>
          <w:p w:rsidR="005F1BC7" w:rsidRPr="00487D43" w:rsidRDefault="005F1BC7" w:rsidP="00A8439D">
            <w:pPr>
              <w:rPr>
                <w:b/>
              </w:rPr>
            </w:pPr>
            <w:r w:rsidRPr="00487D43">
              <w:rPr>
                <w:b/>
              </w:rPr>
              <w:t>Area Chief</w:t>
            </w:r>
          </w:p>
        </w:tc>
        <w:tc>
          <w:tcPr>
            <w:tcW w:w="1980" w:type="dxa"/>
            <w:shd w:val="clear" w:color="auto" w:fill="BFBFBF" w:themeFill="background1" w:themeFillShade="BF"/>
          </w:tcPr>
          <w:p w:rsidR="005F1BC7" w:rsidRPr="00487D43" w:rsidRDefault="005F1BC7" w:rsidP="00A8439D">
            <w:pPr>
              <w:rPr>
                <w:b/>
              </w:rPr>
            </w:pPr>
            <w:r w:rsidRPr="00487D43">
              <w:rPr>
                <w:b/>
              </w:rPr>
              <w:t xml:space="preserve">Village Name </w:t>
            </w:r>
          </w:p>
        </w:tc>
        <w:tc>
          <w:tcPr>
            <w:tcW w:w="2250" w:type="dxa"/>
            <w:shd w:val="clear" w:color="auto" w:fill="BFBFBF" w:themeFill="background1" w:themeFillShade="BF"/>
          </w:tcPr>
          <w:p w:rsidR="005F1BC7" w:rsidRPr="00487D43" w:rsidRDefault="006C5AE1" w:rsidP="00A8439D">
            <w:pPr>
              <w:rPr>
                <w:b/>
              </w:rPr>
            </w:pPr>
            <w:r>
              <w:rPr>
                <w:b/>
              </w:rPr>
              <w:t xml:space="preserve"># of </w:t>
            </w:r>
            <w:r w:rsidR="005F1BC7" w:rsidRPr="00487D43">
              <w:rPr>
                <w:b/>
              </w:rPr>
              <w:t xml:space="preserve">Household </w:t>
            </w:r>
          </w:p>
        </w:tc>
      </w:tr>
      <w:tr w:rsidR="002E5602" w:rsidRPr="00487D43" w:rsidTr="00AF37FF">
        <w:tc>
          <w:tcPr>
            <w:tcW w:w="2605" w:type="dxa"/>
            <w:vMerge w:val="restart"/>
          </w:tcPr>
          <w:p w:rsidR="002E5602" w:rsidRPr="005F1BC7" w:rsidRDefault="002E5602" w:rsidP="00A8439D">
            <w:pPr>
              <w:rPr>
                <w:rFonts w:ascii="Calibri" w:hAnsi="Calibri" w:cs="Calibri"/>
                <w:b/>
                <w:bCs/>
              </w:rPr>
            </w:pPr>
            <w:r w:rsidRPr="005F1BC7">
              <w:rPr>
                <w:rFonts w:ascii="Calibri" w:hAnsi="Calibri" w:cs="Calibri"/>
                <w:b/>
                <w:bCs/>
              </w:rPr>
              <w:t>Ramosebo</w:t>
            </w:r>
          </w:p>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sidRPr="00487D43">
              <w:rPr>
                <w:rFonts w:ascii="Calibri" w:hAnsi="Calibri" w:cs="Calibri"/>
              </w:rPr>
              <w:t>Ha Ramosebo</w:t>
            </w:r>
          </w:p>
          <w:p w:rsidR="002E5602" w:rsidRPr="00487D43" w:rsidRDefault="002E5602" w:rsidP="00A8439D"/>
        </w:tc>
        <w:tc>
          <w:tcPr>
            <w:tcW w:w="1980" w:type="dxa"/>
          </w:tcPr>
          <w:p w:rsidR="002E5602" w:rsidRPr="00487D43" w:rsidRDefault="002E5602" w:rsidP="00A8439D">
            <w:pPr>
              <w:rPr>
                <w:rFonts w:ascii="Calibri" w:hAnsi="Calibri" w:cs="Calibri"/>
              </w:rPr>
            </w:pPr>
            <w:r w:rsidRPr="00487D43">
              <w:rPr>
                <w:rFonts w:ascii="Calibri" w:hAnsi="Calibri" w:cs="Calibri"/>
              </w:rPr>
              <w:t>Matsatseng</w:t>
            </w:r>
          </w:p>
          <w:p w:rsidR="002E5602" w:rsidRPr="00487D43" w:rsidRDefault="002E5602" w:rsidP="00A8439D"/>
        </w:tc>
        <w:tc>
          <w:tcPr>
            <w:tcW w:w="2250" w:type="dxa"/>
          </w:tcPr>
          <w:p w:rsidR="002E5602" w:rsidRPr="00487D43" w:rsidRDefault="002E5602" w:rsidP="00A8439D">
            <w:r w:rsidRPr="00487D43">
              <w:t>10</w:t>
            </w:r>
          </w:p>
        </w:tc>
      </w:tr>
      <w:tr w:rsidR="002E5602" w:rsidRPr="00487D43" w:rsidTr="00AF37FF">
        <w:tc>
          <w:tcPr>
            <w:tcW w:w="2605" w:type="dxa"/>
            <w:vMerge/>
          </w:tcPr>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sidRPr="00487D43">
              <w:rPr>
                <w:rFonts w:ascii="Calibri" w:hAnsi="Calibri" w:cs="Calibri"/>
              </w:rPr>
              <w:t>Ha Chechane</w:t>
            </w:r>
          </w:p>
          <w:p w:rsidR="002E5602" w:rsidRPr="00487D43" w:rsidRDefault="002E5602" w:rsidP="00A8439D"/>
        </w:tc>
        <w:tc>
          <w:tcPr>
            <w:tcW w:w="1980" w:type="dxa"/>
          </w:tcPr>
          <w:p w:rsidR="002E5602" w:rsidRPr="00487D43" w:rsidRDefault="002E5602" w:rsidP="00A8439D">
            <w:pPr>
              <w:rPr>
                <w:rFonts w:ascii="Calibri" w:hAnsi="Calibri" w:cs="Calibri"/>
              </w:rPr>
            </w:pPr>
            <w:r w:rsidRPr="00487D43">
              <w:rPr>
                <w:rFonts w:ascii="Calibri" w:hAnsi="Calibri" w:cs="Calibri"/>
              </w:rPr>
              <w:t>Mokoallong</w:t>
            </w:r>
          </w:p>
          <w:p w:rsidR="002E5602" w:rsidRPr="00487D43" w:rsidRDefault="002E5602" w:rsidP="00A8439D"/>
        </w:tc>
        <w:tc>
          <w:tcPr>
            <w:tcW w:w="2250" w:type="dxa"/>
          </w:tcPr>
          <w:p w:rsidR="002E5602" w:rsidRPr="00487D43" w:rsidRDefault="002E5602" w:rsidP="00A8439D">
            <w:pPr>
              <w:rPr>
                <w:rFonts w:ascii="Calibri" w:hAnsi="Calibri" w:cs="Calibri"/>
              </w:rPr>
            </w:pPr>
            <w:r w:rsidRPr="00487D43">
              <w:rPr>
                <w:rFonts w:ascii="Calibri" w:hAnsi="Calibri" w:cs="Calibri"/>
              </w:rPr>
              <w:t>34</w:t>
            </w:r>
          </w:p>
          <w:p w:rsidR="002E5602" w:rsidRPr="00487D43" w:rsidRDefault="002E5602" w:rsidP="00A8439D"/>
        </w:tc>
      </w:tr>
      <w:tr w:rsidR="002E5602" w:rsidRPr="00487D43" w:rsidTr="00AF37FF">
        <w:tc>
          <w:tcPr>
            <w:tcW w:w="2605" w:type="dxa"/>
            <w:vMerge/>
          </w:tcPr>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Pr>
                <w:rFonts w:ascii="Calibri" w:hAnsi="Calibri" w:cs="Calibri"/>
              </w:rPr>
              <w:t>Ha Mantsa</w:t>
            </w:r>
          </w:p>
        </w:tc>
        <w:tc>
          <w:tcPr>
            <w:tcW w:w="1980" w:type="dxa"/>
          </w:tcPr>
          <w:p w:rsidR="002E5602" w:rsidRPr="00487D43" w:rsidRDefault="002E5602" w:rsidP="00A8439D">
            <w:pPr>
              <w:rPr>
                <w:rFonts w:ascii="Calibri" w:hAnsi="Calibri" w:cs="Calibri"/>
              </w:rPr>
            </w:pPr>
            <w:r>
              <w:rPr>
                <w:rFonts w:ascii="Calibri" w:hAnsi="Calibri" w:cs="Calibri"/>
              </w:rPr>
              <w:t>Ha Mantsa</w:t>
            </w:r>
          </w:p>
        </w:tc>
        <w:tc>
          <w:tcPr>
            <w:tcW w:w="2250" w:type="dxa"/>
          </w:tcPr>
          <w:p w:rsidR="002E5602" w:rsidRDefault="00C52FF2" w:rsidP="00A8439D">
            <w:pPr>
              <w:rPr>
                <w:rFonts w:ascii="Calibri" w:hAnsi="Calibri" w:cs="Calibri"/>
              </w:rPr>
            </w:pPr>
            <w:r>
              <w:rPr>
                <w:rFonts w:ascii="Calibri" w:hAnsi="Calibri" w:cs="Calibri"/>
              </w:rPr>
              <w:t>31</w:t>
            </w:r>
          </w:p>
          <w:p w:rsidR="00C52FF2" w:rsidRPr="00487D43" w:rsidRDefault="00C52FF2" w:rsidP="00A8439D">
            <w:pPr>
              <w:rPr>
                <w:rFonts w:ascii="Calibri" w:hAnsi="Calibri" w:cs="Calibri"/>
              </w:rPr>
            </w:pPr>
          </w:p>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Ha Elia</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Elia</w:t>
            </w:r>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Ha Elia (Meeling)</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11</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Mphafolane</w:t>
            </w:r>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Ha Mphafolane</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73</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bCs/>
              </w:rPr>
            </w:pPr>
            <w:r w:rsidRPr="005F1BC7">
              <w:rPr>
                <w:rFonts w:ascii="Calibri" w:hAnsi="Calibri" w:cs="Calibri"/>
                <w:b/>
                <w:bCs/>
              </w:rPr>
              <w:lastRenderedPageBreak/>
              <w:t>Rapoleboea</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Fochane</w:t>
            </w:r>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Ha Mateu</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31</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Mahlomola</w:t>
            </w:r>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Ha Mahlomola</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44</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Ha Tsokotsa</w:t>
            </w:r>
          </w:p>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r>
              <w:rPr>
                <w:rFonts w:ascii="Calibri" w:hAnsi="Calibri" w:cs="Calibri"/>
              </w:rPr>
              <w:t>Ha Tsokotsa</w:t>
            </w:r>
          </w:p>
        </w:tc>
        <w:tc>
          <w:tcPr>
            <w:tcW w:w="1980" w:type="dxa"/>
          </w:tcPr>
          <w:p w:rsidR="005F1BC7" w:rsidRPr="00487D43" w:rsidRDefault="005F1BC7" w:rsidP="00A8439D">
            <w:pPr>
              <w:rPr>
                <w:rFonts w:ascii="Calibri" w:hAnsi="Calibri" w:cs="Calibri"/>
              </w:rPr>
            </w:pPr>
            <w:r w:rsidRPr="00487D43">
              <w:rPr>
                <w:rFonts w:ascii="Calibri" w:hAnsi="Calibri" w:cs="Calibri"/>
              </w:rPr>
              <w:t>Ha Tsokotsa</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53</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r>
              <w:rPr>
                <w:rFonts w:ascii="Calibri" w:hAnsi="Calibri" w:cs="Calibri"/>
              </w:rPr>
              <w:t>Ha Lerumonyane</w:t>
            </w:r>
          </w:p>
        </w:tc>
        <w:tc>
          <w:tcPr>
            <w:tcW w:w="1980" w:type="dxa"/>
          </w:tcPr>
          <w:p w:rsidR="005F1BC7" w:rsidRPr="005F1BC7" w:rsidRDefault="005F1BC7" w:rsidP="00A8439D">
            <w:pPr>
              <w:rPr>
                <w:rFonts w:ascii="Calibri" w:hAnsi="Calibri" w:cs="Calibri"/>
              </w:rPr>
            </w:pPr>
            <w:r>
              <w:rPr>
                <w:rFonts w:ascii="Calibri" w:hAnsi="Calibri" w:cs="Calibri"/>
              </w:rPr>
              <w:t>Ha Lerumonyane</w:t>
            </w:r>
          </w:p>
        </w:tc>
        <w:tc>
          <w:tcPr>
            <w:tcW w:w="2250" w:type="dxa"/>
          </w:tcPr>
          <w:p w:rsidR="005F1BC7" w:rsidRPr="00487D43" w:rsidRDefault="005F1BC7" w:rsidP="00A8439D">
            <w:pPr>
              <w:rPr>
                <w:rFonts w:ascii="Calibri" w:hAnsi="Calibri" w:cs="Calibri"/>
              </w:rPr>
            </w:pPr>
            <w:r w:rsidRPr="00487D43">
              <w:rPr>
                <w:rFonts w:ascii="Calibri" w:hAnsi="Calibri" w:cs="Calibri"/>
              </w:rPr>
              <w:t>52</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Tsenekeng</w:t>
            </w:r>
          </w:p>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r>
              <w:rPr>
                <w:rFonts w:ascii="Calibri" w:hAnsi="Calibri" w:cs="Calibri"/>
              </w:rPr>
              <w:t>Tsenekeng</w:t>
            </w:r>
          </w:p>
        </w:tc>
        <w:tc>
          <w:tcPr>
            <w:tcW w:w="1980" w:type="dxa"/>
          </w:tcPr>
          <w:p w:rsidR="005F1BC7" w:rsidRPr="005F1BC7" w:rsidRDefault="005F1BC7" w:rsidP="00A8439D">
            <w:pPr>
              <w:rPr>
                <w:rFonts w:ascii="Calibri" w:hAnsi="Calibri" w:cs="Calibri"/>
              </w:rPr>
            </w:pPr>
            <w:r>
              <w:rPr>
                <w:rFonts w:ascii="Calibri" w:hAnsi="Calibri" w:cs="Calibri"/>
              </w:rPr>
              <w:t>Ha Rasefale</w:t>
            </w:r>
          </w:p>
        </w:tc>
        <w:tc>
          <w:tcPr>
            <w:tcW w:w="2250" w:type="dxa"/>
          </w:tcPr>
          <w:p w:rsidR="005F1BC7" w:rsidRPr="00487D43" w:rsidRDefault="005F1BC7" w:rsidP="00A8439D">
            <w:pPr>
              <w:rPr>
                <w:rFonts w:ascii="Calibri" w:hAnsi="Calibri" w:cs="Calibri"/>
              </w:rPr>
            </w:pPr>
            <w:r w:rsidRPr="00487D43">
              <w:rPr>
                <w:rFonts w:ascii="Calibri" w:hAnsi="Calibri" w:cs="Calibri"/>
              </w:rPr>
              <w:t>35</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Ha Nthapo</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Nthapo</w:t>
            </w:r>
          </w:p>
          <w:p w:rsidR="005F1BC7" w:rsidRPr="00487D43" w:rsidRDefault="005F1BC7" w:rsidP="00A8439D"/>
        </w:tc>
        <w:tc>
          <w:tcPr>
            <w:tcW w:w="1980" w:type="dxa"/>
          </w:tcPr>
          <w:p w:rsidR="005F1BC7" w:rsidRPr="005F1BC7" w:rsidRDefault="005F1BC7" w:rsidP="00A8439D">
            <w:pPr>
              <w:rPr>
                <w:rFonts w:ascii="Calibri" w:hAnsi="Calibri" w:cs="Calibri"/>
              </w:rPr>
            </w:pPr>
            <w:r>
              <w:rPr>
                <w:rFonts w:ascii="Calibri" w:hAnsi="Calibri" w:cs="Calibri"/>
              </w:rPr>
              <w:t>Mpatana</w:t>
            </w:r>
          </w:p>
        </w:tc>
        <w:tc>
          <w:tcPr>
            <w:tcW w:w="2250" w:type="dxa"/>
          </w:tcPr>
          <w:p w:rsidR="005F1BC7" w:rsidRPr="00487D43" w:rsidRDefault="005F1BC7" w:rsidP="00A8439D">
            <w:pPr>
              <w:rPr>
                <w:rFonts w:ascii="Calibri" w:hAnsi="Calibri" w:cs="Calibri"/>
                <w:b/>
                <w:bCs/>
              </w:rPr>
            </w:pPr>
            <w:r w:rsidRPr="00487D43">
              <w:rPr>
                <w:rFonts w:ascii="Calibri" w:hAnsi="Calibri" w:cs="Calibri"/>
                <w:b/>
                <w:bCs/>
              </w:rPr>
              <w:t>16</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Ha Seng</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Seng</w:t>
            </w:r>
          </w:p>
          <w:p w:rsidR="005F1BC7" w:rsidRPr="00487D43" w:rsidRDefault="005F1BC7" w:rsidP="00A8439D"/>
        </w:tc>
        <w:tc>
          <w:tcPr>
            <w:tcW w:w="1980" w:type="dxa"/>
          </w:tcPr>
          <w:p w:rsidR="005F1BC7" w:rsidRPr="005F1BC7" w:rsidRDefault="005F1BC7" w:rsidP="00A8439D">
            <w:pPr>
              <w:rPr>
                <w:rFonts w:ascii="Calibri" w:hAnsi="Calibri" w:cs="Calibri"/>
              </w:rPr>
            </w:pPr>
            <w:r>
              <w:rPr>
                <w:rFonts w:ascii="Calibri" w:hAnsi="Calibri" w:cs="Calibri"/>
              </w:rPr>
              <w:t>Moeaneng (Ha Seng)</w:t>
            </w:r>
          </w:p>
        </w:tc>
        <w:tc>
          <w:tcPr>
            <w:tcW w:w="2250" w:type="dxa"/>
          </w:tcPr>
          <w:p w:rsidR="005F1BC7" w:rsidRPr="00487D43" w:rsidRDefault="005F1BC7" w:rsidP="00A8439D">
            <w:pPr>
              <w:rPr>
                <w:rFonts w:ascii="Calibri" w:hAnsi="Calibri" w:cs="Calibri"/>
              </w:rPr>
            </w:pPr>
            <w:r w:rsidRPr="00487D43">
              <w:rPr>
                <w:rFonts w:ascii="Calibri" w:hAnsi="Calibri" w:cs="Calibri"/>
              </w:rPr>
              <w:t>43</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Boreipala</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Boreipala</w:t>
            </w:r>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Ha Tlhabi</w:t>
            </w:r>
          </w:p>
          <w:p w:rsidR="005F1BC7" w:rsidRPr="00487D43" w:rsidRDefault="005F1BC7" w:rsidP="00A8439D"/>
        </w:tc>
        <w:tc>
          <w:tcPr>
            <w:tcW w:w="2250" w:type="dxa"/>
          </w:tcPr>
          <w:p w:rsidR="005F1BC7" w:rsidRPr="00487D43" w:rsidRDefault="005F1BC7" w:rsidP="00A8439D">
            <w:r w:rsidRPr="00487D43">
              <w:t>30</w:t>
            </w:r>
          </w:p>
        </w:tc>
      </w:tr>
      <w:tr w:rsidR="005F1BC7" w:rsidRPr="00487D43" w:rsidTr="00AF37FF">
        <w:tc>
          <w:tcPr>
            <w:tcW w:w="2605" w:type="dxa"/>
          </w:tcPr>
          <w:p w:rsidR="005F1BC7" w:rsidRPr="00487D43" w:rsidRDefault="002E5602" w:rsidP="00A8439D">
            <w:r w:rsidRPr="00487D43">
              <w:rPr>
                <w:rFonts w:ascii="Calibri" w:hAnsi="Calibri" w:cs="Calibri"/>
                <w:sz w:val="22"/>
                <w:szCs w:val="22"/>
              </w:rPr>
              <w:t>Ha Taniele</w:t>
            </w:r>
          </w:p>
        </w:tc>
        <w:tc>
          <w:tcPr>
            <w:tcW w:w="1890" w:type="dxa"/>
          </w:tcPr>
          <w:p w:rsidR="005F1BC7" w:rsidRPr="005F1BC7" w:rsidRDefault="002E5602" w:rsidP="00A8439D">
            <w:pPr>
              <w:rPr>
                <w:rFonts w:ascii="Calibri" w:hAnsi="Calibri" w:cs="Calibri"/>
              </w:rPr>
            </w:pPr>
            <w:r>
              <w:rPr>
                <w:rFonts w:ascii="Calibri" w:hAnsi="Calibri" w:cs="Calibri"/>
              </w:rPr>
              <w:t>Ha Taniele</w:t>
            </w:r>
          </w:p>
        </w:tc>
        <w:tc>
          <w:tcPr>
            <w:tcW w:w="1980" w:type="dxa"/>
          </w:tcPr>
          <w:p w:rsidR="005F1BC7" w:rsidRPr="005F1BC7" w:rsidRDefault="002E5602" w:rsidP="00A8439D">
            <w:pPr>
              <w:rPr>
                <w:rFonts w:ascii="Calibri" w:hAnsi="Calibri" w:cs="Calibri"/>
              </w:rPr>
            </w:pPr>
            <w:r w:rsidRPr="00487D43">
              <w:rPr>
                <w:rFonts w:ascii="Calibri" w:hAnsi="Calibri" w:cs="Calibri"/>
              </w:rPr>
              <w:t>Motse-Mocha (Ha Taniele)</w:t>
            </w:r>
          </w:p>
        </w:tc>
        <w:tc>
          <w:tcPr>
            <w:tcW w:w="2250" w:type="dxa"/>
          </w:tcPr>
          <w:p w:rsidR="005F1BC7" w:rsidRPr="00487D43" w:rsidRDefault="005F1BC7" w:rsidP="00A8439D">
            <w:pPr>
              <w:rPr>
                <w:rFonts w:ascii="Calibri" w:hAnsi="Calibri" w:cs="Calibri"/>
              </w:rPr>
            </w:pPr>
            <w:r w:rsidRPr="00487D43">
              <w:rPr>
                <w:rFonts w:ascii="Calibri" w:hAnsi="Calibri" w:cs="Calibri"/>
              </w:rPr>
              <w:t>26</w:t>
            </w:r>
          </w:p>
          <w:p w:rsidR="005F1BC7" w:rsidRPr="00487D43" w:rsidRDefault="005F1BC7" w:rsidP="00A8439D"/>
        </w:tc>
      </w:tr>
      <w:tr w:rsidR="002E5602" w:rsidRPr="00487D43" w:rsidTr="00AF37FF">
        <w:tc>
          <w:tcPr>
            <w:tcW w:w="2605" w:type="dxa"/>
            <w:vMerge w:val="restart"/>
          </w:tcPr>
          <w:p w:rsidR="002E5602" w:rsidRPr="002E5602" w:rsidRDefault="002E5602" w:rsidP="00A8439D">
            <w:pPr>
              <w:rPr>
                <w:sz w:val="22"/>
                <w:szCs w:val="22"/>
              </w:rPr>
            </w:pPr>
            <w:r w:rsidRPr="002E5602">
              <w:rPr>
                <w:sz w:val="22"/>
                <w:szCs w:val="22"/>
              </w:rPr>
              <w:t>Hlabathe</w:t>
            </w:r>
          </w:p>
        </w:tc>
        <w:tc>
          <w:tcPr>
            <w:tcW w:w="1890" w:type="dxa"/>
          </w:tcPr>
          <w:p w:rsidR="002E5602" w:rsidRPr="00487D43" w:rsidRDefault="002E5602" w:rsidP="00A8439D">
            <w:pPr>
              <w:rPr>
                <w:rFonts w:ascii="Calibri" w:hAnsi="Calibri" w:cs="Calibri"/>
              </w:rPr>
            </w:pPr>
            <w:r w:rsidRPr="00487D43">
              <w:rPr>
                <w:rFonts w:ascii="Calibri" w:hAnsi="Calibri" w:cs="Calibri"/>
                <w:sz w:val="22"/>
                <w:szCs w:val="22"/>
              </w:rPr>
              <w:t>Hlabathe</w:t>
            </w:r>
          </w:p>
          <w:p w:rsidR="002E5602" w:rsidRPr="00487D43" w:rsidRDefault="002E5602" w:rsidP="00A8439D"/>
        </w:tc>
        <w:tc>
          <w:tcPr>
            <w:tcW w:w="1980" w:type="dxa"/>
          </w:tcPr>
          <w:p w:rsidR="002E5602" w:rsidRPr="005F1BC7" w:rsidRDefault="002E5602" w:rsidP="002E6F98">
            <w:pPr>
              <w:rPr>
                <w:rFonts w:ascii="Calibri" w:hAnsi="Calibri" w:cs="Calibri"/>
              </w:rPr>
            </w:pPr>
            <w:r w:rsidRPr="00487D43">
              <w:rPr>
                <w:rFonts w:ascii="Calibri" w:hAnsi="Calibri" w:cs="Calibri"/>
              </w:rPr>
              <w:t xml:space="preserve">Ha Lekhetho </w:t>
            </w:r>
          </w:p>
        </w:tc>
        <w:tc>
          <w:tcPr>
            <w:tcW w:w="2250" w:type="dxa"/>
          </w:tcPr>
          <w:p w:rsidR="002E5602" w:rsidRPr="00487D43" w:rsidRDefault="002E5602" w:rsidP="00A8439D">
            <w:r w:rsidRPr="00487D43">
              <w:t>41</w:t>
            </w:r>
          </w:p>
        </w:tc>
      </w:tr>
      <w:tr w:rsidR="002E5602" w:rsidRPr="00487D43" w:rsidTr="00AF37FF">
        <w:tc>
          <w:tcPr>
            <w:tcW w:w="2605" w:type="dxa"/>
            <w:vMerge/>
          </w:tcPr>
          <w:p w:rsidR="002E5602" w:rsidRPr="002E5602" w:rsidRDefault="002E5602" w:rsidP="00A8439D"/>
        </w:tc>
        <w:tc>
          <w:tcPr>
            <w:tcW w:w="1890" w:type="dxa"/>
          </w:tcPr>
          <w:p w:rsidR="002E5602" w:rsidRPr="00487D43" w:rsidRDefault="00AF37FF" w:rsidP="00A8439D">
            <w:pPr>
              <w:rPr>
                <w:rFonts w:ascii="Calibri" w:hAnsi="Calibri" w:cs="Calibri"/>
              </w:rPr>
            </w:pPr>
            <w:r>
              <w:rPr>
                <w:rFonts w:ascii="Calibri" w:hAnsi="Calibri" w:cs="Calibri"/>
              </w:rPr>
              <w:t>Hlabathe</w:t>
            </w:r>
          </w:p>
        </w:tc>
        <w:tc>
          <w:tcPr>
            <w:tcW w:w="1980" w:type="dxa"/>
          </w:tcPr>
          <w:p w:rsidR="002E5602" w:rsidRPr="00487D43" w:rsidRDefault="002E5602" w:rsidP="002E6F98">
            <w:pPr>
              <w:rPr>
                <w:rFonts w:ascii="Calibri" w:hAnsi="Calibri" w:cs="Calibri"/>
              </w:rPr>
            </w:pPr>
            <w:r>
              <w:rPr>
                <w:rFonts w:ascii="Calibri" w:hAnsi="Calibri" w:cs="Calibri"/>
              </w:rPr>
              <w:t>Hlabathe Moreneng</w:t>
            </w:r>
          </w:p>
        </w:tc>
        <w:tc>
          <w:tcPr>
            <w:tcW w:w="2250" w:type="dxa"/>
          </w:tcPr>
          <w:p w:rsidR="002E5602" w:rsidRPr="00487D43" w:rsidRDefault="00363853" w:rsidP="00A8439D">
            <w:r>
              <w:t>26</w:t>
            </w:r>
          </w:p>
        </w:tc>
      </w:tr>
    </w:tbl>
    <w:p w:rsidR="005F1BC7" w:rsidRDefault="005F1BC7" w:rsidP="00D6638C">
      <w:pPr>
        <w:spacing w:after="120"/>
        <w:rPr>
          <w:rFonts w:ascii="Calibri" w:eastAsia="Times New Roman" w:hAnsi="Calibri" w:cs="Times New Roman"/>
          <w:i/>
          <w:sz w:val="20"/>
          <w:szCs w:val="20"/>
        </w:rPr>
      </w:pP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 Interviews will be held with the following organizations and individuals at a minimum:</w:t>
      </w:r>
    </w:p>
    <w:p w:rsidR="00A309C5" w:rsidRPr="00A309C5" w:rsidRDefault="00A309C5" w:rsidP="00D6638C">
      <w:pPr>
        <w:spacing w:after="120"/>
        <w:rPr>
          <w:rFonts w:ascii="Calibri" w:eastAsia="Times New Roman" w:hAnsi="Calibri" w:cs="Times New Roman"/>
          <w:b/>
          <w:sz w:val="24"/>
          <w:szCs w:val="24"/>
        </w:rPr>
      </w:pPr>
      <w:r>
        <w:rPr>
          <w:rFonts w:ascii="Calibri" w:eastAsia="Times New Roman" w:hAnsi="Calibri" w:cs="Times New Roman"/>
          <w:b/>
          <w:sz w:val="24"/>
          <w:szCs w:val="24"/>
        </w:rPr>
        <w:t>The project k</w:t>
      </w:r>
      <w:r w:rsidRPr="00A309C5">
        <w:rPr>
          <w:rFonts w:ascii="Calibri" w:eastAsia="Times New Roman" w:hAnsi="Calibri" w:cs="Times New Roman"/>
          <w:b/>
          <w:sz w:val="24"/>
          <w:szCs w:val="24"/>
        </w:rPr>
        <w:t xml:space="preserve">ey stakeholders </w:t>
      </w:r>
    </w:p>
    <w:p w:rsidR="00A8439D" w:rsidRPr="00A309C5" w:rsidRDefault="00FA2361" w:rsidP="00D6638C">
      <w:pPr>
        <w:spacing w:after="120"/>
        <w:rPr>
          <w:rFonts w:ascii="Calibri" w:eastAsia="Times New Roman" w:hAnsi="Calibri" w:cs="Times New Roman"/>
          <w:b/>
          <w:sz w:val="24"/>
          <w:szCs w:val="24"/>
        </w:rPr>
      </w:pPr>
      <w:r w:rsidRPr="00A309C5">
        <w:rPr>
          <w:rFonts w:ascii="Calibri" w:eastAsia="Times New Roman" w:hAnsi="Calibri" w:cs="Times New Roman"/>
          <w:b/>
          <w:sz w:val="24"/>
          <w:szCs w:val="24"/>
        </w:rPr>
        <w:t>National:</w:t>
      </w:r>
    </w:p>
    <w:tbl>
      <w:tblPr>
        <w:tblStyle w:val="TableGrid"/>
        <w:tblW w:w="0" w:type="auto"/>
        <w:tblLayout w:type="fixed"/>
        <w:tblLook w:val="04A0" w:firstRow="1" w:lastRow="0" w:firstColumn="1" w:lastColumn="0" w:noHBand="0" w:noVBand="1"/>
      </w:tblPr>
      <w:tblGrid>
        <w:gridCol w:w="2713"/>
        <w:gridCol w:w="2156"/>
        <w:gridCol w:w="2146"/>
        <w:gridCol w:w="2790"/>
      </w:tblGrid>
      <w:tr w:rsidR="00FA2361" w:rsidTr="00361A1C">
        <w:tc>
          <w:tcPr>
            <w:tcW w:w="2713" w:type="dxa"/>
            <w:shd w:val="clear" w:color="auto" w:fill="BFBFBF" w:themeFill="background1" w:themeFillShade="BF"/>
          </w:tcPr>
          <w:p w:rsidR="00FA2361" w:rsidRPr="009E20A3" w:rsidRDefault="00FA2361" w:rsidP="00A8439D">
            <w:pPr>
              <w:rPr>
                <w:b/>
              </w:rPr>
            </w:pPr>
            <w:r w:rsidRPr="009E20A3">
              <w:rPr>
                <w:b/>
              </w:rPr>
              <w:t>Organization/Institution</w:t>
            </w:r>
          </w:p>
        </w:tc>
        <w:tc>
          <w:tcPr>
            <w:tcW w:w="2156" w:type="dxa"/>
            <w:shd w:val="clear" w:color="auto" w:fill="BFBFBF" w:themeFill="background1" w:themeFillShade="BF"/>
          </w:tcPr>
          <w:p w:rsidR="00FA2361" w:rsidRPr="009E20A3" w:rsidRDefault="00FA2361" w:rsidP="00A8439D">
            <w:pPr>
              <w:rPr>
                <w:b/>
              </w:rPr>
            </w:pPr>
            <w:r w:rsidRPr="009E20A3">
              <w:rPr>
                <w:b/>
              </w:rPr>
              <w:t>Name of Officer</w:t>
            </w:r>
          </w:p>
        </w:tc>
        <w:tc>
          <w:tcPr>
            <w:tcW w:w="2146" w:type="dxa"/>
            <w:shd w:val="clear" w:color="auto" w:fill="BFBFBF" w:themeFill="background1" w:themeFillShade="BF"/>
          </w:tcPr>
          <w:p w:rsidR="00FA2361" w:rsidRPr="009E20A3" w:rsidRDefault="00FA2361" w:rsidP="00A8439D">
            <w:pPr>
              <w:rPr>
                <w:b/>
              </w:rPr>
            </w:pPr>
            <w:r>
              <w:rPr>
                <w:b/>
              </w:rPr>
              <w:t>Position</w:t>
            </w:r>
          </w:p>
        </w:tc>
        <w:tc>
          <w:tcPr>
            <w:tcW w:w="2790" w:type="dxa"/>
            <w:shd w:val="clear" w:color="auto" w:fill="BFBFBF" w:themeFill="background1" w:themeFillShade="BF"/>
          </w:tcPr>
          <w:p w:rsidR="00FA2361" w:rsidRPr="009E20A3" w:rsidRDefault="00FA2361" w:rsidP="00A8439D">
            <w:pPr>
              <w:rPr>
                <w:b/>
              </w:rPr>
            </w:pPr>
            <w:r w:rsidRPr="009E20A3">
              <w:rPr>
                <w:b/>
              </w:rPr>
              <w:t>Contacts</w:t>
            </w:r>
          </w:p>
        </w:tc>
      </w:tr>
      <w:tr w:rsidR="00FA2361" w:rsidTr="00361A1C">
        <w:tc>
          <w:tcPr>
            <w:tcW w:w="2713" w:type="dxa"/>
          </w:tcPr>
          <w:p w:rsidR="00FA2361" w:rsidRDefault="00FA2361" w:rsidP="00A8439D"/>
          <w:p w:rsidR="00FA2361" w:rsidRDefault="00FA2361" w:rsidP="00A8439D">
            <w:r>
              <w:t>Ministry of Forestry and Land Reclamation</w:t>
            </w:r>
          </w:p>
        </w:tc>
        <w:tc>
          <w:tcPr>
            <w:tcW w:w="2156" w:type="dxa"/>
          </w:tcPr>
          <w:p w:rsidR="00FA2361" w:rsidRDefault="00FA2361" w:rsidP="00A8439D"/>
          <w:p w:rsidR="00FA2361" w:rsidRDefault="00FA2361" w:rsidP="00A8439D">
            <w:r>
              <w:t>Doreen Chaoana(Ms)</w:t>
            </w:r>
          </w:p>
        </w:tc>
        <w:tc>
          <w:tcPr>
            <w:tcW w:w="2146" w:type="dxa"/>
          </w:tcPr>
          <w:p w:rsidR="00FA2361" w:rsidRDefault="00FA2361" w:rsidP="00A8439D"/>
          <w:p w:rsidR="008960D9" w:rsidRDefault="008960D9" w:rsidP="00A8439D">
            <w:r>
              <w:t>Principal Secretary</w:t>
            </w:r>
          </w:p>
        </w:tc>
        <w:tc>
          <w:tcPr>
            <w:tcW w:w="2790" w:type="dxa"/>
          </w:tcPr>
          <w:p w:rsidR="00FA2361" w:rsidRDefault="00FA2361" w:rsidP="00A8439D"/>
          <w:p w:rsidR="00FA2361" w:rsidRDefault="00FA2361" w:rsidP="00A8439D">
            <w:r>
              <w:t>58698659</w:t>
            </w:r>
          </w:p>
          <w:p w:rsidR="00361A1C" w:rsidRDefault="00361A1C" w:rsidP="00A8439D">
            <w:r>
              <w:t>dcmapetja@yahoo.com</w:t>
            </w:r>
          </w:p>
        </w:tc>
      </w:tr>
      <w:tr w:rsidR="00FA2361" w:rsidTr="00361A1C">
        <w:tc>
          <w:tcPr>
            <w:tcW w:w="2713" w:type="dxa"/>
          </w:tcPr>
          <w:p w:rsidR="00FA2361" w:rsidRDefault="00FA2361" w:rsidP="00A8439D"/>
          <w:p w:rsidR="00FA2361" w:rsidRDefault="00FA2361" w:rsidP="00A8439D">
            <w:r>
              <w:t>Ministry of Forestry and Land Reclamation</w:t>
            </w:r>
          </w:p>
        </w:tc>
        <w:tc>
          <w:tcPr>
            <w:tcW w:w="2156" w:type="dxa"/>
          </w:tcPr>
          <w:p w:rsidR="00FA2361" w:rsidRDefault="00FA2361" w:rsidP="00A8439D"/>
          <w:p w:rsidR="00FA2361" w:rsidRDefault="00FA2361" w:rsidP="00A8439D">
            <w:r>
              <w:t>Seetla Mabaso(Mr)</w:t>
            </w:r>
          </w:p>
        </w:tc>
        <w:tc>
          <w:tcPr>
            <w:tcW w:w="2146" w:type="dxa"/>
          </w:tcPr>
          <w:p w:rsidR="00FA2361" w:rsidRDefault="00FA2361" w:rsidP="00A8439D"/>
          <w:p w:rsidR="008960D9" w:rsidRDefault="008960D9" w:rsidP="00A8439D">
            <w:r>
              <w:t>Deputy Principal Secretary</w:t>
            </w:r>
          </w:p>
        </w:tc>
        <w:tc>
          <w:tcPr>
            <w:tcW w:w="2790" w:type="dxa"/>
          </w:tcPr>
          <w:p w:rsidR="00FA2361" w:rsidRDefault="00FA2361" w:rsidP="00A8439D"/>
          <w:p w:rsidR="00FA2361" w:rsidRDefault="00FA2361" w:rsidP="00A8439D">
            <w:r>
              <w:t>Seetla.Mabaso@yahoo.com</w:t>
            </w:r>
          </w:p>
          <w:p w:rsidR="00FA2361" w:rsidRDefault="00FA2361" w:rsidP="00A8439D">
            <w:r>
              <w:t>58884351</w:t>
            </w:r>
          </w:p>
        </w:tc>
      </w:tr>
      <w:tr w:rsidR="00FA2361" w:rsidTr="00361A1C">
        <w:tc>
          <w:tcPr>
            <w:tcW w:w="2713" w:type="dxa"/>
          </w:tcPr>
          <w:p w:rsidR="00FA2361" w:rsidRDefault="00FA2361" w:rsidP="00A8439D"/>
          <w:p w:rsidR="00FA2361" w:rsidRDefault="00FA2361" w:rsidP="00A8439D">
            <w:r>
              <w:t>Ministry of Agriculture and Food Security</w:t>
            </w:r>
          </w:p>
        </w:tc>
        <w:tc>
          <w:tcPr>
            <w:tcW w:w="2156" w:type="dxa"/>
          </w:tcPr>
          <w:p w:rsidR="00FA2361" w:rsidRDefault="00FA2361" w:rsidP="00A8439D"/>
          <w:p w:rsidR="00FA2361" w:rsidRDefault="00FA2361" w:rsidP="00A8439D">
            <w:r>
              <w:t>Ntitia Tuoane(Mr)</w:t>
            </w:r>
          </w:p>
        </w:tc>
        <w:tc>
          <w:tcPr>
            <w:tcW w:w="2146" w:type="dxa"/>
          </w:tcPr>
          <w:p w:rsidR="00FA2361" w:rsidRDefault="00FA2361" w:rsidP="00A8439D"/>
          <w:p w:rsidR="008960D9" w:rsidRDefault="008960D9" w:rsidP="00A8439D">
            <w:r>
              <w:t>Director, Dept. of Field Services</w:t>
            </w:r>
          </w:p>
          <w:p w:rsidR="008960D9" w:rsidRDefault="008960D9" w:rsidP="00A8439D"/>
        </w:tc>
        <w:tc>
          <w:tcPr>
            <w:tcW w:w="2790" w:type="dxa"/>
          </w:tcPr>
          <w:p w:rsidR="00FA2361" w:rsidRDefault="00FA2361" w:rsidP="00A8439D"/>
          <w:p w:rsidR="00FA2361" w:rsidRDefault="00FA2361" w:rsidP="00A8439D">
            <w:r>
              <w:t>ntitia@hotmail.com</w:t>
            </w:r>
          </w:p>
          <w:p w:rsidR="00FA2361" w:rsidRDefault="00FA2361" w:rsidP="00A8439D">
            <w:r>
              <w:t>63048270</w:t>
            </w:r>
          </w:p>
        </w:tc>
      </w:tr>
      <w:tr w:rsidR="00FA2361" w:rsidTr="00361A1C">
        <w:tc>
          <w:tcPr>
            <w:tcW w:w="2713" w:type="dxa"/>
          </w:tcPr>
          <w:p w:rsidR="00FA2361" w:rsidRDefault="00FA2361" w:rsidP="00A8439D"/>
          <w:p w:rsidR="00FA2361" w:rsidRDefault="00FA2361" w:rsidP="00A8439D">
            <w:r>
              <w:t xml:space="preserve">Ministry of Agriculture and </w:t>
            </w:r>
            <w:r>
              <w:lastRenderedPageBreak/>
              <w:t>Food Security</w:t>
            </w:r>
          </w:p>
        </w:tc>
        <w:tc>
          <w:tcPr>
            <w:tcW w:w="2156" w:type="dxa"/>
          </w:tcPr>
          <w:p w:rsidR="00FA2361" w:rsidRDefault="00FA2361" w:rsidP="00A8439D"/>
          <w:p w:rsidR="00FA2361" w:rsidRDefault="00FA2361" w:rsidP="00A8439D">
            <w:r>
              <w:t>Seipati Mofolo (Ms)</w:t>
            </w:r>
          </w:p>
        </w:tc>
        <w:tc>
          <w:tcPr>
            <w:tcW w:w="2146" w:type="dxa"/>
          </w:tcPr>
          <w:p w:rsidR="008960D9" w:rsidRDefault="008960D9" w:rsidP="00A8439D"/>
          <w:p w:rsidR="00404888" w:rsidRDefault="00404888" w:rsidP="00A8439D">
            <w:r>
              <w:t xml:space="preserve">Chief Fish Production </w:t>
            </w:r>
            <w:r>
              <w:lastRenderedPageBreak/>
              <w:t>Officer</w:t>
            </w:r>
          </w:p>
        </w:tc>
        <w:tc>
          <w:tcPr>
            <w:tcW w:w="2790" w:type="dxa"/>
          </w:tcPr>
          <w:p w:rsidR="00FA2361" w:rsidRDefault="00FA2361" w:rsidP="00A8439D"/>
          <w:p w:rsidR="00FA2361" w:rsidRDefault="003816B8" w:rsidP="00A8439D">
            <w:hyperlink r:id="rId9" w:history="1">
              <w:r w:rsidR="00FA2361" w:rsidRPr="00D7104C">
                <w:rPr>
                  <w:rStyle w:val="Hyperlink"/>
                </w:rPr>
                <w:t>Seipati2011@gmail.com</w:t>
              </w:r>
            </w:hyperlink>
          </w:p>
          <w:p w:rsidR="00FA2361" w:rsidRDefault="00FA2361" w:rsidP="00A8439D">
            <w:r>
              <w:lastRenderedPageBreak/>
              <w:t>63096840</w:t>
            </w:r>
          </w:p>
        </w:tc>
      </w:tr>
      <w:tr w:rsidR="00FA2361" w:rsidTr="00361A1C">
        <w:tc>
          <w:tcPr>
            <w:tcW w:w="2713" w:type="dxa"/>
          </w:tcPr>
          <w:p w:rsidR="00FA2361" w:rsidRDefault="00FA2361" w:rsidP="00A8439D"/>
          <w:p w:rsidR="00FA2361" w:rsidRDefault="00FA2361" w:rsidP="00A8439D">
            <w:r>
              <w:t>Ministry of Tourism Environment and Culture</w:t>
            </w:r>
          </w:p>
        </w:tc>
        <w:tc>
          <w:tcPr>
            <w:tcW w:w="2156" w:type="dxa"/>
          </w:tcPr>
          <w:p w:rsidR="00FA2361" w:rsidRDefault="00FA2361" w:rsidP="00A8439D"/>
          <w:p w:rsidR="00FA2361" w:rsidRDefault="00FA2361" w:rsidP="00A8439D">
            <w:r>
              <w:t>Lisebo Motjotji (Ms)</w:t>
            </w:r>
          </w:p>
        </w:tc>
        <w:tc>
          <w:tcPr>
            <w:tcW w:w="2146" w:type="dxa"/>
          </w:tcPr>
          <w:p w:rsidR="00FA2361" w:rsidRDefault="00FA2361" w:rsidP="00A8439D"/>
          <w:p w:rsidR="008960D9" w:rsidRDefault="00BA16D8" w:rsidP="00A8439D">
            <w:r>
              <w:t>Deputy Director, Department of Environment</w:t>
            </w:r>
          </w:p>
        </w:tc>
        <w:tc>
          <w:tcPr>
            <w:tcW w:w="2790" w:type="dxa"/>
          </w:tcPr>
          <w:p w:rsidR="00FA2361" w:rsidRDefault="00FA2361" w:rsidP="00A8439D"/>
          <w:p w:rsidR="00FA2361" w:rsidRDefault="003816B8" w:rsidP="00A8439D">
            <w:hyperlink r:id="rId10" w:history="1">
              <w:r w:rsidR="00FA2361" w:rsidRPr="00D7104C">
                <w:rPr>
                  <w:rStyle w:val="Hyperlink"/>
                </w:rPr>
                <w:t>Lisebomotjotji@yahoo.co.za</w:t>
              </w:r>
            </w:hyperlink>
          </w:p>
          <w:p w:rsidR="00FA2361" w:rsidRDefault="00FA2361" w:rsidP="00A8439D">
            <w:r>
              <w:t>59227153</w:t>
            </w:r>
          </w:p>
        </w:tc>
      </w:tr>
      <w:tr w:rsidR="00FA2361" w:rsidTr="00361A1C">
        <w:tc>
          <w:tcPr>
            <w:tcW w:w="2713" w:type="dxa"/>
          </w:tcPr>
          <w:p w:rsidR="00FA2361" w:rsidRDefault="00FA2361" w:rsidP="00A8439D">
            <w:r>
              <w:t>GEF Operational Focal Point</w:t>
            </w:r>
          </w:p>
          <w:p w:rsidR="00FA2361" w:rsidRDefault="00FA2361" w:rsidP="00A8439D"/>
        </w:tc>
        <w:tc>
          <w:tcPr>
            <w:tcW w:w="2156" w:type="dxa"/>
          </w:tcPr>
          <w:p w:rsidR="00FA2361" w:rsidRDefault="00FA2361" w:rsidP="00A8439D">
            <w:r>
              <w:t>Stanley Damane (Mr)</w:t>
            </w:r>
          </w:p>
        </w:tc>
        <w:tc>
          <w:tcPr>
            <w:tcW w:w="2146" w:type="dxa"/>
          </w:tcPr>
          <w:p w:rsidR="00FA2361" w:rsidRDefault="00BA16D8" w:rsidP="00A8439D">
            <w:r>
              <w:t>Director, Department of Environment</w:t>
            </w:r>
          </w:p>
        </w:tc>
        <w:tc>
          <w:tcPr>
            <w:tcW w:w="2790" w:type="dxa"/>
          </w:tcPr>
          <w:p w:rsidR="00FA2361" w:rsidRDefault="003816B8" w:rsidP="00A8439D">
            <w:hyperlink r:id="rId11" w:history="1">
              <w:r w:rsidR="00FA2361" w:rsidRPr="00D7104C">
                <w:rPr>
                  <w:rStyle w:val="Hyperlink"/>
                </w:rPr>
                <w:t>Stanleydamane@hotmail.com</w:t>
              </w:r>
            </w:hyperlink>
          </w:p>
          <w:p w:rsidR="00FA2361" w:rsidRDefault="00FA2361" w:rsidP="00A8439D">
            <w:r>
              <w:t>62000010/22320534</w:t>
            </w:r>
          </w:p>
        </w:tc>
      </w:tr>
      <w:tr w:rsidR="00FA2361" w:rsidTr="00361A1C">
        <w:tc>
          <w:tcPr>
            <w:tcW w:w="2713" w:type="dxa"/>
          </w:tcPr>
          <w:p w:rsidR="00FA2361" w:rsidRPr="00A82777" w:rsidRDefault="00FA2361" w:rsidP="00A82777">
            <w:pPr>
              <w:rPr>
                <w:rFonts w:ascii="Calibri" w:eastAsia="Times New Roman" w:hAnsi="Calibri" w:cs="Calibri"/>
                <w:color w:val="000000"/>
              </w:rPr>
            </w:pPr>
            <w:r w:rsidRPr="00D275DB">
              <w:rPr>
                <w:rFonts w:ascii="Calibri" w:eastAsia="Times New Roman" w:hAnsi="Calibri" w:cs="Calibri"/>
                <w:color w:val="000000"/>
              </w:rPr>
              <w:t>Dep</w:t>
            </w:r>
            <w:r>
              <w:rPr>
                <w:rFonts w:ascii="Calibri" w:eastAsia="Times New Roman" w:hAnsi="Calibri" w:cs="Calibri"/>
                <w:color w:val="000000"/>
              </w:rPr>
              <w:t>artment  of Range Resources Management, MFLR</w:t>
            </w:r>
          </w:p>
        </w:tc>
        <w:tc>
          <w:tcPr>
            <w:tcW w:w="2156" w:type="dxa"/>
          </w:tcPr>
          <w:p w:rsidR="00FA2361" w:rsidRDefault="00FA2361" w:rsidP="00A8439D">
            <w:r>
              <w:t>Rats’ele Rats’ele (Mr)</w:t>
            </w:r>
          </w:p>
        </w:tc>
        <w:tc>
          <w:tcPr>
            <w:tcW w:w="2146" w:type="dxa"/>
          </w:tcPr>
          <w:p w:rsidR="00FA2361" w:rsidRDefault="00BA16D8" w:rsidP="00A8439D">
            <w:r>
              <w:t>Director, Dept. of Range Resource Management</w:t>
            </w:r>
          </w:p>
        </w:tc>
        <w:tc>
          <w:tcPr>
            <w:tcW w:w="2790" w:type="dxa"/>
          </w:tcPr>
          <w:p w:rsidR="00FA2361" w:rsidRDefault="003816B8" w:rsidP="00A8439D">
            <w:hyperlink r:id="rId12" w:history="1">
              <w:r w:rsidR="00FA2361" w:rsidRPr="00D7104C">
                <w:rPr>
                  <w:rStyle w:val="Hyperlink"/>
                </w:rPr>
                <w:t>ratselec@yahoo.com</w:t>
              </w:r>
            </w:hyperlink>
          </w:p>
          <w:p w:rsidR="00FA2361" w:rsidRDefault="00FA2361" w:rsidP="00A8439D">
            <w:r>
              <w:t>588843417</w:t>
            </w:r>
          </w:p>
        </w:tc>
      </w:tr>
      <w:tr w:rsidR="00FA2361" w:rsidTr="00361A1C">
        <w:tc>
          <w:tcPr>
            <w:tcW w:w="2713" w:type="dxa"/>
          </w:tcPr>
          <w:p w:rsidR="00FA2361" w:rsidRDefault="00FA2361" w:rsidP="00A8439D">
            <w:pPr>
              <w:rPr>
                <w:rFonts w:ascii="Calibri" w:eastAsia="Times New Roman" w:hAnsi="Calibri" w:cs="Calibri"/>
                <w:color w:val="000000"/>
              </w:rPr>
            </w:pPr>
          </w:p>
          <w:p w:rsidR="00FA2361" w:rsidRPr="00D275DB" w:rsidRDefault="00FA2361" w:rsidP="00A8439D">
            <w:pPr>
              <w:rPr>
                <w:rFonts w:ascii="Calibri" w:eastAsia="Times New Roman" w:hAnsi="Calibri" w:cs="Calibri"/>
                <w:color w:val="000000"/>
              </w:rPr>
            </w:pPr>
            <w:r w:rsidRPr="00D275DB">
              <w:rPr>
                <w:rFonts w:ascii="Calibri" w:eastAsia="Times New Roman" w:hAnsi="Calibri" w:cs="Calibri"/>
                <w:color w:val="000000"/>
              </w:rPr>
              <w:t>Dep</w:t>
            </w:r>
            <w:r>
              <w:rPr>
                <w:rFonts w:ascii="Calibri" w:eastAsia="Times New Roman" w:hAnsi="Calibri" w:cs="Calibri"/>
                <w:color w:val="000000"/>
              </w:rPr>
              <w:t xml:space="preserve">artment </w:t>
            </w:r>
            <w:r w:rsidRPr="00D275DB">
              <w:rPr>
                <w:rFonts w:ascii="Calibri" w:eastAsia="Times New Roman" w:hAnsi="Calibri" w:cs="Calibri"/>
                <w:color w:val="000000"/>
              </w:rPr>
              <w:t>of Forestry, MFLR</w:t>
            </w:r>
          </w:p>
        </w:tc>
        <w:tc>
          <w:tcPr>
            <w:tcW w:w="2156" w:type="dxa"/>
          </w:tcPr>
          <w:p w:rsidR="00FA2361" w:rsidRDefault="00FA2361" w:rsidP="00A8439D"/>
          <w:p w:rsidR="00FA2361" w:rsidRDefault="00FA2361" w:rsidP="00A8439D">
            <w:r>
              <w:t>Elias Sekaleli (Mr)</w:t>
            </w:r>
          </w:p>
        </w:tc>
        <w:tc>
          <w:tcPr>
            <w:tcW w:w="2146" w:type="dxa"/>
          </w:tcPr>
          <w:p w:rsidR="00FA2361" w:rsidRDefault="00FA2361" w:rsidP="00A8439D"/>
          <w:p w:rsidR="00BA16D8" w:rsidRDefault="00BA16D8" w:rsidP="00A8439D">
            <w:r>
              <w:t>Director, Dept. of Forestry</w:t>
            </w:r>
          </w:p>
        </w:tc>
        <w:tc>
          <w:tcPr>
            <w:tcW w:w="2790" w:type="dxa"/>
          </w:tcPr>
          <w:p w:rsidR="00FA2361" w:rsidRDefault="003816B8" w:rsidP="00A8439D">
            <w:hyperlink r:id="rId13" w:history="1">
              <w:r w:rsidR="00FA2361" w:rsidRPr="00D7104C">
                <w:rPr>
                  <w:rStyle w:val="Hyperlink"/>
                </w:rPr>
                <w:t>Elias.sekaleli@yahoo.com</w:t>
              </w:r>
            </w:hyperlink>
          </w:p>
          <w:p w:rsidR="00FA2361" w:rsidRDefault="00FA2361" w:rsidP="00A8439D">
            <w:r>
              <w:t>58884338</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Energy and Environment Head, UNDP</w:t>
            </w:r>
          </w:p>
        </w:tc>
        <w:tc>
          <w:tcPr>
            <w:tcW w:w="2156" w:type="dxa"/>
          </w:tcPr>
          <w:p w:rsidR="00FA2361" w:rsidRDefault="00FA2361" w:rsidP="00A8439D">
            <w:r>
              <w:t>Limomane Peshoane (Mr)</w:t>
            </w:r>
          </w:p>
        </w:tc>
        <w:tc>
          <w:tcPr>
            <w:tcW w:w="2146" w:type="dxa"/>
          </w:tcPr>
          <w:p w:rsidR="00FA2361" w:rsidRDefault="00BA16D8" w:rsidP="00A8439D">
            <w:r>
              <w:t>Head of Energy &amp; Environment Unit, UNDP</w:t>
            </w:r>
          </w:p>
        </w:tc>
        <w:tc>
          <w:tcPr>
            <w:tcW w:w="2790" w:type="dxa"/>
          </w:tcPr>
          <w:p w:rsidR="00FA2361" w:rsidRDefault="003816B8" w:rsidP="00A8439D">
            <w:hyperlink r:id="rId14" w:history="1">
              <w:r w:rsidR="00FA2361" w:rsidRPr="00D7104C">
                <w:rPr>
                  <w:rStyle w:val="Hyperlink"/>
                </w:rPr>
                <w:t>Limomane.peshoane@undp.org</w:t>
              </w:r>
            </w:hyperlink>
          </w:p>
          <w:p w:rsidR="00FA2361" w:rsidRDefault="00FA2361" w:rsidP="00A8439D">
            <w:r>
              <w:t>58742832</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SLM Project Monitoring Officer, UNDP</w:t>
            </w:r>
          </w:p>
        </w:tc>
        <w:tc>
          <w:tcPr>
            <w:tcW w:w="2156" w:type="dxa"/>
          </w:tcPr>
          <w:p w:rsidR="00FA2361" w:rsidRDefault="00FA2361" w:rsidP="00A8439D">
            <w:r>
              <w:t>Mabohlokoa Tau (Ms)</w:t>
            </w:r>
          </w:p>
        </w:tc>
        <w:tc>
          <w:tcPr>
            <w:tcW w:w="2146" w:type="dxa"/>
          </w:tcPr>
          <w:p w:rsidR="00FA2361" w:rsidRDefault="00BA16D8" w:rsidP="00A8439D">
            <w:r>
              <w:rPr>
                <w:rFonts w:ascii="Calibri" w:eastAsia="Times New Roman" w:hAnsi="Calibri" w:cs="Calibri"/>
                <w:color w:val="000000"/>
              </w:rPr>
              <w:t>SLM Project Monitoring Officer, UNDP</w:t>
            </w:r>
          </w:p>
        </w:tc>
        <w:tc>
          <w:tcPr>
            <w:tcW w:w="2790" w:type="dxa"/>
          </w:tcPr>
          <w:p w:rsidR="00FA2361" w:rsidRDefault="003816B8" w:rsidP="00A8439D">
            <w:hyperlink r:id="rId15" w:history="1">
              <w:r w:rsidR="00FA2361" w:rsidRPr="00D7104C">
                <w:rPr>
                  <w:rStyle w:val="Hyperlink"/>
                </w:rPr>
                <w:t>Mabohlokoa.tau@undp.org</w:t>
              </w:r>
            </w:hyperlink>
          </w:p>
          <w:p w:rsidR="00FA2361" w:rsidRDefault="00FA2361" w:rsidP="00A8439D">
            <w:r>
              <w:t>62133550</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Planning Unit, MFLR</w:t>
            </w:r>
          </w:p>
        </w:tc>
        <w:tc>
          <w:tcPr>
            <w:tcW w:w="2156" w:type="dxa"/>
          </w:tcPr>
          <w:p w:rsidR="00FA2361" w:rsidRDefault="00FA2361" w:rsidP="00A8439D">
            <w:r>
              <w:t>Paepae Selahla (Mr)</w:t>
            </w:r>
          </w:p>
        </w:tc>
        <w:tc>
          <w:tcPr>
            <w:tcW w:w="2146" w:type="dxa"/>
          </w:tcPr>
          <w:p w:rsidR="00FA2361" w:rsidRDefault="00404888" w:rsidP="00A8439D">
            <w:r>
              <w:t>Seniors</w:t>
            </w:r>
            <w:r w:rsidR="00BA16D8">
              <w:t xml:space="preserve"> Economic Planner</w:t>
            </w:r>
          </w:p>
        </w:tc>
        <w:tc>
          <w:tcPr>
            <w:tcW w:w="2790" w:type="dxa"/>
          </w:tcPr>
          <w:p w:rsidR="00FA2361" w:rsidRDefault="003816B8" w:rsidP="00A8439D">
            <w:hyperlink r:id="rId16" w:history="1">
              <w:r w:rsidR="00FA2361" w:rsidRPr="00D7104C">
                <w:rPr>
                  <w:rStyle w:val="Hyperlink"/>
                </w:rPr>
                <w:t>pselahla@yahoo.com</w:t>
              </w:r>
            </w:hyperlink>
          </w:p>
          <w:p w:rsidR="00FA2361" w:rsidRDefault="00FA2361" w:rsidP="00A8439D">
            <w:r>
              <w:t>67104480</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Food and Agricultural Organization</w:t>
            </w:r>
          </w:p>
        </w:tc>
        <w:tc>
          <w:tcPr>
            <w:tcW w:w="2156" w:type="dxa"/>
          </w:tcPr>
          <w:p w:rsidR="00FA2361" w:rsidRDefault="00FA2361" w:rsidP="00361A1C">
            <w:r>
              <w:t>Bokang Ma</w:t>
            </w:r>
            <w:r w:rsidR="00361A1C">
              <w:t>nt</w:t>
            </w:r>
            <w:r>
              <w:t>utle (Mr)</w:t>
            </w:r>
          </w:p>
        </w:tc>
        <w:tc>
          <w:tcPr>
            <w:tcW w:w="2146" w:type="dxa"/>
          </w:tcPr>
          <w:p w:rsidR="00FA2361" w:rsidRDefault="00404888" w:rsidP="00A8439D">
            <w:r>
              <w:t>Agricultural Officer</w:t>
            </w:r>
          </w:p>
        </w:tc>
        <w:tc>
          <w:tcPr>
            <w:tcW w:w="2790" w:type="dxa"/>
          </w:tcPr>
          <w:p w:rsidR="00FA2361" w:rsidRDefault="003816B8" w:rsidP="00A8439D">
            <w:hyperlink r:id="rId17" w:history="1">
              <w:r w:rsidR="00404888" w:rsidRPr="00D56BCA">
                <w:rPr>
                  <w:rStyle w:val="Hyperlink"/>
                </w:rPr>
                <w:t>Bokang.mantutle@fao.org</w:t>
              </w:r>
            </w:hyperlink>
          </w:p>
          <w:p w:rsidR="00FA2361" w:rsidRDefault="00FA2361" w:rsidP="00A8439D">
            <w:r>
              <w:t>58753767/22273300</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Lesotho Non-Government Organization (LCN)</w:t>
            </w:r>
          </w:p>
        </w:tc>
        <w:tc>
          <w:tcPr>
            <w:tcW w:w="2156" w:type="dxa"/>
          </w:tcPr>
          <w:p w:rsidR="00FA2361" w:rsidRDefault="00FA2361" w:rsidP="00A8439D">
            <w:r>
              <w:t>Seabata Motsamai (Mr)</w:t>
            </w:r>
          </w:p>
        </w:tc>
        <w:tc>
          <w:tcPr>
            <w:tcW w:w="2146" w:type="dxa"/>
          </w:tcPr>
          <w:p w:rsidR="00FA2361" w:rsidRDefault="00BA16D8" w:rsidP="00A8439D">
            <w:r>
              <w:t>Executive Director</w:t>
            </w:r>
          </w:p>
        </w:tc>
        <w:tc>
          <w:tcPr>
            <w:tcW w:w="2790" w:type="dxa"/>
          </w:tcPr>
          <w:p w:rsidR="00FA2361" w:rsidRDefault="003816B8" w:rsidP="00A8439D">
            <w:hyperlink r:id="rId18" w:history="1">
              <w:r w:rsidR="00FA2361" w:rsidRPr="00D7104C">
                <w:rPr>
                  <w:rStyle w:val="Hyperlink"/>
                </w:rPr>
                <w:t>Seabata.motsamai@lcn.org</w:t>
              </w:r>
            </w:hyperlink>
          </w:p>
          <w:p w:rsidR="00FA2361" w:rsidRDefault="00FA2361" w:rsidP="00A8439D">
            <w:r>
              <w:t>58991144/22317205</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Ministry of Local Government, Department of Decentralization</w:t>
            </w:r>
          </w:p>
        </w:tc>
        <w:tc>
          <w:tcPr>
            <w:tcW w:w="2156" w:type="dxa"/>
          </w:tcPr>
          <w:p w:rsidR="00FA2361" w:rsidRDefault="00FA2361" w:rsidP="00A8439D">
            <w:r>
              <w:t>M. Mokuoane (Mr)</w:t>
            </w:r>
          </w:p>
        </w:tc>
        <w:tc>
          <w:tcPr>
            <w:tcW w:w="2146" w:type="dxa"/>
          </w:tcPr>
          <w:p w:rsidR="00FA2361" w:rsidRDefault="00BA16D8" w:rsidP="00A8439D">
            <w:r>
              <w:t>Director, Decentralization Dept.</w:t>
            </w:r>
          </w:p>
        </w:tc>
        <w:tc>
          <w:tcPr>
            <w:tcW w:w="2790" w:type="dxa"/>
          </w:tcPr>
          <w:p w:rsidR="00FA2361" w:rsidRDefault="003816B8" w:rsidP="00A8439D">
            <w:hyperlink r:id="rId19" w:history="1">
              <w:r w:rsidR="00FA2361" w:rsidRPr="00D7104C">
                <w:rPr>
                  <w:rStyle w:val="Hyperlink"/>
                </w:rPr>
                <w:t>mokuoanec@yahoo.co.uk</w:t>
              </w:r>
            </w:hyperlink>
          </w:p>
          <w:p w:rsidR="00FA2361" w:rsidRDefault="00FA2361" w:rsidP="00A8439D">
            <w:r>
              <w:t>58000314/63597234</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Ministry of Energy Meteorology and Water Affairs, Department of Water Affairs</w:t>
            </w:r>
          </w:p>
        </w:tc>
        <w:tc>
          <w:tcPr>
            <w:tcW w:w="2156" w:type="dxa"/>
          </w:tcPr>
          <w:p w:rsidR="00FA2361" w:rsidRDefault="00FA2361" w:rsidP="00A8439D">
            <w:r>
              <w:t>Mafanana Mokhatla (Ms)</w:t>
            </w:r>
          </w:p>
        </w:tc>
        <w:tc>
          <w:tcPr>
            <w:tcW w:w="2146" w:type="dxa"/>
          </w:tcPr>
          <w:p w:rsidR="00FA2361" w:rsidRDefault="00BA16D8" w:rsidP="00A8439D">
            <w:r>
              <w:t xml:space="preserve">Director, Dept. of Water </w:t>
            </w:r>
            <w:r w:rsidR="00404888">
              <w:t>Affairs</w:t>
            </w:r>
          </w:p>
        </w:tc>
        <w:tc>
          <w:tcPr>
            <w:tcW w:w="2790" w:type="dxa"/>
          </w:tcPr>
          <w:p w:rsidR="00FA2361" w:rsidRDefault="003816B8" w:rsidP="00A8439D">
            <w:hyperlink r:id="rId20" w:history="1">
              <w:r w:rsidR="00FA2361" w:rsidRPr="00D7104C">
                <w:rPr>
                  <w:rStyle w:val="Hyperlink"/>
                </w:rPr>
                <w:t>fananam@gmail.com</w:t>
              </w:r>
            </w:hyperlink>
          </w:p>
          <w:p w:rsidR="00FA2361" w:rsidRDefault="003816B8" w:rsidP="00A8439D">
            <w:hyperlink r:id="rId21" w:history="1">
              <w:r w:rsidR="00FA2361" w:rsidRPr="00D7104C">
                <w:rPr>
                  <w:rStyle w:val="Hyperlink"/>
                </w:rPr>
                <w:t>director@dwa.gov.ls</w:t>
              </w:r>
            </w:hyperlink>
          </w:p>
          <w:p w:rsidR="00FA2361" w:rsidRDefault="00FA2361" w:rsidP="00A8439D">
            <w:r>
              <w:t>63079965/ 58666677/ 22317516</w:t>
            </w:r>
          </w:p>
        </w:tc>
      </w:tr>
      <w:tr w:rsidR="00FA2361" w:rsidTr="00361A1C">
        <w:tc>
          <w:tcPr>
            <w:tcW w:w="2713" w:type="dxa"/>
          </w:tcPr>
          <w:p w:rsidR="00FA2361" w:rsidRDefault="00FA2361" w:rsidP="00A8439D">
            <w:pPr>
              <w:rPr>
                <w:rFonts w:ascii="Calibri" w:eastAsia="Times New Roman" w:hAnsi="Calibri" w:cs="Calibri"/>
                <w:color w:val="000000"/>
              </w:rPr>
            </w:pPr>
            <w:r w:rsidRPr="00D275DB">
              <w:rPr>
                <w:rFonts w:ascii="Calibri" w:eastAsia="Times New Roman" w:hAnsi="Calibri" w:cs="Calibri"/>
                <w:color w:val="000000"/>
              </w:rPr>
              <w:t>Participatory Ecological Land Use Management</w:t>
            </w:r>
            <w:r>
              <w:rPr>
                <w:rFonts w:ascii="Calibri" w:eastAsia="Times New Roman" w:hAnsi="Calibri" w:cs="Calibri"/>
                <w:color w:val="000000"/>
              </w:rPr>
              <w:t xml:space="preserve"> (</w:t>
            </w:r>
            <w:r w:rsidRPr="00D275DB">
              <w:rPr>
                <w:rFonts w:ascii="Calibri" w:eastAsia="Times New Roman" w:hAnsi="Calibri" w:cs="Calibri"/>
                <w:color w:val="000000"/>
              </w:rPr>
              <w:t>PELUM</w:t>
            </w:r>
            <w:r>
              <w:rPr>
                <w:rFonts w:ascii="Calibri" w:eastAsia="Times New Roman" w:hAnsi="Calibri" w:cs="Calibri"/>
                <w:color w:val="000000"/>
              </w:rPr>
              <w:t>)</w:t>
            </w:r>
          </w:p>
        </w:tc>
        <w:tc>
          <w:tcPr>
            <w:tcW w:w="2156" w:type="dxa"/>
          </w:tcPr>
          <w:p w:rsidR="00FA2361" w:rsidRDefault="00FA2361" w:rsidP="00BA16D8">
            <w:r>
              <w:t>M</w:t>
            </w:r>
            <w:r w:rsidR="00BA16D8">
              <w:t xml:space="preserve">amotebang </w:t>
            </w:r>
            <w:r>
              <w:t xml:space="preserve"> Moeketsi (Mr)</w:t>
            </w:r>
          </w:p>
        </w:tc>
        <w:tc>
          <w:tcPr>
            <w:tcW w:w="2146" w:type="dxa"/>
          </w:tcPr>
          <w:p w:rsidR="00FA2361" w:rsidRDefault="00BA16D8" w:rsidP="00A8439D">
            <w:r>
              <w:t>Director, PELUM</w:t>
            </w:r>
          </w:p>
        </w:tc>
        <w:tc>
          <w:tcPr>
            <w:tcW w:w="2790" w:type="dxa"/>
          </w:tcPr>
          <w:p w:rsidR="00FA2361" w:rsidRDefault="003816B8" w:rsidP="00A8439D">
            <w:hyperlink r:id="rId22" w:history="1">
              <w:r w:rsidR="00FA2361" w:rsidRPr="00D7104C">
                <w:rPr>
                  <w:rStyle w:val="Hyperlink"/>
                </w:rPr>
                <w:t>dorcaspelum@gmail.com</w:t>
              </w:r>
            </w:hyperlink>
          </w:p>
          <w:p w:rsidR="00FA2361" w:rsidRDefault="00FA2361" w:rsidP="00A8439D">
            <w:r>
              <w:t>58745457/62745457</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Department of Soil and Water Conservation, MFLR</w:t>
            </w:r>
          </w:p>
        </w:tc>
        <w:tc>
          <w:tcPr>
            <w:tcW w:w="2156" w:type="dxa"/>
          </w:tcPr>
          <w:p w:rsidR="00FA2361" w:rsidRDefault="00FA2361" w:rsidP="00A8439D">
            <w:r>
              <w:t>Refuoe Boose (Mr)</w:t>
            </w:r>
          </w:p>
        </w:tc>
        <w:tc>
          <w:tcPr>
            <w:tcW w:w="2146" w:type="dxa"/>
          </w:tcPr>
          <w:p w:rsidR="00FA2361" w:rsidRDefault="00BA16D8" w:rsidP="00A8439D">
            <w:r>
              <w:t>Director, Dept. of Soil and Water Conservation</w:t>
            </w:r>
          </w:p>
          <w:p w:rsidR="00BA16D8" w:rsidRDefault="00BA16D8" w:rsidP="00A8439D"/>
        </w:tc>
        <w:tc>
          <w:tcPr>
            <w:tcW w:w="2790" w:type="dxa"/>
          </w:tcPr>
          <w:p w:rsidR="00FA2361" w:rsidRDefault="003816B8" w:rsidP="00A8439D">
            <w:hyperlink r:id="rId23" w:history="1">
              <w:r w:rsidR="00FA2361" w:rsidRPr="00D7104C">
                <w:rPr>
                  <w:rStyle w:val="Hyperlink"/>
                </w:rPr>
                <w:t>Rboose2000@yahoo.co.uk</w:t>
              </w:r>
            </w:hyperlink>
          </w:p>
          <w:p w:rsidR="00FA2361" w:rsidRDefault="00FA2361" w:rsidP="00A8439D">
            <w:r>
              <w:t>58767886</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SLM Technical Advisor</w:t>
            </w:r>
          </w:p>
        </w:tc>
        <w:tc>
          <w:tcPr>
            <w:tcW w:w="2156" w:type="dxa"/>
          </w:tcPr>
          <w:p w:rsidR="00FA2361" w:rsidRDefault="00FA2361" w:rsidP="00A8439D">
            <w:r>
              <w:t>Qalabane Chakela (Mr)</w:t>
            </w:r>
          </w:p>
        </w:tc>
        <w:tc>
          <w:tcPr>
            <w:tcW w:w="2146" w:type="dxa"/>
          </w:tcPr>
          <w:p w:rsidR="00FA2361" w:rsidRDefault="00BA16D8" w:rsidP="00A8439D">
            <w:r>
              <w:t>SLM project Technical Advisor</w:t>
            </w:r>
          </w:p>
        </w:tc>
        <w:tc>
          <w:tcPr>
            <w:tcW w:w="2790" w:type="dxa"/>
          </w:tcPr>
          <w:p w:rsidR="00FA2361" w:rsidRDefault="003816B8" w:rsidP="00A8439D">
            <w:hyperlink r:id="rId24" w:history="1">
              <w:r w:rsidR="00FA2361" w:rsidRPr="00D7104C">
                <w:rPr>
                  <w:rStyle w:val="Hyperlink"/>
                </w:rPr>
                <w:t>Qalabane.chakela@gmail.com</w:t>
              </w:r>
            </w:hyperlink>
          </w:p>
          <w:p w:rsidR="00FA2361" w:rsidRDefault="00FA2361" w:rsidP="00A8439D">
            <w:r>
              <w:t>59139356</w:t>
            </w:r>
          </w:p>
        </w:tc>
      </w:tr>
    </w:tbl>
    <w:p w:rsidR="00A8439D" w:rsidRDefault="00A8439D" w:rsidP="00A8439D"/>
    <w:p w:rsidR="006165C1" w:rsidRPr="00444B62" w:rsidRDefault="006165C1" w:rsidP="006165C1">
      <w:pPr>
        <w:spacing w:after="120"/>
        <w:jc w:val="both"/>
        <w:rPr>
          <w:rFonts w:ascii="Times New Roman" w:eastAsia="Times New Roman" w:hAnsi="Times New Roman" w:cs="Times New Roman"/>
          <w:b/>
        </w:rPr>
      </w:pPr>
      <w:r w:rsidRPr="00444B62">
        <w:rPr>
          <w:rFonts w:ascii="Times New Roman" w:eastAsia="Times New Roman" w:hAnsi="Times New Roman" w:cs="Times New Roman"/>
          <w:b/>
        </w:rPr>
        <w:lastRenderedPageBreak/>
        <w:t>International:</w:t>
      </w:r>
    </w:p>
    <w:p w:rsidR="006165C1" w:rsidRPr="00444B62" w:rsidRDefault="006165C1" w:rsidP="006165C1">
      <w:pPr>
        <w:numPr>
          <w:ilvl w:val="0"/>
          <w:numId w:val="34"/>
        </w:numPr>
        <w:spacing w:before="200" w:after="120"/>
        <w:contextualSpacing/>
        <w:jc w:val="both"/>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UNDP Country Offices in Lesotho  </w:t>
      </w:r>
    </w:p>
    <w:p w:rsidR="006165C1" w:rsidRPr="00444B62" w:rsidRDefault="006165C1" w:rsidP="006165C1">
      <w:pPr>
        <w:numPr>
          <w:ilvl w:val="0"/>
          <w:numId w:val="34"/>
        </w:numPr>
        <w:spacing w:before="200" w:after="120"/>
        <w:contextualSpacing/>
        <w:jc w:val="both"/>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Regional UNDP-GEF office in </w:t>
      </w:r>
      <w:r w:rsidR="00FA2361">
        <w:rPr>
          <w:rFonts w:ascii="Times New Roman" w:eastAsia="Times New Roman" w:hAnsi="Times New Roman" w:cs="Times New Roman"/>
          <w:sz w:val="20"/>
          <w:szCs w:val="20"/>
        </w:rPr>
        <w:t>Ethiopia</w:t>
      </w:r>
    </w:p>
    <w:p w:rsidR="005F1BC7" w:rsidRPr="00D6638C" w:rsidRDefault="005F1BC7" w:rsidP="00D6638C">
      <w:pPr>
        <w:spacing w:after="120"/>
        <w:rPr>
          <w:rFonts w:ascii="Calibri" w:eastAsia="Times New Roman" w:hAnsi="Calibri" w:cs="Times New Roman"/>
          <w:sz w:val="20"/>
          <w:szCs w:val="20"/>
        </w:rPr>
      </w:pP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6C5AE1">
        <w:rPr>
          <w:rFonts w:ascii="Calibri" w:eastAsia="Times New Roman" w:hAnsi="Calibri" w:cs="Times New Roman"/>
          <w:sz w:val="20"/>
          <w:szCs w:val="20"/>
        </w:rPr>
        <w:t xml:space="preserve">(see </w:t>
      </w:r>
      <w:hyperlink w:anchor="_TOR_Annex_A:" w:history="1">
        <w:r w:rsidRPr="006C5AE1">
          <w:rPr>
            <w:rFonts w:ascii="Calibri" w:eastAsia="Times New Roman" w:hAnsi="Calibri" w:cs="Times New Roman"/>
            <w:color w:val="0000FF"/>
            <w:sz w:val="20"/>
            <w:szCs w:val="20"/>
            <w:u w:val="single"/>
          </w:rPr>
          <w:t xml:space="preserve"> Annex A</w:t>
        </w:r>
      </w:hyperlink>
      <w:r w:rsidRPr="006C5AE1">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011"/>
        <w:gridCol w:w="7001"/>
        <w:gridCol w:w="1011"/>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A309C5" w:rsidRDefault="00A309C5"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p>
    <w:p w:rsidR="00A309C5" w:rsidRDefault="00A309C5" w:rsidP="00F05366">
      <w:pPr>
        <w:pStyle w:val="Heading51"/>
      </w:pPr>
    </w:p>
    <w:p w:rsidR="00A309C5" w:rsidRDefault="00A309C5" w:rsidP="00F05366">
      <w:pPr>
        <w:pStyle w:val="Heading51"/>
      </w:pPr>
    </w:p>
    <w:p w:rsidR="00A309C5" w:rsidRDefault="00A309C5" w:rsidP="00F05366">
      <w:pPr>
        <w:pStyle w:val="Heading51"/>
      </w:pPr>
    </w:p>
    <w:p w:rsidR="00A309C5" w:rsidRDefault="00A309C5" w:rsidP="00F05366">
      <w:pPr>
        <w:pStyle w:val="Heading51"/>
      </w:pPr>
    </w:p>
    <w:p w:rsidR="00D6638C" w:rsidRPr="00D6638C" w:rsidRDefault="00D6638C" w:rsidP="00F05366">
      <w:pPr>
        <w:pStyle w:val="Heading51"/>
      </w:pPr>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8960D9" w:rsidRDefault="008960D9" w:rsidP="00F05366">
      <w:pPr>
        <w:pStyle w:val="Heading51"/>
      </w:pPr>
      <w:bookmarkStart w:id="17" w:name="_Toc321341553"/>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D6638C" w:rsidRPr="00D6638C" w:rsidRDefault="00D6638C" w:rsidP="00F05366">
      <w:pPr>
        <w:pStyle w:val="Heading51"/>
      </w:pPr>
      <w:r w:rsidRPr="00D6638C">
        <w:t>Mainstreaming</w:t>
      </w:r>
      <w:bookmarkEnd w:id="11"/>
      <w:bookmarkEnd w:id="17"/>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Pr="00D6638C" w:rsidRDefault="00C20543" w:rsidP="00D6638C">
      <w:pPr>
        <w:spacing w:after="120"/>
        <w:rPr>
          <w:rFonts w:ascii="Calibri" w:eastAsia="Times New Roman" w:hAnsi="Calibri" w:cs="Times New Roman"/>
          <w:sz w:val="20"/>
          <w:szCs w:val="20"/>
        </w:rPr>
      </w:pPr>
    </w:p>
    <w:p w:rsidR="00D6638C" w:rsidRPr="00D6638C" w:rsidRDefault="00D6638C" w:rsidP="00F05366">
      <w:pPr>
        <w:pStyle w:val="Heading51"/>
      </w:pPr>
      <w:bookmarkStart w:id="18" w:name="_Toc277677980"/>
      <w:bookmarkStart w:id="19" w:name="_Toc321341554"/>
      <w:r w:rsidRPr="00D6638C">
        <w:lastRenderedPageBreak/>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322421"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BA16D8">
        <w:rPr>
          <w:rFonts w:ascii="Calibri" w:eastAsia="Times New Roman" w:hAnsi="Calibri" w:cs="Times New Roman"/>
          <w:sz w:val="20"/>
          <w:szCs w:val="20"/>
        </w:rPr>
        <w:t>Lesotho</w:t>
      </w:r>
      <w:r w:rsidR="00BA16D8" w:rsidRPr="00D6638C">
        <w:rPr>
          <w:rFonts w:ascii="Calibri" w:eastAsia="Times New Roman" w:hAnsi="Calibri" w:cs="Times New Roman"/>
          <w:i/>
          <w:sz w:val="20"/>
          <w:szCs w:val="20"/>
          <w:highlight w:val="lightGray"/>
        </w:rPr>
        <w:t>.</w:t>
      </w:r>
      <w:r w:rsidR="00BA16D8" w:rsidRPr="00D6638C">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D6638C" w:rsidRPr="00D6638C" w:rsidRDefault="00D6638C" w:rsidP="00022F8E">
      <w:pPr>
        <w:pStyle w:val="Heading51"/>
      </w:pPr>
      <w:r w:rsidRPr="00D6638C">
        <w:t>Evaluation timeframe</w:t>
      </w:r>
      <w:bookmarkEnd w:id="28"/>
      <w:bookmarkEnd w:id="29"/>
      <w:bookmarkEnd w:id="30"/>
      <w:bookmarkEnd w:id="31"/>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257371">
        <w:rPr>
          <w:rFonts w:ascii="Calibri" w:eastAsia="Times New Roman" w:hAnsi="Calibri" w:cs="Times New Roman"/>
          <w:sz w:val="20"/>
          <w:szCs w:val="20"/>
        </w:rPr>
        <w:t>2</w:t>
      </w:r>
      <w:r w:rsidR="007A4702" w:rsidRPr="009847ED">
        <w:rPr>
          <w:rFonts w:ascii="Calibri" w:eastAsia="Times New Roman" w:hAnsi="Calibri" w:cs="Times New Roman"/>
          <w:color w:val="000000" w:themeColor="text1"/>
          <w:sz w:val="20"/>
          <w:szCs w:val="20"/>
          <w:shd w:val="clear" w:color="auto" w:fill="FFFFFF" w:themeFill="background1"/>
        </w:rPr>
        <w:t>1</w:t>
      </w:r>
      <w:r w:rsidRPr="00D6638C">
        <w:rPr>
          <w:rFonts w:ascii="Calibri" w:eastAsia="Times New Roman" w:hAnsi="Calibri" w:cs="Times New Roman"/>
          <w:sz w:val="20"/>
          <w:szCs w:val="20"/>
        </w:rPr>
        <w:t xml:space="preserve"> </w:t>
      </w:r>
      <w:r w:rsidR="00257371">
        <w:rPr>
          <w:rFonts w:ascii="Calibri" w:eastAsia="Times New Roman" w:hAnsi="Calibri" w:cs="Times New Roman"/>
          <w:sz w:val="20"/>
          <w:szCs w:val="20"/>
        </w:rPr>
        <w:t xml:space="preserve">working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322421" w:rsidRPr="00444B62" w:rsidTr="002D4EE3">
        <w:trPr>
          <w:trHeight w:val="440"/>
        </w:trPr>
        <w:tc>
          <w:tcPr>
            <w:tcW w:w="2988" w:type="dxa"/>
            <w:shd w:val="clear" w:color="auto" w:fill="7F7F7F"/>
          </w:tcPr>
          <w:p w:rsidR="00322421" w:rsidRPr="00444B62" w:rsidRDefault="00322421" w:rsidP="002D4EE3">
            <w:pPr>
              <w:spacing w:after="0"/>
              <w:jc w:val="center"/>
              <w:rPr>
                <w:rFonts w:ascii="Times New Roman" w:eastAsia="Times New Roman" w:hAnsi="Times New Roman" w:cs="Times New Roman"/>
                <w:b/>
                <w:color w:val="FFFFFF"/>
              </w:rPr>
            </w:pPr>
            <w:r w:rsidRPr="00444B62">
              <w:rPr>
                <w:rFonts w:ascii="Times New Roman" w:eastAsia="Times New Roman" w:hAnsi="Times New Roman" w:cs="Times New Roman"/>
                <w:b/>
                <w:color w:val="FFFFFF"/>
              </w:rPr>
              <w:t>Activity</w:t>
            </w:r>
          </w:p>
        </w:tc>
        <w:tc>
          <w:tcPr>
            <w:tcW w:w="3499" w:type="dxa"/>
            <w:shd w:val="clear" w:color="auto" w:fill="7F7F7F"/>
          </w:tcPr>
          <w:p w:rsidR="00322421" w:rsidRPr="00444B62" w:rsidRDefault="00322421" w:rsidP="002D4EE3">
            <w:pPr>
              <w:spacing w:after="0"/>
              <w:jc w:val="center"/>
              <w:rPr>
                <w:rFonts w:ascii="Times New Roman" w:eastAsia="Times New Roman" w:hAnsi="Times New Roman" w:cs="Times New Roman"/>
                <w:color w:val="FFFFFF"/>
              </w:rPr>
            </w:pPr>
            <w:r w:rsidRPr="00444B62">
              <w:rPr>
                <w:rFonts w:ascii="Times New Roman" w:eastAsia="Times New Roman" w:hAnsi="Times New Roman" w:cs="Times New Roman"/>
                <w:color w:val="FFFFFF"/>
              </w:rPr>
              <w:t>Timing</w:t>
            </w:r>
          </w:p>
        </w:tc>
        <w:tc>
          <w:tcPr>
            <w:tcW w:w="3071" w:type="dxa"/>
            <w:shd w:val="clear" w:color="auto" w:fill="7F7F7F"/>
          </w:tcPr>
          <w:p w:rsidR="00322421" w:rsidRPr="00444B62" w:rsidRDefault="00322421" w:rsidP="002D4EE3">
            <w:pPr>
              <w:spacing w:after="0"/>
              <w:jc w:val="center"/>
              <w:rPr>
                <w:rFonts w:ascii="Times New Roman" w:eastAsia="Times New Roman" w:hAnsi="Times New Roman" w:cs="Times New Roman"/>
                <w:color w:val="FFFFFF"/>
              </w:rPr>
            </w:pPr>
            <w:r w:rsidRPr="00444B62">
              <w:rPr>
                <w:rFonts w:ascii="Times New Roman" w:eastAsia="Times New Roman" w:hAnsi="Times New Roman" w:cs="Times New Roman"/>
                <w:color w:val="FFFFFF"/>
              </w:rPr>
              <w:t>Completion Date</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Preparation</w:t>
            </w:r>
          </w:p>
        </w:tc>
        <w:tc>
          <w:tcPr>
            <w:tcW w:w="3499"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rPr>
              <w:t xml:space="preserve">3 days </w:t>
            </w:r>
          </w:p>
        </w:tc>
        <w:tc>
          <w:tcPr>
            <w:tcW w:w="3071" w:type="dxa"/>
          </w:tcPr>
          <w:p w:rsidR="00322421" w:rsidRPr="00444B62" w:rsidRDefault="00322421" w:rsidP="002D4EE3">
            <w:pPr>
              <w:spacing w:after="0"/>
              <w:rPr>
                <w:rFonts w:ascii="Times New Roman" w:eastAsia="Times New Roman" w:hAnsi="Times New Roman" w:cs="Times New Roman"/>
              </w:rPr>
            </w:pPr>
            <w:r>
              <w:rPr>
                <w:rFonts w:ascii="Times New Roman" w:eastAsia="Times New Roman" w:hAnsi="Times New Roman" w:cs="Times New Roman"/>
              </w:rPr>
              <w:t>3</w:t>
            </w:r>
            <w:r w:rsidRPr="00322421">
              <w:rPr>
                <w:rFonts w:ascii="Times New Roman" w:eastAsia="Times New Roman" w:hAnsi="Times New Roman" w:cs="Times New Roman"/>
                <w:vertAlign w:val="superscript"/>
              </w:rPr>
              <w:t>rd</w:t>
            </w:r>
            <w:r>
              <w:rPr>
                <w:rFonts w:ascii="Times New Roman" w:eastAsia="Times New Roman" w:hAnsi="Times New Roman" w:cs="Times New Roman"/>
              </w:rPr>
              <w:t xml:space="preserve"> 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Evaluation Mission</w:t>
            </w:r>
          </w:p>
        </w:tc>
        <w:tc>
          <w:tcPr>
            <w:tcW w:w="3499" w:type="dxa"/>
          </w:tcPr>
          <w:p w:rsidR="00322421" w:rsidRPr="00444B62" w:rsidRDefault="00322421" w:rsidP="009847ED">
            <w:pPr>
              <w:spacing w:after="0"/>
              <w:rPr>
                <w:rFonts w:ascii="Times New Roman" w:eastAsia="Times New Roman" w:hAnsi="Times New Roman" w:cs="Times New Roman"/>
                <w:b/>
                <w:color w:val="FF0000"/>
              </w:rPr>
            </w:pPr>
            <w:r w:rsidRPr="00444B62">
              <w:rPr>
                <w:rFonts w:ascii="Times New Roman" w:eastAsia="Times New Roman" w:hAnsi="Times New Roman" w:cs="Times New Roman"/>
                <w:i/>
                <w:color w:val="FF0000"/>
              </w:rPr>
              <w:t>1</w:t>
            </w:r>
            <w:r w:rsidR="009847ED">
              <w:rPr>
                <w:rFonts w:ascii="Times New Roman" w:eastAsia="Times New Roman" w:hAnsi="Times New Roman" w:cs="Times New Roman"/>
                <w:i/>
                <w:color w:val="FF0000"/>
              </w:rPr>
              <w:t>0</w:t>
            </w:r>
            <w:r w:rsidRPr="00444B62">
              <w:rPr>
                <w:rFonts w:ascii="Times New Roman" w:eastAsia="Times New Roman" w:hAnsi="Times New Roman" w:cs="Times New Roman"/>
                <w:i/>
                <w:color w:val="FF0000"/>
              </w:rPr>
              <w:t xml:space="preserve"> </w:t>
            </w:r>
            <w:r w:rsidRPr="00444B62">
              <w:rPr>
                <w:rFonts w:ascii="Times New Roman" w:eastAsia="Times New Roman" w:hAnsi="Times New Roman" w:cs="Times New Roman"/>
                <w:color w:val="FF0000"/>
              </w:rPr>
              <w:t xml:space="preserve"> days </w:t>
            </w:r>
          </w:p>
        </w:tc>
        <w:tc>
          <w:tcPr>
            <w:tcW w:w="3071" w:type="dxa"/>
          </w:tcPr>
          <w:p w:rsidR="00322421" w:rsidRPr="00444B62" w:rsidRDefault="00322421" w:rsidP="00322421">
            <w:pPr>
              <w:spacing w:after="0"/>
              <w:rPr>
                <w:rFonts w:ascii="Times New Roman" w:eastAsia="Times New Roman" w:hAnsi="Times New Roman" w:cs="Times New Roman"/>
              </w:rPr>
            </w:pPr>
            <w:r w:rsidRPr="00444B62">
              <w:rPr>
                <w:rFonts w:ascii="Times New Roman" w:eastAsia="Times New Roman" w:hAnsi="Times New Roman" w:cs="Times New Roman"/>
              </w:rPr>
              <w:t>17</w:t>
            </w:r>
            <w:r w:rsidRPr="00444B62">
              <w:rPr>
                <w:rFonts w:ascii="Times New Roman" w:eastAsia="Times New Roman" w:hAnsi="Times New Roman" w:cs="Times New Roman"/>
                <w:vertAlign w:val="superscript"/>
              </w:rPr>
              <w:t>th</w:t>
            </w:r>
            <w:r w:rsidRPr="00444B62">
              <w:rPr>
                <w:rFonts w:ascii="Times New Roman" w:eastAsia="Times New Roman" w:hAnsi="Times New Roman" w:cs="Times New Roman"/>
              </w:rPr>
              <w:t xml:space="preserve"> </w:t>
            </w:r>
            <w:r>
              <w:rPr>
                <w:rFonts w:ascii="Times New Roman" w:eastAsia="Times New Roman" w:hAnsi="Times New Roman" w:cs="Times New Roman"/>
              </w:rPr>
              <w:t>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Draft Evaluation Report</w:t>
            </w:r>
          </w:p>
        </w:tc>
        <w:tc>
          <w:tcPr>
            <w:tcW w:w="3499" w:type="dxa"/>
          </w:tcPr>
          <w:p w:rsidR="00322421" w:rsidRPr="00444B62" w:rsidRDefault="00322421" w:rsidP="002D4EE3">
            <w:pPr>
              <w:spacing w:after="0"/>
              <w:rPr>
                <w:rFonts w:ascii="Times New Roman" w:eastAsia="Times New Roman" w:hAnsi="Times New Roman" w:cs="Times New Roman"/>
                <w:b/>
                <w:color w:val="C00000"/>
              </w:rPr>
            </w:pPr>
            <w:r w:rsidRPr="00444B62">
              <w:rPr>
                <w:rFonts w:ascii="Times New Roman" w:eastAsia="Times New Roman" w:hAnsi="Times New Roman" w:cs="Times New Roman"/>
                <w:color w:val="C00000"/>
              </w:rPr>
              <w:t xml:space="preserve">5 days </w:t>
            </w:r>
          </w:p>
        </w:tc>
        <w:tc>
          <w:tcPr>
            <w:tcW w:w="3071" w:type="dxa"/>
          </w:tcPr>
          <w:p w:rsidR="00322421" w:rsidRPr="00444B62" w:rsidRDefault="00322421" w:rsidP="00322421">
            <w:pPr>
              <w:spacing w:after="0"/>
              <w:rPr>
                <w:rFonts w:ascii="Times New Roman" w:eastAsia="Times New Roman" w:hAnsi="Times New Roman" w:cs="Times New Roman"/>
              </w:rPr>
            </w:pPr>
            <w:r w:rsidRPr="00444B62">
              <w:rPr>
                <w:rFonts w:ascii="Times New Roman" w:eastAsia="Times New Roman" w:hAnsi="Times New Roman" w:cs="Times New Roman"/>
              </w:rPr>
              <w:t>27</w:t>
            </w:r>
            <w:r w:rsidRPr="00444B62">
              <w:rPr>
                <w:rFonts w:ascii="Times New Roman" w:eastAsia="Times New Roman" w:hAnsi="Times New Roman" w:cs="Times New Roman"/>
                <w:vertAlign w:val="superscript"/>
              </w:rPr>
              <w:t>th</w:t>
            </w:r>
            <w:r w:rsidRPr="00444B62">
              <w:rPr>
                <w:rFonts w:ascii="Times New Roman" w:eastAsia="Times New Roman" w:hAnsi="Times New Roman" w:cs="Times New Roman"/>
              </w:rPr>
              <w:t xml:space="preserve"> </w:t>
            </w:r>
            <w:r>
              <w:rPr>
                <w:rFonts w:ascii="Times New Roman" w:eastAsia="Times New Roman" w:hAnsi="Times New Roman" w:cs="Times New Roman"/>
              </w:rPr>
              <w:t>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Final Report</w:t>
            </w:r>
          </w:p>
        </w:tc>
        <w:tc>
          <w:tcPr>
            <w:tcW w:w="3499" w:type="dxa"/>
          </w:tcPr>
          <w:p w:rsidR="00322421" w:rsidRPr="00444B62" w:rsidRDefault="00322421" w:rsidP="002D4EE3">
            <w:pPr>
              <w:spacing w:after="0"/>
              <w:rPr>
                <w:rFonts w:ascii="Times New Roman" w:eastAsia="Times New Roman" w:hAnsi="Times New Roman" w:cs="Times New Roman"/>
              </w:rPr>
            </w:pPr>
            <w:r>
              <w:rPr>
                <w:rFonts w:ascii="Times New Roman" w:eastAsia="Times New Roman" w:hAnsi="Times New Roman" w:cs="Times New Roman"/>
              </w:rPr>
              <w:t>3</w:t>
            </w:r>
            <w:r w:rsidRPr="00444B62">
              <w:rPr>
                <w:rFonts w:ascii="Times New Roman" w:eastAsia="Times New Roman" w:hAnsi="Times New Roman" w:cs="Times New Roman"/>
              </w:rPr>
              <w:t xml:space="preserve"> days </w:t>
            </w:r>
          </w:p>
        </w:tc>
        <w:tc>
          <w:tcPr>
            <w:tcW w:w="3071" w:type="dxa"/>
          </w:tcPr>
          <w:p w:rsidR="00322421" w:rsidRPr="00444B62" w:rsidRDefault="00322421" w:rsidP="007A4702">
            <w:pPr>
              <w:spacing w:after="0"/>
              <w:rPr>
                <w:rFonts w:ascii="Times New Roman" w:eastAsia="Times New Roman" w:hAnsi="Times New Roman" w:cs="Times New Roman"/>
              </w:rPr>
            </w:pPr>
            <w:r>
              <w:rPr>
                <w:rFonts w:ascii="Times New Roman" w:eastAsia="Times New Roman" w:hAnsi="Times New Roman" w:cs="Times New Roman"/>
              </w:rPr>
              <w:t>3</w:t>
            </w:r>
            <w:r w:rsidR="007A4702">
              <w:rPr>
                <w:rFonts w:ascii="Times New Roman" w:eastAsia="Times New Roman" w:hAnsi="Times New Roman" w:cs="Times New Roman"/>
              </w:rPr>
              <w:t>1</w:t>
            </w:r>
            <w:r w:rsidR="007A4702" w:rsidRPr="007A4702">
              <w:rPr>
                <w:rFonts w:ascii="Times New Roman" w:eastAsia="Times New Roman" w:hAnsi="Times New Roman" w:cs="Times New Roman"/>
                <w:vertAlign w:val="superscript"/>
              </w:rPr>
              <w:t>st</w:t>
            </w:r>
            <w:r>
              <w:rPr>
                <w:rFonts w:ascii="Times New Roman" w:eastAsia="Times New Roman" w:hAnsi="Times New Roman" w:cs="Times New Roman"/>
              </w:rPr>
              <w:t xml:space="preserve"> October 2014</w:t>
            </w:r>
          </w:p>
        </w:tc>
      </w:tr>
    </w:tbl>
    <w:p w:rsidR="00BA16D8" w:rsidRDefault="00BA16D8"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Pr="00D6638C" w:rsidRDefault="00C20543" w:rsidP="00D6638C">
      <w:pPr>
        <w:spacing w:after="120"/>
        <w:rPr>
          <w:rFonts w:ascii="Calibri" w:eastAsia="Times New Roman" w:hAnsi="Calibri" w:cs="Times New Roman"/>
          <w:sz w:val="20"/>
          <w:szCs w:val="20"/>
        </w:rPr>
      </w:pPr>
    </w:p>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lastRenderedPageBreak/>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proofErr w:type="gramStart"/>
      <w:r w:rsidRPr="00D6638C">
        <w:rPr>
          <w:rFonts w:ascii="Calibri" w:eastAsia="Times New Roman" w:hAnsi="Calibri" w:cs="Times New Roman"/>
          <w:sz w:val="20"/>
          <w:szCs w:val="20"/>
        </w:rPr>
        <w:t xml:space="preserve">of </w:t>
      </w:r>
      <w:r w:rsidR="007A4702" w:rsidRPr="006C5AE1">
        <w:rPr>
          <w:rFonts w:ascii="Calibri" w:eastAsia="Times New Roman" w:hAnsi="Calibri" w:cs="Times New Roman"/>
          <w:sz w:val="20"/>
          <w:szCs w:val="20"/>
          <w:shd w:val="clear" w:color="auto" w:fill="FFFFFF" w:themeFill="background1"/>
        </w:rPr>
        <w:t>a national and international consultants</w:t>
      </w:r>
      <w:proofErr w:type="gramEnd"/>
      <w:r w:rsidRPr="006C5AE1">
        <w:rPr>
          <w:rFonts w:ascii="Calibri" w:eastAsia="Times New Roman" w:hAnsi="Calibri" w:cs="Times New Roman"/>
          <w:i/>
          <w:sz w:val="20"/>
          <w:szCs w:val="20"/>
          <w:highlight w:val="lightGray"/>
          <w:shd w:val="clear" w:color="auto" w:fill="FFFFFF" w:themeFill="background1"/>
        </w:rPr>
        <w:t>.</w:t>
      </w:r>
      <w:r w:rsidRPr="006C5AE1">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7A4702">
        <w:rPr>
          <w:rFonts w:ascii="Calibri" w:eastAsia="Times New Roman" w:hAnsi="Calibri" w:cs="Times New Roman"/>
          <w:sz w:val="20"/>
          <w:szCs w:val="20"/>
        </w:rPr>
        <w:t xml:space="preserve"> </w:t>
      </w:r>
      <w:r w:rsidR="007A4702" w:rsidRPr="006C5AE1">
        <w:rPr>
          <w:rFonts w:ascii="Calibri" w:eastAsia="Times New Roman" w:hAnsi="Calibri" w:cs="Times New Roman"/>
          <w:sz w:val="20"/>
          <w:szCs w:val="20"/>
          <w:shd w:val="clear" w:color="auto" w:fill="FFFFFF" w:themeFill="background1"/>
        </w:rPr>
        <w:t>The international consultant will be designated as the team leader and will be responsible for finalizing the report.</w:t>
      </w:r>
      <w:r w:rsidRPr="006C5AE1">
        <w:rPr>
          <w:rFonts w:ascii="Calibri" w:eastAsia="Times New Roman" w:hAnsi="Calibri" w:cs="Times New Roman"/>
          <w:sz w:val="20"/>
          <w:szCs w:val="20"/>
          <w:shd w:val="clear" w:color="auto" w:fill="FFFFFF" w:themeFill="background1"/>
        </w:rPr>
        <w:t xml:space="preserve"> </w:t>
      </w:r>
      <w:r w:rsidRPr="007A4702">
        <w:rPr>
          <w:rFonts w:ascii="Calibri" w:eastAsia="Times New Roman" w:hAnsi="Calibri" w:cs="Times New Roman"/>
          <w:sz w:val="20"/>
          <w:szCs w:val="20"/>
          <w:shd w:val="clear" w:color="auto" w:fill="FFFFFF" w:themeFill="background1"/>
        </w:rPr>
        <w:t>T</w:t>
      </w:r>
      <w:r w:rsidRPr="00D6638C">
        <w:rPr>
          <w:rFonts w:ascii="Calibri" w:eastAsia="Times New Roman" w:hAnsi="Calibri" w:cs="Times New Roman"/>
          <w:sz w:val="20"/>
          <w:szCs w:val="20"/>
        </w:rPr>
        <w: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International consultant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1. </w:t>
      </w:r>
      <w:r w:rsidRPr="00552861">
        <w:rPr>
          <w:rFonts w:ascii="Times New Roman" w:eastAsia="Calibri" w:hAnsi="Times New Roman" w:cs="Times New Roman"/>
        </w:rPr>
        <w:tab/>
        <w:t xml:space="preserve">Masters or Ph.D. degree in social sciences related to international development, i.e. economics, </w:t>
      </w:r>
      <w:r w:rsidRPr="00552861">
        <w:rPr>
          <w:rFonts w:ascii="Times New Roman" w:eastAsia="Calibri" w:hAnsi="Times New Roman" w:cs="Times New Roman"/>
        </w:rPr>
        <w:tab/>
        <w:t xml:space="preserve">international relations, public and business administration or equivalent;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2. </w:t>
      </w:r>
      <w:r w:rsidRPr="00552861">
        <w:rPr>
          <w:rFonts w:ascii="Times New Roman" w:eastAsia="Calibri" w:hAnsi="Times New Roman" w:cs="Times New Roman"/>
        </w:rPr>
        <w:tab/>
        <w:t xml:space="preserve">Extensive (at least 10-year) experience and proven track record with </w:t>
      </w:r>
      <w:r w:rsidR="003F46AB">
        <w:rPr>
          <w:rFonts w:ascii="Times New Roman" w:eastAsia="Calibri" w:hAnsi="Times New Roman" w:cs="Times New Roman"/>
        </w:rPr>
        <w:t>land degradation</w:t>
      </w:r>
      <w:r w:rsidRPr="00552861">
        <w:rPr>
          <w:rFonts w:ascii="Times New Roman" w:eastAsia="Calibri" w:hAnsi="Times New Roman" w:cs="Times New Roman"/>
        </w:rPr>
        <w:t xml:space="preserve"> and/or </w:t>
      </w:r>
      <w:r w:rsidRPr="00552861">
        <w:rPr>
          <w:rFonts w:ascii="Times New Roman" w:eastAsia="Calibri" w:hAnsi="Times New Roman" w:cs="Times New Roman"/>
        </w:rPr>
        <w:tab/>
      </w:r>
      <w:r w:rsidR="003F46AB">
        <w:rPr>
          <w:rFonts w:ascii="Times New Roman" w:eastAsia="Calibri" w:hAnsi="Times New Roman" w:cs="Times New Roman"/>
        </w:rPr>
        <w:t>natural resource management</w:t>
      </w:r>
      <w:r w:rsidRPr="00552861">
        <w:rPr>
          <w:rFonts w:ascii="Times New Roman" w:eastAsia="Calibri" w:hAnsi="Times New Roman" w:cs="Times New Roman"/>
        </w:rPr>
        <w:t xml:space="preserve">, policy advice, development and implementation;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Highly knowledgeable of participatory monitoring and evaluation processes, and experience in </w:t>
      </w:r>
      <w:r w:rsidRPr="00552861">
        <w:rPr>
          <w:rFonts w:ascii="Times New Roman" w:eastAsia="Calibri" w:hAnsi="Times New Roman" w:cs="Times New Roman"/>
        </w:rPr>
        <w:tab/>
        <w:t xml:space="preserve">evaluation of at least 3 projects with a major donor agencies; </w:t>
      </w:r>
    </w:p>
    <w:p w:rsidR="00552861" w:rsidRPr="00552861" w:rsidRDefault="00552861" w:rsidP="003F46AB">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lastRenderedPageBreak/>
        <w:t xml:space="preserve">4. </w:t>
      </w:r>
      <w:r w:rsidRPr="00552861">
        <w:rPr>
          <w:rFonts w:ascii="Times New Roman" w:eastAsia="Calibri" w:hAnsi="Times New Roman" w:cs="Times New Roman"/>
        </w:rPr>
        <w:tab/>
        <w:t xml:space="preserve">Familiar with </w:t>
      </w:r>
      <w:r w:rsidR="003F46AB">
        <w:rPr>
          <w:rFonts w:ascii="Times New Roman" w:eastAsia="Calibri" w:hAnsi="Times New Roman" w:cs="Times New Roman"/>
        </w:rPr>
        <w:t xml:space="preserve">sustainable land management techniques and models </w:t>
      </w:r>
      <w:r w:rsidRPr="00552861">
        <w:rPr>
          <w:rFonts w:ascii="Times New Roman" w:eastAsia="Calibri" w:hAnsi="Times New Roman" w:cs="Times New Roman"/>
        </w:rPr>
        <w:t xml:space="preserve">in Africa either through management and/or </w:t>
      </w:r>
      <w:r w:rsidRPr="00552861">
        <w:rPr>
          <w:rFonts w:ascii="Times New Roman" w:eastAsia="Calibri" w:hAnsi="Times New Roman" w:cs="Times New Roman"/>
        </w:rPr>
        <w:tab/>
        <w:t xml:space="preserve">implementation or through consultancies in analysis and evaluation of </w:t>
      </w:r>
      <w:r w:rsidR="003F46AB">
        <w:rPr>
          <w:rFonts w:ascii="Times New Roman" w:eastAsia="Calibri" w:hAnsi="Times New Roman" w:cs="Times New Roman"/>
        </w:rPr>
        <w:t>sustainable land management projects</w:t>
      </w:r>
      <w:r w:rsidRPr="00552861">
        <w:rPr>
          <w:rFonts w:ascii="Times New Roman" w:eastAsia="Calibri" w:hAnsi="Times New Roman" w:cs="Times New Roman"/>
        </w:rPr>
        <w:t xml:space="preserve"> </w:t>
      </w:r>
    </w:p>
    <w:p w:rsidR="00552861" w:rsidRPr="00552861" w:rsidRDefault="003F46AB" w:rsidP="00552861">
      <w:pPr>
        <w:spacing w:after="0" w:line="360" w:lineRule="auto"/>
        <w:ind w:left="360"/>
        <w:rPr>
          <w:rFonts w:ascii="Times New Roman" w:eastAsia="Calibri" w:hAnsi="Times New Roman" w:cs="Times New Roman"/>
        </w:rPr>
      </w:pPr>
      <w:r>
        <w:rPr>
          <w:rFonts w:ascii="Times New Roman" w:eastAsia="Calibri" w:hAnsi="Times New Roman" w:cs="Times New Roman"/>
        </w:rPr>
        <w:t>5</w:t>
      </w:r>
      <w:r w:rsidR="00552861" w:rsidRPr="00552861">
        <w:rPr>
          <w:rFonts w:ascii="Times New Roman" w:eastAsia="Calibri" w:hAnsi="Times New Roman" w:cs="Times New Roman"/>
        </w:rPr>
        <w:t xml:space="preserve">. </w:t>
      </w:r>
      <w:r w:rsidR="00552861" w:rsidRPr="00552861">
        <w:rPr>
          <w:rFonts w:ascii="Times New Roman" w:eastAsia="Calibri" w:hAnsi="Times New Roman" w:cs="Times New Roman"/>
        </w:rPr>
        <w:tab/>
        <w:t xml:space="preserve">Demonstrated ability to assess complex </w:t>
      </w:r>
      <w:proofErr w:type="gramStart"/>
      <w:r w:rsidR="00552861" w:rsidRPr="00552861">
        <w:rPr>
          <w:rFonts w:ascii="Times New Roman" w:eastAsia="Calibri" w:hAnsi="Times New Roman" w:cs="Times New Roman"/>
        </w:rPr>
        <w:t>situations,</w:t>
      </w:r>
      <w:proofErr w:type="gramEnd"/>
      <w:r w:rsidR="00552861" w:rsidRPr="00552861">
        <w:rPr>
          <w:rFonts w:ascii="Times New Roman" w:eastAsia="Calibri" w:hAnsi="Times New Roman" w:cs="Times New Roman"/>
        </w:rPr>
        <w:t xml:space="preserve"> succinctly distills critical issues, and draw forward-looking conclusions and recommendations; </w:t>
      </w:r>
    </w:p>
    <w:p w:rsidR="003F46AB"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7. </w:t>
      </w:r>
      <w:r w:rsidRPr="00552861">
        <w:rPr>
          <w:rFonts w:ascii="Times New Roman" w:eastAsia="Calibri" w:hAnsi="Times New Roman" w:cs="Times New Roman"/>
        </w:rPr>
        <w:tab/>
        <w:t xml:space="preserve">Ability and experience to lead multi- disciplinary and national teams, and deliver quality reports within the given time;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8. Writing and communication will be in English, and must have excellent communication skills in English. The consultant must bring his/her own computing equipment.</w:t>
      </w:r>
    </w:p>
    <w:p w:rsidR="00552861" w:rsidRPr="00552861" w:rsidRDefault="00552861" w:rsidP="00552861">
      <w:pPr>
        <w:spacing w:after="0" w:line="360" w:lineRule="auto"/>
        <w:ind w:left="360"/>
        <w:rPr>
          <w:rFonts w:ascii="Times New Roman" w:eastAsia="Calibri" w:hAnsi="Times New Roman" w:cs="Times New Roman"/>
        </w:rPr>
      </w:pP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Local consultant: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1.</w:t>
      </w:r>
      <w:r w:rsidRPr="00552861">
        <w:rPr>
          <w:rFonts w:ascii="Times New Roman" w:eastAsia="Calibri" w:hAnsi="Times New Roman" w:cs="Times New Roman"/>
        </w:rPr>
        <w:tab/>
        <w:t xml:space="preserve">Masters degree in social sciences related to international development, i.e. economics, </w:t>
      </w:r>
      <w:r w:rsidRPr="00552861">
        <w:rPr>
          <w:rFonts w:ascii="Times New Roman" w:eastAsia="Calibri" w:hAnsi="Times New Roman" w:cs="Times New Roman"/>
        </w:rPr>
        <w:tab/>
        <w:t xml:space="preserve">international relations, public and business administration or equivalent;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2. </w:t>
      </w:r>
      <w:r w:rsidRPr="00552861">
        <w:rPr>
          <w:rFonts w:ascii="Times New Roman" w:eastAsia="Calibri" w:hAnsi="Times New Roman" w:cs="Times New Roman"/>
        </w:rPr>
        <w:tab/>
        <w:t xml:space="preserve">At least 5 years experience </w:t>
      </w:r>
      <w:r w:rsidR="003F46AB" w:rsidRPr="00552861">
        <w:rPr>
          <w:rFonts w:ascii="Times New Roman" w:eastAsia="Calibri" w:hAnsi="Times New Roman" w:cs="Times New Roman"/>
        </w:rPr>
        <w:t>with land</w:t>
      </w:r>
      <w:r w:rsidR="003F46AB">
        <w:rPr>
          <w:rFonts w:ascii="Times New Roman" w:eastAsia="Calibri" w:hAnsi="Times New Roman" w:cs="Times New Roman"/>
        </w:rPr>
        <w:t xml:space="preserve"> degradation</w:t>
      </w:r>
      <w:r w:rsidR="003F46AB" w:rsidRPr="00552861">
        <w:rPr>
          <w:rFonts w:ascii="Times New Roman" w:eastAsia="Calibri" w:hAnsi="Times New Roman" w:cs="Times New Roman"/>
        </w:rPr>
        <w:t xml:space="preserve"> and/or </w:t>
      </w:r>
      <w:r w:rsidR="003F46AB" w:rsidRPr="00552861">
        <w:rPr>
          <w:rFonts w:ascii="Times New Roman" w:eastAsia="Calibri" w:hAnsi="Times New Roman" w:cs="Times New Roman"/>
        </w:rPr>
        <w:tab/>
      </w:r>
      <w:r w:rsidR="003F46AB">
        <w:rPr>
          <w:rFonts w:ascii="Times New Roman" w:eastAsia="Calibri" w:hAnsi="Times New Roman" w:cs="Times New Roman"/>
        </w:rPr>
        <w:t xml:space="preserve">natural resource management, policy advice, </w:t>
      </w:r>
      <w:r w:rsidRPr="00552861">
        <w:rPr>
          <w:rFonts w:ascii="Times New Roman" w:eastAsia="Calibri" w:hAnsi="Times New Roman" w:cs="Times New Roman"/>
        </w:rPr>
        <w:t xml:space="preserve">development and implementation;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Demonstrated skills and experience in development project implementation and management;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4.</w:t>
      </w:r>
      <w:r w:rsidRPr="00552861">
        <w:rPr>
          <w:rFonts w:ascii="Times New Roman" w:eastAsia="Calibri" w:hAnsi="Times New Roman" w:cs="Times New Roman"/>
        </w:rPr>
        <w:tab/>
        <w:t xml:space="preserve">Knowledgeable on </w:t>
      </w:r>
      <w:r w:rsidR="00026C68">
        <w:rPr>
          <w:rFonts w:ascii="Times New Roman" w:eastAsia="Calibri" w:hAnsi="Times New Roman" w:cs="Times New Roman"/>
        </w:rPr>
        <w:t>sustainable land management</w:t>
      </w:r>
      <w:r w:rsidRPr="00552861">
        <w:rPr>
          <w:rFonts w:ascii="Times New Roman" w:eastAsia="Calibri" w:hAnsi="Times New Roman" w:cs="Times New Roman"/>
        </w:rPr>
        <w:t xml:space="preserve"> in the country, climate change </w:t>
      </w:r>
      <w:r w:rsidRPr="00552861">
        <w:rPr>
          <w:rFonts w:ascii="Times New Roman" w:eastAsia="Calibri" w:hAnsi="Times New Roman" w:cs="Times New Roman"/>
        </w:rPr>
        <w:tab/>
        <w:t>issues and priorities, and related policies and legislations</w:t>
      </w:r>
      <w:r w:rsidR="00026C68">
        <w:rPr>
          <w:rFonts w:ascii="Times New Roman" w:eastAsia="Calibri" w:hAnsi="Times New Roman" w:cs="Times New Roman"/>
        </w:rPr>
        <w: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5.</w:t>
      </w:r>
      <w:r w:rsidRPr="00552861">
        <w:rPr>
          <w:rFonts w:ascii="Times New Roman" w:eastAsia="Calibri" w:hAnsi="Times New Roman" w:cs="Times New Roman"/>
        </w:rPr>
        <w:tab/>
        <w:t xml:space="preserve"> Proficient in writing and communicating both in English and in Sesotho and also ability to interpret to the international counterpart and also to translate necessary written documents into English.</w:t>
      </w:r>
    </w:p>
    <w:p w:rsidR="00552861" w:rsidRPr="00552861" w:rsidRDefault="00552861" w:rsidP="00552861">
      <w:pPr>
        <w:spacing w:after="0" w:line="360" w:lineRule="auto"/>
        <w:ind w:left="360"/>
        <w:rPr>
          <w:rFonts w:ascii="Times New Roman" w:eastAsia="Calibri" w:hAnsi="Times New Roman" w:cs="Times New Roman"/>
        </w:rPr>
      </w:pP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Team Qualities:</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1. </w:t>
      </w:r>
      <w:r w:rsidRPr="00552861">
        <w:rPr>
          <w:rFonts w:ascii="Times New Roman" w:eastAsia="Calibri" w:hAnsi="Times New Roman" w:cs="Times New Roman"/>
        </w:rPr>
        <w:tab/>
        <w:t xml:space="preserve">Recent experience with result-based management evaluation methodologies;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2.</w:t>
      </w:r>
      <w:r w:rsidRPr="00552861">
        <w:rPr>
          <w:rFonts w:ascii="Times New Roman" w:eastAsia="Calibri" w:hAnsi="Times New Roman" w:cs="Times New Roman"/>
        </w:rPr>
        <w:tab/>
        <w:t xml:space="preserve"> Experience applying participatory monitoring approaches;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Experience applying SMART indicators and reconstructing or validating baseline scenarios;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4.</w:t>
      </w:r>
      <w:r w:rsidRPr="00552861">
        <w:rPr>
          <w:rFonts w:ascii="Times New Roman" w:eastAsia="Calibri" w:hAnsi="Times New Roman" w:cs="Times New Roman"/>
        </w:rPr>
        <w:tab/>
        <w:t xml:space="preserve"> Recognized expertise in </w:t>
      </w:r>
      <w:r w:rsidR="00026C68">
        <w:rPr>
          <w:rFonts w:ascii="Times New Roman" w:eastAsia="Calibri" w:hAnsi="Times New Roman" w:cs="Times New Roman"/>
        </w:rPr>
        <w:t>sustainable land management models and techniques;</w:t>
      </w:r>
      <w:r w:rsidRPr="00552861">
        <w:rPr>
          <w:rFonts w:ascii="Times New Roman" w:eastAsia="Calibri" w:hAnsi="Times New Roman" w:cs="Times New Roman"/>
        </w:rPr>
        <w:t xml:space="preserve">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5. </w:t>
      </w:r>
      <w:r w:rsidRPr="00552861">
        <w:rPr>
          <w:rFonts w:ascii="Times New Roman" w:eastAsia="Calibri" w:hAnsi="Times New Roman" w:cs="Times New Roman"/>
        </w:rPr>
        <w:tab/>
        <w:t xml:space="preserve">Familiarity </w:t>
      </w:r>
      <w:r w:rsidR="00026C68" w:rsidRPr="00552861">
        <w:rPr>
          <w:rFonts w:ascii="Times New Roman" w:eastAsia="Calibri" w:hAnsi="Times New Roman" w:cs="Times New Roman"/>
        </w:rPr>
        <w:t xml:space="preserve">with </w:t>
      </w:r>
      <w:r w:rsidR="00026C68">
        <w:rPr>
          <w:rFonts w:ascii="Times New Roman" w:eastAsia="Calibri" w:hAnsi="Times New Roman" w:cs="Times New Roman"/>
        </w:rPr>
        <w:t xml:space="preserve">sustainable land management </w:t>
      </w:r>
      <w:r w:rsidRPr="00552861">
        <w:rPr>
          <w:rFonts w:ascii="Times New Roman" w:eastAsia="Calibri" w:hAnsi="Times New Roman" w:cs="Times New Roman"/>
        </w:rPr>
        <w:t xml:space="preserve">policies and management structures in Lesotho;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6. </w:t>
      </w:r>
      <w:r w:rsidRPr="00552861">
        <w:rPr>
          <w:rFonts w:ascii="Times New Roman" w:eastAsia="Calibri" w:hAnsi="Times New Roman" w:cs="Times New Roman"/>
        </w:rPr>
        <w:tab/>
        <w:t xml:space="preserve">Demonstrable analytical skills;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7. </w:t>
      </w:r>
      <w:r w:rsidRPr="00552861">
        <w:rPr>
          <w:rFonts w:ascii="Times New Roman" w:eastAsia="Calibri" w:hAnsi="Times New Roman" w:cs="Times New Roman"/>
        </w:rPr>
        <w:tab/>
        <w:t xml:space="preserve">Work experience in relevant areas for at least 10 years;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8. </w:t>
      </w:r>
      <w:r w:rsidRPr="00552861">
        <w:rPr>
          <w:rFonts w:ascii="Times New Roman" w:eastAsia="Calibri" w:hAnsi="Times New Roman" w:cs="Times New Roman"/>
        </w:rPr>
        <w:tab/>
        <w:t xml:space="preserve">Experience with multilateral or bilateral supported projects;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9. </w:t>
      </w:r>
      <w:r w:rsidRPr="00552861">
        <w:rPr>
          <w:rFonts w:ascii="Times New Roman" w:eastAsia="Calibri" w:hAnsi="Times New Roman" w:cs="Times New Roman"/>
        </w:rPr>
        <w:tab/>
        <w:t xml:space="preserve">Project evaluation experiences within United Nations system will be considered an asset;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lastRenderedPageBreak/>
        <w:t>10.</w:t>
      </w:r>
      <w:r w:rsidRPr="00552861">
        <w:rPr>
          <w:rFonts w:ascii="Times New Roman" w:eastAsia="Calibri" w:hAnsi="Times New Roman" w:cs="Times New Roman"/>
        </w:rPr>
        <w:tab/>
        <w:t>Excellent English communication skills.</w:t>
      </w:r>
    </w:p>
    <w:p w:rsidR="00552861" w:rsidRPr="00D6638C" w:rsidRDefault="00552861" w:rsidP="00552861">
      <w:pPr>
        <w:spacing w:before="60" w:after="60" w:line="240" w:lineRule="auto"/>
        <w:rPr>
          <w:rFonts w:ascii="Calibri" w:eastAsia="Times New Roman" w:hAnsi="Calibri" w:cs="Times New Roman"/>
          <w:sz w:val="20"/>
          <w:szCs w:val="20"/>
        </w:rPr>
      </w:pPr>
    </w:p>
    <w:p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rsidR="00D6638C" w:rsidRDefault="00D6638C" w:rsidP="00F05366">
      <w:pPr>
        <w:pStyle w:val="Heading51"/>
      </w:pPr>
      <w:r w:rsidRPr="00D6638C">
        <w:t>Evaluator Ethics</w:t>
      </w:r>
      <w:bookmarkEnd w:id="37"/>
      <w:bookmarkEnd w:id="38"/>
      <w:bookmarkEnd w:id="39"/>
      <w:bookmarkEnd w:id="40"/>
      <w:bookmarkEnd w:id="41"/>
      <w:bookmarkEnd w:id="42"/>
    </w:p>
    <w:p w:rsidR="00022F8E" w:rsidRPr="00022F8E" w:rsidRDefault="00022F8E" w:rsidP="00022F8E"/>
    <w:p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25" w:history="1">
        <w:r w:rsidRPr="006C1964">
          <w:rPr>
            <w:rStyle w:val="Hyperlink"/>
            <w:rFonts w:ascii="Calibri" w:eastAsia="Times New Roman" w:hAnsi="Calibri" w:cs="Times New Roman"/>
            <w:sz w:val="20"/>
            <w:szCs w:val="20"/>
          </w:rPr>
          <w:t>UNEG 'Ethical Guidelines for Evaluations'</w:t>
        </w:r>
      </w:hyperlink>
    </w:p>
    <w:p w:rsidR="00A309C5" w:rsidRDefault="00A309C5" w:rsidP="00022F8E">
      <w:pPr>
        <w:rPr>
          <w:rStyle w:val="Hyperlink"/>
          <w:rFonts w:ascii="Calibri" w:eastAsia="Times New Roman" w:hAnsi="Calibri" w:cs="Times New Roman"/>
          <w:sz w:val="20"/>
          <w:szCs w:val="20"/>
        </w:rPr>
      </w:pPr>
    </w:p>
    <w:p w:rsidR="00A309C5" w:rsidRDefault="00A309C5" w:rsidP="00022F8E"/>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r w:rsidR="009847ED">
              <w:rPr>
                <w:rFonts w:ascii="Calibri" w:eastAsia="Times New Roman" w:hAnsi="Calibri" w:cs="Times New Roman"/>
                <w:sz w:val="20"/>
                <w:szCs w:val="20"/>
              </w:rPr>
              <w:t xml:space="preserve"> (for international consultants upon arrival in Maseru)</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560013" w:rsidRPr="00444B62" w:rsidRDefault="00560013" w:rsidP="00560013">
      <w:pPr>
        <w:spacing w:before="200"/>
        <w:rPr>
          <w:rFonts w:ascii="Times New Roman" w:eastAsia="Times New Roman" w:hAnsi="Times New Roman" w:cs="Times New Roman"/>
        </w:rPr>
      </w:pPr>
      <w:r w:rsidRPr="00444B62">
        <w:rPr>
          <w:rFonts w:ascii="Times New Roman" w:eastAsia="Times New Roman" w:hAnsi="Times New Roman" w:cs="Times New Roman"/>
        </w:rPr>
        <w:t xml:space="preserve">Applicants are requested to apply online at </w:t>
      </w:r>
      <w:hyperlink r:id="rId26" w:history="1">
        <w:r w:rsidRPr="00444B62">
          <w:rPr>
            <w:rFonts w:ascii="Times New Roman" w:eastAsia="Times New Roman" w:hAnsi="Times New Roman" w:cs="Times New Roman"/>
            <w:color w:val="0000FF"/>
            <w:u w:val="single"/>
          </w:rPr>
          <w:t>http://jobs.undp.org</w:t>
        </w:r>
      </w:hyperlink>
      <w:r>
        <w:rPr>
          <w:rFonts w:ascii="Times New Roman" w:eastAsia="Times New Roman" w:hAnsi="Times New Roman" w:cs="Times New Roman"/>
          <w:color w:val="0000FF"/>
          <w:u w:val="single"/>
        </w:rPr>
        <w:t xml:space="preserve"> </w:t>
      </w:r>
      <w:r w:rsidRPr="00560013">
        <w:rPr>
          <w:rFonts w:ascii="Times New Roman" w:eastAsia="Times New Roman" w:hAnsi="Times New Roman" w:cs="Times New Roman"/>
        </w:rPr>
        <w:t>and/or</w:t>
      </w:r>
      <w:r w:rsidRPr="00560013">
        <w:rPr>
          <w:rFonts w:ascii="Times New Roman" w:eastAsia="Times New Roman" w:hAnsi="Times New Roman" w:cs="Times New Roman"/>
          <w:u w:val="single"/>
        </w:rPr>
        <w:t xml:space="preserve"> </w:t>
      </w:r>
      <w:r>
        <w:rPr>
          <w:rFonts w:ascii="Times New Roman" w:eastAsia="Times New Roman" w:hAnsi="Times New Roman" w:cs="Times New Roman"/>
          <w:color w:val="0000FF"/>
          <w:u w:val="single"/>
        </w:rPr>
        <w:t>http://www.ls.undp.org</w:t>
      </w:r>
      <w:r w:rsidRPr="00444B62">
        <w:rPr>
          <w:rFonts w:ascii="Times New Roman" w:eastAsia="Times New Roman" w:hAnsi="Times New Roman" w:cs="Times New Roman"/>
        </w:rPr>
        <w:t xml:space="preserve"> by </w:t>
      </w:r>
      <w:r>
        <w:rPr>
          <w:rFonts w:ascii="Times New Roman" w:eastAsia="Times New Roman" w:hAnsi="Times New Roman" w:cs="Times New Roman"/>
        </w:rPr>
        <w:t>the 1</w:t>
      </w:r>
      <w:r w:rsidR="00044795">
        <w:rPr>
          <w:rFonts w:ascii="Times New Roman" w:eastAsia="Times New Roman" w:hAnsi="Times New Roman" w:cs="Times New Roman"/>
        </w:rPr>
        <w:t>1</w:t>
      </w:r>
      <w:r w:rsidRPr="00560013">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 2014</w:t>
      </w:r>
      <w:r w:rsidRPr="00444B62">
        <w:rPr>
          <w:rFonts w:ascii="Times New Roman" w:eastAsia="Times New Roman" w:hAnsi="Times New Roman" w:cs="Times New Roman"/>
        </w:rPr>
        <w:t xml:space="preserve">.  Individual consultants are invited to submit applications together with their CV for these positions. The application should contain a current and complete C.V.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English </w:t>
      </w:r>
      <w:r w:rsidRPr="00444B62">
        <w:rPr>
          <w:rFonts w:ascii="Times New Roman" w:eastAsia="Times New Roman" w:hAnsi="Times New Roman" w:cs="Times New Roman"/>
        </w:rPr>
        <w:t>with indication of the e</w:t>
      </w:r>
      <w:r w:rsidRPr="00444B62">
        <w:rPr>
          <w:rFonts w:ascii="Calibri" w:eastAsia="Times New Roman" w:hAnsi="Calibri" w:cs="Times New Roman"/>
        </w:rPr>
        <w:t>‐</w:t>
      </w:r>
      <w:r w:rsidRPr="00444B62">
        <w:rPr>
          <w:rFonts w:ascii="Times New Roman" w:eastAsia="Times New Roman" w:hAnsi="Times New Roman" w:cs="Times New Roman"/>
        </w:rPr>
        <w:t xml:space="preserve">mail and phone contact. Shortlisted candidates will be requested to submit a price offer indicating the total cost of the assignment (including daily fee, per diem and travel costs). </w:t>
      </w:r>
    </w:p>
    <w:p w:rsidR="00560013" w:rsidRPr="00444B62" w:rsidRDefault="00560013" w:rsidP="00560013">
      <w:pPr>
        <w:spacing w:before="200"/>
        <w:rPr>
          <w:rFonts w:ascii="Times New Roman" w:eastAsia="Times New Roman" w:hAnsi="Times New Roman" w:cs="Times New Roman"/>
        </w:rPr>
      </w:pPr>
      <w:r w:rsidRPr="00444B62">
        <w:rPr>
          <w:rFonts w:ascii="Times New Roman" w:eastAsia="Times New Roman" w:hAnsi="Times New Roman" w:cs="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rsidR="008960D9" w:rsidRPr="008960D9" w:rsidRDefault="008960D9" w:rsidP="008960D9">
      <w:bookmarkStart w:id="57" w:name="_Toc210138819"/>
      <w:r w:rsidRPr="008960D9">
        <w:t>STRATEGIC RESULTS FRAMEWORK (SRF) and GEF Increment</w:t>
      </w:r>
      <w:bookmarkEnd w:id="57"/>
      <w:r w:rsidRPr="008960D9">
        <w:t xml:space="preserve"> </w:t>
      </w:r>
    </w:p>
    <w:p w:rsidR="008960D9" w:rsidRPr="00E5283B" w:rsidRDefault="008960D9" w:rsidP="008960D9">
      <w:r w:rsidRPr="00E5283B">
        <w:t>The Strategic Results Framework is cross referenced to the SIP Results Framework as currently designed</w:t>
      </w:r>
      <w:r w:rsidRPr="00E5283B">
        <w:rPr>
          <w:rStyle w:val="FootnoteReference"/>
        </w:rPr>
        <w:footnoteReference w:id="3"/>
      </w:r>
      <w:r w:rsidRPr="00E5283B">
        <w:t xml:space="preserve">. Links are shown in the table in </w:t>
      </w:r>
      <w:r w:rsidRPr="00E5283B">
        <w:rPr>
          <w:b/>
          <w:i/>
        </w:rPr>
        <w:t>bold italics</w:t>
      </w:r>
      <w:r>
        <w:t>.</w:t>
      </w:r>
    </w:p>
    <w:tbl>
      <w:tblPr>
        <w:tblW w:w="1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
        <w:gridCol w:w="3960"/>
        <w:gridCol w:w="360"/>
        <w:gridCol w:w="2384"/>
        <w:gridCol w:w="2674"/>
      </w:tblGrid>
      <w:tr w:rsidR="008960D9" w:rsidRPr="008960D9" w:rsidTr="008960D9">
        <w:trPr>
          <w:tblHeader/>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Goal/Objective/Outcomes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KPIs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Targets for Key Performance Indicators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Means of Verification</w:t>
            </w:r>
          </w:p>
        </w:tc>
        <w:tc>
          <w:tcPr>
            <w:tcW w:w="2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Critical Assumptions/Risks</w:t>
            </w:r>
          </w:p>
        </w:tc>
      </w:tr>
      <w:tr w:rsidR="008960D9" w:rsidRPr="008960D9" w:rsidTr="002D4EE3">
        <w:tc>
          <w:tcPr>
            <w:tcW w:w="13806" w:type="dxa"/>
            <w:gridSpan w:val="7"/>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t>Long-Term Goal:</w:t>
            </w:r>
            <w:r w:rsidRPr="008960D9">
              <w:rPr>
                <w:lang w:val="en-GB"/>
              </w:rPr>
              <w:t xml:space="preserve">  Sustainable land management provides a strong base for sustainable development and ecosystem restoration in Lesotho to support better livelihoods and provide a range of</w:t>
            </w:r>
            <w:r>
              <w:rPr>
                <w:lang w:val="en-GB"/>
              </w:rPr>
              <w:t xml:space="preserve"> global environmental benefits.</w:t>
            </w:r>
          </w:p>
        </w:tc>
      </w:tr>
      <w:tr w:rsidR="008960D9" w:rsidRPr="008960D9" w:rsidTr="002D4EE3">
        <w:trPr>
          <w:trHeight w:val="1360"/>
        </w:trPr>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t>Project Objective:</w:t>
            </w:r>
            <w:r w:rsidRPr="008960D9">
              <w:rPr>
                <w:lang w:val="en-GB"/>
              </w:rPr>
              <w:t xml:space="preserve"> Supported by a knowledge management network, Lesotho begins to alleviate poverty, achieve more sustainable livelihoods and deliver global environmental benefits on the basis of enhanced local and national techniques, approaches, capacity and strategy for </w:t>
            </w:r>
            <w:r w:rsidRPr="008960D9">
              <w:rPr>
                <w:lang w:val="en-GB"/>
              </w:rPr>
              <w:lastRenderedPageBreak/>
              <w:t xml:space="preserve">upscaling successful </w:t>
            </w:r>
            <w:smartTag w:uri="urn:schemas-microsoft-com:office:smarttags" w:element="stockticker">
              <w:r w:rsidRPr="008960D9">
                <w:rPr>
                  <w:lang w:val="en-GB"/>
                </w:rPr>
                <w:t>SLM</w:t>
              </w:r>
            </w:smartTag>
            <w:r w:rsidRPr="008960D9">
              <w:rPr>
                <w:lang w:val="en-GB"/>
              </w:rPr>
              <w:t>.</w:t>
            </w:r>
          </w:p>
          <w:p w:rsidR="008960D9" w:rsidRPr="008960D9" w:rsidRDefault="008960D9" w:rsidP="008960D9">
            <w:pPr>
              <w:rPr>
                <w:lang w:val="en-GB"/>
              </w:rPr>
            </w:pPr>
          </w:p>
          <w:p w:rsidR="008960D9" w:rsidRPr="008960D9" w:rsidRDefault="008960D9" w:rsidP="008960D9">
            <w:pPr>
              <w:rPr>
                <w:lang w:val="en-GB"/>
              </w:rPr>
            </w:pPr>
          </w:p>
          <w:p w:rsidR="008960D9" w:rsidRPr="008960D9" w:rsidRDefault="008960D9" w:rsidP="008960D9">
            <w:pPr>
              <w:rPr>
                <w:lang w:val="en-GB"/>
              </w:rPr>
            </w:pP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eastAsia="fr-FR"/>
              </w:rPr>
            </w:pPr>
            <w:r w:rsidRPr="008960D9">
              <w:rPr>
                <w:lang w:val="en-GB" w:eastAsia="fr-FR"/>
              </w:rPr>
              <w:lastRenderedPageBreak/>
              <w:t>Land under SLM model</w:t>
            </w:r>
          </w:p>
          <w:p w:rsidR="008960D9" w:rsidRPr="008960D9" w:rsidRDefault="008960D9" w:rsidP="008960D9">
            <w:pPr>
              <w:rPr>
                <w:lang w:val="en-GB" w:eastAsia="fr-FR"/>
              </w:rPr>
            </w:pPr>
            <w:r w:rsidRPr="008960D9">
              <w:rPr>
                <w:lang w:val="en-GB" w:eastAsia="fr-FR"/>
              </w:rPr>
              <w:t xml:space="preserve">Reduction in extent of land degradation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Improvement in the Enabling environment for SLM </w:t>
            </w:r>
          </w:p>
          <w:p w:rsidR="008960D9" w:rsidRPr="008960D9" w:rsidRDefault="008960D9" w:rsidP="008960D9">
            <w:pPr>
              <w:rPr>
                <w:lang w:val="en-GB" w:eastAsia="fr-FR"/>
              </w:rPr>
            </w:pP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Improved score for the socio-economics index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Increase in biological productivity of the land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Improvement in carbon stocks </w:t>
            </w:r>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eastAsia="fr-FR"/>
              </w:rPr>
              <w:lastRenderedPageBreak/>
              <w:t xml:space="preserve">250,000 ha under direct </w:t>
            </w:r>
            <w:smartTag w:uri="urn:schemas-microsoft-com:office:smarttags" w:element="stockticker">
              <w:r w:rsidRPr="008960D9">
                <w:rPr>
                  <w:lang w:val="en-GB" w:eastAsia="fr-FR"/>
                </w:rPr>
                <w:t>SLM</w:t>
              </w:r>
            </w:smartTag>
            <w:r w:rsidRPr="008960D9">
              <w:rPr>
                <w:lang w:val="en-GB" w:eastAsia="fr-FR"/>
              </w:rPr>
              <w:t xml:space="preserve"> (project pilot area) and 500,000 ha impacted by up-scaling in next 2 yrs. </w:t>
            </w:r>
            <w:r w:rsidRPr="008960D9">
              <w:rPr>
                <w:lang w:val="en-GB"/>
              </w:rPr>
              <w:t xml:space="preserve">A Country </w:t>
            </w:r>
          </w:p>
          <w:p w:rsidR="008960D9" w:rsidRPr="008960D9" w:rsidRDefault="008960D9" w:rsidP="008960D9">
            <w:pPr>
              <w:rPr>
                <w:lang w:val="en-GB" w:eastAsia="fr-FR"/>
              </w:rPr>
            </w:pPr>
            <w:r w:rsidRPr="008960D9">
              <w:rPr>
                <w:lang w:val="en-GB" w:eastAsia="fr-FR"/>
              </w:rPr>
              <w:t>Of the 250,000 ha under direct SLM, at least half registers reduction in land degradation by at least 20% as measured by reduction in soil erosion, improvement in soil organic matter (as a primer for soil carbon) and structure, increased ground cover</w:t>
            </w:r>
          </w:p>
          <w:p w:rsidR="008960D9" w:rsidRPr="008960D9" w:rsidRDefault="008960D9" w:rsidP="008960D9">
            <w:pPr>
              <w:rPr>
                <w:lang w:val="en-GB" w:eastAsia="fr-FR"/>
              </w:rPr>
            </w:pPr>
            <w:r w:rsidRPr="008960D9">
              <w:rPr>
                <w:lang w:val="en-GB" w:eastAsia="fr-FR"/>
              </w:rPr>
              <w:t xml:space="preserve">At national level, the country attains at least a 75% score on Composite Index for the </w:t>
            </w:r>
            <w:smartTag w:uri="urn:schemas-microsoft-com:office:smarttags" w:element="stockticker">
              <w:r w:rsidRPr="008960D9">
                <w:rPr>
                  <w:lang w:val="en-GB" w:eastAsia="fr-FR"/>
                </w:rPr>
                <w:t>SLM</w:t>
              </w:r>
            </w:smartTag>
            <w:r w:rsidRPr="008960D9">
              <w:rPr>
                <w:lang w:val="en-GB" w:eastAsia="fr-FR"/>
              </w:rPr>
              <w:t xml:space="preserve"> Enabling Environment</w:t>
            </w:r>
            <w:r w:rsidRPr="008960D9" w:rsidDel="00D538E5">
              <w:rPr>
                <w:lang w:val="en-GB" w:eastAsia="fr-FR"/>
              </w:rPr>
              <w:t xml:space="preserve"> </w:t>
            </w:r>
            <w:r w:rsidRPr="008960D9">
              <w:rPr>
                <w:lang w:val="en-GB" w:eastAsia="fr-FR"/>
              </w:rPr>
              <w:t xml:space="preserve">against baseline as measured by policy changes, availability of finance resources to address </w:t>
            </w:r>
            <w:smartTag w:uri="urn:schemas-microsoft-com:office:smarttags" w:element="stockticker">
              <w:r w:rsidRPr="008960D9">
                <w:rPr>
                  <w:lang w:val="en-GB" w:eastAsia="fr-FR"/>
                </w:rPr>
                <w:t>SLM</w:t>
              </w:r>
            </w:smartTag>
            <w:r w:rsidRPr="008960D9">
              <w:rPr>
                <w:lang w:val="en-GB" w:eastAsia="fr-FR"/>
              </w:rPr>
              <w:t xml:space="preserve"> at national level, functionality of SLM institutions etc. </w:t>
            </w:r>
          </w:p>
          <w:p w:rsidR="008960D9" w:rsidRPr="008960D9" w:rsidRDefault="008960D9" w:rsidP="008960D9">
            <w:pPr>
              <w:rPr>
                <w:lang w:val="en-GB" w:eastAsia="fr-FR"/>
              </w:rPr>
            </w:pPr>
            <w:r w:rsidRPr="008960D9">
              <w:rPr>
                <w:lang w:val="en-GB" w:eastAsia="fr-FR"/>
              </w:rPr>
              <w:t xml:space="preserve">At the project level, the at least 50% increase </w:t>
            </w:r>
            <w:r w:rsidRPr="008960D9">
              <w:rPr>
                <w:lang w:val="en-GB" w:eastAsia="fr-FR"/>
              </w:rPr>
              <w:lastRenderedPageBreak/>
              <w:t>over the baseline on social and economic indicators for households, such as diversification of incomes, reduction in poverty index, reduction in food vulnerability, etc.</w:t>
            </w:r>
          </w:p>
          <w:p w:rsidR="008960D9" w:rsidRPr="008960D9" w:rsidRDefault="008960D9" w:rsidP="008960D9">
            <w:pPr>
              <w:rPr>
                <w:lang w:val="en-GB"/>
              </w:rPr>
            </w:pPr>
            <w:r w:rsidRPr="008960D9">
              <w:rPr>
                <w:lang w:val="en-GB"/>
              </w:rPr>
              <w:t xml:space="preserve">Strategic Investment framework </w:t>
            </w:r>
          </w:p>
          <w:p w:rsidR="008960D9" w:rsidRPr="008960D9" w:rsidRDefault="008960D9" w:rsidP="008960D9">
            <w:pPr>
              <w:rPr>
                <w:lang w:val="en-GB" w:eastAsia="fr-FR"/>
              </w:rPr>
            </w:pPr>
            <w:r w:rsidRPr="008960D9">
              <w:rPr>
                <w:lang w:val="en-GB" w:eastAsia="fr-FR"/>
              </w:rPr>
              <w:t>At pilot project level, at least a 25% increase in biological productivity (vegetation cover enhanced with rainfall use productivity) by end of Project Year 3.</w:t>
            </w:r>
          </w:p>
          <w:p w:rsidR="008960D9" w:rsidRPr="008960D9" w:rsidRDefault="008960D9" w:rsidP="008960D9">
            <w:pPr>
              <w:rPr>
                <w:lang w:val="en-GB"/>
              </w:rPr>
            </w:pPr>
            <w:r w:rsidRPr="008960D9">
              <w:rPr>
                <w:lang w:val="en-GB"/>
              </w:rPr>
              <w:t>Efforts will be made to measure and monitor % change in soil carbon, particularly if the project succeeds in adding a carbon finance layer to the project.</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Community planning documents</w:t>
            </w:r>
          </w:p>
          <w:p w:rsidR="008960D9" w:rsidRPr="008960D9" w:rsidRDefault="008960D9" w:rsidP="008960D9">
            <w:pPr>
              <w:rPr>
                <w:lang w:val="en-GB"/>
              </w:rPr>
            </w:pPr>
            <w:r w:rsidRPr="008960D9">
              <w:rPr>
                <w:lang w:val="en-GB"/>
              </w:rPr>
              <w:t>CSIF documents</w:t>
            </w:r>
          </w:p>
          <w:p w:rsidR="008960D9" w:rsidRPr="008960D9" w:rsidRDefault="008960D9" w:rsidP="008960D9">
            <w:pPr>
              <w:rPr>
                <w:lang w:val="en-GB"/>
              </w:rPr>
            </w:pPr>
            <w:r w:rsidRPr="008960D9">
              <w:rPr>
                <w:lang w:val="en-GB"/>
              </w:rPr>
              <w:t>National Policy(s) documents</w:t>
            </w:r>
          </w:p>
          <w:p w:rsidR="008960D9" w:rsidRPr="008960D9" w:rsidRDefault="008960D9" w:rsidP="008960D9">
            <w:pPr>
              <w:rPr>
                <w:lang w:val="en-GB"/>
              </w:rPr>
            </w:pPr>
          </w:p>
          <w:p w:rsidR="008960D9" w:rsidRPr="008960D9" w:rsidRDefault="008960D9" w:rsidP="008960D9">
            <w:pPr>
              <w:rPr>
                <w:lang w:val="en-GB"/>
              </w:rPr>
            </w:pPr>
            <w:r w:rsidRPr="008960D9">
              <w:rPr>
                <w:lang w:val="en-GB"/>
              </w:rPr>
              <w:t>Participatory wealth ranking exercises in sample communities in each of the 7 Community Council areas.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Participatory attitude </w:t>
            </w:r>
            <w:r w:rsidRPr="008960D9">
              <w:rPr>
                <w:lang w:val="en-GB"/>
              </w:rPr>
              <w:lastRenderedPageBreak/>
              <w:t>measurement tool applied by sample households in each of the 7 Community Council areas.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Participatory assessment tool applied by livestock owners and wild plant resource collectors in each of the 7 Community Council areas. </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New local government system continue to receive the current levels of political support and legitimacy which is necessary for it to serve as the basis for proposed </w:t>
            </w:r>
            <w:smartTag w:uri="urn:schemas-microsoft-com:office:smarttags" w:element="stockticker">
              <w:r w:rsidRPr="008960D9">
                <w:t>SLM</w:t>
              </w:r>
            </w:smartTag>
            <w:r w:rsidRPr="008960D9">
              <w:t xml:space="preserve"> approach</w:t>
            </w:r>
          </w:p>
          <w:p w:rsidR="008960D9" w:rsidRPr="008960D9" w:rsidRDefault="008960D9" w:rsidP="008960D9">
            <w:r w:rsidRPr="008960D9">
              <w:t>HIV/AIDS does not reduce participating institutions’ human resource and skill levels below critical thresholds</w:t>
            </w:r>
          </w:p>
          <w:p w:rsidR="008960D9" w:rsidRPr="008960D9" w:rsidRDefault="008960D9" w:rsidP="008960D9">
            <w:r w:rsidRPr="008960D9">
              <w:t xml:space="preserve">Local economies can support return on investments  in </w:t>
            </w:r>
            <w:smartTag w:uri="urn:schemas-microsoft-com:office:smarttags" w:element="stockticker">
              <w:r w:rsidRPr="008960D9">
                <w:t>SLM</w:t>
              </w:r>
            </w:smartTag>
            <w:r w:rsidRPr="008960D9">
              <w:t xml:space="preserve"> therefore providing </w:t>
            </w:r>
            <w:r w:rsidRPr="008960D9">
              <w:lastRenderedPageBreak/>
              <w:t xml:space="preserve">resource users with incentives to continue their commitment to </w:t>
            </w:r>
            <w:smartTag w:uri="urn:schemas-microsoft-com:office:smarttags" w:element="stockticker">
              <w:r w:rsidRPr="008960D9">
                <w:t>SLM</w:t>
              </w:r>
            </w:smartTag>
          </w:p>
          <w:p w:rsidR="008960D9" w:rsidRPr="008960D9" w:rsidRDefault="008960D9" w:rsidP="008960D9">
            <w:r w:rsidRPr="008960D9">
              <w:t>All groups and agencies willing to participate proactively in knowledge management processes</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 xml:space="preserve">Outcome 1: </w:t>
            </w:r>
            <w:r w:rsidRPr="008960D9">
              <w:rPr>
                <w:lang w:val="en-GB"/>
              </w:rPr>
              <w:t xml:space="preserve">Proven, strengthened, participatory, replicable models and techniques that successfully overcome current institutional and governance barriers to </w:t>
            </w:r>
            <w:smartTag w:uri="urn:schemas-microsoft-com:office:smarttags" w:element="stockticker">
              <w:r w:rsidRPr="008960D9">
                <w:rPr>
                  <w:lang w:val="en-GB"/>
                </w:rPr>
                <w:t>SLM</w:t>
              </w:r>
            </w:smartTag>
            <w:r w:rsidRPr="008960D9">
              <w:rPr>
                <w:lang w:val="en-GB"/>
              </w:rPr>
              <w:t xml:space="preserve">, strengthen country </w:t>
            </w:r>
            <w:r w:rsidRPr="008960D9">
              <w:rPr>
                <w:lang w:val="en-GB"/>
              </w:rPr>
              <w:lastRenderedPageBreak/>
              <w:t xml:space="preserve">partnerships and integrate </w:t>
            </w:r>
            <w:smartTag w:uri="urn:schemas-microsoft-com:office:smarttags" w:element="stockticker">
              <w:r w:rsidRPr="008960D9">
                <w:rPr>
                  <w:lang w:val="en-GB"/>
                </w:rPr>
                <w:t>SLM</w:t>
              </w:r>
            </w:smartTag>
            <w:r w:rsidRPr="008960D9">
              <w:rPr>
                <w:lang w:val="en-GB"/>
              </w:rPr>
              <w:t xml:space="preserve"> into country programmes are ready for national implementation.</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An SLM model formulated, tested in pilot area and ready for upscaling to the rest of the country (with similar resources and resource management issues);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Viable alternative IGAs tested and </w:t>
            </w:r>
            <w:r w:rsidRPr="008960D9">
              <w:rPr>
                <w:lang w:val="en-GB"/>
              </w:rPr>
              <w:lastRenderedPageBreak/>
              <w:t>ready for upscaling;</w:t>
            </w:r>
          </w:p>
          <w:p w:rsidR="008960D9" w:rsidRPr="008960D9" w:rsidRDefault="008960D9" w:rsidP="008960D9">
            <w:pPr>
              <w:rPr>
                <w:lang w:val="en-GB"/>
              </w:rPr>
            </w:pPr>
          </w:p>
          <w:p w:rsidR="008960D9" w:rsidRPr="008960D9" w:rsidRDefault="008960D9" w:rsidP="008960D9">
            <w:pPr>
              <w:rPr>
                <w:lang w:val="en-GB"/>
              </w:rPr>
            </w:pPr>
            <w:r w:rsidRPr="008960D9">
              <w:rPr>
                <w:lang w:val="en-GB"/>
              </w:rPr>
              <w:t>Households in pilot areas benefit from IGAs</w:t>
            </w:r>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there has been limited piloting of models and techniques and limited discussion of their potential. But they are not yet widely known or sustainable, and the significant new potential of Community Councils as resource management institutions is threatened by uncertainty about how they will operate on the ground. There are few effective partnerships between government, bilateral and multilateral agencies in promoting </w:t>
            </w:r>
            <w:smartTag w:uri="urn:schemas-microsoft-com:office:smarttags" w:element="stockticker">
              <w:r w:rsidRPr="008960D9">
                <w:rPr>
                  <w:lang w:val="en-GB"/>
                </w:rPr>
                <w:t>SLM</w:t>
              </w:r>
            </w:smartTag>
            <w:r w:rsidRPr="008960D9">
              <w:rPr>
                <w:lang w:val="en-GB"/>
              </w:rPr>
              <w:t xml:space="preserve">, which is poorly integrated into national environmental and development programmes. There are few IGAs in the mountain Districts and almost no concerted effort at testing and refining </w:t>
            </w:r>
            <w:r w:rsidRPr="008960D9">
              <w:rPr>
                <w:lang w:val="en-GB"/>
              </w:rPr>
              <w:lastRenderedPageBreak/>
              <w:t>them.</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Mid term: Arrangements for resource user groups and Community Councils to collaborate in </w:t>
            </w:r>
            <w:smartTag w:uri="urn:schemas-microsoft-com:office:smarttags" w:element="stockticker">
              <w:r w:rsidRPr="008960D9">
                <w:rPr>
                  <w:lang w:val="en-GB"/>
                </w:rPr>
                <w:t>SLM</w:t>
              </w:r>
            </w:smartTag>
            <w:r w:rsidRPr="008960D9">
              <w:rPr>
                <w:lang w:val="en-GB"/>
              </w:rPr>
              <w:t xml:space="preserve"> being piloted in at least seven Community Council (CC) areas. Selected IGAs being piloted in the 7 CC areas involving at least 5% of the target population.</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at least seven Community Councils collaborating effectively with user groups in their areas to implement  </w:t>
            </w:r>
            <w:smartTag w:uri="urn:schemas-microsoft-com:office:smarttags" w:element="stockticker">
              <w:r w:rsidRPr="008960D9">
                <w:rPr>
                  <w:lang w:val="en-GB"/>
                </w:rPr>
                <w:t>SLM</w:t>
              </w:r>
            </w:smartTag>
            <w:r w:rsidRPr="008960D9">
              <w:rPr>
                <w:lang w:val="en-GB"/>
              </w:rPr>
              <w:t xml:space="preserve"> plans, these pilot models validated, and the approach is endorsed for national implementation. Government, NGO, bilateral and multilateral agencies are collaborating effectively in promoting </w:t>
            </w:r>
            <w:smartTag w:uri="urn:schemas-microsoft-com:office:smarttags" w:element="stockticker">
              <w:r w:rsidRPr="008960D9">
                <w:rPr>
                  <w:lang w:val="en-GB"/>
                </w:rPr>
                <w:t>SLM</w:t>
              </w:r>
            </w:smartTag>
            <w:r w:rsidRPr="008960D9">
              <w:rPr>
                <w:lang w:val="en-GB"/>
              </w:rPr>
              <w:t>, which is better integrated into national environmental and development programmes. At least 5% of the target population benefiting from IGAs which are ready for extension to areas with similar NR management issues.</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User group constitutions and records including monitoring reports on resource condition</w:t>
            </w:r>
          </w:p>
          <w:p w:rsidR="008960D9" w:rsidRPr="008960D9" w:rsidRDefault="008960D9" w:rsidP="008960D9">
            <w:r w:rsidRPr="008960D9">
              <w:t xml:space="preserve">Community Council records </w:t>
            </w:r>
          </w:p>
          <w:p w:rsidR="008960D9" w:rsidRPr="008960D9" w:rsidRDefault="008960D9" w:rsidP="008960D9">
            <w:smartTag w:uri="urn:schemas-microsoft-com:office:smarttags" w:element="stockticker">
              <w:r w:rsidRPr="008960D9">
                <w:t>MFLR</w:t>
              </w:r>
            </w:smartTag>
            <w:r w:rsidRPr="008960D9">
              <w:t xml:space="preserve"> and MOAFS reports on IWM</w:t>
            </w:r>
          </w:p>
          <w:p w:rsidR="008960D9" w:rsidRPr="008960D9" w:rsidRDefault="008960D9" w:rsidP="008960D9">
            <w:smartTag w:uri="urn:schemas-microsoft-com:office:smarttags" w:element="stockticker">
              <w:r w:rsidRPr="008960D9">
                <w:t>MFLR</w:t>
              </w:r>
            </w:smartTag>
            <w:r w:rsidRPr="008960D9">
              <w:t xml:space="preserve"> and MOLG training materials for </w:t>
            </w:r>
            <w:r w:rsidRPr="008960D9">
              <w:lastRenderedPageBreak/>
              <w:t>user groups and Community Councils</w:t>
            </w:r>
          </w:p>
          <w:p w:rsidR="008960D9" w:rsidRPr="008960D9" w:rsidRDefault="008960D9" w:rsidP="008960D9">
            <w:r w:rsidRPr="008960D9">
              <w:t>Reports of participatory assessments of models and techniques by user groups and Community Councils</w:t>
            </w:r>
          </w:p>
          <w:p w:rsidR="008960D9" w:rsidRPr="008960D9" w:rsidRDefault="008960D9" w:rsidP="008960D9">
            <w:r w:rsidRPr="008960D9">
              <w:t xml:space="preserve">Community Council, </w:t>
            </w:r>
            <w:smartTag w:uri="urn:schemas-microsoft-com:office:smarttags" w:element="stockticker">
              <w:r w:rsidRPr="008960D9">
                <w:t>MFLR</w:t>
              </w:r>
            </w:smartTag>
            <w:r w:rsidRPr="008960D9">
              <w:t xml:space="preserve"> and MOLG plans for national </w:t>
            </w:r>
            <w:smartTag w:uri="urn:schemas-microsoft-com:office:smarttags" w:element="stockticker">
              <w:r w:rsidRPr="008960D9">
                <w:t>SLM</w:t>
              </w:r>
            </w:smartTag>
            <w:r w:rsidRPr="008960D9">
              <w:t xml:space="preserve"> implementation</w:t>
            </w:r>
          </w:p>
          <w:p w:rsidR="008960D9" w:rsidRPr="008960D9" w:rsidRDefault="008960D9" w:rsidP="008960D9">
            <w:r w:rsidRPr="008960D9">
              <w:t>Records of collaboration between government, bilateral and multilateral agencies</w:t>
            </w:r>
          </w:p>
          <w:p w:rsidR="008960D9" w:rsidRPr="008960D9" w:rsidRDefault="008960D9" w:rsidP="008960D9">
            <w:r w:rsidRPr="008960D9">
              <w:rPr>
                <w:i/>
              </w:rPr>
              <w:t>SIP Coalition and Knowledge Management Assessment survey tool may be used</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Technical agencies willing to collaborate</w:t>
            </w:r>
          </w:p>
          <w:p w:rsidR="008960D9" w:rsidRPr="008960D9" w:rsidRDefault="008960D9" w:rsidP="008960D9">
            <w:r w:rsidRPr="008960D9">
              <w:t>User group and IWM concepts can be harmonised</w:t>
            </w:r>
          </w:p>
          <w:p w:rsidR="008960D9" w:rsidRPr="008960D9" w:rsidRDefault="008960D9" w:rsidP="008960D9">
            <w:r w:rsidRPr="008960D9">
              <w:t>Community Councils are able to mobilise adequate operating resources</w:t>
            </w:r>
          </w:p>
          <w:p w:rsidR="008960D9" w:rsidRPr="008960D9" w:rsidRDefault="008960D9" w:rsidP="008960D9">
            <w:r w:rsidRPr="008960D9">
              <w:t>Community Councils retain legitimacy in their constituencies</w:t>
            </w:r>
          </w:p>
          <w:p w:rsidR="008960D9" w:rsidRPr="008960D9" w:rsidRDefault="008960D9" w:rsidP="008960D9">
            <w:r w:rsidRPr="008960D9">
              <w:lastRenderedPageBreak/>
              <w:t>Resource users willing to work together in group structures</w:t>
            </w:r>
          </w:p>
          <w:p w:rsidR="008960D9" w:rsidRPr="008960D9" w:rsidRDefault="008960D9" w:rsidP="008960D9">
            <w:r w:rsidRPr="008960D9">
              <w:t>Principal and other Chiefs continue current levels of willingness to co-operate</w:t>
            </w:r>
          </w:p>
          <w:p w:rsidR="008960D9" w:rsidRPr="008960D9" w:rsidRDefault="008960D9" w:rsidP="008960D9">
            <w:smartTag w:uri="urn:schemas-microsoft-com:office:smarttags" w:element="stockticker">
              <w:r w:rsidRPr="008960D9">
                <w:t>SLM</w:t>
              </w:r>
            </w:smartTag>
            <w:r w:rsidRPr="008960D9">
              <w:t xml:space="preserve"> initiatives in the country continue current desires and willingness to focus on a single institution (the Community Council)</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Outcome 2:</w:t>
            </w:r>
            <w:r w:rsidRPr="008960D9">
              <w:rPr>
                <w:lang w:val="en-GB"/>
              </w:rPr>
              <w:t xml:space="preserve"> Adequate local and national capacity in place </w:t>
            </w:r>
            <w:r w:rsidRPr="008960D9">
              <w:rPr>
                <w:lang w:val="en-GB"/>
              </w:rPr>
              <w:lastRenderedPageBreak/>
              <w:t xml:space="preserve">and is adapting and scaling up proven </w:t>
            </w:r>
            <w:smartTag w:uri="urn:schemas-microsoft-com:office:smarttags" w:element="stockticker">
              <w:r w:rsidRPr="008960D9">
                <w:rPr>
                  <w:lang w:val="en-GB"/>
                </w:rPr>
                <w:t>SLM</w:t>
              </w:r>
            </w:smartTag>
            <w:r w:rsidRPr="008960D9">
              <w:rPr>
                <w:lang w:val="en-GB"/>
              </w:rPr>
              <w:t xml:space="preserve"> models and techniques.</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National agency responsible for </w:t>
            </w:r>
            <w:smartTag w:uri="urn:schemas-microsoft-com:office:smarttags" w:element="stockticker">
              <w:r w:rsidRPr="008960D9">
                <w:t>SLM</w:t>
              </w:r>
            </w:smartTag>
            <w:r w:rsidRPr="008960D9">
              <w:t xml:space="preserve"> established and has skills, mandate and </w:t>
            </w:r>
            <w:r w:rsidRPr="008960D9">
              <w:lastRenderedPageBreak/>
              <w:t xml:space="preserve">authority to facilitate </w:t>
            </w:r>
            <w:smartTag w:uri="urn:schemas-microsoft-com:office:smarttags" w:element="stockticker">
              <w:r w:rsidRPr="008960D9">
                <w:t>SLM</w:t>
              </w:r>
            </w:smartTag>
            <w:r w:rsidRPr="008960D9">
              <w:t>;</w:t>
            </w:r>
          </w:p>
          <w:p w:rsidR="008960D9" w:rsidRPr="008960D9" w:rsidRDefault="008960D9" w:rsidP="008960D9">
            <w:r w:rsidRPr="008960D9">
              <w:t>255,000 ha of land under improved SLM practices;</w:t>
            </w:r>
          </w:p>
          <w:p w:rsidR="008960D9" w:rsidRPr="008960D9" w:rsidRDefault="008960D9" w:rsidP="008960D9">
            <w:r w:rsidRPr="008960D9">
              <w:t xml:space="preserve">Innovative tools for </w:t>
            </w:r>
            <w:smartTag w:uri="urn:schemas-microsoft-com:office:smarttags" w:element="stockticker">
              <w:r w:rsidRPr="008960D9">
                <w:t>SLM</w:t>
              </w:r>
            </w:smartTag>
            <w:r w:rsidRPr="008960D9">
              <w:t xml:space="preserve"> such as land functionality analysis, economic valuation techniques exist and are being applied;</w:t>
            </w:r>
          </w:p>
          <w:p w:rsidR="008960D9" w:rsidRPr="008960D9" w:rsidRDefault="008960D9" w:rsidP="008960D9">
            <w:r w:rsidRPr="008960D9">
              <w:t xml:space="preserve">Increased levels of adoption of </w:t>
            </w:r>
            <w:smartTag w:uri="urn:schemas-microsoft-com:office:smarttags" w:element="stockticker">
              <w:r w:rsidRPr="008960D9">
                <w:t>SLM</w:t>
              </w:r>
            </w:smartTag>
            <w:r w:rsidRPr="008960D9">
              <w:t xml:space="preserve"> measures outside pilot sites;</w:t>
            </w:r>
          </w:p>
          <w:p w:rsidR="008960D9" w:rsidRPr="008960D9" w:rsidRDefault="008960D9" w:rsidP="008960D9">
            <w:r w:rsidRPr="008960D9">
              <w:t>Community Council members’ and civil servants’ scores on knowledge and attitude measurement tool</w:t>
            </w: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several Ministries, parastatals, programmes and NGOs are committed to upscaling effective </w:t>
            </w:r>
            <w:smartTag w:uri="urn:schemas-microsoft-com:office:smarttags" w:element="stockticker">
              <w:r w:rsidRPr="008960D9">
                <w:rPr>
                  <w:lang w:val="en-GB"/>
                </w:rPr>
                <w:t>SLM</w:t>
              </w:r>
            </w:smartTag>
            <w:r w:rsidRPr="008960D9">
              <w:rPr>
                <w:lang w:val="en-GB"/>
              </w:rPr>
              <w:t xml:space="preserve"> models and techniques; their combined human and operational resources </w:t>
            </w:r>
            <w:r w:rsidRPr="008960D9">
              <w:rPr>
                <w:lang w:val="en-GB"/>
              </w:rPr>
              <w:lastRenderedPageBreak/>
              <w:t xml:space="preserve">are substantial. But, despite GOL decentralisation and policy statements, these resources and commitments are fragmented and ineffective and there is no plan to integrate them around an </w:t>
            </w:r>
            <w:smartTag w:uri="urn:schemas-microsoft-com:office:smarttags" w:element="stockticker">
              <w:r w:rsidRPr="008960D9">
                <w:rPr>
                  <w:lang w:val="en-GB"/>
                </w:rPr>
                <w:t>SLM</w:t>
              </w:r>
            </w:smartTag>
            <w:r w:rsidRPr="008960D9">
              <w:rPr>
                <w:lang w:val="en-GB"/>
              </w:rPr>
              <w:t xml:space="preserve"> strategy.</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Mid term: Institutional roles, responsibilities and relationships for upscaling effective </w:t>
            </w:r>
            <w:smartTag w:uri="urn:schemas-microsoft-com:office:smarttags" w:element="stockticker">
              <w:r w:rsidRPr="008960D9">
                <w:rPr>
                  <w:lang w:val="en-GB"/>
                </w:rPr>
                <w:t>SLM</w:t>
              </w:r>
            </w:smartTag>
            <w:r w:rsidRPr="008960D9">
              <w:rPr>
                <w:lang w:val="en-GB"/>
              </w:rPr>
              <w:t xml:space="preserve"> models and techniques have been clarified, agreed and piloted, and draft strategy for upscaling has been prepared.</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Resource users and local, district and central government agencies have the conceptual, human resource and operational capacity to adapt and scale up proven </w:t>
            </w:r>
            <w:smartTag w:uri="urn:schemas-microsoft-com:office:smarttags" w:element="stockticker">
              <w:r w:rsidRPr="008960D9">
                <w:rPr>
                  <w:lang w:val="en-GB"/>
                </w:rPr>
                <w:t>SLM</w:t>
              </w:r>
            </w:smartTag>
            <w:r w:rsidRPr="008960D9">
              <w:rPr>
                <w:lang w:val="en-GB"/>
              </w:rPr>
              <w:t xml:space="preserve"> models and techniques. This is reflected in a 25% increase in their scores on a knowledge and attitude measurement tool and hactarage of land directly managed using SLM measures and extent of adoption of </w:t>
            </w:r>
            <w:smartTag w:uri="urn:schemas-microsoft-com:office:smarttags" w:element="stockticker">
              <w:r w:rsidRPr="008960D9">
                <w:rPr>
                  <w:lang w:val="en-GB"/>
                </w:rPr>
                <w:t>SLM</w:t>
              </w:r>
            </w:smartTag>
            <w:r w:rsidRPr="008960D9">
              <w:rPr>
                <w:lang w:val="en-GB"/>
              </w:rPr>
              <w:t xml:space="preserve"> practices outside pilot areas</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Reports on use of knowledge and attitude measurement tool</w:t>
            </w:r>
          </w:p>
          <w:p w:rsidR="008960D9" w:rsidRPr="008960D9" w:rsidRDefault="008960D9" w:rsidP="008960D9">
            <w:smartTag w:uri="urn:schemas-microsoft-com:office:smarttags" w:element="stockticker">
              <w:r w:rsidRPr="008960D9">
                <w:lastRenderedPageBreak/>
                <w:t>MFLR</w:t>
              </w:r>
            </w:smartTag>
            <w:r w:rsidRPr="008960D9">
              <w:t>, MOAFS and MOLG training materials and reports</w:t>
            </w:r>
          </w:p>
          <w:p w:rsidR="008960D9" w:rsidRPr="008960D9" w:rsidRDefault="008960D9" w:rsidP="008960D9">
            <w:smartTag w:uri="urn:schemas-microsoft-com:office:smarttags" w:element="stockticker">
              <w:r w:rsidRPr="008960D9">
                <w:t>MFLR</w:t>
              </w:r>
            </w:smartTag>
            <w:r w:rsidRPr="008960D9">
              <w:t>, MOAFS and MOLG work plans (national and district levels)</w:t>
            </w:r>
          </w:p>
          <w:p w:rsidR="008960D9" w:rsidRPr="008960D9" w:rsidRDefault="008960D9" w:rsidP="008960D9">
            <w:r w:rsidRPr="008960D9">
              <w:t>Reports of participatory self-assessments by sample user groups and local, district and central government agencies of their conceptual, human resource and operational capacity</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Relevant Ministries and other agencies continue their collaboration.</w:t>
            </w:r>
          </w:p>
          <w:p w:rsidR="008960D9" w:rsidRPr="008960D9" w:rsidRDefault="008960D9" w:rsidP="008960D9">
            <w:r w:rsidRPr="008960D9">
              <w:lastRenderedPageBreak/>
              <w:t xml:space="preserve">Current levels of GOL domestic resource allocation to MOLG and </w:t>
            </w:r>
            <w:smartTag w:uri="urn:schemas-microsoft-com:office:smarttags" w:element="stockticker">
              <w:r w:rsidRPr="008960D9">
                <w:t>MFLR</w:t>
              </w:r>
            </w:smartTag>
            <w:r w:rsidRPr="008960D9">
              <w:t xml:space="preserve"> are maintained</w:t>
            </w:r>
          </w:p>
          <w:p w:rsidR="008960D9" w:rsidRPr="008960D9" w:rsidRDefault="008960D9" w:rsidP="008960D9">
            <w:r w:rsidRPr="008960D9">
              <w:t xml:space="preserve">Community Councils are prepared to give </w:t>
            </w:r>
            <w:smartTag w:uri="urn:schemas-microsoft-com:office:smarttags" w:element="stockticker">
              <w:r w:rsidRPr="008960D9">
                <w:t>SLM</w:t>
              </w:r>
            </w:smartTag>
            <w:r w:rsidRPr="008960D9">
              <w:t xml:space="preserve"> adequate attention in their planning and resource allocation</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Outcome 3:</w:t>
            </w:r>
            <w:r w:rsidRPr="008960D9">
              <w:rPr>
                <w:lang w:val="en-GB"/>
              </w:rPr>
              <w:t xml:space="preserve"> Lesotho adopts a programmatic approach to </w:t>
            </w:r>
            <w:smartTag w:uri="urn:schemas-microsoft-com:office:smarttags" w:element="stockticker">
              <w:r w:rsidRPr="008960D9">
                <w:rPr>
                  <w:lang w:val="en-GB"/>
                </w:rPr>
                <w:t>SLM</w:t>
              </w:r>
            </w:smartTag>
            <w:r w:rsidRPr="008960D9">
              <w:rPr>
                <w:lang w:val="en-GB"/>
              </w:rPr>
              <w:t xml:space="preserve"> - The enhanced </w:t>
            </w:r>
            <w:r w:rsidRPr="008960D9">
              <w:rPr>
                <w:lang w:val="en-GB"/>
              </w:rPr>
              <w:lastRenderedPageBreak/>
              <w:t xml:space="preserve">awareness, dialogue, understanding and analysis of </w:t>
            </w:r>
            <w:smartTag w:uri="urn:schemas-microsoft-com:office:smarttags" w:element="stockticker">
              <w:r w:rsidRPr="008960D9">
                <w:rPr>
                  <w:lang w:val="en-GB"/>
                </w:rPr>
                <w:t>SLM</w:t>
              </w:r>
            </w:smartTag>
            <w:r w:rsidRPr="008960D9">
              <w:rPr>
                <w:lang w:val="en-GB"/>
              </w:rPr>
              <w:t xml:space="preserve"> best practice at resource user, community, local government, NGO and national government levels across the country, is reflected in strengthened, synergistic, multisectoral  policies, strategies and programmes that achieve an integrated approach to natural resource management.</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National level policy on </w:t>
            </w:r>
            <w:smartTag w:uri="urn:schemas-microsoft-com:office:smarttags" w:element="stockticker">
              <w:r w:rsidRPr="008960D9">
                <w:rPr>
                  <w:lang w:val="en-GB"/>
                </w:rPr>
                <w:t>SLM</w:t>
              </w:r>
            </w:smartTag>
            <w:r w:rsidRPr="008960D9">
              <w:rPr>
                <w:lang w:val="en-GB"/>
              </w:rPr>
              <w:t xml:space="preserve"> either approved or planned</w:t>
            </w:r>
          </w:p>
          <w:p w:rsidR="008960D9" w:rsidRPr="008960D9" w:rsidRDefault="008960D9" w:rsidP="008960D9">
            <w:pPr>
              <w:rPr>
                <w:lang w:val="en-GB"/>
              </w:rPr>
            </w:pPr>
            <w:r w:rsidRPr="008960D9">
              <w:rPr>
                <w:lang w:val="en-GB"/>
              </w:rPr>
              <w:t xml:space="preserve">National </w:t>
            </w:r>
            <w:r w:rsidRPr="008960D9">
              <w:rPr>
                <w:lang w:val="en-GB"/>
              </w:rPr>
              <w:lastRenderedPageBreak/>
              <w:t>development strategies revised to reflect SLM principles (PRSP, Agricultural policy, NAP, etc.);</w:t>
            </w:r>
          </w:p>
          <w:p w:rsidR="008960D9" w:rsidRPr="008960D9" w:rsidRDefault="008960D9" w:rsidP="008960D9">
            <w:pPr>
              <w:rPr>
                <w:lang w:val="en-GB"/>
              </w:rPr>
            </w:pPr>
            <w:r w:rsidRPr="008960D9">
              <w:rPr>
                <w:lang w:val="en-GB"/>
              </w:rPr>
              <w:t xml:space="preserve">SLM content in Community Council plans and budgets </w:t>
            </w:r>
          </w:p>
          <w:p w:rsidR="008960D9" w:rsidRPr="008960D9" w:rsidRDefault="008960D9" w:rsidP="008960D9">
            <w:pPr>
              <w:rPr>
                <w:lang w:val="en-GB"/>
              </w:rPr>
            </w:pPr>
            <w:smartTag w:uri="urn:schemas-microsoft-com:office:smarttags" w:element="stockticker">
              <w:r w:rsidRPr="008960D9">
                <w:rPr>
                  <w:lang w:val="en-GB"/>
                </w:rPr>
                <w:t>SLM</w:t>
              </w:r>
            </w:smartTag>
            <w:r w:rsidRPr="008960D9">
              <w:rPr>
                <w:lang w:val="en-GB"/>
              </w:rPr>
              <w:t xml:space="preserve"> content in statements of national environmental and development policy and accompanying budgets;</w:t>
            </w:r>
          </w:p>
          <w:p w:rsidR="008960D9" w:rsidRPr="008960D9" w:rsidRDefault="008960D9" w:rsidP="008960D9">
            <w:pPr>
              <w:rPr>
                <w:lang w:val="en-GB"/>
              </w:rPr>
            </w:pPr>
          </w:p>
          <w:p w:rsidR="008960D9" w:rsidRPr="008960D9" w:rsidRDefault="008960D9" w:rsidP="008960D9">
            <w:pPr>
              <w:rPr>
                <w:lang w:val="en-GB"/>
              </w:rPr>
            </w:pPr>
            <w:smartTag w:uri="urn:schemas-microsoft-com:office:smarttags" w:element="stockticker">
              <w:r w:rsidRPr="008960D9">
                <w:rPr>
                  <w:lang w:val="en-GB"/>
                </w:rPr>
                <w:t>SLM</w:t>
              </w:r>
            </w:smartTag>
            <w:r w:rsidRPr="008960D9">
              <w:rPr>
                <w:lang w:val="en-GB"/>
              </w:rPr>
              <w:t xml:space="preserve"> knowledge management network mode of operation </w:t>
            </w:r>
          </w:p>
          <w:p w:rsidR="008960D9" w:rsidRPr="008960D9" w:rsidRDefault="008960D9" w:rsidP="008960D9">
            <w:pPr>
              <w:rPr>
                <w:lang w:val="en-GB"/>
              </w:rPr>
            </w:pPr>
            <w:r w:rsidRPr="008960D9">
              <w:rPr>
                <w:lang w:val="en-GB"/>
              </w:rPr>
              <w:t xml:space="preserve">Availability of synthesis of </w:t>
            </w:r>
            <w:smartTag w:uri="urn:schemas-microsoft-com:office:smarttags" w:element="stockticker">
              <w:r w:rsidRPr="008960D9">
                <w:rPr>
                  <w:lang w:val="en-GB"/>
                </w:rPr>
                <w:t>SLM</w:t>
              </w:r>
            </w:smartTag>
            <w:r w:rsidRPr="008960D9">
              <w:rPr>
                <w:lang w:val="en-GB"/>
              </w:rPr>
              <w:t xml:space="preserve"> lessons learned and best practice</w:t>
            </w:r>
          </w:p>
          <w:p w:rsidR="008960D9" w:rsidRPr="008960D9" w:rsidRDefault="008960D9" w:rsidP="008960D9">
            <w:pPr>
              <w:rPr>
                <w:lang w:val="en-GB"/>
              </w:rPr>
            </w:pPr>
          </w:p>
          <w:p w:rsidR="008960D9" w:rsidRPr="008960D9" w:rsidRDefault="008960D9" w:rsidP="008960D9">
            <w:pPr>
              <w:rPr>
                <w:lang w:val="en-GB"/>
              </w:rPr>
            </w:pPr>
            <w:r w:rsidRPr="008960D9">
              <w:rPr>
                <w:lang w:val="en-GB"/>
              </w:rPr>
              <w:lastRenderedPageBreak/>
              <w:t xml:space="preserve">A Country strategic investment framework for </w:t>
            </w:r>
            <w:smartTag w:uri="urn:schemas-microsoft-com:office:smarttags" w:element="stockticker">
              <w:r w:rsidRPr="008960D9">
                <w:rPr>
                  <w:lang w:val="en-GB"/>
                </w:rPr>
                <w:t>SLM</w:t>
              </w:r>
            </w:smartTag>
            <w:r w:rsidRPr="008960D9">
              <w:rPr>
                <w:lang w:val="en-GB"/>
              </w:rPr>
              <w:t xml:space="preserve"> exists and finance being mobilised to implement priority projects</w:t>
            </w:r>
          </w:p>
          <w:p w:rsidR="008960D9" w:rsidRPr="008960D9" w:rsidRDefault="008960D9" w:rsidP="008960D9">
            <w:pPr>
              <w:rPr>
                <w:lang w:val="en-GB"/>
              </w:rPr>
            </w:pPr>
            <w:r w:rsidRPr="008960D9">
              <w:rPr>
                <w:lang w:val="en-GB"/>
              </w:rPr>
              <w:t xml:space="preserve">Existence of National </w:t>
            </w:r>
            <w:smartTag w:uri="urn:schemas-microsoft-com:office:smarttags" w:element="stockticker">
              <w:r w:rsidRPr="008960D9">
                <w:rPr>
                  <w:lang w:val="en-GB"/>
                </w:rPr>
                <w:t>SLM</w:t>
              </w:r>
            </w:smartTag>
            <w:r w:rsidRPr="008960D9">
              <w:rPr>
                <w:lang w:val="en-GB"/>
              </w:rPr>
              <w:t xml:space="preserve"> Framework</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The public and policy makers have high levels of awareness of importance of </w:t>
            </w:r>
            <w:smartTag w:uri="urn:schemas-microsoft-com:office:smarttags" w:element="stockticker">
              <w:r w:rsidRPr="008960D9">
                <w:rPr>
                  <w:lang w:val="en-GB"/>
                </w:rPr>
                <w:t>SLM</w:t>
              </w:r>
            </w:smartTag>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many people are aware of good </w:t>
            </w:r>
            <w:smartTag w:uri="urn:schemas-microsoft-com:office:smarttags" w:element="stockticker">
              <w:r w:rsidRPr="008960D9">
                <w:rPr>
                  <w:lang w:val="en-GB"/>
                </w:rPr>
                <w:t>SLM</w:t>
              </w:r>
            </w:smartTag>
            <w:r w:rsidRPr="008960D9">
              <w:rPr>
                <w:lang w:val="en-GB"/>
              </w:rPr>
              <w:t xml:space="preserve"> techniques and practices, but the knowledge base is scattered and fragmented and more technical than strategic. There is no </w:t>
            </w:r>
            <w:smartTag w:uri="urn:schemas-microsoft-com:office:smarttags" w:element="stockticker">
              <w:r w:rsidRPr="008960D9">
                <w:rPr>
                  <w:lang w:val="en-GB"/>
                </w:rPr>
                <w:t>SLM</w:t>
              </w:r>
            </w:smartTag>
            <w:r w:rsidRPr="008960D9">
              <w:rPr>
                <w:lang w:val="en-GB"/>
              </w:rPr>
              <w:t xml:space="preserve"> knowledge management network in Lesotho, so </w:t>
            </w:r>
            <w:r w:rsidRPr="008960D9">
              <w:rPr>
                <w:lang w:val="en-GB"/>
              </w:rPr>
              <w:lastRenderedPageBreak/>
              <w:t xml:space="preserve">no structure through which awareness and understanding can be spread and enhanced. Policies, strategies and programmes refer to technical </w:t>
            </w:r>
            <w:smartTag w:uri="urn:schemas-microsoft-com:office:smarttags" w:element="stockticker">
              <w:r w:rsidRPr="008960D9">
                <w:rPr>
                  <w:lang w:val="en-GB"/>
                </w:rPr>
                <w:t>SLM</w:t>
              </w:r>
            </w:smartTag>
            <w:r w:rsidRPr="008960D9">
              <w:rPr>
                <w:lang w:val="en-GB"/>
              </w:rPr>
              <w:t xml:space="preserve"> measures without explaining adequately the institutional and governance frameworks through which these measures can be achieved. There is no programmatic approach to mainstreaming </w:t>
            </w:r>
            <w:smartTag w:uri="urn:schemas-microsoft-com:office:smarttags" w:element="stockticker">
              <w:r w:rsidRPr="008960D9">
                <w:rPr>
                  <w:lang w:val="en-GB"/>
                </w:rPr>
                <w:t>SLM</w:t>
              </w:r>
            </w:smartTag>
            <w:r w:rsidRPr="008960D9">
              <w:rPr>
                <w:lang w:val="en-GB"/>
              </w:rPr>
              <w:t xml:space="preserve"> and no strategic investment framework for </w:t>
            </w:r>
            <w:smartTag w:uri="urn:schemas-microsoft-com:office:smarttags" w:element="stockticker">
              <w:r w:rsidRPr="008960D9">
                <w:rPr>
                  <w:lang w:val="en-GB"/>
                </w:rPr>
                <w:t>SLM</w:t>
              </w:r>
            </w:smartTag>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Mid term: a Lesotho </w:t>
            </w:r>
            <w:smartTag w:uri="urn:schemas-microsoft-com:office:smarttags" w:element="stockticker">
              <w:r w:rsidRPr="008960D9">
                <w:rPr>
                  <w:lang w:val="en-GB"/>
                </w:rPr>
                <w:t>SLM</w:t>
              </w:r>
            </w:smartTag>
            <w:r w:rsidRPr="008960D9">
              <w:rPr>
                <w:lang w:val="en-GB"/>
              </w:rPr>
              <w:t xml:space="preserve"> knowledge management network is stimulating the exchange of information and ideas about </w:t>
            </w:r>
            <w:smartTag w:uri="urn:schemas-microsoft-com:office:smarttags" w:element="stockticker">
              <w:r w:rsidRPr="008960D9">
                <w:rPr>
                  <w:lang w:val="en-GB"/>
                </w:rPr>
                <w:t>SLM</w:t>
              </w:r>
            </w:smartTag>
            <w:r w:rsidRPr="008960D9">
              <w:rPr>
                <w:lang w:val="en-GB"/>
              </w:rPr>
              <w:t xml:space="preserve"> best practice on cultivated and range lands at resource user level and at the level of local, district and central government, with the active participation of NGOs, parastatals and development agencies. A draft synthesis of </w:t>
            </w:r>
            <w:smartTag w:uri="urn:schemas-microsoft-com:office:smarttags" w:element="stockticker">
              <w:r w:rsidRPr="008960D9">
                <w:rPr>
                  <w:lang w:val="en-GB"/>
                </w:rPr>
                <w:t>SLM</w:t>
              </w:r>
            </w:smartTag>
            <w:r w:rsidRPr="008960D9">
              <w:rPr>
                <w:lang w:val="en-GB"/>
              </w:rPr>
              <w:t xml:space="preserve"> lessons and best practice identifies policies, strategies and programmes into which these should be mainstreamed. Discussion about this mainstreaming has been initiated. A country special advisory group consisting of a mix of development partners and government is formed and is facilitating discussions on a programmatic approach to </w:t>
            </w:r>
            <w:smartTag w:uri="urn:schemas-microsoft-com:office:smarttags" w:element="stockticker">
              <w:r w:rsidRPr="008960D9">
                <w:rPr>
                  <w:lang w:val="en-GB"/>
                </w:rPr>
                <w:t>SLM</w:t>
              </w:r>
            </w:smartTag>
            <w:r w:rsidRPr="008960D9">
              <w:rPr>
                <w:lang w:val="en-GB"/>
              </w:rPr>
              <w:t xml:space="preserve"> </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the Lesotho </w:t>
            </w:r>
            <w:smartTag w:uri="urn:schemas-microsoft-com:office:smarttags" w:element="stockticker">
              <w:r w:rsidRPr="008960D9">
                <w:rPr>
                  <w:lang w:val="en-GB"/>
                </w:rPr>
                <w:t>SLM</w:t>
              </w:r>
            </w:smartTag>
            <w:r w:rsidRPr="008960D9">
              <w:rPr>
                <w:lang w:val="en-GB"/>
              </w:rPr>
              <w:t xml:space="preserve"> knowledge management network has been institutionalised so that it can continue to function without project resources. The network has completed a synthesis of </w:t>
            </w:r>
            <w:smartTag w:uri="urn:schemas-microsoft-com:office:smarttags" w:element="stockticker">
              <w:r w:rsidRPr="008960D9">
                <w:rPr>
                  <w:lang w:val="en-GB"/>
                </w:rPr>
                <w:t>SLM</w:t>
              </w:r>
            </w:smartTag>
            <w:r w:rsidRPr="008960D9">
              <w:rPr>
                <w:lang w:val="en-GB"/>
              </w:rPr>
              <w:t xml:space="preserve"> lessons learned and best practice. The enhanced </w:t>
            </w:r>
            <w:smartTag w:uri="urn:schemas-microsoft-com:office:smarttags" w:element="stockticker">
              <w:r w:rsidRPr="008960D9">
                <w:rPr>
                  <w:lang w:val="en-GB"/>
                </w:rPr>
                <w:t>SLM</w:t>
              </w:r>
            </w:smartTag>
            <w:r w:rsidRPr="008960D9">
              <w:rPr>
                <w:lang w:val="en-GB"/>
              </w:rPr>
              <w:t xml:space="preserve"> models and techniques piloted by the project are central to the strengthened commitment to </w:t>
            </w:r>
            <w:smartTag w:uri="urn:schemas-microsoft-com:office:smarttags" w:element="stockticker">
              <w:r w:rsidRPr="008960D9">
                <w:rPr>
                  <w:lang w:val="en-GB"/>
                </w:rPr>
                <w:t>SLM</w:t>
              </w:r>
            </w:smartTag>
            <w:r w:rsidRPr="008960D9">
              <w:rPr>
                <w:lang w:val="en-GB"/>
              </w:rPr>
              <w:t xml:space="preserve"> that has been mainstreamed into the relevant policies, strategies and programmes, as expressed in a National </w:t>
            </w:r>
            <w:smartTag w:uri="urn:schemas-microsoft-com:office:smarttags" w:element="stockticker">
              <w:r w:rsidRPr="008960D9">
                <w:rPr>
                  <w:lang w:val="en-GB"/>
                </w:rPr>
                <w:t>SLM</w:t>
              </w:r>
            </w:smartTag>
            <w:r w:rsidRPr="008960D9">
              <w:rPr>
                <w:lang w:val="en-GB"/>
              </w:rPr>
              <w:t xml:space="preserve"> Framework. These achievements are reflected in the content of participating Community Council plans, in which at least 15% of proposed activities have </w:t>
            </w:r>
            <w:smartTag w:uri="urn:schemas-microsoft-com:office:smarttags" w:element="stockticker">
              <w:r w:rsidRPr="008960D9">
                <w:rPr>
                  <w:lang w:val="en-GB"/>
                </w:rPr>
                <w:t>SLM</w:t>
              </w:r>
            </w:smartTag>
            <w:r w:rsidRPr="008960D9">
              <w:rPr>
                <w:lang w:val="en-GB"/>
              </w:rPr>
              <w:t xml:space="preserve"> content or impact and in which at least 15% of budgets are dedicated to </w:t>
            </w:r>
            <w:smartTag w:uri="urn:schemas-microsoft-com:office:smarttags" w:element="stockticker">
              <w:r w:rsidRPr="008960D9">
                <w:rPr>
                  <w:lang w:val="en-GB"/>
                </w:rPr>
                <w:t>SLM</w:t>
              </w:r>
            </w:smartTag>
            <w:r w:rsidRPr="008960D9">
              <w:rPr>
                <w:lang w:val="en-GB"/>
              </w:rPr>
              <w:t xml:space="preserve">. At national level, at least 15% of recurrent and capital budgets support </w:t>
            </w:r>
            <w:smartTag w:uri="urn:schemas-microsoft-com:office:smarttags" w:element="stockticker">
              <w:r w:rsidRPr="008960D9">
                <w:rPr>
                  <w:lang w:val="en-GB"/>
                </w:rPr>
                <w:t>SLM</w:t>
              </w:r>
            </w:smartTag>
            <w:r w:rsidRPr="008960D9">
              <w:rPr>
                <w:lang w:val="en-GB"/>
              </w:rPr>
              <w:t>.</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Knowledge management network materials (e.g. information sheets, </w:t>
            </w:r>
            <w:r w:rsidRPr="008960D9">
              <w:lastRenderedPageBreak/>
              <w:t>newsletters)</w:t>
            </w:r>
          </w:p>
          <w:p w:rsidR="008960D9" w:rsidRPr="008960D9" w:rsidRDefault="008960D9" w:rsidP="008960D9">
            <w:r w:rsidRPr="008960D9">
              <w:t>Records of workshops</w:t>
            </w:r>
          </w:p>
          <w:p w:rsidR="008960D9" w:rsidRPr="008960D9" w:rsidRDefault="008960D9" w:rsidP="008960D9">
            <w:r w:rsidRPr="008960D9">
              <w:t xml:space="preserve">Synthesis of </w:t>
            </w:r>
            <w:smartTag w:uri="urn:schemas-microsoft-com:office:smarttags" w:element="stockticker">
              <w:r w:rsidRPr="008960D9">
                <w:t>SLM</w:t>
              </w:r>
            </w:smartTag>
            <w:r w:rsidRPr="008960D9">
              <w:t xml:space="preserve"> lessons and best practice</w:t>
            </w:r>
          </w:p>
          <w:p w:rsidR="008960D9" w:rsidRPr="008960D9" w:rsidRDefault="008960D9" w:rsidP="008960D9">
            <w:r w:rsidRPr="008960D9">
              <w:t>Plans for post-project operation of knowledge management network</w:t>
            </w:r>
          </w:p>
          <w:p w:rsidR="008960D9" w:rsidRPr="008960D9" w:rsidRDefault="008960D9" w:rsidP="008960D9">
            <w:r w:rsidRPr="008960D9">
              <w:t xml:space="preserve">Relevant policy statements or plans to revise policy, e.g. National </w:t>
            </w:r>
            <w:smartTag w:uri="urn:schemas-microsoft-com:office:smarttags" w:element="stockticker">
              <w:r w:rsidRPr="008960D9">
                <w:t>SLM</w:t>
              </w:r>
            </w:smartTag>
            <w:r w:rsidRPr="008960D9">
              <w:t xml:space="preserve"> Framework, Food Security Policy, Poverty Reduction Strategy, local government policy</w:t>
            </w:r>
          </w:p>
          <w:p w:rsidR="008960D9" w:rsidRPr="008960D9" w:rsidRDefault="008960D9" w:rsidP="008960D9">
            <w:r w:rsidRPr="008960D9">
              <w:t>Community Council development and environmental management plans and budgets</w:t>
            </w:r>
          </w:p>
          <w:p w:rsidR="008960D9" w:rsidRPr="008960D9" w:rsidRDefault="008960D9" w:rsidP="008960D9">
            <w:r w:rsidRPr="008960D9">
              <w:t>Statements of national environmental and development policy and resource allocation</w:t>
            </w:r>
          </w:p>
          <w:p w:rsidR="008960D9" w:rsidRPr="008960D9" w:rsidRDefault="008960D9" w:rsidP="008960D9">
            <w:r w:rsidRPr="008960D9">
              <w:rPr>
                <w:i/>
              </w:rPr>
              <w:lastRenderedPageBreak/>
              <w:t>SIP Advocacy Index tool may be used</w:t>
            </w:r>
          </w:p>
          <w:p w:rsidR="008960D9" w:rsidRPr="008960D9" w:rsidRDefault="008960D9" w:rsidP="008960D9">
            <w:r w:rsidRPr="008960D9">
              <w:rPr>
                <w:i/>
              </w:rPr>
              <w:t xml:space="preserve">SIP Composite Index for the </w:t>
            </w:r>
            <w:smartTag w:uri="urn:schemas-microsoft-com:office:smarttags" w:element="stockticker">
              <w:r w:rsidRPr="008960D9">
                <w:rPr>
                  <w:i/>
                </w:rPr>
                <w:t>SLM</w:t>
              </w:r>
            </w:smartTag>
            <w:r w:rsidRPr="008960D9">
              <w:rPr>
                <w:i/>
              </w:rPr>
              <w:t xml:space="preserve"> Enabling Environment tool may be used</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Relevant agencies at all levels are willing to participate proactively in the knowledge management network </w:t>
            </w:r>
            <w:r w:rsidRPr="008960D9">
              <w:lastRenderedPageBreak/>
              <w:t>during and after the project</w:t>
            </w:r>
          </w:p>
          <w:p w:rsidR="008960D9" w:rsidRPr="008960D9" w:rsidRDefault="008960D9" w:rsidP="008960D9">
            <w:r w:rsidRPr="008960D9">
              <w:t xml:space="preserve">Those responsible for policy preparation/revision processes are willing to mainstream </w:t>
            </w:r>
            <w:smartTag w:uri="urn:schemas-microsoft-com:office:smarttags" w:element="stockticker">
              <w:r w:rsidRPr="008960D9">
                <w:t>SLM</w:t>
              </w:r>
            </w:smartTag>
          </w:p>
        </w:tc>
      </w:tr>
    </w:tbl>
    <w:p w:rsidR="008960D9" w:rsidRPr="008960D9" w:rsidRDefault="008960D9" w:rsidP="008960D9"/>
    <w:p w:rsidR="008960D9" w:rsidRPr="008960D9" w:rsidRDefault="008960D9" w:rsidP="008960D9">
      <w:pPr>
        <w:sectPr w:rsidR="008960D9" w:rsidRPr="008960D9" w:rsidSect="002D4EE3">
          <w:pgSz w:w="15840" w:h="12240" w:orient="landscape" w:code="1"/>
          <w:pgMar w:top="1134" w:right="1134" w:bottom="1134" w:left="1134" w:header="720" w:footer="720" w:gutter="0"/>
          <w:paperSrc w:first="1266"/>
          <w:cols w:space="720"/>
          <w:docGrid w:linePitch="360"/>
        </w:sectPr>
      </w:pPr>
    </w:p>
    <w:p w:rsidR="00560013" w:rsidRPr="00560013" w:rsidRDefault="00560013" w:rsidP="00D6638C">
      <w:pPr>
        <w:spacing w:before="200"/>
        <w:rPr>
          <w:rFonts w:ascii="Calibri" w:eastAsia="Times New Roman" w:hAnsi="Calibri" w:cs="Times New Roman"/>
          <w:sz w:val="20"/>
          <w:szCs w:val="20"/>
          <w:lang w:val="en-GB"/>
        </w:rPr>
      </w:pPr>
    </w:p>
    <w:p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rsidR="00A82777" w:rsidRDefault="00D6638C" w:rsidP="00A309C5">
      <w:pPr>
        <w:pStyle w:val="Heading31"/>
      </w:pPr>
      <w:bookmarkStart w:id="61" w:name="_TOR_Annex_B:"/>
      <w:bookmarkStart w:id="62" w:name="_Toc299133054"/>
      <w:bookmarkStart w:id="63" w:name="_Toc321341563"/>
      <w:bookmarkEnd w:id="61"/>
      <w:r w:rsidRPr="00D6638C">
        <w:t>Annex B: List of Documents to be reviewed by the evaluators</w:t>
      </w:r>
      <w:bookmarkEnd w:id="58"/>
      <w:bookmarkEnd w:id="59"/>
      <w:bookmarkEnd w:id="60"/>
      <w:bookmarkEnd w:id="62"/>
      <w:bookmarkEnd w:id="63"/>
    </w:p>
    <w:p w:rsidR="00A309C5" w:rsidRPr="00A309C5" w:rsidRDefault="00A309C5" w:rsidP="00A309C5"/>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069"/>
      </w:tblGrid>
      <w:tr w:rsidR="00A82777" w:rsidRPr="00444B62" w:rsidTr="002D4EE3">
        <w:tc>
          <w:tcPr>
            <w:tcW w:w="2700" w:type="dxa"/>
            <w:shd w:val="clear" w:color="auto" w:fill="E6E6E6"/>
          </w:tcPr>
          <w:p w:rsidR="00A82777" w:rsidRPr="00444B62" w:rsidRDefault="00A82777" w:rsidP="002D4EE3">
            <w:pPr>
              <w:spacing w:after="120"/>
              <w:rPr>
                <w:rFonts w:ascii="Times New Roman" w:eastAsia="Times New Roman" w:hAnsi="Times New Roman" w:cs="Times New Roman"/>
                <w:b/>
                <w:bCs/>
                <w:sz w:val="20"/>
                <w:szCs w:val="20"/>
              </w:rPr>
            </w:pPr>
            <w:r w:rsidRPr="00444B62">
              <w:rPr>
                <w:rFonts w:ascii="Times New Roman" w:eastAsia="Times New Roman" w:hAnsi="Times New Roman" w:cs="Times New Roman"/>
                <w:b/>
                <w:bCs/>
                <w:sz w:val="20"/>
                <w:szCs w:val="20"/>
              </w:rPr>
              <w:t>Document</w:t>
            </w:r>
          </w:p>
        </w:tc>
        <w:tc>
          <w:tcPr>
            <w:tcW w:w="7069" w:type="dxa"/>
            <w:shd w:val="clear" w:color="auto" w:fill="E6E6E6"/>
          </w:tcPr>
          <w:p w:rsidR="00A82777" w:rsidRPr="00444B62" w:rsidRDefault="00A82777" w:rsidP="002D4EE3">
            <w:pPr>
              <w:spacing w:after="120"/>
              <w:rPr>
                <w:rFonts w:ascii="Times New Roman" w:eastAsia="Times New Roman" w:hAnsi="Times New Roman" w:cs="Times New Roman"/>
                <w:b/>
                <w:bCs/>
                <w:sz w:val="20"/>
                <w:szCs w:val="20"/>
              </w:rPr>
            </w:pPr>
            <w:r w:rsidRPr="00444B62">
              <w:rPr>
                <w:rFonts w:ascii="Times New Roman" w:eastAsia="Times New Roman" w:hAnsi="Times New Roman" w:cs="Times New Roman"/>
                <w:b/>
                <w:bCs/>
                <w:sz w:val="20"/>
                <w:szCs w:val="20"/>
              </w:rPr>
              <w:t>Description</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document</w:t>
            </w:r>
          </w:p>
        </w:tc>
        <w:tc>
          <w:tcPr>
            <w:tcW w:w="7069"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The Project Document and Revisions</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reports</w:t>
            </w:r>
          </w:p>
        </w:tc>
        <w:tc>
          <w:tcPr>
            <w:tcW w:w="7069"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Inception Report</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Annual Work-plans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Quarterly Reports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Project UNDP Annual Reports </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Baseline report</w:t>
            </w:r>
            <w:r w:rsidR="006165C1">
              <w:rPr>
                <w:rFonts w:ascii="Times New Roman" w:eastAsia="Times New Roman" w:hAnsi="Times New Roman" w:cs="Times New Roman"/>
                <w:sz w:val="20"/>
                <w:szCs w:val="20"/>
              </w:rPr>
              <w:t>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Consultancy reports</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Annual Project Report to GEF</w:t>
            </w:r>
          </w:p>
        </w:tc>
        <w:tc>
          <w:tcPr>
            <w:tcW w:w="7069" w:type="dxa"/>
          </w:tcPr>
          <w:p w:rsidR="00A82777" w:rsidRPr="00444B62" w:rsidRDefault="00A82777" w:rsidP="006165C1">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Project Implementation Reports for </w:t>
            </w:r>
            <w:r w:rsidR="006165C1">
              <w:rPr>
                <w:rFonts w:ascii="Times New Roman" w:eastAsia="Times New Roman" w:hAnsi="Times New Roman" w:cs="Times New Roman"/>
                <w:sz w:val="20"/>
                <w:szCs w:val="20"/>
              </w:rPr>
              <w:t>2010,2011,2012, 2013 and 2014</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Other relevant materials:</w:t>
            </w:r>
          </w:p>
        </w:tc>
        <w:tc>
          <w:tcPr>
            <w:tcW w:w="7069" w:type="dxa"/>
          </w:tcPr>
          <w:p w:rsidR="006165C1"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Financial Audit Reports </w:t>
            </w:r>
            <w:r w:rsidR="006165C1">
              <w:rPr>
                <w:rFonts w:ascii="Times New Roman" w:eastAsia="Times New Roman" w:hAnsi="Times New Roman" w:cs="Times New Roman"/>
                <w:sz w:val="20"/>
                <w:szCs w:val="20"/>
              </w:rPr>
              <w:t>2010,2011,2012, 2013 and 2014</w:t>
            </w: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Press articles</w:t>
            </w: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Minutes of Project Steering Committee Meetings</w:t>
            </w:r>
          </w:p>
          <w:p w:rsidR="00A82777"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 xml:space="preserve">Monitoring </w:t>
            </w:r>
            <w:r w:rsidR="00A82777" w:rsidRPr="00444B62">
              <w:rPr>
                <w:rFonts w:ascii="Times New Roman" w:eastAsia="Calibri" w:hAnsi="Times New Roman" w:cs="Times New Roman"/>
                <w:sz w:val="20"/>
                <w:szCs w:val="20"/>
              </w:rPr>
              <w:t>Field visits reports</w:t>
            </w:r>
          </w:p>
          <w:p w:rsidR="00026C68"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Technical Reports</w:t>
            </w:r>
          </w:p>
          <w:p w:rsidR="00026C68" w:rsidRPr="00444B62"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Mid-term Evaluation Report</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GEF and UNDP/GEF Monitoring and Evaluation Policy </w:t>
            </w:r>
          </w:p>
        </w:tc>
        <w:tc>
          <w:tcPr>
            <w:tcW w:w="7069" w:type="dxa"/>
          </w:tcPr>
          <w:p w:rsidR="00A82777" w:rsidRPr="00444B62" w:rsidRDefault="003816B8" w:rsidP="002D4EE3">
            <w:pPr>
              <w:rPr>
                <w:rFonts w:ascii="Times New Roman" w:eastAsia="Calibri" w:hAnsi="Times New Roman" w:cs="Times New Roman"/>
                <w:sz w:val="20"/>
                <w:szCs w:val="20"/>
              </w:rPr>
            </w:pPr>
            <w:hyperlink r:id="rId27" w:history="1">
              <w:r w:rsidR="00A82777" w:rsidRPr="00444B62">
                <w:rPr>
                  <w:rFonts w:ascii="Times New Roman" w:eastAsia="Calibri" w:hAnsi="Times New Roman" w:cs="Times New Roman"/>
                  <w:color w:val="0000FF"/>
                  <w:sz w:val="20"/>
                  <w:szCs w:val="20"/>
                  <w:u w:val="single"/>
                </w:rPr>
                <w:t>http://thegef.org/MonitoringandEvaluation/MEPoliciesProcedures/mepoliciesprocedures.html</w:t>
              </w:r>
            </w:hyperlink>
            <w:r w:rsidR="00A82777" w:rsidRPr="00444B62">
              <w:rPr>
                <w:rFonts w:ascii="Times New Roman" w:eastAsia="Calibri" w:hAnsi="Times New Roman" w:cs="Times New Roman"/>
                <w:sz w:val="20"/>
                <w:szCs w:val="20"/>
              </w:rPr>
              <w:t xml:space="preserve">) </w:t>
            </w:r>
          </w:p>
          <w:p w:rsidR="00A82777" w:rsidRPr="00444B62" w:rsidRDefault="00A82777" w:rsidP="002D4EE3">
            <w:pPr>
              <w:rPr>
                <w:rFonts w:ascii="Times New Roman" w:eastAsia="Calibri" w:hAnsi="Times New Roman" w:cs="Times New Roman"/>
                <w:sz w:val="20"/>
                <w:szCs w:val="20"/>
              </w:rPr>
            </w:pP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 (</w:t>
            </w:r>
            <w:hyperlink r:id="rId28" w:history="1">
              <w:r w:rsidRPr="00444B62">
                <w:rPr>
                  <w:rFonts w:ascii="Times New Roman" w:eastAsia="Calibri" w:hAnsi="Times New Roman" w:cs="Times New Roman"/>
                  <w:color w:val="0000FF"/>
                  <w:sz w:val="20"/>
                  <w:szCs w:val="20"/>
                  <w:u w:val="single"/>
                </w:rPr>
                <w:t>http://www.undp.org/gef/05/monitoring/policies.html</w:t>
              </w:r>
            </w:hyperlink>
            <w:r w:rsidRPr="00444B62">
              <w:rPr>
                <w:rFonts w:ascii="Times New Roman" w:eastAsia="Calibri" w:hAnsi="Times New Roman" w:cs="Times New Roman"/>
                <w:sz w:val="20"/>
                <w:szCs w:val="20"/>
              </w:rPr>
              <w:t>).</w:t>
            </w:r>
          </w:p>
          <w:p w:rsidR="00A82777" w:rsidRPr="00444B62" w:rsidRDefault="00A82777" w:rsidP="002D4EE3">
            <w:pPr>
              <w:rPr>
                <w:rFonts w:ascii="Times New Roman" w:eastAsia="Calibri" w:hAnsi="Times New Roman" w:cs="Times New Roman"/>
                <w:sz w:val="20"/>
                <w:szCs w:val="20"/>
              </w:rPr>
            </w:pP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Atlas Risk Management System</w:t>
            </w:r>
          </w:p>
        </w:tc>
        <w:tc>
          <w:tcPr>
            <w:tcW w:w="7069" w:type="dxa"/>
          </w:tcPr>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UNDP-GEF Risk Management Strategy resource kit, available as Annex XI at </w:t>
            </w:r>
            <w:hyperlink r:id="rId29" w:history="1">
              <w:r w:rsidRPr="00444B62">
                <w:rPr>
                  <w:rFonts w:ascii="Times New Roman" w:eastAsia="Calibri" w:hAnsi="Times New Roman" w:cs="Times New Roman"/>
                  <w:color w:val="0000FF"/>
                  <w:sz w:val="20"/>
                  <w:szCs w:val="20"/>
                  <w:u w:val="single"/>
                </w:rPr>
                <w:t>http://www.undp.org/gef/05/monitoring/policies.html</w:t>
              </w:r>
            </w:hyperlink>
            <w:r w:rsidRPr="00444B62">
              <w:rPr>
                <w:rFonts w:ascii="Times New Roman" w:eastAsia="Calibri" w:hAnsi="Times New Roman" w:cs="Times New Roman"/>
                <w:sz w:val="20"/>
                <w:szCs w:val="20"/>
              </w:rPr>
              <w:t xml:space="preserve"> </w:t>
            </w:r>
          </w:p>
        </w:tc>
      </w:tr>
    </w:tbl>
    <w:p w:rsidR="00A82777" w:rsidRPr="00A82777" w:rsidRDefault="00A82777" w:rsidP="00D6638C">
      <w:pPr>
        <w:spacing w:before="200"/>
        <w:rPr>
          <w:rFonts w:ascii="Calibri" w:eastAsia="Times New Roman" w:hAnsi="Calibri" w:cs="Times New Roman"/>
          <w:sz w:val="20"/>
          <w:szCs w:val="20"/>
          <w:highlight w:val="lightGray"/>
          <w:lang w:val="en-GB"/>
        </w:rPr>
        <w:sectPr w:rsidR="00A82777" w:rsidRPr="00A82777" w:rsidSect="00224F9C">
          <w:footerReference w:type="default" r:id="rId30"/>
          <w:pgSz w:w="12240" w:h="15840"/>
          <w:pgMar w:top="1440" w:right="1325" w:bottom="1440" w:left="1440" w:header="708" w:footer="708" w:gutter="0"/>
          <w:cols w:space="708"/>
          <w:docGrid w:linePitch="360"/>
        </w:sectPr>
      </w:pPr>
    </w:p>
    <w:p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rsidRPr="00D6638C">
        <w:lastRenderedPageBreak/>
        <w:t>Annex C: Evaluation Questions</w:t>
      </w:r>
      <w:bookmarkEnd w:id="65"/>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B203C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9" w:name="_TOR_Annex_D:"/>
      <w:bookmarkStart w:id="70" w:name="_Toc321341565"/>
      <w:bookmarkEnd w:id="69"/>
      <w:r w:rsidRPr="00D6638C">
        <w:lastRenderedPageBreak/>
        <w:t>Annex D: Rating</w:t>
      </w:r>
      <w:r w:rsidR="00E77635">
        <w:t xml:space="preserve"> Scales</w:t>
      </w:r>
      <w:bookmarkEnd w:id="70"/>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1" w:name="_Toc299133056"/>
      <w:bookmarkStart w:id="72" w:name="_Toc321341566"/>
      <w:r w:rsidRPr="00D6638C">
        <w:lastRenderedPageBreak/>
        <w:t xml:space="preserve">Annex E: Evaluation Consultant Code of Conduct </w:t>
      </w:r>
      <w:r w:rsidR="00B913F1">
        <w:t xml:space="preserve">and </w:t>
      </w:r>
      <w:r w:rsidRPr="00D6638C">
        <w:t>Agreement Form</w:t>
      </w:r>
      <w:bookmarkEnd w:id="66"/>
      <w:bookmarkEnd w:id="67"/>
      <w:bookmarkEnd w:id="68"/>
      <w:bookmarkEnd w:id="71"/>
      <w:bookmarkEnd w:id="72"/>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lastRenderedPageBreak/>
        <w:t>Annex F: Evaluation Report Outline</w:t>
      </w:r>
      <w:bookmarkEnd w:id="74"/>
      <w:bookmarkEnd w:id="75"/>
      <w:bookmarkEnd w:id="76"/>
      <w:bookmarkEnd w:id="77"/>
      <w:r w:rsidRPr="00D6638C">
        <w:rPr>
          <w:vertAlign w:val="superscript"/>
        </w:rPr>
        <w:footnoteReference w:id="5"/>
      </w:r>
      <w:bookmarkEnd w:id="78"/>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ZA" w:eastAsia="en-ZA"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C52FF2" w:rsidRPr="0084083F" w:rsidRDefault="00C52FF2" w:rsidP="00D6638C">
                            <w:pPr>
                              <w:rPr>
                                <w:rFonts w:eastAsia="Batang"/>
                              </w:rPr>
                            </w:pPr>
                            <w:r w:rsidRPr="0084083F">
                              <w:rPr>
                                <w:rFonts w:eastAsia="Batang"/>
                              </w:rPr>
                              <w:t>Evaluation Report Reviewed and Cleared by</w:t>
                            </w:r>
                          </w:p>
                          <w:p w:rsidR="00C52FF2" w:rsidRPr="0084083F" w:rsidRDefault="00C52FF2" w:rsidP="00D6638C">
                            <w:r w:rsidRPr="0084083F">
                              <w:t>UNDP Country Office</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p w:rsidR="00C52FF2" w:rsidRPr="0084083F" w:rsidRDefault="00C52FF2" w:rsidP="00D6638C">
                            <w:r w:rsidRPr="0084083F">
                              <w:t>UNDP GEF R</w:t>
                            </w:r>
                            <w:r>
                              <w:t>TA</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C52FF2" w:rsidRPr="0084083F" w:rsidRDefault="00C52FF2" w:rsidP="00D6638C">
                      <w:pPr>
                        <w:rPr>
                          <w:rFonts w:eastAsia="Batang"/>
                        </w:rPr>
                      </w:pPr>
                      <w:r w:rsidRPr="0084083F">
                        <w:rPr>
                          <w:rFonts w:eastAsia="Batang"/>
                        </w:rPr>
                        <w:t>Evaluation Report Reviewed and Cleared by</w:t>
                      </w:r>
                    </w:p>
                    <w:p w:rsidR="00C52FF2" w:rsidRPr="0084083F" w:rsidRDefault="00C52FF2" w:rsidP="00D6638C">
                      <w:r w:rsidRPr="0084083F">
                        <w:t>UNDP Country Office</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p w:rsidR="00C52FF2" w:rsidRPr="0084083F" w:rsidRDefault="00C52FF2" w:rsidP="00D6638C">
                      <w:r w:rsidRPr="0084083F">
                        <w:t>UNDP GEF R</w:t>
                      </w:r>
                      <w:r>
                        <w:t>TA</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B8" w:rsidRDefault="003816B8" w:rsidP="00D6638C">
      <w:pPr>
        <w:spacing w:after="0" w:line="240" w:lineRule="auto"/>
      </w:pPr>
      <w:r>
        <w:separator/>
      </w:r>
    </w:p>
  </w:endnote>
  <w:endnote w:type="continuationSeparator" w:id="0">
    <w:p w:rsidR="003816B8" w:rsidRDefault="003816B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A00002AF" w:usb1="5000204B"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C52FF2" w:rsidRDefault="00C52FF2">
        <w:pPr>
          <w:pStyle w:val="Footer"/>
          <w:jc w:val="right"/>
        </w:pPr>
        <w:r>
          <w:fldChar w:fldCharType="begin"/>
        </w:r>
        <w:r>
          <w:instrText xml:space="preserve"> PAGE   \* MERGEFORMAT </w:instrText>
        </w:r>
        <w:r>
          <w:fldChar w:fldCharType="separate"/>
        </w:r>
        <w:r w:rsidR="00572906">
          <w:rPr>
            <w:noProof/>
          </w:rPr>
          <w:t>24</w:t>
        </w:r>
        <w:r>
          <w:rPr>
            <w:noProof/>
          </w:rPr>
          <w:fldChar w:fldCharType="end"/>
        </w:r>
      </w:p>
    </w:sdtContent>
  </w:sdt>
  <w:p w:rsidR="00C52FF2" w:rsidRDefault="00C5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B8" w:rsidRDefault="003816B8" w:rsidP="00D6638C">
      <w:pPr>
        <w:spacing w:after="0" w:line="240" w:lineRule="auto"/>
      </w:pPr>
      <w:r>
        <w:separator/>
      </w:r>
    </w:p>
  </w:footnote>
  <w:footnote w:type="continuationSeparator" w:id="0">
    <w:p w:rsidR="003816B8" w:rsidRDefault="003816B8" w:rsidP="00D6638C">
      <w:pPr>
        <w:spacing w:after="0" w:line="240" w:lineRule="auto"/>
      </w:pPr>
      <w:r>
        <w:continuationSeparator/>
      </w:r>
    </w:p>
  </w:footnote>
  <w:footnote w:id="1">
    <w:p w:rsidR="00C52FF2" w:rsidRDefault="00C52FF2"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C52FF2" w:rsidRPr="00022F8E" w:rsidRDefault="00C52FF2">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C52FF2" w:rsidRPr="00973F8C" w:rsidRDefault="00C52FF2" w:rsidP="008960D9">
      <w:pPr>
        <w:pStyle w:val="FootnoteText"/>
      </w:pPr>
      <w:r w:rsidRPr="00973F8C">
        <w:rPr>
          <w:rStyle w:val="FootnoteReference"/>
        </w:rPr>
        <w:footnoteRef/>
      </w:r>
      <w:r w:rsidRPr="00973F8C">
        <w:t xml:space="preserve"> Annex 1 of the SIP Programme Brief, 26 September 2006.</w:t>
      </w:r>
    </w:p>
  </w:footnote>
  <w:footnote w:id="4">
    <w:p w:rsidR="00C52FF2" w:rsidRDefault="00C52FF2" w:rsidP="00D6638C">
      <w:pPr>
        <w:pStyle w:val="FootnoteText"/>
      </w:pPr>
      <w:r w:rsidRPr="004B6248">
        <w:rPr>
          <w:rStyle w:val="FootnoteReference"/>
        </w:rPr>
        <w:footnoteRef/>
      </w:r>
      <w:r w:rsidRPr="00FB1376">
        <w:t>www.unevaluation.org/unegcodeofconduct</w:t>
      </w:r>
    </w:p>
    <w:p w:rsidR="00C52FF2" w:rsidRDefault="00C52FF2" w:rsidP="00D6638C">
      <w:pPr>
        <w:pStyle w:val="FootnoteText"/>
      </w:pPr>
    </w:p>
  </w:footnote>
  <w:footnote w:id="5">
    <w:p w:rsidR="00C52FF2" w:rsidRPr="002B7151" w:rsidRDefault="00C52FF2"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C52FF2" w:rsidRPr="002B7151" w:rsidRDefault="00C52FF2"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C52FF2" w:rsidRPr="002B7151" w:rsidRDefault="00C52FF2"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D6182"/>
    <w:multiLevelType w:val="hybridMultilevel"/>
    <w:tmpl w:val="1D6ADE4C"/>
    <w:lvl w:ilvl="0" w:tplc="722432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D1D9C"/>
    <w:multiLevelType w:val="hybridMultilevel"/>
    <w:tmpl w:val="EC7AC678"/>
    <w:lvl w:ilvl="0" w:tplc="AC18BEA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110586"/>
    <w:multiLevelType w:val="hybridMultilevel"/>
    <w:tmpl w:val="6ED4345C"/>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A06211"/>
    <w:multiLevelType w:val="hybridMultilevel"/>
    <w:tmpl w:val="E4484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0F5962"/>
    <w:multiLevelType w:val="hybridMultilevel"/>
    <w:tmpl w:val="4C78205C"/>
    <w:lvl w:ilvl="0" w:tplc="2ADC8E5E">
      <w:start w:val="1"/>
      <w:numFmt w:val="upperLetter"/>
      <w:lvlText w:val="%1."/>
      <w:lvlJc w:val="left"/>
      <w:pPr>
        <w:tabs>
          <w:tab w:val="num" w:pos="454"/>
        </w:tabs>
        <w:ind w:left="454" w:hanging="454"/>
      </w:pPr>
      <w:rPr>
        <w:rFonts w:hint="default"/>
      </w:rPr>
    </w:lvl>
    <w:lvl w:ilvl="1" w:tplc="B7886D5A">
      <w:start w:val="1"/>
      <w:numFmt w:val="lowerRoman"/>
      <w:lvlText w:val="%2."/>
      <w:lvlJc w:val="left"/>
      <w:pPr>
        <w:tabs>
          <w:tab w:val="num" w:pos="567"/>
        </w:tabs>
        <w:ind w:left="567" w:hanging="454"/>
      </w:pPr>
      <w:rPr>
        <w:rFonts w:hint="default"/>
      </w:rPr>
    </w:lvl>
    <w:lvl w:ilvl="2" w:tplc="331AEF1C">
      <w:start w:val="1"/>
      <w:numFmt w:val="lowerRoman"/>
      <w:lvlText w:val="%3."/>
      <w:lvlJc w:val="right"/>
      <w:pPr>
        <w:tabs>
          <w:tab w:val="num" w:pos="1134"/>
        </w:tabs>
        <w:ind w:left="1134" w:hanging="283"/>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C8183A"/>
    <w:multiLevelType w:val="hybridMultilevel"/>
    <w:tmpl w:val="76A86E4E"/>
    <w:lvl w:ilvl="0" w:tplc="E5EAD34C">
      <w:start w:val="1"/>
      <w:numFmt w:val="bullet"/>
      <w:lvlText w:val=""/>
      <w:lvlJc w:val="left"/>
      <w:pPr>
        <w:tabs>
          <w:tab w:val="num" w:pos="284"/>
        </w:tabs>
        <w:ind w:left="284" w:hanging="284"/>
      </w:pPr>
      <w:rPr>
        <w:rFonts w:ascii="Symbol" w:hAnsi="Symbol" w:hint="default"/>
        <w:color w:val="auto"/>
      </w:rPr>
    </w:lvl>
    <w:lvl w:ilvl="1" w:tplc="722432DC">
      <w:start w:val="1"/>
      <w:numFmt w:val="bullet"/>
      <w:lvlText w:val=""/>
      <w:lvlJc w:val="left"/>
      <w:pPr>
        <w:tabs>
          <w:tab w:val="num" w:pos="1250"/>
        </w:tabs>
        <w:ind w:left="1250" w:hanging="17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nsid w:val="60FF5D73"/>
    <w:multiLevelType w:val="hybridMultilevel"/>
    <w:tmpl w:val="6AE2C202"/>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3F0305"/>
    <w:multiLevelType w:val="hybridMultilevel"/>
    <w:tmpl w:val="FDB0DB72"/>
    <w:lvl w:ilvl="0" w:tplc="722432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nsid w:val="629F2AAD"/>
    <w:multiLevelType w:val="hybridMultilevel"/>
    <w:tmpl w:val="F6526B2C"/>
    <w:lvl w:ilvl="0" w:tplc="4B706AF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4B7C88"/>
    <w:multiLevelType w:val="hybridMultilevel"/>
    <w:tmpl w:val="82FEB53A"/>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29"/>
  </w:num>
  <w:num w:numId="4">
    <w:abstractNumId w:val="20"/>
  </w:num>
  <w:num w:numId="5">
    <w:abstractNumId w:val="2"/>
  </w:num>
  <w:num w:numId="6">
    <w:abstractNumId w:val="26"/>
  </w:num>
  <w:num w:numId="7">
    <w:abstractNumId w:val="1"/>
  </w:num>
  <w:num w:numId="8">
    <w:abstractNumId w:val="34"/>
  </w:num>
  <w:num w:numId="9">
    <w:abstractNumId w:val="15"/>
  </w:num>
  <w:num w:numId="10">
    <w:abstractNumId w:val="32"/>
  </w:num>
  <w:num w:numId="11">
    <w:abstractNumId w:val="11"/>
  </w:num>
  <w:num w:numId="12">
    <w:abstractNumId w:val="27"/>
  </w:num>
  <w:num w:numId="13">
    <w:abstractNumId w:val="25"/>
  </w:num>
  <w:num w:numId="14">
    <w:abstractNumId w:val="3"/>
  </w:num>
  <w:num w:numId="15">
    <w:abstractNumId w:val="24"/>
  </w:num>
  <w:num w:numId="16">
    <w:abstractNumId w:val="17"/>
  </w:num>
  <w:num w:numId="17">
    <w:abstractNumId w:val="4"/>
  </w:num>
  <w:num w:numId="18">
    <w:abstractNumId w:val="16"/>
  </w:num>
  <w:num w:numId="19">
    <w:abstractNumId w:val="38"/>
  </w:num>
  <w:num w:numId="20">
    <w:abstractNumId w:val="18"/>
  </w:num>
  <w:num w:numId="21">
    <w:abstractNumId w:val="13"/>
  </w:num>
  <w:num w:numId="22">
    <w:abstractNumId w:val="5"/>
  </w:num>
  <w:num w:numId="23">
    <w:abstractNumId w:val="7"/>
  </w:num>
  <w:num w:numId="24">
    <w:abstractNumId w:val="35"/>
  </w:num>
  <w:num w:numId="25">
    <w:abstractNumId w:val="0"/>
  </w:num>
  <w:num w:numId="26">
    <w:abstractNumId w:val="40"/>
  </w:num>
  <w:num w:numId="27">
    <w:abstractNumId w:val="10"/>
  </w:num>
  <w:num w:numId="28">
    <w:abstractNumId w:val="37"/>
  </w:num>
  <w:num w:numId="29">
    <w:abstractNumId w:val="23"/>
  </w:num>
  <w:num w:numId="30">
    <w:abstractNumId w:val="19"/>
  </w:num>
  <w:num w:numId="31">
    <w:abstractNumId w:val="28"/>
  </w:num>
  <w:num w:numId="32">
    <w:abstractNumId w:val="8"/>
  </w:num>
  <w:num w:numId="33">
    <w:abstractNumId w:val="21"/>
  </w:num>
  <w:num w:numId="34">
    <w:abstractNumId w:val="14"/>
  </w:num>
  <w:num w:numId="35">
    <w:abstractNumId w:val="30"/>
  </w:num>
  <w:num w:numId="36">
    <w:abstractNumId w:val="33"/>
  </w:num>
  <w:num w:numId="37">
    <w:abstractNumId w:val="22"/>
  </w:num>
  <w:num w:numId="38">
    <w:abstractNumId w:val="36"/>
  </w:num>
  <w:num w:numId="39">
    <w:abstractNumId w:val="12"/>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26C68"/>
    <w:rsid w:val="000355FE"/>
    <w:rsid w:val="00044795"/>
    <w:rsid w:val="00096317"/>
    <w:rsid w:val="000B7F0C"/>
    <w:rsid w:val="00224F9C"/>
    <w:rsid w:val="002510CC"/>
    <w:rsid w:val="00257371"/>
    <w:rsid w:val="002653E1"/>
    <w:rsid w:val="002B633A"/>
    <w:rsid w:val="002D4EE3"/>
    <w:rsid w:val="002E5602"/>
    <w:rsid w:val="002E6F98"/>
    <w:rsid w:val="00303541"/>
    <w:rsid w:val="00310398"/>
    <w:rsid w:val="00322421"/>
    <w:rsid w:val="00361A1C"/>
    <w:rsid w:val="00363853"/>
    <w:rsid w:val="003816B8"/>
    <w:rsid w:val="003A1C86"/>
    <w:rsid w:val="003B3EF2"/>
    <w:rsid w:val="003F46AB"/>
    <w:rsid w:val="00404888"/>
    <w:rsid w:val="004A4891"/>
    <w:rsid w:val="00552861"/>
    <w:rsid w:val="00560013"/>
    <w:rsid w:val="00572906"/>
    <w:rsid w:val="005A1472"/>
    <w:rsid w:val="005E0841"/>
    <w:rsid w:val="005F1BC7"/>
    <w:rsid w:val="006165C1"/>
    <w:rsid w:val="006C1964"/>
    <w:rsid w:val="006C5AE1"/>
    <w:rsid w:val="007117FB"/>
    <w:rsid w:val="00711991"/>
    <w:rsid w:val="00791C82"/>
    <w:rsid w:val="007A4702"/>
    <w:rsid w:val="007A4E16"/>
    <w:rsid w:val="0082383B"/>
    <w:rsid w:val="00832F21"/>
    <w:rsid w:val="008960D9"/>
    <w:rsid w:val="00907875"/>
    <w:rsid w:val="009847ED"/>
    <w:rsid w:val="00A309C5"/>
    <w:rsid w:val="00A82777"/>
    <w:rsid w:val="00A8439D"/>
    <w:rsid w:val="00AC7108"/>
    <w:rsid w:val="00AF37FF"/>
    <w:rsid w:val="00B1098A"/>
    <w:rsid w:val="00B203C5"/>
    <w:rsid w:val="00B913F1"/>
    <w:rsid w:val="00BA16D8"/>
    <w:rsid w:val="00BB79BA"/>
    <w:rsid w:val="00BC0C65"/>
    <w:rsid w:val="00C20543"/>
    <w:rsid w:val="00C52FF2"/>
    <w:rsid w:val="00CC59BA"/>
    <w:rsid w:val="00D10677"/>
    <w:rsid w:val="00D62513"/>
    <w:rsid w:val="00D6638C"/>
    <w:rsid w:val="00D74E6E"/>
    <w:rsid w:val="00E23201"/>
    <w:rsid w:val="00E77635"/>
    <w:rsid w:val="00F05366"/>
    <w:rsid w:val="00FA2361"/>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as.sekaleli@yahoo.com" TargetMode="External"/><Relationship Id="rId18" Type="http://schemas.openxmlformats.org/officeDocument/2006/relationships/hyperlink" Target="mailto:Seabata.motsamai@lcn.org" TargetMode="External"/><Relationship Id="rId26" Type="http://schemas.openxmlformats.org/officeDocument/2006/relationships/hyperlink" Target="http://jobs.undp.org" TargetMode="External"/><Relationship Id="rId3" Type="http://schemas.openxmlformats.org/officeDocument/2006/relationships/styles" Target="styles.xml"/><Relationship Id="rId21" Type="http://schemas.openxmlformats.org/officeDocument/2006/relationships/hyperlink" Target="mailto:director@dwa.gov.ls" TargetMode="External"/><Relationship Id="rId7" Type="http://schemas.openxmlformats.org/officeDocument/2006/relationships/footnotes" Target="footnotes.xml"/><Relationship Id="rId12" Type="http://schemas.openxmlformats.org/officeDocument/2006/relationships/hyperlink" Target="mailto:ratselec@yahoo.com" TargetMode="External"/><Relationship Id="rId17" Type="http://schemas.openxmlformats.org/officeDocument/2006/relationships/hyperlink" Target="mailto:Bokang.mantutle@fao.org" TargetMode="External"/><Relationship Id="rId25"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hyperlink" Target="mailto:pselahla@yahoo.com" TargetMode="External"/><Relationship Id="rId20" Type="http://schemas.openxmlformats.org/officeDocument/2006/relationships/hyperlink" Target="mailto:fananam@gmail.com" TargetMode="External"/><Relationship Id="rId29" Type="http://schemas.openxmlformats.org/officeDocument/2006/relationships/hyperlink" Target="http://www.undp.org/gef/05/monitoring/polic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leydamane@hotmail.com" TargetMode="External"/><Relationship Id="rId24" Type="http://schemas.openxmlformats.org/officeDocument/2006/relationships/hyperlink" Target="mailto:Qalabane.chakela@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bohlokoa.tau@undp.org" TargetMode="External"/><Relationship Id="rId23" Type="http://schemas.openxmlformats.org/officeDocument/2006/relationships/hyperlink" Target="mailto:Rboose2000@yahoo.co.uk" TargetMode="External"/><Relationship Id="rId28" Type="http://schemas.openxmlformats.org/officeDocument/2006/relationships/hyperlink" Target="http://www.undp.org/gef/05/monitoring/policies.html" TargetMode="External"/><Relationship Id="rId10" Type="http://schemas.openxmlformats.org/officeDocument/2006/relationships/hyperlink" Target="mailto:Lisebomotjotji@yahoo.co.za" TargetMode="External"/><Relationship Id="rId19" Type="http://schemas.openxmlformats.org/officeDocument/2006/relationships/hyperlink" Target="mailto:mokuoanec@yahoo.co.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ipati2011@gmail.com" TargetMode="External"/><Relationship Id="rId14" Type="http://schemas.openxmlformats.org/officeDocument/2006/relationships/hyperlink" Target="mailto:Limomane.peshoane@undp.org" TargetMode="External"/><Relationship Id="rId22" Type="http://schemas.openxmlformats.org/officeDocument/2006/relationships/hyperlink" Target="mailto:dorcaspelum@gmail.com" TargetMode="External"/><Relationship Id="rId27" Type="http://schemas.openxmlformats.org/officeDocument/2006/relationships/hyperlink" Target="http://thegef.org/MonitoringandEvaluation/MEPoliciesProcedures/mepoliciesprocedures.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1AB1-25ED-476E-A077-44BAAEC6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Mathabo Chaoana</cp:lastModifiedBy>
  <cp:revision>2</cp:revision>
  <dcterms:created xsi:type="dcterms:W3CDTF">2015-04-15T13:22:00Z</dcterms:created>
  <dcterms:modified xsi:type="dcterms:W3CDTF">2015-04-15T13:22:00Z</dcterms:modified>
</cp:coreProperties>
</file>