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52" w:rsidRDefault="009C4A52" w:rsidP="009C4A52">
      <w:pPr>
        <w:jc w:val="center"/>
        <w:rPr>
          <w:rFonts w:ascii="Calibri" w:hAnsi="Calibri"/>
          <w:b/>
          <w:sz w:val="22"/>
          <w:szCs w:val="22"/>
        </w:rPr>
      </w:pPr>
      <w:r>
        <w:rPr>
          <w:rFonts w:ascii="Calibri" w:hAnsi="Calibri"/>
          <w:b/>
          <w:sz w:val="22"/>
          <w:szCs w:val="22"/>
        </w:rPr>
        <w:t>TERMS OF REFERENCE</w:t>
      </w:r>
    </w:p>
    <w:p w:rsidR="009C4A52" w:rsidRDefault="009C4A52" w:rsidP="009C4A52">
      <w:r>
        <w:rPr>
          <w:rFonts w:ascii="Calibri" w:hAnsi="Calibri"/>
          <w:b/>
          <w:sz w:val="22"/>
          <w:szCs w:val="22"/>
        </w:rPr>
        <w:t>A</w:t>
      </w:r>
      <w:r>
        <w:rPr>
          <w:rFonts w:ascii="Calibri" w:hAnsi="Calibri"/>
          <w:b/>
          <w:sz w:val="22"/>
          <w:szCs w:val="22"/>
        </w:rPr>
        <w:tab/>
        <w:t>International Consultant</w:t>
      </w:r>
      <w:r>
        <w:rPr>
          <w:noProof/>
        </w:rPr>
        <w:drawing>
          <wp:inline distT="0" distB="0" distL="0" distR="0" wp14:anchorId="70EE4E5E" wp14:editId="0141544E">
            <wp:extent cx="5521796" cy="7315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1796" cy="7315200"/>
                    </a:xfrm>
                    <a:prstGeom prst="rect">
                      <a:avLst/>
                    </a:prstGeom>
                    <a:noFill/>
                    <a:ln>
                      <a:noFill/>
                    </a:ln>
                  </pic:spPr>
                </pic:pic>
              </a:graphicData>
            </a:graphic>
          </wp:inline>
        </w:drawing>
      </w:r>
      <w:bookmarkStart w:id="0" w:name="_GoBack"/>
      <w:r>
        <w:rPr>
          <w:noProof/>
        </w:rPr>
        <w:lastRenderedPageBreak/>
        <w:drawing>
          <wp:inline distT="0" distB="0" distL="0" distR="0" wp14:anchorId="3E250ADC" wp14:editId="2E1E7A5B">
            <wp:extent cx="5943600" cy="920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207500"/>
                    </a:xfrm>
                    <a:prstGeom prst="rect">
                      <a:avLst/>
                    </a:prstGeom>
                    <a:noFill/>
                    <a:ln>
                      <a:noFill/>
                    </a:ln>
                  </pic:spPr>
                </pic:pic>
              </a:graphicData>
            </a:graphic>
          </wp:inline>
        </w:drawing>
      </w:r>
      <w:bookmarkEnd w:id="0"/>
      <w:r>
        <w:rPr>
          <w:noProof/>
        </w:rPr>
        <w:lastRenderedPageBreak/>
        <w:drawing>
          <wp:inline distT="0" distB="0" distL="0" distR="0" wp14:anchorId="6248C621" wp14:editId="1CE5CE5C">
            <wp:extent cx="5943600" cy="453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rsidR="009C4A52" w:rsidRPr="00650376" w:rsidRDefault="009C4A52" w:rsidP="009C4A52">
      <w:pPr>
        <w:rPr>
          <w:rFonts w:ascii="Calibri" w:hAnsi="Calibri"/>
          <w:b/>
          <w:sz w:val="22"/>
          <w:szCs w:val="22"/>
        </w:rPr>
      </w:pPr>
      <w:r>
        <w:rPr>
          <w:rFonts w:ascii="Calibri" w:hAnsi="Calibri"/>
          <w:b/>
          <w:sz w:val="22"/>
          <w:szCs w:val="22"/>
        </w:rPr>
        <w:t>B.</w:t>
      </w:r>
      <w:r>
        <w:rPr>
          <w:rFonts w:ascii="Calibri" w:hAnsi="Calibri"/>
          <w:b/>
          <w:sz w:val="22"/>
          <w:szCs w:val="22"/>
        </w:rPr>
        <w:tab/>
        <w:t>National Consultant</w:t>
      </w:r>
    </w:p>
    <w:p w:rsidR="009C4A52" w:rsidRPr="00650376" w:rsidRDefault="009C4A52" w:rsidP="009C4A52">
      <w:pPr>
        <w:rPr>
          <w:rFonts w:ascii="Calibri" w:hAnsi="Calibri"/>
          <w:b/>
          <w:sz w:val="22"/>
          <w:szCs w:val="22"/>
        </w:rPr>
      </w:pPr>
    </w:p>
    <w:p w:rsidR="009C4A52" w:rsidRPr="00764811" w:rsidRDefault="009C4A52" w:rsidP="009C4A52">
      <w:pPr>
        <w:rPr>
          <w:rFonts w:ascii="Calibri" w:hAnsi="Calibri" w:cs="Myriad Pro"/>
          <w:bCs/>
          <w:sz w:val="22"/>
          <w:szCs w:val="22"/>
        </w:rPr>
      </w:pPr>
      <w:r w:rsidRPr="00764811">
        <w:rPr>
          <w:rFonts w:ascii="Calibri" w:hAnsi="Calibri" w:cs="Myriad Pro"/>
          <w:b/>
          <w:bCs/>
          <w:sz w:val="22"/>
          <w:szCs w:val="22"/>
        </w:rPr>
        <w:t xml:space="preserve">Project title:                               </w:t>
      </w:r>
      <w:r w:rsidRPr="00764811">
        <w:rPr>
          <w:rFonts w:ascii="Calibri" w:hAnsi="Calibri" w:cs="Myriad Pro"/>
          <w:bCs/>
          <w:sz w:val="22"/>
          <w:szCs w:val="22"/>
        </w:rPr>
        <w:t xml:space="preserve">Human Security and Social Integration   </w:t>
      </w:r>
      <w:proofErr w:type="spellStart"/>
      <w:proofErr w:type="gramStart"/>
      <w:r w:rsidRPr="00764811">
        <w:rPr>
          <w:rFonts w:ascii="Calibri" w:hAnsi="Calibri" w:cs="Myriad Pro"/>
          <w:bCs/>
          <w:sz w:val="22"/>
          <w:szCs w:val="22"/>
        </w:rPr>
        <w:t>Programme</w:t>
      </w:r>
      <w:proofErr w:type="spellEnd"/>
      <w:r w:rsidRPr="00764811">
        <w:rPr>
          <w:rFonts w:ascii="Calibri" w:hAnsi="Calibri" w:cs="Myriad Pro"/>
          <w:b/>
          <w:bCs/>
          <w:sz w:val="22"/>
          <w:szCs w:val="22"/>
        </w:rPr>
        <w:t xml:space="preserve">  (</w:t>
      </w:r>
      <w:proofErr w:type="spellStart"/>
      <w:proofErr w:type="gramEnd"/>
      <w:r w:rsidRPr="00764811">
        <w:rPr>
          <w:rFonts w:ascii="Calibri" w:hAnsi="Calibri" w:cs="Myriad Pro"/>
          <w:b/>
          <w:bCs/>
          <w:sz w:val="22"/>
          <w:szCs w:val="22"/>
        </w:rPr>
        <w:t>HuSSIP</w:t>
      </w:r>
      <w:proofErr w:type="spellEnd"/>
      <w:r w:rsidRPr="00764811">
        <w:rPr>
          <w:rFonts w:ascii="Calibri" w:hAnsi="Calibri" w:cs="Myriad Pro"/>
          <w:b/>
          <w:bCs/>
          <w:sz w:val="22"/>
          <w:szCs w:val="22"/>
        </w:rPr>
        <w:t xml:space="preserve">)  </w:t>
      </w:r>
    </w:p>
    <w:p w:rsidR="009C4A52" w:rsidRPr="00764811" w:rsidRDefault="009C4A52" w:rsidP="009C4A52">
      <w:pPr>
        <w:rPr>
          <w:rFonts w:ascii="Calibri" w:hAnsi="Calibri" w:cs="Myriad Pro"/>
          <w:b/>
          <w:bCs/>
          <w:sz w:val="22"/>
          <w:szCs w:val="22"/>
        </w:rPr>
      </w:pPr>
      <w:r w:rsidRPr="00764811">
        <w:rPr>
          <w:rFonts w:ascii="Calibri" w:hAnsi="Calibri" w:cs="Myriad Pro"/>
          <w:b/>
          <w:bCs/>
          <w:sz w:val="22"/>
          <w:szCs w:val="22"/>
        </w:rPr>
        <w:t xml:space="preserve">Location:                                     </w:t>
      </w:r>
      <w:r w:rsidRPr="00764811">
        <w:rPr>
          <w:rFonts w:ascii="Calibri" w:hAnsi="Calibri" w:cs="Myriad Pro"/>
          <w:sz w:val="22"/>
          <w:szCs w:val="22"/>
        </w:rPr>
        <w:t xml:space="preserve">Tbilisi, Georgia (With travel to </w:t>
      </w:r>
      <w:proofErr w:type="spellStart"/>
      <w:r w:rsidRPr="00764811">
        <w:rPr>
          <w:rFonts w:ascii="Calibri" w:hAnsi="Calibri" w:cs="Myriad Pro"/>
          <w:sz w:val="22"/>
          <w:szCs w:val="22"/>
        </w:rPr>
        <w:t>Zugdidi</w:t>
      </w:r>
      <w:proofErr w:type="spellEnd"/>
      <w:r w:rsidRPr="00764811">
        <w:rPr>
          <w:rFonts w:ascii="Calibri" w:hAnsi="Calibri" w:cs="Myriad Pro"/>
          <w:sz w:val="22"/>
          <w:szCs w:val="22"/>
        </w:rPr>
        <w:t xml:space="preserve"> District) </w:t>
      </w:r>
    </w:p>
    <w:p w:rsidR="009C4A52" w:rsidRPr="00764811" w:rsidRDefault="009C4A52" w:rsidP="009C4A52">
      <w:pPr>
        <w:rPr>
          <w:rFonts w:ascii="Calibri" w:hAnsi="Calibri" w:cs="Myriad Pro"/>
          <w:b/>
          <w:sz w:val="22"/>
          <w:szCs w:val="22"/>
        </w:rPr>
      </w:pPr>
      <w:r w:rsidRPr="00764811">
        <w:rPr>
          <w:rFonts w:ascii="Calibri" w:hAnsi="Calibri" w:cs="Myriad Pro"/>
          <w:b/>
          <w:sz w:val="22"/>
          <w:szCs w:val="22"/>
        </w:rPr>
        <w:t>Post Title: </w:t>
      </w:r>
      <w:r w:rsidRPr="00764811">
        <w:rPr>
          <w:rStyle w:val="Strong"/>
          <w:rFonts w:ascii="Calibri" w:hAnsi="Calibri" w:cs="Myriad Pro"/>
          <w:sz w:val="22"/>
          <w:szCs w:val="22"/>
        </w:rPr>
        <w:t xml:space="preserve">                                   </w:t>
      </w:r>
      <w:r w:rsidRPr="00764811">
        <w:rPr>
          <w:rFonts w:ascii="Calibri" w:hAnsi="Calibri"/>
          <w:b/>
          <w:sz w:val="22"/>
          <w:szCs w:val="22"/>
        </w:rPr>
        <w:t xml:space="preserve">HUS-CO Project </w:t>
      </w:r>
      <w:r w:rsidRPr="00764811">
        <w:rPr>
          <w:rFonts w:ascii="Calibri" w:hAnsi="Calibri" w:cs="Calibri"/>
          <w:b/>
          <w:sz w:val="22"/>
          <w:szCs w:val="22"/>
          <w:lang w:val="en-GB"/>
        </w:rPr>
        <w:t>Evaluator:  Consultant</w:t>
      </w:r>
      <w:r w:rsidRPr="00764811">
        <w:rPr>
          <w:rFonts w:ascii="Calibri" w:hAnsi="Calibri" w:cs="Myriad Pro"/>
          <w:b/>
          <w:sz w:val="22"/>
          <w:szCs w:val="22"/>
        </w:rPr>
        <w:br/>
        <w:t>Duration</w:t>
      </w:r>
      <w:r w:rsidRPr="00764811">
        <w:rPr>
          <w:rFonts w:ascii="Calibri" w:hAnsi="Calibri" w:cs="Myriad Pro"/>
          <w:sz w:val="22"/>
          <w:szCs w:val="22"/>
        </w:rPr>
        <w:t xml:space="preserve">:                                     </w:t>
      </w:r>
      <w:r w:rsidRPr="00764811">
        <w:rPr>
          <w:rFonts w:ascii="Calibri" w:hAnsi="Calibri" w:cs="Myriad Pro"/>
          <w:bCs/>
          <w:sz w:val="22"/>
          <w:szCs w:val="22"/>
        </w:rPr>
        <w:t>10 working days</w:t>
      </w:r>
      <w:r w:rsidRPr="00764811">
        <w:rPr>
          <w:rFonts w:ascii="Calibri" w:hAnsi="Calibri" w:cs="Myriad Pro"/>
          <w:sz w:val="22"/>
          <w:szCs w:val="22"/>
        </w:rPr>
        <w:br/>
      </w:r>
      <w:r w:rsidRPr="00764811">
        <w:rPr>
          <w:rFonts w:ascii="Calibri" w:hAnsi="Calibri" w:cs="Myriad Pro"/>
          <w:b/>
          <w:sz w:val="22"/>
          <w:szCs w:val="22"/>
        </w:rPr>
        <w:t>Type of appointment</w:t>
      </w:r>
      <w:r w:rsidRPr="00764811">
        <w:rPr>
          <w:rFonts w:ascii="Calibri" w:hAnsi="Calibri" w:cs="Myriad Pro"/>
          <w:sz w:val="22"/>
          <w:szCs w:val="22"/>
        </w:rPr>
        <w:t>:</w:t>
      </w:r>
      <w:r w:rsidRPr="00764811">
        <w:rPr>
          <w:rStyle w:val="Strong"/>
          <w:rFonts w:ascii="Calibri" w:hAnsi="Calibri" w:cs="Myriad Pro"/>
          <w:sz w:val="22"/>
          <w:szCs w:val="22"/>
        </w:rPr>
        <w:t xml:space="preserve">               IC (Individual </w:t>
      </w:r>
      <w:r w:rsidRPr="00764811">
        <w:rPr>
          <w:rFonts w:ascii="Calibri" w:hAnsi="Calibri" w:cs="Myriad Pro"/>
          <w:bCs/>
          <w:sz w:val="22"/>
          <w:szCs w:val="22"/>
        </w:rPr>
        <w:t>Contract</w:t>
      </w:r>
      <w:proofErr w:type="gramStart"/>
      <w:r w:rsidRPr="00764811">
        <w:rPr>
          <w:rFonts w:ascii="Calibri" w:hAnsi="Calibri" w:cs="Myriad Pro"/>
          <w:bCs/>
          <w:sz w:val="22"/>
          <w:szCs w:val="22"/>
        </w:rPr>
        <w:t>)</w:t>
      </w:r>
      <w:proofErr w:type="gramEnd"/>
      <w:r w:rsidRPr="00764811">
        <w:rPr>
          <w:rFonts w:ascii="Calibri" w:hAnsi="Calibri" w:cs="Myriad Pro"/>
          <w:sz w:val="22"/>
          <w:szCs w:val="22"/>
        </w:rPr>
        <w:br/>
      </w:r>
      <w:r w:rsidRPr="00764811">
        <w:rPr>
          <w:rStyle w:val="Strong"/>
          <w:rFonts w:ascii="Calibri" w:hAnsi="Calibri" w:cs="Myriad Pro"/>
          <w:sz w:val="22"/>
          <w:szCs w:val="22"/>
        </w:rPr>
        <w:t xml:space="preserve">Expected Duration of Contract:    November  2012,  (10 working days)  </w:t>
      </w:r>
    </w:p>
    <w:p w:rsidR="009C4A52" w:rsidRPr="00650376" w:rsidRDefault="009C4A52" w:rsidP="009C4A52">
      <w:pPr>
        <w:jc w:val="center"/>
        <w:rPr>
          <w:rFonts w:ascii="Calibri" w:hAnsi="Calibri"/>
          <w:b/>
          <w:sz w:val="22"/>
          <w:szCs w:val="22"/>
        </w:rPr>
      </w:pPr>
    </w:p>
    <w:p w:rsidR="009C4A52" w:rsidRPr="00650376" w:rsidRDefault="009C4A52" w:rsidP="009C4A52">
      <w:pPr>
        <w:rPr>
          <w:rFonts w:ascii="Calibri" w:hAnsi="Calibri"/>
          <w:b/>
          <w:sz w:val="22"/>
          <w:szCs w:val="22"/>
        </w:rPr>
      </w:pPr>
      <w:r w:rsidRPr="00650376">
        <w:rPr>
          <w:rFonts w:ascii="Calibri" w:hAnsi="Calibri"/>
          <w:b/>
          <w:sz w:val="22"/>
          <w:szCs w:val="22"/>
        </w:rPr>
        <w:t xml:space="preserve">Background: </w:t>
      </w:r>
    </w:p>
    <w:p w:rsidR="009C4A52" w:rsidRPr="00650376" w:rsidRDefault="009C4A52" w:rsidP="009C4A52">
      <w:pPr>
        <w:jc w:val="both"/>
        <w:rPr>
          <w:rFonts w:ascii="Calibri" w:hAnsi="Calibri" w:cs="Calibri"/>
          <w:bCs/>
          <w:color w:val="000000"/>
          <w:sz w:val="22"/>
          <w:szCs w:val="22"/>
        </w:rPr>
      </w:pPr>
      <w:r w:rsidRPr="00650376">
        <w:rPr>
          <w:rFonts w:ascii="Calibri" w:hAnsi="Calibri" w:cs="Calibri"/>
          <w:bCs/>
          <w:sz w:val="22"/>
          <w:szCs w:val="22"/>
        </w:rPr>
        <w:t xml:space="preserve">The Georgia Human Security through Community Participation (HUS-CO) project responds to the long term development needs of the country’s Internally Displaced People (IDP) communities which have suffered from </w:t>
      </w:r>
      <w:r w:rsidRPr="00650376">
        <w:rPr>
          <w:rFonts w:ascii="Calibri" w:hAnsi="Calibri" w:cs="Calibri"/>
          <w:bCs/>
          <w:color w:val="000000"/>
          <w:sz w:val="22"/>
          <w:szCs w:val="22"/>
        </w:rPr>
        <w:t xml:space="preserve">several political and economic shocks over the past 16 years; as well as recently of the combined effect of the global economic crisis and of the negative impact of past conflict. Prompted initially by the need to provide immediate humanitarian assistance following the 2008 conflict and planned in regions with the most influx of displaced, resources allocation allowed to focus only on the earmarked region of </w:t>
      </w:r>
      <w:proofErr w:type="spellStart"/>
      <w:r w:rsidRPr="00650376">
        <w:rPr>
          <w:rFonts w:ascii="Calibri" w:hAnsi="Calibri" w:cs="Calibri"/>
          <w:bCs/>
          <w:color w:val="000000"/>
          <w:sz w:val="22"/>
          <w:szCs w:val="22"/>
        </w:rPr>
        <w:t>Samegrelo</w:t>
      </w:r>
      <w:proofErr w:type="spellEnd"/>
      <w:r w:rsidRPr="00650376">
        <w:rPr>
          <w:rFonts w:ascii="Calibri" w:hAnsi="Calibri" w:cs="Calibri"/>
          <w:bCs/>
          <w:color w:val="000000"/>
          <w:sz w:val="22"/>
          <w:szCs w:val="22"/>
        </w:rPr>
        <w:t xml:space="preserve"> – </w:t>
      </w:r>
      <w:proofErr w:type="spellStart"/>
      <w:r w:rsidRPr="00650376">
        <w:rPr>
          <w:rFonts w:ascii="Calibri" w:hAnsi="Calibri" w:cs="Calibri"/>
          <w:bCs/>
          <w:color w:val="000000"/>
          <w:sz w:val="22"/>
          <w:szCs w:val="22"/>
        </w:rPr>
        <w:t>Zemo</w:t>
      </w:r>
      <w:proofErr w:type="spellEnd"/>
      <w:r w:rsidRPr="00650376">
        <w:rPr>
          <w:rFonts w:ascii="Calibri" w:hAnsi="Calibri" w:cs="Calibri"/>
          <w:bCs/>
          <w:color w:val="000000"/>
          <w:sz w:val="22"/>
          <w:szCs w:val="22"/>
        </w:rPr>
        <w:t xml:space="preserve"> </w:t>
      </w:r>
      <w:proofErr w:type="spellStart"/>
      <w:r w:rsidRPr="00650376">
        <w:rPr>
          <w:rFonts w:ascii="Calibri" w:hAnsi="Calibri" w:cs="Calibri"/>
          <w:bCs/>
          <w:color w:val="000000"/>
          <w:sz w:val="22"/>
          <w:szCs w:val="22"/>
        </w:rPr>
        <w:t>Svaneti</w:t>
      </w:r>
      <w:proofErr w:type="spellEnd"/>
      <w:r w:rsidRPr="00650376">
        <w:rPr>
          <w:rFonts w:ascii="Calibri" w:hAnsi="Calibri" w:cs="Calibri"/>
          <w:bCs/>
          <w:color w:val="000000"/>
          <w:sz w:val="22"/>
          <w:szCs w:val="22"/>
        </w:rPr>
        <w:t xml:space="preserve"> where the HUS-CO Project represents an integrated response to Georgia’s chronic IDP challenge dating back to 1992 - over 220,000 long-standing IDPs.</w:t>
      </w:r>
    </w:p>
    <w:p w:rsidR="009C4A52" w:rsidRPr="00650376" w:rsidRDefault="009C4A52" w:rsidP="009C4A52">
      <w:pPr>
        <w:jc w:val="both"/>
        <w:rPr>
          <w:rFonts w:ascii="Calibri" w:hAnsi="Calibri" w:cs="Calibri"/>
          <w:bCs/>
          <w:color w:val="000000"/>
          <w:sz w:val="22"/>
          <w:szCs w:val="22"/>
        </w:rPr>
      </w:pPr>
    </w:p>
    <w:p w:rsidR="009C4A52" w:rsidRPr="00650376" w:rsidRDefault="009C4A52" w:rsidP="009C4A52">
      <w:pPr>
        <w:jc w:val="both"/>
        <w:rPr>
          <w:rFonts w:ascii="Calibri" w:hAnsi="Calibri"/>
          <w:b/>
          <w:sz w:val="22"/>
          <w:szCs w:val="22"/>
        </w:rPr>
      </w:pPr>
      <w:r w:rsidRPr="00650376">
        <w:rPr>
          <w:rFonts w:ascii="Calibri" w:hAnsi="Calibri" w:cs="Calibri"/>
          <w:bCs/>
          <w:color w:val="000000"/>
          <w:sz w:val="22"/>
          <w:szCs w:val="22"/>
        </w:rPr>
        <w:t xml:space="preserve">For this reason the program targets the region which has the largest (except Tbilisi) concentration of IDPs – </w:t>
      </w:r>
      <w:proofErr w:type="spellStart"/>
      <w:r w:rsidRPr="00650376">
        <w:rPr>
          <w:rFonts w:ascii="Calibri" w:hAnsi="Calibri" w:cs="Calibri"/>
          <w:bCs/>
          <w:color w:val="000000"/>
          <w:sz w:val="22"/>
          <w:szCs w:val="22"/>
        </w:rPr>
        <w:t>Samegrelo</w:t>
      </w:r>
      <w:proofErr w:type="spellEnd"/>
      <w:r w:rsidRPr="00650376">
        <w:rPr>
          <w:rFonts w:ascii="Calibri" w:hAnsi="Calibri" w:cs="Calibri"/>
          <w:bCs/>
          <w:color w:val="000000"/>
          <w:sz w:val="22"/>
          <w:szCs w:val="22"/>
        </w:rPr>
        <w:t>.</w:t>
      </w:r>
      <w:r w:rsidRPr="00650376">
        <w:rPr>
          <w:rFonts w:ascii="Calibri" w:hAnsi="Calibri" w:cs="Calibri"/>
          <w:color w:val="000000"/>
          <w:sz w:val="22"/>
          <w:szCs w:val="22"/>
        </w:rPr>
        <w:t xml:space="preserve"> The project focuses on addressing issues relating to </w:t>
      </w:r>
      <w:r w:rsidRPr="00650376">
        <w:rPr>
          <w:rFonts w:ascii="Calibri" w:hAnsi="Calibri" w:cs="Calibri"/>
          <w:b/>
          <w:color w:val="000000"/>
          <w:sz w:val="22"/>
          <w:szCs w:val="22"/>
        </w:rPr>
        <w:t>Strategic Planning</w:t>
      </w:r>
      <w:r w:rsidRPr="00650376">
        <w:rPr>
          <w:rFonts w:ascii="Calibri" w:hAnsi="Calibri" w:cs="Calibri"/>
          <w:color w:val="000000"/>
          <w:sz w:val="22"/>
          <w:szCs w:val="22"/>
        </w:rPr>
        <w:t xml:space="preserve"> (social integration, access to justice and public awareness, capacity building); </w:t>
      </w:r>
      <w:r w:rsidRPr="00650376">
        <w:rPr>
          <w:rFonts w:ascii="Calibri" w:hAnsi="Calibri" w:cs="Calibri"/>
          <w:b/>
          <w:color w:val="000000"/>
          <w:sz w:val="22"/>
          <w:szCs w:val="22"/>
        </w:rPr>
        <w:t>Economic development</w:t>
      </w:r>
      <w:r w:rsidRPr="00650376">
        <w:rPr>
          <w:rFonts w:ascii="Calibri" w:hAnsi="Calibri" w:cs="Calibri"/>
          <w:color w:val="000000"/>
          <w:sz w:val="22"/>
          <w:szCs w:val="22"/>
        </w:rPr>
        <w:t xml:space="preserve"> (business, vocational training, MFIs, employment); </w:t>
      </w:r>
      <w:r w:rsidRPr="00650376">
        <w:rPr>
          <w:rFonts w:ascii="Calibri" w:hAnsi="Calibri" w:cs="Calibri"/>
          <w:b/>
          <w:color w:val="000000"/>
          <w:sz w:val="22"/>
          <w:szCs w:val="22"/>
        </w:rPr>
        <w:t>Community participation</w:t>
      </w:r>
      <w:r w:rsidRPr="00650376">
        <w:rPr>
          <w:rFonts w:ascii="Calibri" w:hAnsi="Calibri" w:cs="Calibri"/>
          <w:color w:val="000000"/>
          <w:sz w:val="22"/>
          <w:szCs w:val="22"/>
        </w:rPr>
        <w:t xml:space="preserve"> (mobilization, CDP, </w:t>
      </w:r>
      <w:r w:rsidRPr="00650376">
        <w:rPr>
          <w:rFonts w:ascii="Calibri" w:hAnsi="Calibri" w:cs="Calibri"/>
          <w:color w:val="000000"/>
          <w:sz w:val="22"/>
          <w:szCs w:val="22"/>
        </w:rPr>
        <w:lastRenderedPageBreak/>
        <w:t xml:space="preserve">community fund, </w:t>
      </w:r>
      <w:proofErr w:type="spellStart"/>
      <w:r w:rsidRPr="00650376">
        <w:rPr>
          <w:rFonts w:ascii="Calibri" w:hAnsi="Calibri" w:cs="Calibri"/>
          <w:color w:val="000000"/>
          <w:sz w:val="22"/>
          <w:szCs w:val="22"/>
        </w:rPr>
        <w:t>etc</w:t>
      </w:r>
      <w:proofErr w:type="spellEnd"/>
      <w:r w:rsidRPr="00650376">
        <w:rPr>
          <w:rFonts w:ascii="Calibri" w:hAnsi="Calibri" w:cs="Calibri"/>
          <w:color w:val="000000"/>
          <w:sz w:val="22"/>
          <w:szCs w:val="22"/>
        </w:rPr>
        <w:t xml:space="preserve">) and </w:t>
      </w:r>
      <w:r w:rsidRPr="00650376">
        <w:rPr>
          <w:rFonts w:ascii="Calibri" w:hAnsi="Calibri" w:cs="Calibri"/>
          <w:b/>
          <w:color w:val="000000"/>
          <w:sz w:val="22"/>
          <w:szCs w:val="22"/>
        </w:rPr>
        <w:t>Cross Practical Initiatives</w:t>
      </w:r>
      <w:r w:rsidRPr="00650376">
        <w:rPr>
          <w:rFonts w:ascii="Calibri" w:hAnsi="Calibri" w:cs="Calibri"/>
          <w:color w:val="000000"/>
          <w:sz w:val="22"/>
          <w:szCs w:val="22"/>
        </w:rPr>
        <w:t xml:space="preserve"> (</w:t>
      </w:r>
      <w:r w:rsidRPr="00650376">
        <w:rPr>
          <w:rFonts w:ascii="Calibri" w:hAnsi="Calibri" w:cs="Calibri"/>
          <w:sz w:val="22"/>
          <w:szCs w:val="22"/>
          <w:lang w:val="en-GB"/>
        </w:rPr>
        <w:t>conflict sensitive business practice, parallel technical activities, integrated approach</w:t>
      </w:r>
      <w:r w:rsidRPr="00650376">
        <w:rPr>
          <w:rFonts w:ascii="Calibri" w:hAnsi="Calibri" w:cs="Calibri"/>
          <w:color w:val="000000"/>
          <w:sz w:val="22"/>
          <w:szCs w:val="22"/>
        </w:rPr>
        <w:t xml:space="preserve">) and is implemented jointly with the </w:t>
      </w:r>
      <w:r w:rsidRPr="00650376">
        <w:rPr>
          <w:rFonts w:ascii="Calibri" w:eastAsia="Calibri" w:hAnsi="Calibri" w:cs="Calibri"/>
          <w:color w:val="000000"/>
          <w:sz w:val="22"/>
          <w:szCs w:val="22"/>
        </w:rPr>
        <w:t>Ministry of Internally Displaced Persons from Occupied Territories</w:t>
      </w:r>
      <w:r w:rsidRPr="00650376">
        <w:rPr>
          <w:rFonts w:ascii="Calibri" w:hAnsi="Calibri" w:cs="Calibri"/>
          <w:color w:val="000000"/>
          <w:sz w:val="22"/>
          <w:szCs w:val="22"/>
        </w:rPr>
        <w:t xml:space="preserve">, Accommodation and Refugees </w:t>
      </w:r>
      <w:r w:rsidRPr="00650376">
        <w:rPr>
          <w:rFonts w:ascii="Calibri" w:eastAsia="Calibri" w:hAnsi="Calibri" w:cs="Calibri"/>
          <w:color w:val="000000"/>
          <w:sz w:val="22"/>
          <w:szCs w:val="22"/>
        </w:rPr>
        <w:t xml:space="preserve">(MRA) of </w:t>
      </w:r>
      <w:r w:rsidRPr="00650376">
        <w:rPr>
          <w:rFonts w:ascii="Calibri" w:hAnsi="Calibri" w:cs="Calibri"/>
          <w:color w:val="000000"/>
          <w:sz w:val="22"/>
          <w:szCs w:val="22"/>
        </w:rPr>
        <w:t xml:space="preserve">Georgia and the administration office of the </w:t>
      </w:r>
      <w:proofErr w:type="spellStart"/>
      <w:r w:rsidRPr="00650376">
        <w:rPr>
          <w:rFonts w:ascii="Calibri" w:hAnsi="Calibri" w:cs="Calibri"/>
          <w:color w:val="000000"/>
          <w:sz w:val="22"/>
          <w:szCs w:val="22"/>
        </w:rPr>
        <w:t>Governor’s</w:t>
      </w:r>
      <w:proofErr w:type="spellEnd"/>
      <w:r w:rsidRPr="00650376">
        <w:rPr>
          <w:rFonts w:ascii="Calibri" w:hAnsi="Calibri" w:cs="Calibri"/>
          <w:color w:val="000000"/>
          <w:sz w:val="22"/>
          <w:szCs w:val="22"/>
        </w:rPr>
        <w:t xml:space="preserve"> of the region.</w:t>
      </w:r>
      <w:r w:rsidRPr="00650376">
        <w:rPr>
          <w:rFonts w:ascii="Calibri" w:hAnsi="Calibri" w:cs="Calibri"/>
          <w:bCs/>
          <w:color w:val="000000"/>
          <w:sz w:val="22"/>
          <w:szCs w:val="22"/>
        </w:rPr>
        <w:t xml:space="preserve"> </w:t>
      </w:r>
      <w:r w:rsidRPr="00650376">
        <w:rPr>
          <w:rFonts w:ascii="Calibri" w:hAnsi="Calibri" w:cs="Calibri"/>
          <w:color w:val="000000"/>
          <w:sz w:val="22"/>
          <w:szCs w:val="22"/>
        </w:rPr>
        <w:t>Through its four main interconnected components,</w:t>
      </w:r>
      <w:r w:rsidRPr="00650376">
        <w:rPr>
          <w:rFonts w:ascii="Calibri" w:hAnsi="Calibri" w:cs="Calibri"/>
          <w:bCs/>
          <w:color w:val="000000"/>
          <w:sz w:val="22"/>
          <w:szCs w:val="22"/>
        </w:rPr>
        <w:t xml:space="preserve"> the project makes the deliberate and strategic transition from recovery efforts to long term development, ostensibly focusing on building the human capabilities of IDPs to improve their integration into social live as well as further develop their livelihoods. </w:t>
      </w:r>
      <w:r w:rsidRPr="00650376">
        <w:rPr>
          <w:rFonts w:ascii="Calibri" w:hAnsi="Calibri" w:cs="Calibri"/>
          <w:color w:val="000000"/>
          <w:sz w:val="22"/>
          <w:szCs w:val="22"/>
        </w:rPr>
        <w:t xml:space="preserve">It intended to promote targeted interventions tailored to the real needs of disadvantaged people and communities, as shown by the example of </w:t>
      </w:r>
      <w:proofErr w:type="spellStart"/>
      <w:r w:rsidRPr="00650376">
        <w:rPr>
          <w:rFonts w:ascii="Calibri" w:hAnsi="Calibri" w:cs="Calibri"/>
          <w:color w:val="000000"/>
          <w:sz w:val="22"/>
          <w:szCs w:val="22"/>
        </w:rPr>
        <w:t>Poti</w:t>
      </w:r>
      <w:proofErr w:type="spellEnd"/>
      <w:r w:rsidRPr="00650376">
        <w:rPr>
          <w:rFonts w:ascii="Calibri" w:hAnsi="Calibri" w:cs="Calibri"/>
          <w:color w:val="000000"/>
          <w:sz w:val="22"/>
          <w:szCs w:val="22"/>
        </w:rPr>
        <w:t xml:space="preserve"> City which was included in the project at a later stage due to the difficulties faced by IDPs while resettling in this city. </w:t>
      </w:r>
      <w:r w:rsidRPr="00650376">
        <w:rPr>
          <w:rFonts w:ascii="Calibri" w:hAnsi="Calibri" w:cs="Calibri"/>
          <w:bCs/>
          <w:color w:val="000000"/>
          <w:sz w:val="22"/>
          <w:szCs w:val="22"/>
        </w:rPr>
        <w:t>Critically, however, the program’s modules are designed to mobilize wider positive benefits, encompassing non-IDP host</w:t>
      </w:r>
      <w:r w:rsidRPr="00650376">
        <w:rPr>
          <w:rFonts w:ascii="Calibri" w:hAnsi="Calibri" w:cs="Calibri"/>
          <w:bCs/>
          <w:sz w:val="22"/>
          <w:szCs w:val="22"/>
        </w:rPr>
        <w:t xml:space="preserve"> communities, as well as addressing the larger social integration priorities of the Government. In order to achieve this goal the Program has adopted the human security approach which is rooted in a multi-</w:t>
      </w:r>
      <w:proofErr w:type="spellStart"/>
      <w:r w:rsidRPr="00650376">
        <w:rPr>
          <w:rFonts w:ascii="Calibri" w:hAnsi="Calibri" w:cs="Calibri"/>
          <w:bCs/>
          <w:sz w:val="22"/>
          <w:szCs w:val="22"/>
        </w:rPr>
        <w:t>sectoral</w:t>
      </w:r>
      <w:proofErr w:type="spellEnd"/>
      <w:r w:rsidRPr="00650376">
        <w:rPr>
          <w:rFonts w:ascii="Calibri" w:hAnsi="Calibri" w:cs="Calibri"/>
          <w:bCs/>
          <w:sz w:val="22"/>
          <w:szCs w:val="22"/>
        </w:rPr>
        <w:t xml:space="preserve"> development philosophy</w:t>
      </w:r>
      <w:r w:rsidRPr="00650376">
        <w:rPr>
          <w:rFonts w:ascii="Calibri" w:hAnsi="Calibri" w:cs="Calibri"/>
          <w:sz w:val="22"/>
          <w:szCs w:val="22"/>
        </w:rPr>
        <w:t xml:space="preserve">. Each component aim to assist the Government’s State Strategy for Internally Displaced Persons, by helping to bolster employment and income generating opportunities, thus assisting with improvements in quality of life and through community mobilization supports the social capital and social integration of IDPs.   </w:t>
      </w:r>
    </w:p>
    <w:p w:rsidR="009C4A52" w:rsidRPr="00650376" w:rsidRDefault="009C4A52" w:rsidP="009C4A52">
      <w:pPr>
        <w:jc w:val="center"/>
        <w:rPr>
          <w:rFonts w:ascii="Calibri" w:hAnsi="Calibri"/>
          <w:b/>
          <w:sz w:val="22"/>
          <w:szCs w:val="22"/>
        </w:rPr>
      </w:pPr>
    </w:p>
    <w:p w:rsidR="009C4A52" w:rsidRPr="00650376" w:rsidRDefault="009C4A52" w:rsidP="009C4A52">
      <w:pPr>
        <w:jc w:val="both"/>
        <w:rPr>
          <w:rFonts w:ascii="Calibri" w:hAnsi="Calibri" w:cs="Calibri"/>
          <w:sz w:val="22"/>
          <w:szCs w:val="22"/>
          <w:lang w:val="en-GB"/>
        </w:rPr>
      </w:pPr>
      <w:r w:rsidRPr="00650376">
        <w:rPr>
          <w:rFonts w:ascii="Calibri" w:hAnsi="Calibri" w:cs="Calibri"/>
          <w:sz w:val="22"/>
          <w:szCs w:val="22"/>
          <w:lang w:val="en-GB"/>
        </w:rPr>
        <w:t xml:space="preserve">Under the direct supervision of the International Consultant /Team Leader and the UNDP Deputy Resident Representative/DRR, the National Consultant will be required to assist the Team Leader to conduct an evaluation of the HUS-CO project, according to the following objectives identified below: </w:t>
      </w:r>
    </w:p>
    <w:p w:rsidR="009C4A52" w:rsidRPr="00650376" w:rsidRDefault="009C4A52" w:rsidP="009C4A52">
      <w:pPr>
        <w:rPr>
          <w:rFonts w:ascii="Calibri" w:hAnsi="Calibri" w:cs="Calibri"/>
          <w:sz w:val="22"/>
          <w:szCs w:val="22"/>
          <w:lang w:val="en-GB"/>
        </w:rPr>
      </w:pPr>
    </w:p>
    <w:p w:rsidR="009C4A52" w:rsidRPr="00650376" w:rsidRDefault="009C4A52" w:rsidP="009C4A52">
      <w:pPr>
        <w:jc w:val="both"/>
        <w:rPr>
          <w:rFonts w:ascii="Calibri" w:hAnsi="Calibri" w:cs="Calibri"/>
          <w:b/>
          <w:sz w:val="22"/>
          <w:szCs w:val="22"/>
          <w:lang w:val="en-GB"/>
        </w:rPr>
      </w:pPr>
      <w:r w:rsidRPr="00650376">
        <w:rPr>
          <w:rFonts w:ascii="Calibri" w:hAnsi="Calibri" w:cs="Myriad Pro"/>
          <w:b/>
          <w:sz w:val="22"/>
          <w:szCs w:val="22"/>
          <w:u w:val="single"/>
        </w:rPr>
        <w:t>Objectives of consultancy</w:t>
      </w:r>
      <w:r w:rsidRPr="00650376">
        <w:rPr>
          <w:rFonts w:ascii="Calibri" w:hAnsi="Calibri" w:cs="Myriad Pro"/>
          <w:b/>
          <w:sz w:val="22"/>
          <w:szCs w:val="22"/>
        </w:rPr>
        <w:t xml:space="preserve">: </w:t>
      </w:r>
    </w:p>
    <w:p w:rsidR="009C4A52" w:rsidRPr="00650376" w:rsidRDefault="009C4A52" w:rsidP="009C4A52">
      <w:pPr>
        <w:pStyle w:val="ListParagraph"/>
        <w:jc w:val="both"/>
        <w:rPr>
          <w:rFonts w:ascii="Calibri" w:hAnsi="Calibri" w:cs="Calibri"/>
          <w:b/>
          <w:sz w:val="22"/>
          <w:szCs w:val="22"/>
        </w:rPr>
      </w:pPr>
    </w:p>
    <w:p w:rsidR="009C4A52" w:rsidRPr="00650376" w:rsidRDefault="009C4A52" w:rsidP="009C4A52">
      <w:pPr>
        <w:jc w:val="both"/>
        <w:rPr>
          <w:rFonts w:ascii="Calibri" w:hAnsi="Calibri" w:cs="Calibri"/>
          <w:sz w:val="22"/>
          <w:szCs w:val="22"/>
          <w:lang w:val="en-GB"/>
        </w:rPr>
      </w:pPr>
      <w:r w:rsidRPr="00650376">
        <w:rPr>
          <w:rFonts w:ascii="Calibri" w:hAnsi="Calibri" w:cs="Calibri"/>
          <w:sz w:val="22"/>
          <w:szCs w:val="22"/>
          <w:lang w:val="en-GB"/>
        </w:rPr>
        <w:t xml:space="preserve">The overall objective of the evaluation is to assess the impact of the HUS-CO on the post-conflict transformation dynamics in the </w:t>
      </w:r>
      <w:proofErr w:type="spellStart"/>
      <w:r w:rsidRPr="00650376">
        <w:rPr>
          <w:rFonts w:ascii="Calibri" w:hAnsi="Calibri" w:cs="Calibri"/>
          <w:sz w:val="22"/>
          <w:szCs w:val="22"/>
          <w:lang w:val="en-GB"/>
        </w:rPr>
        <w:t>Samegrelo</w:t>
      </w:r>
      <w:proofErr w:type="spellEnd"/>
      <w:r w:rsidRPr="00650376">
        <w:rPr>
          <w:rFonts w:ascii="Calibri" w:hAnsi="Calibri" w:cs="Calibri"/>
          <w:sz w:val="22"/>
          <w:szCs w:val="22"/>
          <w:lang w:val="en-GB"/>
        </w:rPr>
        <w:t>–</w:t>
      </w:r>
      <w:proofErr w:type="spellStart"/>
      <w:r w:rsidRPr="00650376">
        <w:rPr>
          <w:rFonts w:ascii="Calibri" w:hAnsi="Calibri" w:cs="Calibri"/>
          <w:sz w:val="22"/>
          <w:szCs w:val="22"/>
          <w:lang w:val="en-GB"/>
        </w:rPr>
        <w:t>Zemo</w:t>
      </w:r>
      <w:proofErr w:type="spellEnd"/>
      <w:r w:rsidRPr="00650376">
        <w:rPr>
          <w:rFonts w:ascii="Calibri" w:hAnsi="Calibri" w:cs="Calibri"/>
          <w:sz w:val="22"/>
          <w:szCs w:val="22"/>
          <w:lang w:val="en-GB"/>
        </w:rPr>
        <w:t xml:space="preserve"> </w:t>
      </w:r>
      <w:proofErr w:type="spellStart"/>
      <w:r w:rsidRPr="00650376">
        <w:rPr>
          <w:rFonts w:ascii="Calibri" w:hAnsi="Calibri" w:cs="Calibri"/>
          <w:sz w:val="22"/>
          <w:szCs w:val="22"/>
          <w:lang w:val="en-GB"/>
        </w:rPr>
        <w:t>Svaneti</w:t>
      </w:r>
      <w:proofErr w:type="spellEnd"/>
      <w:r w:rsidRPr="00650376">
        <w:rPr>
          <w:rFonts w:ascii="Calibri" w:hAnsi="Calibri" w:cs="Calibri"/>
          <w:sz w:val="22"/>
          <w:szCs w:val="22"/>
          <w:lang w:val="en-GB"/>
        </w:rPr>
        <w:t xml:space="preserve"> region, as well as its contribution to enhancing process of Human Security</w:t>
      </w:r>
      <w:r w:rsidRPr="00650376">
        <w:rPr>
          <w:rFonts w:ascii="Calibri" w:hAnsi="Calibri" w:cs="Calibri"/>
          <w:b/>
          <w:sz w:val="22"/>
          <w:szCs w:val="22"/>
          <w:lang w:val="en-GB"/>
        </w:rPr>
        <w:t xml:space="preserve"> </w:t>
      </w:r>
      <w:r w:rsidRPr="00650376">
        <w:rPr>
          <w:rFonts w:ascii="Calibri" w:hAnsi="Calibri" w:cs="Calibri"/>
          <w:sz w:val="22"/>
          <w:szCs w:val="22"/>
          <w:lang w:val="en-GB"/>
        </w:rPr>
        <w:t>and social integration of IDPs within the region.</w:t>
      </w:r>
    </w:p>
    <w:p w:rsidR="009C4A52" w:rsidRPr="00650376" w:rsidRDefault="009C4A52" w:rsidP="009C4A52">
      <w:pPr>
        <w:jc w:val="both"/>
        <w:rPr>
          <w:rFonts w:ascii="Calibri" w:hAnsi="Calibri" w:cs="Calibri"/>
          <w:sz w:val="22"/>
          <w:szCs w:val="22"/>
          <w:lang w:val="en-GB"/>
        </w:rPr>
      </w:pPr>
      <w:r w:rsidRPr="00650376">
        <w:rPr>
          <w:rFonts w:ascii="Calibri" w:hAnsi="Calibri" w:cs="Calibri"/>
          <w:sz w:val="22"/>
          <w:szCs w:val="22"/>
          <w:lang w:val="en-GB"/>
        </w:rPr>
        <w:t xml:space="preserve"> </w:t>
      </w:r>
    </w:p>
    <w:p w:rsidR="009C4A52" w:rsidRPr="00650376" w:rsidRDefault="009C4A52" w:rsidP="009C4A52">
      <w:pPr>
        <w:jc w:val="both"/>
        <w:rPr>
          <w:rFonts w:ascii="Calibri" w:hAnsi="Calibri" w:cs="Calibri"/>
          <w:sz w:val="22"/>
          <w:szCs w:val="22"/>
          <w:lang w:val="en-GB"/>
        </w:rPr>
      </w:pPr>
      <w:r w:rsidRPr="00650376">
        <w:rPr>
          <w:rFonts w:ascii="Calibri" w:hAnsi="Calibri" w:cs="Calibri"/>
          <w:sz w:val="22"/>
          <w:szCs w:val="22"/>
          <w:lang w:val="en-GB"/>
        </w:rPr>
        <w:t>More specifically the evaluation will:</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Analyze the effectiveness of the overall strategy and methodology of the project, such as for example, its multi-stakeholder approach, coordination efforts, community participation, capacity building, public awareness plans, and partnerships;</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Assess the results of the project four components  in terms of achievements/gaps in delivering outputs, contributing to outcomes, reaching target and beneficiaries groups;</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Assess how the project upon  strengthening the rule of law/awareness initiatives has enhanced a more equitable society, and promoted human rights;</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Analyze the following 6 key activities contributing towards the realization of the project goal: community mobilization, small community infrastructure project, capacity building of Local Authorities, Microfinance and Business support, agro TV program and Vocational Training.</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 xml:space="preserve">Assess how the project contributed to empowering and increasing the level of human security of vulnerable people (including IDPs) through awareness, community strengthening, vocational education, income generation and job creation as well as overall contribution to human to security changes at the regional level. </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sz w:val="22"/>
          <w:szCs w:val="22"/>
        </w:rPr>
        <w:t xml:space="preserve">Evaluate how mobilization and small infrastructure repair/construction contributed to develop an effective two-way (government-society) interaction, prompt public debate, active public participation and a sense of ownership over communities’ projects.  </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sz w:val="22"/>
          <w:szCs w:val="22"/>
        </w:rPr>
        <w:lastRenderedPageBreak/>
        <w:t>Determine how participatory approaches to decision making and implementation of development activities, have strengthened community/authorities relationships and interaction between people and their representative;</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 xml:space="preserve">Discern the thematic areas which has the biggest potential to contribute to human security (publications, research, social services, livelihoods, business development, </w:t>
      </w:r>
      <w:proofErr w:type="spellStart"/>
      <w:r w:rsidRPr="00650376">
        <w:rPr>
          <w:rFonts w:ascii="Calibri" w:hAnsi="Calibri" w:cs="Calibri"/>
          <w:sz w:val="22"/>
          <w:szCs w:val="22"/>
        </w:rPr>
        <w:t>etc</w:t>
      </w:r>
      <w:proofErr w:type="spellEnd"/>
      <w:r w:rsidRPr="00650376">
        <w:rPr>
          <w:rFonts w:ascii="Calibri" w:hAnsi="Calibri" w:cs="Calibri"/>
          <w:sz w:val="22"/>
          <w:szCs w:val="22"/>
        </w:rPr>
        <w:t>);</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 xml:space="preserve">Discern target groups having the biggest potential to boost the human security efforts (youth, women, professional groups, IDPs etc.); </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Identify the areas which have the greatest potential for future interventions for Human Security and society transformation;</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 xml:space="preserve">Analyze lessons learned (identifying strengths and weaknesses) on both substantive and project management issues that will inform future work; </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Assess the importance of HUS-CO as part of a broader UNDP Georgia engagement in supporting Human Security initiatives and those of other relevant donors/actors;</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Provide inputs/forward looking recommendations for the ongoing/future UNDP projects in the region and develop a follow-up plan for HUS-CO.</w:t>
      </w:r>
    </w:p>
    <w:p w:rsidR="009C4A52" w:rsidRPr="00650376" w:rsidRDefault="009C4A52" w:rsidP="009C4A52">
      <w:pPr>
        <w:pStyle w:val="ListParagraph"/>
        <w:numPr>
          <w:ilvl w:val="0"/>
          <w:numId w:val="1"/>
        </w:numPr>
        <w:spacing w:after="200" w:line="276" w:lineRule="auto"/>
        <w:jc w:val="both"/>
        <w:rPr>
          <w:rFonts w:ascii="Calibri" w:hAnsi="Calibri" w:cs="Calibri"/>
          <w:sz w:val="22"/>
          <w:szCs w:val="22"/>
        </w:rPr>
      </w:pPr>
      <w:r w:rsidRPr="00650376">
        <w:rPr>
          <w:rFonts w:ascii="Calibri" w:hAnsi="Calibri" w:cs="Calibri"/>
          <w:sz w:val="22"/>
          <w:szCs w:val="22"/>
        </w:rPr>
        <w:t xml:space="preserve">Assess existing or missing conditions for sustainability of project interventions and results. </w:t>
      </w:r>
    </w:p>
    <w:p w:rsidR="009C4A52" w:rsidRPr="00650376" w:rsidRDefault="009C4A52" w:rsidP="009C4A52">
      <w:pPr>
        <w:rPr>
          <w:rFonts w:ascii="Calibri" w:hAnsi="Calibri" w:cs="Calibri"/>
          <w:sz w:val="22"/>
          <w:szCs w:val="22"/>
          <w:u w:val="single"/>
        </w:rPr>
      </w:pPr>
      <w:r w:rsidRPr="00650376">
        <w:rPr>
          <w:rFonts w:ascii="Calibri" w:hAnsi="Calibri" w:cs="Calibri"/>
          <w:b/>
          <w:sz w:val="22"/>
          <w:szCs w:val="22"/>
          <w:u w:val="single"/>
        </w:rPr>
        <w:t>Major tasks to be accomplished</w:t>
      </w:r>
      <w:r w:rsidRPr="00650376" w:rsidDel="00BD3A8F">
        <w:rPr>
          <w:rFonts w:ascii="Calibri" w:hAnsi="Calibri" w:cs="Calibri"/>
          <w:sz w:val="22"/>
          <w:szCs w:val="22"/>
          <w:u w:val="single"/>
        </w:rPr>
        <w:t xml:space="preserve"> </w:t>
      </w:r>
    </w:p>
    <w:p w:rsidR="009C4A52" w:rsidRPr="00650376" w:rsidRDefault="009C4A52" w:rsidP="009C4A52">
      <w:pPr>
        <w:rPr>
          <w:rFonts w:ascii="Calibri" w:hAnsi="Calibri" w:cs="Calibri"/>
          <w:sz w:val="22"/>
          <w:szCs w:val="22"/>
          <w:lang w:val="en-GB"/>
        </w:rPr>
      </w:pPr>
      <w:r w:rsidRPr="00650376">
        <w:rPr>
          <w:rFonts w:ascii="Calibri" w:hAnsi="Calibri" w:cs="Calibri"/>
          <w:sz w:val="22"/>
          <w:szCs w:val="22"/>
          <w:lang w:val="en-GB"/>
        </w:rPr>
        <w:t xml:space="preserve">The national consultant will perform the following tasks: </w:t>
      </w:r>
    </w:p>
    <w:p w:rsidR="009C4A52" w:rsidRPr="00650376" w:rsidRDefault="009C4A52" w:rsidP="009C4A52">
      <w:pPr>
        <w:numPr>
          <w:ilvl w:val="0"/>
          <w:numId w:val="2"/>
        </w:numPr>
        <w:spacing w:after="200" w:line="276" w:lineRule="auto"/>
        <w:jc w:val="both"/>
        <w:rPr>
          <w:rFonts w:ascii="Calibri" w:hAnsi="Calibri" w:cs="Calibri"/>
          <w:sz w:val="22"/>
          <w:szCs w:val="22"/>
          <w:lang w:val="en-GB"/>
        </w:rPr>
      </w:pPr>
      <w:r w:rsidRPr="00650376">
        <w:rPr>
          <w:rFonts w:ascii="Calibri" w:hAnsi="Calibri" w:cs="Calibri"/>
          <w:sz w:val="22"/>
          <w:szCs w:val="22"/>
          <w:lang w:val="en-GB"/>
        </w:rPr>
        <w:t>Review documents;</w:t>
      </w:r>
    </w:p>
    <w:p w:rsidR="009C4A52" w:rsidRPr="00650376" w:rsidRDefault="009C4A52" w:rsidP="009C4A52">
      <w:pPr>
        <w:numPr>
          <w:ilvl w:val="0"/>
          <w:numId w:val="2"/>
        </w:numPr>
        <w:spacing w:after="200" w:line="276" w:lineRule="auto"/>
        <w:jc w:val="both"/>
        <w:rPr>
          <w:rFonts w:ascii="Calibri" w:hAnsi="Calibri" w:cs="Calibri"/>
          <w:sz w:val="22"/>
          <w:szCs w:val="22"/>
          <w:lang w:val="en-GB"/>
        </w:rPr>
      </w:pPr>
      <w:r w:rsidRPr="00650376">
        <w:rPr>
          <w:rFonts w:ascii="Calibri" w:hAnsi="Calibri" w:cs="Calibri"/>
          <w:sz w:val="22"/>
          <w:szCs w:val="22"/>
          <w:lang w:val="en-GB"/>
        </w:rPr>
        <w:t>Participate in the design of the evaluation methodology;</w:t>
      </w:r>
    </w:p>
    <w:p w:rsidR="009C4A52" w:rsidRPr="00650376" w:rsidRDefault="009C4A52" w:rsidP="009C4A52">
      <w:pPr>
        <w:numPr>
          <w:ilvl w:val="0"/>
          <w:numId w:val="2"/>
        </w:numPr>
        <w:spacing w:after="200" w:line="276" w:lineRule="auto"/>
        <w:jc w:val="both"/>
        <w:rPr>
          <w:rFonts w:ascii="Calibri" w:hAnsi="Calibri" w:cs="Calibri"/>
          <w:sz w:val="22"/>
          <w:szCs w:val="22"/>
          <w:lang w:val="en-GB"/>
        </w:rPr>
      </w:pPr>
      <w:r w:rsidRPr="00650376">
        <w:rPr>
          <w:rFonts w:ascii="Calibri" w:hAnsi="Calibri" w:cs="Calibri"/>
          <w:sz w:val="22"/>
          <w:szCs w:val="22"/>
          <w:lang w:val="en-GB"/>
        </w:rPr>
        <w:t>Conduct an analysis of the outcome, outputs and partnership strategy (as per the scope of the evaluation described above); and,</w:t>
      </w:r>
    </w:p>
    <w:p w:rsidR="009C4A52" w:rsidRPr="00650376" w:rsidRDefault="009C4A52" w:rsidP="009C4A52">
      <w:pPr>
        <w:numPr>
          <w:ilvl w:val="0"/>
          <w:numId w:val="2"/>
        </w:numPr>
        <w:spacing w:after="200" w:line="276" w:lineRule="auto"/>
        <w:jc w:val="both"/>
        <w:rPr>
          <w:rFonts w:ascii="Calibri" w:hAnsi="Calibri" w:cs="Calibri"/>
          <w:sz w:val="22"/>
          <w:szCs w:val="22"/>
          <w:lang w:val="en-GB"/>
        </w:rPr>
      </w:pPr>
      <w:r w:rsidRPr="00650376">
        <w:rPr>
          <w:rFonts w:ascii="Calibri" w:hAnsi="Calibri" w:cs="Calibri"/>
          <w:sz w:val="22"/>
          <w:szCs w:val="22"/>
          <w:lang w:val="en-GB"/>
        </w:rPr>
        <w:t>Assist the Team leader in finalizing document through incorporating suggestions received on draft related to his/her assigned sections.</w:t>
      </w:r>
    </w:p>
    <w:p w:rsidR="009C4A52" w:rsidRPr="00650376" w:rsidRDefault="009C4A52" w:rsidP="009C4A52">
      <w:pPr>
        <w:jc w:val="both"/>
        <w:rPr>
          <w:rFonts w:ascii="Calibri" w:hAnsi="Calibri" w:cs="Calibri"/>
          <w:b/>
          <w:sz w:val="22"/>
          <w:szCs w:val="22"/>
          <w:u w:val="single"/>
        </w:rPr>
      </w:pPr>
      <w:r w:rsidRPr="00650376">
        <w:rPr>
          <w:rFonts w:ascii="Calibri" w:hAnsi="Calibri" w:cs="Calibri"/>
          <w:b/>
          <w:sz w:val="22"/>
          <w:szCs w:val="22"/>
          <w:u w:val="single"/>
        </w:rPr>
        <w:t>Deliverables:</w:t>
      </w:r>
    </w:p>
    <w:p w:rsidR="009C4A52" w:rsidRPr="00650376" w:rsidRDefault="009C4A52" w:rsidP="009C4A52">
      <w:pPr>
        <w:jc w:val="both"/>
        <w:rPr>
          <w:rFonts w:ascii="Calibri" w:hAnsi="Calibri" w:cs="Calibri"/>
          <w:b/>
          <w:sz w:val="22"/>
          <w:szCs w:val="22"/>
          <w:u w:val="single"/>
        </w:rPr>
      </w:pPr>
    </w:p>
    <w:p w:rsidR="009C4A52" w:rsidRPr="00650376" w:rsidRDefault="009C4A52" w:rsidP="009C4A52">
      <w:pPr>
        <w:numPr>
          <w:ilvl w:val="0"/>
          <w:numId w:val="2"/>
        </w:numPr>
        <w:spacing w:after="200"/>
        <w:jc w:val="both"/>
        <w:rPr>
          <w:rFonts w:ascii="Calibri" w:hAnsi="Calibri" w:cs="Calibri"/>
          <w:sz w:val="22"/>
          <w:szCs w:val="22"/>
          <w:lang w:val="en-GB"/>
        </w:rPr>
      </w:pPr>
      <w:r w:rsidRPr="00650376">
        <w:rPr>
          <w:rFonts w:ascii="Calibri" w:hAnsi="Calibri" w:cs="Calibri"/>
          <w:sz w:val="22"/>
          <w:szCs w:val="22"/>
          <w:lang w:val="en-GB"/>
        </w:rPr>
        <w:t>Documents Reviewed;</w:t>
      </w:r>
    </w:p>
    <w:p w:rsidR="009C4A52" w:rsidRPr="00650376" w:rsidRDefault="009C4A52" w:rsidP="009C4A52">
      <w:pPr>
        <w:numPr>
          <w:ilvl w:val="0"/>
          <w:numId w:val="2"/>
        </w:numPr>
        <w:spacing w:after="200"/>
        <w:jc w:val="both"/>
        <w:rPr>
          <w:rFonts w:ascii="Calibri" w:hAnsi="Calibri" w:cs="Calibri"/>
          <w:sz w:val="22"/>
          <w:szCs w:val="22"/>
          <w:lang w:val="en-GB"/>
        </w:rPr>
      </w:pPr>
      <w:r w:rsidRPr="00650376">
        <w:rPr>
          <w:rFonts w:ascii="Calibri" w:hAnsi="Calibri" w:cs="Calibri"/>
          <w:sz w:val="22"/>
          <w:szCs w:val="22"/>
          <w:lang w:val="en-GB"/>
        </w:rPr>
        <w:t>Participated in the design of the evaluation methodology;</w:t>
      </w:r>
    </w:p>
    <w:p w:rsidR="009C4A52" w:rsidRPr="00650376" w:rsidRDefault="009C4A52" w:rsidP="009C4A52">
      <w:pPr>
        <w:numPr>
          <w:ilvl w:val="0"/>
          <w:numId w:val="2"/>
        </w:numPr>
        <w:spacing w:after="200"/>
        <w:jc w:val="both"/>
        <w:rPr>
          <w:rFonts w:ascii="Calibri" w:hAnsi="Calibri" w:cs="Calibri"/>
          <w:sz w:val="22"/>
          <w:szCs w:val="22"/>
          <w:lang w:val="en-GB"/>
        </w:rPr>
      </w:pPr>
      <w:r w:rsidRPr="00650376">
        <w:rPr>
          <w:rFonts w:ascii="Calibri" w:hAnsi="Calibri" w:cs="Calibri"/>
          <w:sz w:val="22"/>
          <w:szCs w:val="22"/>
          <w:lang w:val="en-GB"/>
        </w:rPr>
        <w:t>Conducted an analysis of the outcome, outputs and partnership strategy (as per the scope of the evaluation described above); and,</w:t>
      </w:r>
    </w:p>
    <w:p w:rsidR="009C4A52" w:rsidRPr="00650376" w:rsidRDefault="009C4A52" w:rsidP="009C4A52">
      <w:pPr>
        <w:numPr>
          <w:ilvl w:val="0"/>
          <w:numId w:val="2"/>
        </w:numPr>
        <w:spacing w:after="200"/>
        <w:jc w:val="both"/>
        <w:rPr>
          <w:rFonts w:ascii="Calibri" w:hAnsi="Calibri" w:cs="Calibri"/>
          <w:sz w:val="22"/>
          <w:szCs w:val="22"/>
          <w:lang w:val="en-GB"/>
        </w:rPr>
      </w:pPr>
      <w:r w:rsidRPr="00650376">
        <w:rPr>
          <w:rFonts w:ascii="Calibri" w:hAnsi="Calibri" w:cs="Calibri"/>
          <w:sz w:val="22"/>
          <w:szCs w:val="22"/>
          <w:lang w:val="en-GB"/>
        </w:rPr>
        <w:t>Assisted the Team leader in finalizing document through incorporating suggestions received on draft related to his/her assigned sections.</w:t>
      </w:r>
    </w:p>
    <w:p w:rsidR="00EB787A" w:rsidRPr="009C4A52" w:rsidRDefault="00EB787A">
      <w:pPr>
        <w:rPr>
          <w:lang w:val="en-GB"/>
        </w:rPr>
      </w:pPr>
    </w:p>
    <w:sectPr w:rsidR="00EB787A" w:rsidRPr="009C4A52" w:rsidSect="009C4A52">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1CB2"/>
    <w:multiLevelType w:val="hybridMultilevel"/>
    <w:tmpl w:val="09986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15F62"/>
    <w:multiLevelType w:val="hybridMultilevel"/>
    <w:tmpl w:val="20083BE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52"/>
    <w:rsid w:val="009C4A52"/>
    <w:rsid w:val="00EB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52"/>
    <w:pPr>
      <w:ind w:left="720"/>
      <w:contextualSpacing/>
    </w:pPr>
  </w:style>
  <w:style w:type="character" w:styleId="Strong">
    <w:name w:val="Strong"/>
    <w:uiPriority w:val="99"/>
    <w:qFormat/>
    <w:rsid w:val="009C4A52"/>
    <w:rPr>
      <w:b/>
      <w:bCs/>
    </w:rPr>
  </w:style>
  <w:style w:type="paragraph" w:styleId="BalloonText">
    <w:name w:val="Balloon Text"/>
    <w:basedOn w:val="Normal"/>
    <w:link w:val="BalloonTextChar"/>
    <w:uiPriority w:val="99"/>
    <w:semiHidden/>
    <w:unhideWhenUsed/>
    <w:rsid w:val="009C4A52"/>
    <w:rPr>
      <w:rFonts w:ascii="Tahoma" w:hAnsi="Tahoma" w:cs="Tahoma"/>
      <w:sz w:val="16"/>
      <w:szCs w:val="16"/>
    </w:rPr>
  </w:style>
  <w:style w:type="character" w:customStyle="1" w:styleId="BalloonTextChar">
    <w:name w:val="Balloon Text Char"/>
    <w:basedOn w:val="DefaultParagraphFont"/>
    <w:link w:val="BalloonText"/>
    <w:uiPriority w:val="99"/>
    <w:semiHidden/>
    <w:rsid w:val="009C4A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52"/>
    <w:pPr>
      <w:ind w:left="720"/>
      <w:contextualSpacing/>
    </w:pPr>
  </w:style>
  <w:style w:type="character" w:styleId="Strong">
    <w:name w:val="Strong"/>
    <w:uiPriority w:val="99"/>
    <w:qFormat/>
    <w:rsid w:val="009C4A52"/>
    <w:rPr>
      <w:b/>
      <w:bCs/>
    </w:rPr>
  </w:style>
  <w:style w:type="paragraph" w:styleId="BalloonText">
    <w:name w:val="Balloon Text"/>
    <w:basedOn w:val="Normal"/>
    <w:link w:val="BalloonTextChar"/>
    <w:uiPriority w:val="99"/>
    <w:semiHidden/>
    <w:unhideWhenUsed/>
    <w:rsid w:val="009C4A52"/>
    <w:rPr>
      <w:rFonts w:ascii="Tahoma" w:hAnsi="Tahoma" w:cs="Tahoma"/>
      <w:sz w:val="16"/>
      <w:szCs w:val="16"/>
    </w:rPr>
  </w:style>
  <w:style w:type="character" w:customStyle="1" w:styleId="BalloonTextChar">
    <w:name w:val="Balloon Text Char"/>
    <w:basedOn w:val="DefaultParagraphFont"/>
    <w:link w:val="BalloonText"/>
    <w:uiPriority w:val="99"/>
    <w:semiHidden/>
    <w:rsid w:val="009C4A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Khatuna Chanukvadze</dc:creator>
  <cp:lastModifiedBy>Khatuna Chanukvadze</cp:lastModifiedBy>
  <cp:revision>1</cp:revision>
  <dcterms:created xsi:type="dcterms:W3CDTF">2013-11-18T09:32:00Z</dcterms:created>
  <dcterms:modified xsi:type="dcterms:W3CDTF">2013-11-18T09:33:00Z</dcterms:modified>
</cp:coreProperties>
</file>