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64B" w:rsidRPr="00C1164B" w:rsidRDefault="00C1164B" w:rsidP="00C1164B">
      <w:pPr>
        <w:shd w:val="clear" w:color="auto" w:fill="E0E0E0"/>
        <w:spacing w:after="0" w:line="270" w:lineRule="atLeast"/>
        <w:jc w:val="center"/>
        <w:rPr>
          <w:rFonts w:ascii="Calibri" w:eastAsia="Times New Roman" w:hAnsi="Calibri" w:cs="Times New Roman"/>
          <w:b/>
          <w:sz w:val="20"/>
          <w:szCs w:val="20"/>
          <w:lang w:val="en-GB" w:eastAsia="da-DK"/>
        </w:rPr>
      </w:pPr>
    </w:p>
    <w:p w:rsidR="00C1164B" w:rsidRPr="00C1164B" w:rsidRDefault="00C1164B" w:rsidP="00C1164B">
      <w:pPr>
        <w:shd w:val="clear" w:color="auto" w:fill="E0E0E0"/>
        <w:spacing w:after="0" w:line="270" w:lineRule="atLeast"/>
        <w:jc w:val="center"/>
        <w:rPr>
          <w:rFonts w:ascii="Calibri" w:eastAsia="Times New Roman" w:hAnsi="Calibri" w:cs="Times New Roman"/>
          <w:b/>
          <w:i/>
          <w:spacing w:val="2"/>
          <w:sz w:val="24"/>
          <w:szCs w:val="24"/>
          <w:lang w:val="en-GB" w:eastAsia="da-DK"/>
        </w:rPr>
      </w:pPr>
      <w:r w:rsidRPr="00C1164B">
        <w:rPr>
          <w:rFonts w:ascii="Calibri" w:eastAsia="Times New Roman" w:hAnsi="Calibri" w:cs="Times New Roman"/>
          <w:b/>
          <w:i/>
          <w:spacing w:val="2"/>
          <w:sz w:val="24"/>
          <w:szCs w:val="24"/>
          <w:lang w:val="en-GB" w:eastAsia="da-DK"/>
        </w:rPr>
        <w:t>Evaluation of UNDP’s support to mobile courts arrangements in post-conflict situations</w:t>
      </w:r>
    </w:p>
    <w:p w:rsidR="00C1164B" w:rsidRPr="00C1164B" w:rsidRDefault="00C1164B" w:rsidP="00C1164B">
      <w:pPr>
        <w:shd w:val="clear" w:color="auto" w:fill="E0E0E0"/>
        <w:spacing w:after="0" w:line="270" w:lineRule="atLeast"/>
        <w:rPr>
          <w:rFonts w:ascii="Calibri" w:eastAsia="Times New Roman" w:hAnsi="Calibri" w:cs="Times New Roman"/>
          <w:sz w:val="23"/>
          <w:szCs w:val="20"/>
          <w:lang w:val="en-GB" w:eastAsia="da-DK"/>
        </w:rPr>
      </w:pPr>
    </w:p>
    <w:p w:rsidR="00C1164B" w:rsidRPr="00C1164B" w:rsidRDefault="00C1164B" w:rsidP="00C1164B">
      <w:pPr>
        <w:shd w:val="clear" w:color="auto" w:fill="E0E0E0"/>
        <w:spacing w:after="0" w:line="270" w:lineRule="atLeast"/>
        <w:jc w:val="center"/>
        <w:rPr>
          <w:rFonts w:ascii="Times New Roman" w:eastAsia="Times New Roman" w:hAnsi="Times New Roman" w:cs="Times New Roman"/>
          <w:b/>
          <w:spacing w:val="24"/>
          <w:sz w:val="28"/>
          <w:szCs w:val="28"/>
          <w:lang w:val="en-GB" w:eastAsia="da-DK"/>
        </w:rPr>
      </w:pPr>
      <w:r w:rsidRPr="00C1164B">
        <w:rPr>
          <w:rFonts w:ascii="Times New Roman" w:eastAsia="Times New Roman" w:hAnsi="Times New Roman" w:cs="Times New Roman"/>
          <w:b/>
          <w:spacing w:val="24"/>
          <w:sz w:val="28"/>
          <w:szCs w:val="28"/>
          <w:lang w:val="en-GB" w:eastAsia="da-DK"/>
        </w:rPr>
        <w:t>INCEPTION REPORT</w:t>
      </w:r>
    </w:p>
    <w:p w:rsidR="00C1164B" w:rsidRPr="00C1164B" w:rsidRDefault="00C1164B" w:rsidP="00C1164B">
      <w:pPr>
        <w:shd w:val="clear" w:color="auto" w:fill="E0E0E0"/>
        <w:spacing w:after="0" w:line="270" w:lineRule="atLeast"/>
        <w:rPr>
          <w:rFonts w:ascii="Calibri" w:eastAsia="Times New Roman" w:hAnsi="Calibri" w:cs="Times New Roman"/>
          <w:b/>
          <w:spacing w:val="24"/>
          <w:sz w:val="23"/>
          <w:szCs w:val="20"/>
          <w:lang w:val="en-GB" w:eastAsia="da-DK"/>
        </w:rPr>
      </w:pPr>
    </w:p>
    <w:p w:rsidR="00C1164B" w:rsidRPr="00C1164B" w:rsidRDefault="00C1164B" w:rsidP="00C1164B">
      <w:pPr>
        <w:pBdr>
          <w:bottom w:val="single" w:sz="18" w:space="1" w:color="800000"/>
        </w:pBdr>
        <w:spacing w:after="0" w:line="270" w:lineRule="atLeast"/>
        <w:rPr>
          <w:rFonts w:ascii="Calibri" w:eastAsia="Times New Roman" w:hAnsi="Calibri" w:cs="Times New Roman"/>
          <w:sz w:val="23"/>
          <w:szCs w:val="20"/>
          <w:lang w:val="en-GB" w:eastAsia="da-DK"/>
        </w:rPr>
      </w:pPr>
    </w:p>
    <w:p w:rsidR="00C1164B" w:rsidRPr="00C1164B" w:rsidRDefault="00C1164B" w:rsidP="00C1164B">
      <w:pPr>
        <w:tabs>
          <w:tab w:val="left" w:pos="360"/>
        </w:tabs>
        <w:spacing w:after="0" w:line="270" w:lineRule="atLeast"/>
        <w:rPr>
          <w:rFonts w:ascii="Calibri" w:eastAsia="Times New Roman" w:hAnsi="Calibri" w:cs="Times New Roman"/>
          <w:sz w:val="23"/>
          <w:szCs w:val="20"/>
          <w:lang w:val="en-GB" w:eastAsia="da-DK"/>
        </w:rPr>
      </w:pPr>
    </w:p>
    <w:p w:rsidR="00C1164B" w:rsidRPr="00C1164B" w:rsidRDefault="00C1164B" w:rsidP="00C1164B">
      <w:pPr>
        <w:spacing w:after="0" w:line="270" w:lineRule="atLeast"/>
        <w:rPr>
          <w:rFonts w:ascii="Calibri" w:eastAsia="Times New Roman" w:hAnsi="Calibri" w:cs="Times New Roman"/>
          <w:color w:val="0000FF"/>
          <w:sz w:val="23"/>
          <w:szCs w:val="20"/>
          <w:lang w:val="en-GB" w:eastAsia="da-DK"/>
        </w:rPr>
      </w:pPr>
    </w:p>
    <w:p w:rsidR="00C1164B" w:rsidRPr="00C1164B" w:rsidRDefault="00C1164B" w:rsidP="00C1164B">
      <w:pPr>
        <w:spacing w:after="0" w:line="270" w:lineRule="atLeast"/>
        <w:rPr>
          <w:rFonts w:ascii="Calibri" w:eastAsia="Times New Roman" w:hAnsi="Calibri" w:cs="Times New Roman"/>
          <w:color w:val="0000FF"/>
          <w:sz w:val="23"/>
          <w:szCs w:val="20"/>
          <w:lang w:val="en-GB" w:eastAsia="da-DK"/>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270" w:lineRule="atLeast"/>
        <w:rPr>
          <w:rFonts w:ascii="Calibri" w:eastAsia="Times New Roman" w:hAnsi="Calibri" w:cs="Times New Roman"/>
          <w:color w:val="000080"/>
          <w:lang w:val="en-GB" w:eastAsia="da-DK"/>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270" w:lineRule="atLeast"/>
        <w:ind w:firstLine="708"/>
        <w:rPr>
          <w:rFonts w:ascii="Calibri" w:eastAsia="Times New Roman" w:hAnsi="Calibri" w:cs="ACaslon-Bold"/>
          <w:b/>
          <w:bCs/>
          <w:i/>
          <w:color w:val="800000"/>
          <w:sz w:val="28"/>
          <w:szCs w:val="28"/>
          <w:lang w:eastAsia="it-IT"/>
        </w:rPr>
      </w:pPr>
      <w:r w:rsidRPr="00C1164B">
        <w:rPr>
          <w:rFonts w:ascii="Calibri" w:eastAsia="Times New Roman" w:hAnsi="Calibri" w:cs="ACaslon-Bold"/>
          <w:b/>
          <w:bCs/>
          <w:i/>
          <w:color w:val="800000"/>
          <w:sz w:val="28"/>
          <w:szCs w:val="28"/>
          <w:lang w:eastAsia="it-IT"/>
        </w:rPr>
        <w:t>Table of contents</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270" w:lineRule="atLeast"/>
        <w:rPr>
          <w:rFonts w:ascii="Calibri" w:eastAsia="Times New Roman" w:hAnsi="Calibri" w:cs="ACaslon-Bold"/>
          <w:b/>
          <w:bCs/>
          <w:color w:val="800000"/>
          <w:lang w:eastAsia="it-IT"/>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100"/>
          <w:tab w:val="left" w:pos="8280"/>
        </w:tabs>
        <w:spacing w:after="0" w:line="270" w:lineRule="atLeast"/>
        <w:ind w:firstLine="708"/>
        <w:rPr>
          <w:rFonts w:ascii="Calibri" w:eastAsia="Times New Roman" w:hAnsi="Calibri" w:cs="ACaslon-Bold"/>
          <w:bCs/>
          <w:lang w:eastAsia="it-IT"/>
        </w:rPr>
      </w:pPr>
      <w:r w:rsidRPr="00C1164B">
        <w:rPr>
          <w:rFonts w:ascii="Calibri" w:eastAsia="Times New Roman" w:hAnsi="Calibri" w:cs="ACaslon-Bold"/>
          <w:b/>
          <w:bCs/>
          <w:color w:val="800000"/>
          <w:lang w:eastAsia="it-IT"/>
        </w:rPr>
        <w:t xml:space="preserve">Introduction </w:t>
      </w:r>
      <w:r w:rsidRPr="00C1164B">
        <w:rPr>
          <w:rFonts w:ascii="Calibri" w:eastAsia="Times New Roman" w:hAnsi="Calibri" w:cs="ACaslon-Bold"/>
          <w:bCs/>
          <w:lang w:eastAsia="it-IT"/>
        </w:rPr>
        <w:t>……………………………………………………………………………………………………………</w:t>
      </w:r>
      <w:r w:rsidRPr="00C1164B">
        <w:rPr>
          <w:rFonts w:ascii="Calibri" w:eastAsia="Times New Roman" w:hAnsi="Calibri" w:cs="ACaslon-Bold"/>
          <w:bCs/>
          <w:lang w:eastAsia="it-IT"/>
        </w:rPr>
        <w:tab/>
        <w:t>p. 2</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270" w:lineRule="atLeast"/>
        <w:ind w:firstLine="708"/>
        <w:rPr>
          <w:rFonts w:ascii="Calibri" w:eastAsia="Times New Roman" w:hAnsi="Calibri" w:cs="Times New Roman"/>
          <w:b/>
          <w:smallCaps/>
          <w:color w:val="800000"/>
          <w:u w:val="single"/>
          <w:lang w:eastAsia="da-DK"/>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270" w:lineRule="atLeast"/>
        <w:ind w:firstLine="708"/>
        <w:rPr>
          <w:rFonts w:ascii="Calibri" w:eastAsia="Times New Roman" w:hAnsi="Calibri" w:cs="Times New Roman"/>
          <w:b/>
          <w:smallCaps/>
          <w:color w:val="800000"/>
          <w:u w:val="single"/>
          <w:lang w:eastAsia="da-DK"/>
        </w:rPr>
      </w:pPr>
      <w:r w:rsidRPr="00C1164B">
        <w:rPr>
          <w:rFonts w:ascii="Calibri" w:eastAsia="Times New Roman" w:hAnsi="Calibri" w:cs="Times New Roman"/>
          <w:b/>
          <w:smallCaps/>
          <w:color w:val="800000"/>
          <w:u w:val="single"/>
          <w:lang w:eastAsia="da-DK"/>
        </w:rPr>
        <w:t>SECTION 1 : GENERAL FRAMEWORK</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270" w:lineRule="atLeast"/>
        <w:rPr>
          <w:rFonts w:ascii="Calibri" w:eastAsia="Times New Roman" w:hAnsi="Calibri" w:cs="ACaslon-Bold"/>
          <w:b/>
          <w:bCs/>
          <w:color w:val="800000"/>
          <w:lang w:eastAsia="it-IT"/>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ACaslon-Bold"/>
          <w:b/>
          <w:bCs/>
          <w:lang w:eastAsia="it-IT"/>
        </w:rPr>
      </w:pPr>
      <w:r w:rsidRPr="00C1164B">
        <w:rPr>
          <w:rFonts w:ascii="Calibri" w:eastAsia="Times New Roman" w:hAnsi="Calibri" w:cs="ACaslon-Bold"/>
          <w:b/>
          <w:bCs/>
          <w:color w:val="800000"/>
          <w:lang w:eastAsia="it-IT"/>
        </w:rPr>
        <w:t xml:space="preserve">1. Purpose and objectives </w:t>
      </w:r>
      <w:r w:rsidRPr="00C1164B">
        <w:rPr>
          <w:rFonts w:ascii="Calibri" w:eastAsia="Times New Roman" w:hAnsi="Calibri" w:cs="ACaslon-Bold"/>
          <w:bCs/>
          <w:lang w:eastAsia="it-IT"/>
        </w:rPr>
        <w:t>…………………………………………………………………………………….</w:t>
      </w:r>
      <w:r w:rsidRPr="00C1164B">
        <w:rPr>
          <w:rFonts w:ascii="Calibri" w:eastAsia="Times New Roman" w:hAnsi="Calibri" w:cs="ACaslon-Bold"/>
          <w:b/>
          <w:bCs/>
          <w:lang w:eastAsia="it-IT"/>
        </w:rPr>
        <w:tab/>
      </w:r>
      <w:r w:rsidRPr="00C1164B">
        <w:rPr>
          <w:rFonts w:ascii="Calibri" w:eastAsia="Times New Roman" w:hAnsi="Calibri" w:cs="ACaslon-Bold"/>
          <w:bCs/>
          <w:lang w:eastAsia="it-IT"/>
        </w:rPr>
        <w:t>p. 2</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ACaslon-Bold"/>
          <w:b/>
          <w:bCs/>
          <w:color w:val="800000"/>
          <w:lang w:eastAsia="it-IT"/>
        </w:rPr>
      </w:pPr>
      <w:r w:rsidRPr="00C1164B">
        <w:rPr>
          <w:rFonts w:ascii="Calibri" w:eastAsia="Times New Roman" w:hAnsi="Calibri" w:cs="ACaslon-Bold"/>
          <w:b/>
          <w:bCs/>
          <w:color w:val="800000"/>
          <w:lang w:eastAsia="it-IT"/>
        </w:rPr>
        <w:t xml:space="preserve">2. Scope </w:t>
      </w:r>
      <w:r w:rsidRPr="00C1164B">
        <w:rPr>
          <w:rFonts w:ascii="Calibri" w:eastAsia="Times New Roman" w:hAnsi="Calibri" w:cs="ACaslon-Bold"/>
          <w:bCs/>
          <w:lang w:eastAsia="it-IT"/>
        </w:rPr>
        <w:t>…………………………………………………………………………………………………………………</w:t>
      </w:r>
      <w:r w:rsidRPr="00C1164B">
        <w:rPr>
          <w:rFonts w:ascii="Calibri" w:eastAsia="Times New Roman" w:hAnsi="Calibri" w:cs="ACaslon-Bold"/>
          <w:b/>
          <w:bCs/>
          <w:lang w:eastAsia="it-IT"/>
        </w:rPr>
        <w:tab/>
      </w:r>
      <w:r w:rsidRPr="00C1164B">
        <w:rPr>
          <w:rFonts w:ascii="Calibri" w:eastAsia="Times New Roman" w:hAnsi="Calibri" w:cs="ACaslon-Bold"/>
          <w:bCs/>
          <w:lang w:eastAsia="it-IT"/>
        </w:rPr>
        <w:t>p. 3</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ACaslon-Bold"/>
          <w:b/>
          <w:bCs/>
          <w:lang w:val="fr-FR" w:eastAsia="it-IT"/>
        </w:rPr>
      </w:pPr>
      <w:r w:rsidRPr="00C1164B">
        <w:rPr>
          <w:rFonts w:ascii="Calibri" w:eastAsia="Times New Roman" w:hAnsi="Calibri" w:cs="ACaslon-Bold"/>
          <w:b/>
          <w:bCs/>
          <w:color w:val="800000"/>
          <w:lang w:val="fr-FR" w:eastAsia="it-IT"/>
        </w:rPr>
        <w:t xml:space="preserve">3  Target audiences </w:t>
      </w:r>
      <w:r w:rsidRPr="00C1164B">
        <w:rPr>
          <w:rFonts w:ascii="Calibri" w:eastAsia="Times New Roman" w:hAnsi="Calibri" w:cs="ACaslon-Bold"/>
          <w:bCs/>
          <w:lang w:val="fr-FR" w:eastAsia="it-IT"/>
        </w:rPr>
        <w:t>……………………………………………………………………………………………….</w:t>
      </w:r>
      <w:r w:rsidRPr="00C1164B">
        <w:rPr>
          <w:rFonts w:ascii="Calibri" w:eastAsia="Times New Roman" w:hAnsi="Calibri" w:cs="ACaslon-Bold"/>
          <w:bCs/>
          <w:lang w:val="fr-FR" w:eastAsia="it-IT"/>
        </w:rPr>
        <w:tab/>
        <w:t>p. 4</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color w:val="800000"/>
          <w:lang w:val="fr-FR" w:eastAsia="da-DK"/>
        </w:rPr>
      </w:pPr>
      <w:r w:rsidRPr="00C1164B">
        <w:rPr>
          <w:rFonts w:ascii="Calibri" w:eastAsia="Times New Roman" w:hAnsi="Calibri" w:cs="Times New Roman"/>
          <w:b/>
          <w:color w:val="800000"/>
          <w:lang w:val="fr-FR" w:eastAsia="da-DK"/>
        </w:rPr>
        <w:t xml:space="preserve">4. Limitations </w:t>
      </w:r>
      <w:r w:rsidRPr="00C1164B">
        <w:rPr>
          <w:rFonts w:ascii="Calibri" w:eastAsia="Times New Roman" w:hAnsi="Calibri" w:cs="Times New Roman"/>
          <w:lang w:val="fr-FR" w:eastAsia="da-DK"/>
        </w:rPr>
        <w:t>…………………………………………………………………………………………………………</w:t>
      </w:r>
      <w:r w:rsidRPr="00C1164B">
        <w:rPr>
          <w:rFonts w:ascii="Calibri" w:eastAsia="Times New Roman" w:hAnsi="Calibri" w:cs="Times New Roman"/>
          <w:b/>
          <w:lang w:val="fr-FR" w:eastAsia="da-DK"/>
        </w:rPr>
        <w:tab/>
      </w:r>
      <w:r w:rsidRPr="00C1164B">
        <w:rPr>
          <w:rFonts w:ascii="Calibri" w:eastAsia="Times New Roman" w:hAnsi="Calibri" w:cs="ACaslon-Bold"/>
          <w:bCs/>
          <w:lang w:val="fr-FR" w:eastAsia="it-IT"/>
        </w:rPr>
        <w:t>p. 4</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autoSpaceDE w:val="0"/>
        <w:autoSpaceDN w:val="0"/>
        <w:adjustRightInd w:val="0"/>
        <w:spacing w:after="0" w:line="320" w:lineRule="exact"/>
        <w:ind w:firstLine="706"/>
        <w:rPr>
          <w:rFonts w:ascii="Calibri" w:eastAsia="Times New Roman" w:hAnsi="Calibri" w:cs="ACaslon-Bold"/>
          <w:b/>
          <w:bCs/>
          <w:lang w:eastAsia="it-IT"/>
        </w:rPr>
      </w:pPr>
      <w:r w:rsidRPr="00C1164B">
        <w:rPr>
          <w:rFonts w:ascii="Calibri" w:eastAsia="Times New Roman" w:hAnsi="Calibri" w:cs="ACaslon-Bold"/>
          <w:b/>
          <w:bCs/>
          <w:color w:val="800000"/>
          <w:lang w:eastAsia="it-IT"/>
        </w:rPr>
        <w:t xml:space="preserve">5. Status of the evaluation process  </w:t>
      </w:r>
      <w:r w:rsidRPr="00C1164B">
        <w:rPr>
          <w:rFonts w:ascii="Calibri" w:eastAsia="Times New Roman" w:hAnsi="Calibri" w:cs="ACaslon-Bold"/>
          <w:bCs/>
          <w:lang w:eastAsia="it-IT"/>
        </w:rPr>
        <w:t>………………………………………………………………………</w:t>
      </w:r>
      <w:r w:rsidRPr="00C1164B">
        <w:rPr>
          <w:rFonts w:ascii="Calibri" w:eastAsia="Times New Roman" w:hAnsi="Calibri" w:cs="ACaslon-Bold"/>
          <w:b/>
          <w:bCs/>
          <w:lang w:eastAsia="it-IT"/>
        </w:rPr>
        <w:tab/>
      </w:r>
      <w:r w:rsidRPr="00C1164B">
        <w:rPr>
          <w:rFonts w:ascii="Calibri" w:eastAsia="Times New Roman" w:hAnsi="Calibri" w:cs="ACaslon-Bold"/>
          <w:bCs/>
          <w:lang w:eastAsia="it-IT"/>
        </w:rPr>
        <w:t>p. 5</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270" w:lineRule="atLeast"/>
        <w:rPr>
          <w:rFonts w:ascii="Calibri" w:eastAsia="Times New Roman" w:hAnsi="Calibri" w:cs="Times New Roman"/>
          <w:b/>
          <w:color w:val="800000"/>
          <w:lang w:val="en-GB" w:eastAsia="da-DK"/>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270" w:lineRule="atLeast"/>
        <w:ind w:firstLine="708"/>
        <w:rPr>
          <w:rFonts w:ascii="Calibri" w:eastAsia="Times New Roman" w:hAnsi="Calibri" w:cs="Times New Roman"/>
          <w:b/>
          <w:smallCaps/>
          <w:color w:val="800000"/>
          <w:u w:val="single"/>
          <w:lang w:eastAsia="da-DK"/>
        </w:rPr>
      </w:pPr>
      <w:r w:rsidRPr="00C1164B">
        <w:rPr>
          <w:rFonts w:ascii="Calibri" w:eastAsia="Times New Roman" w:hAnsi="Calibri" w:cs="Times New Roman"/>
          <w:b/>
          <w:smallCaps/>
          <w:color w:val="800000"/>
          <w:u w:val="single"/>
          <w:lang w:eastAsia="da-DK"/>
        </w:rPr>
        <w:t>SECTION 2: EVALUATION METHODOLOGY</w:t>
      </w:r>
    </w:p>
    <w:p w:rsidR="00C1164B" w:rsidRPr="00C1164B" w:rsidRDefault="00C1164B" w:rsidP="00C1164B">
      <w:pPr>
        <w:pBdr>
          <w:top w:val="single" w:sz="18" w:space="1" w:color="999999"/>
          <w:left w:val="single" w:sz="18" w:space="4" w:color="999999"/>
          <w:bottom w:val="single" w:sz="18" w:space="1" w:color="999999"/>
          <w:right w:val="single" w:sz="18" w:space="4" w:color="999999"/>
        </w:pBdr>
        <w:autoSpaceDE w:val="0"/>
        <w:autoSpaceDN w:val="0"/>
        <w:adjustRightInd w:val="0"/>
        <w:spacing w:after="0" w:line="240" w:lineRule="auto"/>
        <w:rPr>
          <w:rFonts w:ascii="Calibri" w:eastAsia="Times New Roman" w:hAnsi="Calibri" w:cs="ACaslon-Bold"/>
          <w:b/>
          <w:bCs/>
          <w:color w:val="800000"/>
          <w:lang w:val="en-GB" w:eastAsia="it-IT"/>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autoSpaceDE w:val="0"/>
        <w:autoSpaceDN w:val="0"/>
        <w:adjustRightInd w:val="0"/>
        <w:spacing w:after="0" w:line="320" w:lineRule="exact"/>
        <w:ind w:firstLine="706"/>
        <w:rPr>
          <w:rFonts w:ascii="Calibri" w:eastAsia="Times New Roman" w:hAnsi="Calibri" w:cs="ACaslon-Bold"/>
          <w:b/>
          <w:bCs/>
          <w:color w:val="800000"/>
          <w:lang w:eastAsia="it-IT"/>
        </w:rPr>
      </w:pPr>
      <w:r w:rsidRPr="00C1164B">
        <w:rPr>
          <w:rFonts w:ascii="Calibri" w:eastAsia="Times New Roman" w:hAnsi="Calibri" w:cs="ACaslon-Bold"/>
          <w:b/>
          <w:bCs/>
          <w:color w:val="800000"/>
          <w:lang w:eastAsia="it-IT"/>
        </w:rPr>
        <w:t>1. Overview</w:t>
      </w:r>
      <w:r w:rsidRPr="00C1164B">
        <w:rPr>
          <w:rFonts w:ascii="Calibri" w:eastAsia="Times New Roman" w:hAnsi="Calibri" w:cs="Times New Roman"/>
          <w:b/>
          <w:color w:val="800000"/>
          <w:lang w:val="en-GB" w:eastAsia="da-DK"/>
        </w:rPr>
        <w:t xml:space="preserve"> of the methodological approach </w:t>
      </w:r>
      <w:r w:rsidRPr="00C1164B">
        <w:rPr>
          <w:rFonts w:ascii="Calibri" w:eastAsia="Times New Roman" w:hAnsi="Calibri" w:cs="Times New Roman"/>
          <w:lang w:val="en-GB" w:eastAsia="da-DK"/>
        </w:rPr>
        <w:t>………………………………………………………</w:t>
      </w:r>
      <w:r w:rsidRPr="00C1164B">
        <w:rPr>
          <w:rFonts w:ascii="Calibri" w:eastAsia="Times New Roman" w:hAnsi="Calibri" w:cs="Times New Roman"/>
          <w:lang w:val="en-GB" w:eastAsia="da-DK"/>
        </w:rPr>
        <w:tab/>
      </w:r>
      <w:r w:rsidRPr="00C1164B">
        <w:rPr>
          <w:rFonts w:ascii="Calibri" w:eastAsia="Times New Roman" w:hAnsi="Calibri" w:cs="ACaslon-Bold"/>
          <w:bCs/>
          <w:lang w:eastAsia="it-IT"/>
        </w:rPr>
        <w:t>p. 6</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autoSpaceDE w:val="0"/>
        <w:autoSpaceDN w:val="0"/>
        <w:adjustRightInd w:val="0"/>
        <w:spacing w:after="0" w:line="320" w:lineRule="exact"/>
        <w:ind w:firstLine="706"/>
        <w:rPr>
          <w:rFonts w:ascii="Calibri" w:eastAsia="Times New Roman" w:hAnsi="Calibri" w:cs="ACaslon-Bold"/>
          <w:b/>
          <w:bCs/>
          <w:color w:val="800000"/>
          <w:lang w:eastAsia="it-IT"/>
        </w:rPr>
      </w:pPr>
      <w:r w:rsidRPr="00C1164B">
        <w:rPr>
          <w:rFonts w:ascii="Calibri" w:eastAsia="Times New Roman" w:hAnsi="Calibri" w:cs="Times New Roman"/>
          <w:b/>
          <w:color w:val="800000"/>
          <w:lang w:eastAsia="da-DK"/>
        </w:rPr>
        <w:t xml:space="preserve">2. Evaluation matrix </w:t>
      </w:r>
      <w:r w:rsidRPr="00C1164B">
        <w:rPr>
          <w:rFonts w:ascii="Calibri" w:eastAsia="Times New Roman" w:hAnsi="Calibri" w:cs="Times New Roman"/>
          <w:lang w:eastAsia="da-DK"/>
        </w:rPr>
        <w:t>………………………………………………………………………………………………</w:t>
      </w:r>
      <w:r w:rsidRPr="00C1164B">
        <w:rPr>
          <w:rFonts w:ascii="Calibri" w:eastAsia="Times New Roman" w:hAnsi="Calibri" w:cs="ACaslon-Bold"/>
          <w:bCs/>
          <w:lang w:eastAsia="it-IT"/>
        </w:rPr>
        <w:t xml:space="preserve"> </w:t>
      </w:r>
      <w:r w:rsidRPr="00C1164B">
        <w:rPr>
          <w:rFonts w:ascii="Calibri" w:eastAsia="Times New Roman" w:hAnsi="Calibri" w:cs="ACaslon-Bold"/>
          <w:bCs/>
          <w:lang w:eastAsia="it-IT"/>
        </w:rPr>
        <w:tab/>
        <w:t>p. 7</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lang w:eastAsia="da-DK"/>
        </w:rPr>
      </w:pPr>
      <w:r w:rsidRPr="00C1164B">
        <w:rPr>
          <w:rFonts w:ascii="Calibri" w:eastAsia="Times New Roman" w:hAnsi="Calibri" w:cs="Times New Roman"/>
          <w:b/>
          <w:color w:val="800000"/>
          <w:lang w:eastAsia="da-DK"/>
        </w:rPr>
        <w:t xml:space="preserve">3. Evaluation activities </w:t>
      </w:r>
      <w:r w:rsidRPr="00C1164B">
        <w:rPr>
          <w:rFonts w:ascii="Calibri" w:eastAsia="Times New Roman" w:hAnsi="Calibri" w:cs="Times New Roman"/>
          <w:lang w:eastAsia="da-DK"/>
        </w:rPr>
        <w:t>………………………………………………………………………………………….</w:t>
      </w:r>
      <w:r w:rsidRPr="00C1164B">
        <w:rPr>
          <w:rFonts w:ascii="Calibri" w:eastAsia="Times New Roman" w:hAnsi="Calibri" w:cs="Times New Roman"/>
          <w:lang w:eastAsia="da-DK"/>
        </w:rPr>
        <w:tab/>
      </w:r>
      <w:r w:rsidRPr="00C1164B">
        <w:rPr>
          <w:rFonts w:ascii="Calibri" w:eastAsia="Times New Roman" w:hAnsi="Calibri" w:cs="ACaslon-Bold"/>
          <w:bCs/>
          <w:lang w:eastAsia="it-IT"/>
        </w:rPr>
        <w:t>p. 7</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color w:val="800000"/>
          <w:lang w:eastAsia="da-DK"/>
        </w:rPr>
      </w:pPr>
      <w:r w:rsidRPr="00C1164B">
        <w:rPr>
          <w:rFonts w:ascii="Arial" w:eastAsia="Times New Roman" w:hAnsi="Arial" w:cs="Arial"/>
          <w:b/>
          <w:color w:val="800000"/>
          <w:lang w:eastAsia="da-DK"/>
        </w:rPr>
        <w:t>►</w:t>
      </w:r>
      <w:r w:rsidRPr="00C1164B">
        <w:rPr>
          <w:rFonts w:ascii="Calibri" w:eastAsia="Times New Roman" w:hAnsi="Calibri" w:cs="Times New Roman"/>
          <w:b/>
          <w:color w:val="800000"/>
          <w:lang w:eastAsia="da-DK"/>
        </w:rPr>
        <w:t xml:space="preserve"> Phase 1 </w:t>
      </w:r>
      <w:r w:rsidRPr="00C1164B">
        <w:rPr>
          <w:rFonts w:ascii="Calibri" w:eastAsia="Times New Roman" w:hAnsi="Calibri" w:cs="Times New Roman"/>
          <w:i/>
          <w:color w:val="800000"/>
          <w:lang w:eastAsia="da-DK"/>
        </w:rPr>
        <w:t xml:space="preserve">(desk review, inception report, mission to </w:t>
      </w:r>
      <w:smartTag w:uri="urn:schemas-microsoft-com:office:smarttags" w:element="place">
        <w:smartTag w:uri="urn:schemas-microsoft-com:office:smarttags" w:element="State">
          <w:r w:rsidRPr="00C1164B">
            <w:rPr>
              <w:rFonts w:ascii="Calibri" w:eastAsia="Times New Roman" w:hAnsi="Calibri" w:cs="Times New Roman"/>
              <w:i/>
              <w:color w:val="800000"/>
              <w:lang w:eastAsia="da-DK"/>
            </w:rPr>
            <w:t>New York</w:t>
          </w:r>
        </w:smartTag>
      </w:smartTag>
      <w:r w:rsidRPr="00C1164B">
        <w:rPr>
          <w:rFonts w:ascii="Calibri" w:eastAsia="Times New Roman" w:hAnsi="Calibri" w:cs="Times New Roman"/>
          <w:i/>
          <w:color w:val="800000"/>
          <w:lang w:eastAsia="da-DK"/>
        </w:rPr>
        <w:t>)</w:t>
      </w:r>
      <w:r w:rsidRPr="00C1164B">
        <w:rPr>
          <w:rFonts w:ascii="Calibri" w:eastAsia="Times New Roman" w:hAnsi="Calibri" w:cs="Times New Roman"/>
          <w:b/>
          <w:color w:val="800000"/>
          <w:lang w:eastAsia="da-DK"/>
        </w:rPr>
        <w:t xml:space="preserve"> </w:t>
      </w:r>
      <w:r w:rsidRPr="00C1164B">
        <w:rPr>
          <w:rFonts w:ascii="Calibri" w:eastAsia="Times New Roman" w:hAnsi="Calibri" w:cs="Times New Roman"/>
          <w:lang w:eastAsia="da-DK"/>
        </w:rPr>
        <w:t>……………………………</w:t>
      </w:r>
      <w:r w:rsidRPr="00C1164B">
        <w:rPr>
          <w:rFonts w:ascii="Calibri" w:eastAsia="Times New Roman" w:hAnsi="Calibri" w:cs="Times New Roman"/>
          <w:lang w:eastAsia="da-DK"/>
        </w:rPr>
        <w:tab/>
      </w:r>
      <w:r w:rsidRPr="00C1164B">
        <w:rPr>
          <w:rFonts w:ascii="Calibri" w:eastAsia="Times New Roman" w:hAnsi="Calibri" w:cs="ACaslon-Bold"/>
          <w:bCs/>
          <w:lang w:eastAsia="it-IT"/>
        </w:rPr>
        <w:t>p. 7</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i/>
          <w:lang w:eastAsia="da-DK"/>
        </w:rPr>
      </w:pPr>
      <w:r w:rsidRPr="00C1164B">
        <w:rPr>
          <w:rFonts w:ascii="Arial" w:eastAsia="Times New Roman" w:hAnsi="Arial" w:cs="Arial"/>
          <w:b/>
          <w:color w:val="800000"/>
          <w:lang w:eastAsia="da-DK"/>
        </w:rPr>
        <w:t xml:space="preserve">► </w:t>
      </w:r>
      <w:r w:rsidRPr="00C1164B">
        <w:rPr>
          <w:rFonts w:ascii="Calibri" w:eastAsia="Times New Roman" w:hAnsi="Calibri" w:cs="Times New Roman"/>
          <w:b/>
          <w:color w:val="800000"/>
          <w:lang w:eastAsia="da-DK"/>
        </w:rPr>
        <w:t xml:space="preserve">Phase 2 </w:t>
      </w:r>
      <w:r w:rsidRPr="00C1164B">
        <w:rPr>
          <w:rFonts w:ascii="Calibri" w:eastAsia="Times New Roman" w:hAnsi="Calibri" w:cs="Times New Roman"/>
          <w:i/>
          <w:color w:val="800000"/>
          <w:lang w:eastAsia="da-DK"/>
        </w:rPr>
        <w:t>(Field visits)</w:t>
      </w:r>
      <w:r w:rsidRPr="00C1164B">
        <w:rPr>
          <w:rFonts w:ascii="Calibri" w:eastAsia="Times New Roman" w:hAnsi="Calibri" w:cs="Times New Roman"/>
          <w:b/>
          <w:color w:val="800000"/>
          <w:lang w:eastAsia="da-DK"/>
        </w:rPr>
        <w:t xml:space="preserve"> </w:t>
      </w:r>
      <w:r w:rsidRPr="00C1164B">
        <w:rPr>
          <w:rFonts w:ascii="Calibri" w:eastAsia="Times New Roman" w:hAnsi="Calibri" w:cs="Times New Roman"/>
          <w:lang w:eastAsia="da-DK"/>
        </w:rPr>
        <w:t>…………………………………………………………………………………………</w:t>
      </w:r>
      <w:r w:rsidRPr="00C1164B">
        <w:rPr>
          <w:rFonts w:ascii="Calibri" w:eastAsia="Times New Roman" w:hAnsi="Calibri" w:cs="Times New Roman"/>
          <w:lang w:eastAsia="da-DK"/>
        </w:rPr>
        <w:tab/>
      </w:r>
      <w:r w:rsidRPr="00C1164B">
        <w:rPr>
          <w:rFonts w:ascii="Calibri" w:eastAsia="Times New Roman" w:hAnsi="Calibri" w:cs="ACaslon-Bold"/>
          <w:bCs/>
          <w:lang w:eastAsia="it-IT"/>
        </w:rPr>
        <w:t>p. 8</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i/>
          <w:color w:val="800000"/>
          <w:lang w:eastAsia="da-DK"/>
        </w:rPr>
      </w:pPr>
      <w:r w:rsidRPr="00C1164B">
        <w:rPr>
          <w:rFonts w:ascii="Arial" w:eastAsia="Times New Roman" w:hAnsi="Arial" w:cs="Arial"/>
          <w:b/>
          <w:color w:val="800000"/>
          <w:lang w:eastAsia="da-DK"/>
        </w:rPr>
        <w:t xml:space="preserve">► </w:t>
      </w:r>
      <w:r w:rsidRPr="00C1164B">
        <w:rPr>
          <w:rFonts w:ascii="Calibri" w:eastAsia="Times New Roman" w:hAnsi="Calibri" w:cs="Times New Roman"/>
          <w:b/>
          <w:color w:val="800000"/>
          <w:lang w:eastAsia="da-DK"/>
        </w:rPr>
        <w:t xml:space="preserve">Phase 3 </w:t>
      </w:r>
      <w:r w:rsidRPr="00C1164B">
        <w:rPr>
          <w:rFonts w:ascii="Calibri" w:eastAsia="Times New Roman" w:hAnsi="Calibri" w:cs="Times New Roman"/>
          <w:i/>
          <w:color w:val="800000"/>
          <w:lang w:eastAsia="da-DK"/>
        </w:rPr>
        <w:t>(Final report drafting and dissemination)</w:t>
      </w:r>
      <w:r w:rsidRPr="00C1164B">
        <w:rPr>
          <w:rFonts w:ascii="Calibri" w:eastAsia="Times New Roman" w:hAnsi="Calibri" w:cs="Times New Roman"/>
          <w:b/>
          <w:color w:val="800000"/>
          <w:lang w:eastAsia="da-DK"/>
        </w:rPr>
        <w:t xml:space="preserve"> </w:t>
      </w:r>
      <w:r w:rsidRPr="00C1164B">
        <w:rPr>
          <w:rFonts w:ascii="Calibri" w:eastAsia="Times New Roman" w:hAnsi="Calibri" w:cs="Times New Roman"/>
          <w:lang w:eastAsia="da-DK"/>
        </w:rPr>
        <w:t>…………………………………………….</w:t>
      </w:r>
      <w:r w:rsidRPr="00C1164B">
        <w:rPr>
          <w:rFonts w:ascii="Calibri" w:eastAsia="Times New Roman" w:hAnsi="Calibri" w:cs="Times New Roman"/>
          <w:lang w:eastAsia="da-DK"/>
        </w:rPr>
        <w:tab/>
      </w:r>
      <w:r w:rsidRPr="00C1164B">
        <w:rPr>
          <w:rFonts w:ascii="Calibri" w:eastAsia="Times New Roman" w:hAnsi="Calibri" w:cs="ACaslon-Bold"/>
          <w:bCs/>
          <w:lang w:eastAsia="it-IT"/>
        </w:rPr>
        <w:t>p. 9</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lang w:val="en-GB" w:eastAsia="da-DK"/>
        </w:rPr>
      </w:pPr>
      <w:r w:rsidRPr="00C1164B">
        <w:rPr>
          <w:rFonts w:ascii="Calibri" w:eastAsia="Times New Roman" w:hAnsi="Calibri" w:cs="Times New Roman"/>
          <w:b/>
          <w:color w:val="800000"/>
          <w:lang w:val="en-GB" w:eastAsia="da-DK"/>
        </w:rPr>
        <w:t xml:space="preserve">5. Work plan and time schedule </w:t>
      </w:r>
      <w:r w:rsidRPr="00C1164B">
        <w:rPr>
          <w:rFonts w:ascii="Calibri" w:eastAsia="Times New Roman" w:hAnsi="Calibri" w:cs="Times New Roman"/>
          <w:lang w:val="en-GB" w:eastAsia="da-DK"/>
        </w:rPr>
        <w:t>……………………………………………………………………………</w:t>
      </w:r>
      <w:r w:rsidRPr="00C1164B">
        <w:rPr>
          <w:rFonts w:ascii="Calibri" w:eastAsia="Times New Roman" w:hAnsi="Calibri" w:cs="Times New Roman"/>
          <w:lang w:val="en-GB" w:eastAsia="da-DK"/>
        </w:rPr>
        <w:tab/>
      </w:r>
      <w:r w:rsidRPr="00C1164B">
        <w:rPr>
          <w:rFonts w:ascii="Calibri" w:eastAsia="Times New Roman" w:hAnsi="Calibri" w:cs="ACaslon-Bold"/>
          <w:bCs/>
          <w:lang w:eastAsia="it-IT"/>
        </w:rPr>
        <w:t>p. 9</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lang w:val="en-GB" w:eastAsia="da-DK"/>
        </w:rPr>
      </w:pPr>
      <w:r w:rsidRPr="00C1164B">
        <w:rPr>
          <w:rFonts w:ascii="Calibri" w:eastAsia="Times New Roman" w:hAnsi="Calibri" w:cs="Times New Roman"/>
          <w:b/>
          <w:color w:val="800000"/>
          <w:lang w:val="en-GB" w:eastAsia="da-DK"/>
        </w:rPr>
        <w:t xml:space="preserve">6. Expected Deliverables </w:t>
      </w:r>
      <w:r w:rsidRPr="00C1164B">
        <w:rPr>
          <w:rFonts w:ascii="Calibri" w:eastAsia="Times New Roman" w:hAnsi="Calibri" w:cs="Times New Roman"/>
          <w:lang w:val="en-GB" w:eastAsia="da-DK"/>
        </w:rPr>
        <w:t>………………………………………………………………………………………</w:t>
      </w:r>
      <w:r w:rsidRPr="00C1164B">
        <w:rPr>
          <w:rFonts w:ascii="Calibri" w:eastAsia="Times New Roman" w:hAnsi="Calibri" w:cs="ACaslon-Bold"/>
          <w:bCs/>
          <w:lang w:eastAsia="it-IT"/>
        </w:rPr>
        <w:tab/>
        <w:t>p. 9</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lang w:val="en-GB" w:eastAsia="da-DK"/>
        </w:rPr>
      </w:pPr>
      <w:r w:rsidRPr="00C1164B">
        <w:rPr>
          <w:rFonts w:ascii="Calibri" w:eastAsia="Times New Roman" w:hAnsi="Calibri" w:cs="Times New Roman"/>
          <w:b/>
          <w:color w:val="800000"/>
          <w:lang w:val="en-GB" w:eastAsia="da-DK"/>
        </w:rPr>
        <w:t xml:space="preserve">7. Structure of the final report </w:t>
      </w:r>
      <w:r w:rsidRPr="00C1164B">
        <w:rPr>
          <w:rFonts w:ascii="Calibri" w:eastAsia="Times New Roman" w:hAnsi="Calibri" w:cs="Times New Roman"/>
          <w:lang w:val="en-GB" w:eastAsia="da-DK"/>
        </w:rPr>
        <w:t>………………………………………………………………………………</w:t>
      </w:r>
      <w:r w:rsidRPr="00C1164B">
        <w:rPr>
          <w:rFonts w:ascii="Calibri" w:eastAsia="Times New Roman" w:hAnsi="Calibri" w:cs="Times New Roman"/>
          <w:lang w:val="en-GB" w:eastAsia="da-DK"/>
        </w:rPr>
        <w:tab/>
      </w:r>
      <w:r w:rsidRPr="00C1164B">
        <w:rPr>
          <w:rFonts w:ascii="Calibri" w:eastAsia="Times New Roman" w:hAnsi="Calibri" w:cs="ACaslon-Bold"/>
          <w:bCs/>
          <w:lang w:eastAsia="it-IT"/>
        </w:rPr>
        <w:t>p. 9</w:t>
      </w: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color w:val="800000"/>
          <w:lang w:val="en-GB" w:eastAsia="da-DK"/>
        </w:rPr>
      </w:pPr>
    </w:p>
    <w:p w:rsidR="00C1164B" w:rsidRPr="00C1164B" w:rsidRDefault="00C1164B" w:rsidP="00C1164B">
      <w:pPr>
        <w:pBdr>
          <w:top w:val="single" w:sz="18" w:space="1" w:color="999999"/>
          <w:left w:val="single" w:sz="18" w:space="4" w:color="999999"/>
          <w:bottom w:val="single" w:sz="18" w:space="1" w:color="999999"/>
          <w:right w:val="single" w:sz="18" w:space="4" w:color="999999"/>
        </w:pBdr>
        <w:tabs>
          <w:tab w:val="left" w:pos="8280"/>
        </w:tabs>
        <w:spacing w:after="0" w:line="320" w:lineRule="exact"/>
        <w:ind w:firstLine="706"/>
        <w:rPr>
          <w:rFonts w:ascii="Calibri" w:eastAsia="Times New Roman" w:hAnsi="Calibri" w:cs="Times New Roman"/>
          <w:b/>
          <w:smallCaps/>
          <w:color w:val="800000"/>
          <w:u w:val="single"/>
          <w:lang w:eastAsia="da-DK"/>
        </w:rPr>
      </w:pPr>
      <w:r w:rsidRPr="00C1164B">
        <w:rPr>
          <w:rFonts w:ascii="Calibri" w:eastAsia="Times New Roman" w:hAnsi="Calibri" w:cs="Times New Roman"/>
          <w:b/>
          <w:color w:val="800000"/>
          <w:u w:val="single"/>
          <w:lang w:eastAsia="da-DK"/>
        </w:rPr>
        <w:t xml:space="preserve">ANNEXES </w:t>
      </w:r>
      <w:r w:rsidRPr="00C1164B">
        <w:rPr>
          <w:rFonts w:ascii="Calibri" w:eastAsia="Times New Roman" w:hAnsi="Calibri" w:cs="Times New Roman"/>
          <w:lang w:val="en-GB" w:eastAsia="da-DK"/>
        </w:rPr>
        <w:t>…………………………………………………………………………………………………………………</w:t>
      </w:r>
      <w:r w:rsidRPr="00C1164B">
        <w:rPr>
          <w:rFonts w:ascii="Calibri" w:eastAsia="Times New Roman" w:hAnsi="Calibri" w:cs="Times New Roman"/>
          <w:lang w:val="en-GB" w:eastAsia="da-DK"/>
        </w:rPr>
        <w:tab/>
        <w:t>p.12</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320" w:lineRule="exact"/>
        <w:ind w:firstLine="706"/>
        <w:rPr>
          <w:rFonts w:ascii="Calibri" w:eastAsia="Times New Roman" w:hAnsi="Calibri" w:cs="Times New Roman"/>
          <w:i/>
          <w:color w:val="800000"/>
          <w:sz w:val="20"/>
          <w:szCs w:val="20"/>
          <w:lang w:eastAsia="da-DK"/>
        </w:rPr>
      </w:pPr>
      <w:r w:rsidRPr="00C1164B">
        <w:rPr>
          <w:rFonts w:ascii="Calibri" w:eastAsia="Times New Roman" w:hAnsi="Calibri" w:cs="Times New Roman"/>
          <w:i/>
          <w:color w:val="800000"/>
          <w:sz w:val="20"/>
          <w:szCs w:val="20"/>
          <w:lang w:eastAsia="da-DK"/>
        </w:rPr>
        <w:t>1. Evaluation Matrix</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320" w:lineRule="exact"/>
        <w:ind w:firstLine="706"/>
        <w:rPr>
          <w:rFonts w:ascii="Calibri" w:eastAsia="Times New Roman" w:hAnsi="Calibri" w:cs="Times New Roman"/>
          <w:i/>
          <w:color w:val="800000"/>
          <w:sz w:val="20"/>
          <w:szCs w:val="20"/>
          <w:lang w:eastAsia="da-DK"/>
        </w:rPr>
      </w:pPr>
      <w:r w:rsidRPr="00C1164B">
        <w:rPr>
          <w:rFonts w:ascii="Calibri" w:eastAsia="Times New Roman" w:hAnsi="Calibri" w:cs="Times New Roman"/>
          <w:i/>
          <w:color w:val="800000"/>
          <w:sz w:val="20"/>
          <w:szCs w:val="20"/>
          <w:lang w:eastAsia="da-DK"/>
        </w:rPr>
        <w:t>2. Framework for good practices in mobile court interventions</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320" w:lineRule="exact"/>
        <w:ind w:firstLine="706"/>
        <w:rPr>
          <w:rFonts w:ascii="Calibri" w:eastAsia="Times New Roman" w:hAnsi="Calibri" w:cs="Times New Roman"/>
          <w:i/>
          <w:color w:val="800000"/>
          <w:sz w:val="20"/>
          <w:szCs w:val="20"/>
          <w:lang w:eastAsia="da-DK"/>
        </w:rPr>
      </w:pPr>
      <w:r w:rsidRPr="00C1164B">
        <w:rPr>
          <w:rFonts w:ascii="Calibri" w:eastAsia="Times New Roman" w:hAnsi="Calibri" w:cs="Times New Roman"/>
          <w:i/>
          <w:color w:val="800000"/>
          <w:sz w:val="20"/>
          <w:szCs w:val="20"/>
          <w:lang w:eastAsia="da-DK"/>
        </w:rPr>
        <w:t>3. Statistics required from mobile courts case records</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320" w:lineRule="exact"/>
        <w:ind w:firstLine="706"/>
        <w:rPr>
          <w:rFonts w:ascii="Calibri" w:eastAsia="Times New Roman" w:hAnsi="Calibri" w:cs="Times New Roman"/>
          <w:i/>
          <w:color w:val="800000"/>
          <w:sz w:val="20"/>
          <w:szCs w:val="20"/>
          <w:lang w:eastAsia="da-DK"/>
        </w:rPr>
      </w:pPr>
      <w:r w:rsidRPr="00C1164B">
        <w:rPr>
          <w:rFonts w:ascii="Calibri" w:eastAsia="Times New Roman" w:hAnsi="Calibri" w:cs="Times New Roman"/>
          <w:i/>
          <w:color w:val="800000"/>
          <w:sz w:val="20"/>
          <w:szCs w:val="20"/>
          <w:lang w:eastAsia="da-DK"/>
        </w:rPr>
        <w:t xml:space="preserve">4. Sample questionnaire for </w:t>
      </w:r>
      <w:smartTag w:uri="urn:schemas-microsoft-com:office:smarttags" w:element="Street">
        <w:smartTag w:uri="urn:schemas-microsoft-com:office:smarttags" w:element="address">
          <w:r w:rsidRPr="00C1164B">
            <w:rPr>
              <w:rFonts w:ascii="Calibri" w:eastAsia="Times New Roman" w:hAnsi="Calibri" w:cs="Times New Roman"/>
              <w:i/>
              <w:color w:val="800000"/>
              <w:sz w:val="20"/>
              <w:szCs w:val="20"/>
              <w:lang w:eastAsia="da-DK"/>
            </w:rPr>
            <w:t>Mobile Court</w:t>
          </w:r>
        </w:smartTag>
      </w:smartTag>
      <w:r w:rsidRPr="00C1164B">
        <w:rPr>
          <w:rFonts w:ascii="Calibri" w:eastAsia="Times New Roman" w:hAnsi="Calibri" w:cs="Times New Roman"/>
          <w:i/>
          <w:color w:val="800000"/>
          <w:sz w:val="20"/>
          <w:szCs w:val="20"/>
          <w:lang w:eastAsia="da-DK"/>
        </w:rPr>
        <w:t xml:space="preserve"> users </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320" w:lineRule="exact"/>
        <w:ind w:firstLine="706"/>
        <w:rPr>
          <w:rFonts w:ascii="Calibri" w:eastAsia="Times New Roman" w:hAnsi="Calibri" w:cs="Times New Roman"/>
          <w:i/>
          <w:color w:val="800000"/>
          <w:sz w:val="20"/>
          <w:szCs w:val="20"/>
          <w:lang w:eastAsia="da-DK"/>
        </w:rPr>
      </w:pPr>
      <w:r w:rsidRPr="00C1164B">
        <w:rPr>
          <w:rFonts w:ascii="Calibri" w:eastAsia="Times New Roman" w:hAnsi="Calibri" w:cs="Times New Roman"/>
          <w:i/>
          <w:color w:val="800000"/>
          <w:sz w:val="20"/>
          <w:szCs w:val="20"/>
          <w:lang w:eastAsia="da-DK"/>
        </w:rPr>
        <w:t xml:space="preserve">5. Query on </w:t>
      </w:r>
      <w:smartTag w:uri="urn:schemas-microsoft-com:office:smarttags" w:element="Street">
        <w:smartTag w:uri="urn:schemas-microsoft-com:office:smarttags" w:element="address">
          <w:r w:rsidRPr="00C1164B">
            <w:rPr>
              <w:rFonts w:ascii="Calibri" w:eastAsia="Times New Roman" w:hAnsi="Calibri" w:cs="Times New Roman"/>
              <w:i/>
              <w:color w:val="800000"/>
              <w:sz w:val="20"/>
              <w:szCs w:val="20"/>
              <w:lang w:eastAsia="da-DK"/>
            </w:rPr>
            <w:t>Mobile Court</w:t>
          </w:r>
        </w:smartTag>
      </w:smartTag>
      <w:r w:rsidRPr="00C1164B">
        <w:rPr>
          <w:rFonts w:ascii="Calibri" w:eastAsia="Times New Roman" w:hAnsi="Calibri" w:cs="Times New Roman"/>
          <w:i/>
          <w:color w:val="800000"/>
          <w:sz w:val="20"/>
          <w:szCs w:val="20"/>
          <w:lang w:eastAsia="da-DK"/>
        </w:rPr>
        <w:t xml:space="preserve"> interventions for UNDP knowledge networks</w:t>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320" w:lineRule="exact"/>
        <w:ind w:firstLine="706"/>
        <w:rPr>
          <w:rFonts w:ascii="Calibri" w:eastAsia="Times New Roman" w:hAnsi="Calibri" w:cs="Times New Roman"/>
          <w:b/>
          <w:lang w:eastAsia="da-DK"/>
        </w:rPr>
      </w:pPr>
      <w:r w:rsidRPr="00C1164B">
        <w:rPr>
          <w:rFonts w:ascii="Calibri" w:eastAsia="Times New Roman" w:hAnsi="Calibri" w:cs="Times New Roman"/>
          <w:i/>
          <w:color w:val="800000"/>
          <w:sz w:val="20"/>
          <w:szCs w:val="20"/>
          <w:lang w:eastAsia="da-DK"/>
        </w:rPr>
        <w:t xml:space="preserve">6. TOR                                                                                          </w:t>
      </w:r>
      <w:r w:rsidRPr="00C1164B">
        <w:rPr>
          <w:rFonts w:ascii="Calibri" w:eastAsia="Times New Roman" w:hAnsi="Calibri" w:cs="Times New Roman"/>
          <w:i/>
          <w:color w:val="800000"/>
          <w:lang w:eastAsia="da-DK"/>
        </w:rPr>
        <w:tab/>
      </w:r>
    </w:p>
    <w:p w:rsidR="00C1164B" w:rsidRPr="00C1164B" w:rsidRDefault="00C1164B" w:rsidP="00C1164B">
      <w:pPr>
        <w:pBdr>
          <w:top w:val="single" w:sz="18" w:space="1" w:color="999999"/>
          <w:left w:val="single" w:sz="18" w:space="4" w:color="999999"/>
          <w:bottom w:val="single" w:sz="18" w:space="1" w:color="999999"/>
          <w:right w:val="single" w:sz="18" w:space="4" w:color="999999"/>
        </w:pBdr>
        <w:spacing w:after="0" w:line="270" w:lineRule="atLeast"/>
        <w:rPr>
          <w:rFonts w:ascii="Calibri" w:eastAsia="Times New Roman" w:hAnsi="Calibri" w:cs="Times New Roman"/>
          <w:b/>
          <w:color w:val="000080"/>
          <w:lang w:eastAsia="da-DK"/>
        </w:rPr>
      </w:pPr>
    </w:p>
    <w:p w:rsidR="00C1164B" w:rsidRPr="00C1164B" w:rsidRDefault="00C1164B" w:rsidP="00C1164B">
      <w:pPr>
        <w:spacing w:after="0" w:line="270" w:lineRule="atLeast"/>
        <w:jc w:val="right"/>
        <w:rPr>
          <w:rFonts w:ascii="Calibri" w:eastAsia="Times New Roman" w:hAnsi="Calibri" w:cs="Times New Roman"/>
          <w:b/>
          <w:sz w:val="23"/>
          <w:szCs w:val="20"/>
          <w:lang w:val="en-GB" w:eastAsia="da-DK"/>
        </w:rPr>
      </w:pPr>
    </w:p>
    <w:p w:rsidR="00C1164B" w:rsidRPr="00C1164B" w:rsidRDefault="00C1164B" w:rsidP="00C1164B">
      <w:pPr>
        <w:spacing w:after="0" w:line="270" w:lineRule="atLeast"/>
        <w:jc w:val="right"/>
        <w:rPr>
          <w:rFonts w:ascii="Calibri" w:eastAsia="Times New Roman" w:hAnsi="Calibri" w:cs="Times New Roman"/>
          <w:b/>
          <w:sz w:val="23"/>
          <w:szCs w:val="20"/>
          <w:lang w:val="en-GB" w:eastAsia="da-DK"/>
        </w:rPr>
      </w:pPr>
      <w:r w:rsidRPr="00C1164B">
        <w:rPr>
          <w:rFonts w:ascii="Calibri" w:eastAsia="Times New Roman" w:hAnsi="Calibri" w:cs="Times New Roman"/>
          <w:b/>
          <w:sz w:val="23"/>
          <w:szCs w:val="20"/>
          <w:lang w:val="en-GB" w:eastAsia="da-DK"/>
        </w:rPr>
        <w:t xml:space="preserve">17 December 2102 (Revised version) </w:t>
      </w:r>
    </w:p>
    <w:p w:rsidR="00C1164B" w:rsidRPr="00C1164B" w:rsidRDefault="00C1164B" w:rsidP="00C1164B">
      <w:pPr>
        <w:spacing w:after="0" w:line="270" w:lineRule="atLeast"/>
        <w:jc w:val="right"/>
        <w:rPr>
          <w:rFonts w:ascii="Calibri" w:eastAsia="Times New Roman" w:hAnsi="Calibri" w:cs="Times New Roman"/>
          <w:i/>
          <w:sz w:val="23"/>
          <w:szCs w:val="20"/>
          <w:lang w:val="it-IT" w:eastAsia="da-DK"/>
        </w:rPr>
      </w:pPr>
      <w:r w:rsidRPr="00C1164B">
        <w:rPr>
          <w:rFonts w:ascii="Calibri" w:eastAsia="Times New Roman" w:hAnsi="Calibri" w:cs="Times New Roman"/>
          <w:i/>
          <w:sz w:val="23"/>
          <w:szCs w:val="20"/>
          <w:lang w:val="it-IT" w:eastAsia="da-DK"/>
        </w:rPr>
        <w:t>By Monica Rispo (BCPR consultant)</w:t>
      </w:r>
    </w:p>
    <w:p w:rsidR="00C1164B" w:rsidRPr="00C1164B" w:rsidRDefault="00C1164B" w:rsidP="00C1164B">
      <w:pPr>
        <w:pBdr>
          <w:bottom w:val="single" w:sz="18" w:space="1" w:color="808080"/>
        </w:pBdr>
        <w:spacing w:after="0" w:line="270" w:lineRule="atLeast"/>
        <w:rPr>
          <w:rFonts w:ascii="Calibri" w:eastAsia="Times New Roman" w:hAnsi="Calibri" w:cs="Times New Roman"/>
          <w:i/>
          <w:sz w:val="23"/>
          <w:szCs w:val="20"/>
          <w:lang w:eastAsia="da-DK"/>
        </w:rPr>
      </w:pPr>
      <w:r w:rsidRPr="00C1164B">
        <w:rPr>
          <w:rFonts w:ascii="Calibri" w:eastAsia="Times New Roman" w:hAnsi="Calibri" w:cs="Times New Roman"/>
          <w:i/>
          <w:sz w:val="23"/>
          <w:szCs w:val="20"/>
          <w:lang w:eastAsia="da-DK"/>
        </w:rPr>
        <w:br w:type="page"/>
      </w:r>
      <w:r w:rsidRPr="00C1164B">
        <w:rPr>
          <w:rFonts w:ascii="Calibri" w:eastAsia="Times New Roman" w:hAnsi="Calibri" w:cs="Times New Roman"/>
          <w:b/>
          <w:color w:val="800000"/>
          <w:lang w:val="en-GB" w:eastAsia="da-DK"/>
        </w:rPr>
        <w:lastRenderedPageBreak/>
        <w:t xml:space="preserve">Introduction </w:t>
      </w:r>
    </w:p>
    <w:p w:rsidR="00C1164B" w:rsidRPr="00C1164B" w:rsidRDefault="00C1164B" w:rsidP="00C1164B">
      <w:pPr>
        <w:spacing w:before="120" w:after="0" w:line="300" w:lineRule="exact"/>
        <w:jc w:val="both"/>
        <w:rPr>
          <w:rFonts w:ascii="Calibri" w:eastAsia="Times New Roman" w:hAnsi="Calibri" w:cs="Times New Roman"/>
        </w:rPr>
      </w:pP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Calibri" w:eastAsia="Times New Roman" w:hAnsi="Calibri" w:cs="Times New Roman"/>
          <w:lang w:eastAsia="da-DK"/>
        </w:rPr>
        <w:t>The present document represents the inception report developed for the “</w:t>
      </w:r>
      <w:r w:rsidRPr="00C1164B">
        <w:rPr>
          <w:rFonts w:ascii="Calibri" w:eastAsia="Times New Roman" w:hAnsi="Calibri" w:cs="Times New Roman"/>
          <w:i/>
          <w:lang w:val="en-GB" w:eastAsia="da-DK"/>
        </w:rPr>
        <w:t>Evaluation of UNDP support to mobile courts arrangements in post-conflict situations</w:t>
      </w:r>
      <w:r w:rsidRPr="00C1164B">
        <w:rPr>
          <w:rFonts w:ascii="Calibri" w:eastAsia="Times New Roman" w:hAnsi="Calibri" w:cs="Times New Roman"/>
          <w:lang w:val="en-GB" w:eastAsia="da-DK"/>
        </w:rPr>
        <w:t xml:space="preserve">”, commissioned by UNDP/BCPR to one international consultant (Ms Monica Rispo), as per </w:t>
      </w:r>
      <w:r w:rsidRPr="00C1164B">
        <w:rPr>
          <w:rFonts w:ascii="Calibri" w:eastAsia="Times New Roman" w:hAnsi="Calibri" w:cs="Times New Roman"/>
          <w:lang w:eastAsia="da-DK"/>
        </w:rPr>
        <w:t>TOR attached in Annex 6.</w:t>
      </w:r>
      <w:r w:rsidRPr="00C1164B">
        <w:rPr>
          <w:rFonts w:ascii="Calibri" w:eastAsia="Times New Roman" w:hAnsi="Calibri" w:cs="Times New Roman"/>
          <w:b/>
          <w:lang w:eastAsia="da-DK"/>
        </w:rPr>
        <w:t xml:space="preserve"> </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inception report provides an update on the set of activities conducted in the preliminary phase of the evaluation (15 November -15 December), and contains some methodological and practical suggestions for the next phases of the evaluation.  </w:t>
      </w:r>
    </w:p>
    <w:p w:rsidR="00C1164B" w:rsidRPr="00C1164B" w:rsidRDefault="00C1164B" w:rsidP="00C1164B">
      <w:pPr>
        <w:spacing w:after="0" w:line="300" w:lineRule="exact"/>
        <w:jc w:val="both"/>
        <w:rPr>
          <w:rFonts w:ascii="Calibri" w:eastAsia="Times New Roman" w:hAnsi="Calibri" w:cs="Times New Roman"/>
          <w:b/>
          <w:lang w:eastAsia="da-DK"/>
        </w:rPr>
      </w:pPr>
    </w:p>
    <w:p w:rsidR="00C1164B" w:rsidRPr="00C1164B" w:rsidRDefault="00C1164B" w:rsidP="00C1164B">
      <w:pPr>
        <w:spacing w:after="0" w:line="300" w:lineRule="exact"/>
        <w:jc w:val="both"/>
        <w:rPr>
          <w:rFonts w:ascii="Calibri" w:eastAsia="Times New Roman" w:hAnsi="Calibri" w:cs="Times New Roman"/>
          <w:b/>
          <w:smallCaps/>
          <w:u w:val="single"/>
          <w:lang w:eastAsia="da-DK"/>
        </w:rPr>
      </w:pPr>
    </w:p>
    <w:p w:rsidR="00C1164B" w:rsidRPr="00C1164B" w:rsidRDefault="00C1164B" w:rsidP="00C1164B">
      <w:pPr>
        <w:spacing w:after="0" w:line="300" w:lineRule="exact"/>
        <w:jc w:val="both"/>
        <w:rPr>
          <w:rFonts w:ascii="Calibri" w:eastAsia="Times New Roman" w:hAnsi="Calibri" w:cs="Times New Roman"/>
          <w:b/>
          <w:smallCaps/>
          <w:u w:val="single"/>
          <w:lang w:eastAsia="da-DK"/>
        </w:rPr>
      </w:pPr>
    </w:p>
    <w:p w:rsidR="00C1164B" w:rsidRPr="00C1164B" w:rsidRDefault="00C1164B" w:rsidP="00C1164B">
      <w:pPr>
        <w:spacing w:after="0" w:line="300" w:lineRule="exact"/>
        <w:jc w:val="both"/>
        <w:rPr>
          <w:rFonts w:ascii="Calibri" w:eastAsia="Times New Roman" w:hAnsi="Calibri" w:cs="Times New Roman"/>
          <w:b/>
          <w:smallCaps/>
          <w:color w:val="800000"/>
          <w:u w:val="single"/>
          <w:lang w:eastAsia="da-DK"/>
        </w:rPr>
      </w:pPr>
      <w:r w:rsidRPr="00C1164B">
        <w:rPr>
          <w:rFonts w:ascii="Calibri" w:eastAsia="Times New Roman" w:hAnsi="Calibri" w:cs="Times New Roman"/>
          <w:b/>
          <w:smallCaps/>
          <w:color w:val="800000"/>
          <w:u w:val="single"/>
          <w:lang w:eastAsia="da-DK"/>
        </w:rPr>
        <w:t>SECTION 1 : GENERAL FRAMEWORK</w:t>
      </w:r>
    </w:p>
    <w:p w:rsidR="00C1164B" w:rsidRPr="00C1164B" w:rsidRDefault="00C1164B" w:rsidP="00C1164B">
      <w:pPr>
        <w:spacing w:after="0" w:line="300" w:lineRule="exact"/>
        <w:jc w:val="both"/>
        <w:rPr>
          <w:rFonts w:ascii="Calibri" w:eastAsia="Times New Roman" w:hAnsi="Calibri" w:cs="Times New Roman"/>
          <w:b/>
          <w:smallCaps/>
          <w:lang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1.1. Purpose and objectives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As mentioned in the TOR, the purpose of the evaluation is to “</w:t>
      </w:r>
      <w:r w:rsidRPr="00C1164B">
        <w:rPr>
          <w:rFonts w:ascii="Calibri" w:eastAsia="Times New Roman" w:hAnsi="Calibri" w:cs="Times New Roman"/>
          <w:i/>
          <w:lang w:eastAsia="da-DK"/>
        </w:rPr>
        <w:t>assess the progress, achievements and lessons learned, including challenges faced with regard to the support to mobile courts’ systems in the framework of UNDP RoL programmes</w:t>
      </w:r>
      <w:r w:rsidRPr="00C1164B">
        <w:rPr>
          <w:rFonts w:ascii="Calibri" w:eastAsia="Times New Roman" w:hAnsi="Calibri" w:cs="Times New Roman"/>
          <w:lang w:eastAsia="da-DK"/>
        </w:rPr>
        <w:t>”.</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The evaluation focuses on both accountability and learning purposes and more specifically aims to achieve the following objectives: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numPr>
          <w:ilvl w:val="0"/>
          <w:numId w:val="101"/>
        </w:numPr>
        <w:spacing w:after="0" w:line="300" w:lineRule="exact"/>
        <w:jc w:val="both"/>
        <w:rPr>
          <w:rFonts w:ascii="Calibri" w:eastAsia="Times New Roman" w:hAnsi="Calibri" w:cs="Times New Roman"/>
          <w:lang w:eastAsia="da-DK"/>
        </w:rPr>
      </w:pPr>
      <w:r w:rsidRPr="00C1164B">
        <w:rPr>
          <w:rFonts w:ascii="Calibri" w:eastAsia="Times New Roman" w:hAnsi="Calibri" w:cs="Times New Roman"/>
          <w:b/>
          <w:lang w:eastAsia="da-DK"/>
        </w:rPr>
        <w:t>Building knowledge for better and eventually wider application of mobile courts interventions across BCPR’s Global ROL programme.</w:t>
      </w:r>
      <w:r w:rsidRPr="00C1164B">
        <w:rPr>
          <w:rFonts w:ascii="Calibri" w:eastAsia="Times New Roman" w:hAnsi="Calibri" w:cs="Times New Roman"/>
          <w:lang w:eastAsia="da-DK"/>
        </w:rPr>
        <w:t xml:space="preserve"> </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desk review and preliminary discussions with UNDP staff, have pointed out that comprehensive studies specifically dedicated to mobile courts have not yet been conducted, neither at national nor international level. </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The only exception is the DRC experience with the “gender mobile courts”, which has produced a number of interesting reports</w:t>
      </w:r>
      <w:r w:rsidRPr="00C1164B">
        <w:rPr>
          <w:rFonts w:ascii="Calibri" w:eastAsia="Times New Roman" w:hAnsi="Calibri" w:cs="Times New Roman"/>
          <w:vertAlign w:val="superscript"/>
          <w:lang w:eastAsia="da-DK"/>
        </w:rPr>
        <w:footnoteReference w:id="1"/>
      </w:r>
      <w:r w:rsidRPr="00C1164B">
        <w:rPr>
          <w:rFonts w:ascii="Calibri" w:eastAsia="Times New Roman" w:hAnsi="Calibri" w:cs="Times New Roman"/>
          <w:lang w:eastAsia="da-DK"/>
        </w:rPr>
        <w:t xml:space="preserve"> which are however specific to the DRC context and limit their focus on SBGV. Occasionally general reports on the justice sector have dedicated a few paragraphs to mobile courts, but without offering a detailed analysis of the topic.</w:t>
      </w:r>
    </w:p>
    <w:p w:rsidR="00C1164B" w:rsidRPr="00C1164B" w:rsidRDefault="00C1164B" w:rsidP="00C1164B">
      <w:pPr>
        <w:spacing w:after="0" w:line="300" w:lineRule="exact"/>
        <w:ind w:left="708"/>
        <w:jc w:val="both"/>
        <w:rPr>
          <w:rFonts w:ascii="Calibri" w:eastAsia="Times New Roman" w:hAnsi="Calibri" w:cs="Times New Roman"/>
          <w:lang w:eastAsia="da-DK"/>
        </w:rPr>
      </w:pP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There is therefore a need for more specific analysis of the functioning and impact of mobile courts interventions and how UNDP supports these initiatives in order to identify best practices, lessons learned and eventually promote a debate on some key issues. Such needs are confirmed by UNDP staff in county offices</w:t>
      </w:r>
      <w:r w:rsidRPr="00C1164B">
        <w:rPr>
          <w:rFonts w:ascii="Calibri" w:eastAsia="Times New Roman" w:hAnsi="Calibri" w:cs="Times New Roman"/>
          <w:vertAlign w:val="superscript"/>
          <w:lang w:eastAsia="da-DK"/>
        </w:rPr>
        <w:footnoteReference w:id="2"/>
      </w:r>
      <w:r w:rsidRPr="00C1164B">
        <w:rPr>
          <w:rFonts w:ascii="Calibri" w:eastAsia="Times New Roman" w:hAnsi="Calibri" w:cs="Times New Roman"/>
          <w:lang w:eastAsia="da-DK"/>
        </w:rPr>
        <w:t>, who would welcome further guidance in supporting mobile courts.</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 xml:space="preserve">At BCPR level there might be a need to have a clearer overview of the different mobile courts models that have been implemented in the different country offices, eventually with the objective </w:t>
      </w:r>
      <w:r w:rsidRPr="00C1164B">
        <w:rPr>
          <w:rFonts w:ascii="Calibri" w:eastAsia="Times New Roman" w:hAnsi="Calibri" w:cs="Times New Roman"/>
          <w:lang w:eastAsia="da-DK"/>
        </w:rPr>
        <w:lastRenderedPageBreak/>
        <w:t>to identify some common basic standards for future mobile courts interventions across the Global ROL programme.</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 xml:space="preserve">To this end the evaluation will, whenever possible, take a comparative approach in order to explore how different political and institutional contexts (e.g. status of conflict, level of judicial reform) and legal systems (common law/civil law/ pluralistic) might hinder or facilitate mobile courts arrangements. </w:t>
      </w:r>
    </w:p>
    <w:p w:rsidR="00C1164B" w:rsidRPr="00C1164B" w:rsidRDefault="00C1164B" w:rsidP="00C1164B">
      <w:pPr>
        <w:spacing w:after="0" w:line="300" w:lineRule="exact"/>
        <w:ind w:left="708"/>
        <w:jc w:val="both"/>
        <w:rPr>
          <w:rFonts w:ascii="Calibri" w:eastAsia="Times New Roman" w:hAnsi="Calibri" w:cs="Times New Roman"/>
          <w:lang w:eastAsia="da-DK"/>
        </w:rPr>
      </w:pPr>
    </w:p>
    <w:p w:rsidR="00C1164B" w:rsidRPr="00C1164B" w:rsidRDefault="00C1164B" w:rsidP="00C1164B">
      <w:pPr>
        <w:numPr>
          <w:ilvl w:val="0"/>
          <w:numId w:val="101"/>
        </w:numPr>
        <w:spacing w:after="0" w:line="300" w:lineRule="exact"/>
        <w:jc w:val="both"/>
        <w:rPr>
          <w:rFonts w:ascii="Calibri" w:eastAsia="Times New Roman" w:hAnsi="Calibri" w:cs="Times New Roman"/>
          <w:b/>
          <w:lang w:eastAsia="da-DK"/>
        </w:rPr>
      </w:pPr>
      <w:r w:rsidRPr="00C1164B">
        <w:rPr>
          <w:rFonts w:ascii="Calibri" w:eastAsia="Times New Roman" w:hAnsi="Calibri" w:cs="Times New Roman"/>
          <w:b/>
          <w:lang w:eastAsia="da-DK"/>
        </w:rPr>
        <w:t xml:space="preserve">Promoting joint accountability of UNDP and the national government, respectively in supporting  and implementing mobile courts interventions. </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The accountability component of the evaluation aims</w:t>
      </w:r>
      <w:r w:rsidRPr="00C1164B">
        <w:rPr>
          <w:rFonts w:ascii="Calibri" w:eastAsia="Times New Roman" w:hAnsi="Calibri" w:cs="Myriad-Roman"/>
          <w:color w:val="FFFFFF"/>
          <w:lang w:eastAsia="it-IT"/>
        </w:rPr>
        <w:t xml:space="preserve"> </w:t>
      </w:r>
      <w:r w:rsidRPr="00C1164B">
        <w:rPr>
          <w:rFonts w:ascii="Calibri" w:eastAsia="Times New Roman" w:hAnsi="Calibri" w:cs="Times New Roman"/>
          <w:lang w:eastAsia="da-DK"/>
        </w:rPr>
        <w:t xml:space="preserve">to ascertain results of mobile courts interventions in the light of the 5 criteria of relevance, effectiveness, efficiency, sustainability and impact. </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accountability component will have a different focus for UNDP and the national partner in accordance to their respective roles with regards to mobile courts. </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For UNDP the main focus will be on its programmatic accountability for providing adequate policy and technical support to governments in an approach aimed at strengthening national capacity and promoting national ownership and gender equality. In particular the evaluation will assess the impact UNDP’s support to facilitate mobile courts sessions, promote capacity development to bring justice closer to conflict-affected population and facilitate the (re-)establishment of a justice system and thus grant access to justice for vulnerable groups in a sustainable manner.</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The accountability of the national government derives from its primary responsibility for the provision of qualitative and accessible justice and the fact that mobile courts are in principle implemented autonomously by the Judiciary (or military judiciary, as in DRC) in the light of the principle of administrative independence of the judiciary. In this regards the evaluation will focus on aspects that include assessing if mobile courts are implemented in respect of fair trial rights and ensuring that the intervention does not generate practices affecting the independence of the judges.</w:t>
      </w:r>
    </w:p>
    <w:p w:rsidR="00C1164B" w:rsidRPr="00C1164B" w:rsidRDefault="00C1164B" w:rsidP="00C1164B">
      <w:pPr>
        <w:spacing w:after="0" w:line="300" w:lineRule="exact"/>
        <w:ind w:left="708"/>
        <w:jc w:val="both"/>
        <w:rPr>
          <w:rFonts w:ascii="Calibri" w:eastAsia="Times New Roman" w:hAnsi="Calibri" w:cs="Times New Roman"/>
          <w:lang w:eastAsia="da-DK"/>
        </w:rPr>
      </w:pPr>
      <w:r w:rsidRPr="00C1164B">
        <w:rPr>
          <w:rFonts w:ascii="Calibri" w:eastAsia="Times New Roman" w:hAnsi="Calibri" w:cs="Times New Roman"/>
          <w:lang w:eastAsia="da-DK"/>
        </w:rPr>
        <w:t>In order to facilitate the assessment of these two, strictly interlinked, forms of accountability and promote national ownership of the evaluation results, the field visits will be structured as joint UNDP/Judiciary missions, as illustrated in § 1.4.</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In the light of the principle of complementarity in prosecuting crimes under the jurisdiction of the ICC and BCPR’s engagement to support transitional justice processes, the BCPR Global ROL Programme recognizes that “</w:t>
      </w:r>
      <w:r w:rsidRPr="00C1164B">
        <w:rPr>
          <w:rFonts w:ascii="Calibri" w:eastAsia="Times New Roman" w:hAnsi="Calibri" w:cs="Times New Roman"/>
          <w:i/>
          <w:lang w:eastAsia="da-DK"/>
        </w:rPr>
        <w:t>the process of facing past atrocities should be initiated and driven locally to have a long term impact</w:t>
      </w:r>
      <w:r w:rsidRPr="00C1164B">
        <w:rPr>
          <w:rFonts w:ascii="Calibri" w:eastAsia="Times New Roman" w:hAnsi="Calibri" w:cs="Times New Roman"/>
          <w:lang w:eastAsia="da-DK"/>
        </w:rPr>
        <w:t>” and promotes activities that strengthen national capacities in prosecuting Rome Statute crimes</w:t>
      </w:r>
      <w:r w:rsidRPr="00C1164B">
        <w:rPr>
          <w:rFonts w:ascii="Calibri" w:eastAsia="Times New Roman" w:hAnsi="Calibri" w:cs="Times New Roman"/>
          <w:vertAlign w:val="superscript"/>
          <w:lang w:eastAsia="da-DK"/>
        </w:rPr>
        <w:footnoteReference w:id="3"/>
      </w:r>
      <w:r w:rsidRPr="00C1164B">
        <w:rPr>
          <w:rFonts w:ascii="Calibri" w:eastAsia="Times New Roman" w:hAnsi="Calibri" w:cs="Times New Roman"/>
          <w:lang w:eastAsia="da-DK"/>
        </w:rPr>
        <w:t>.</w:t>
      </w:r>
    </w:p>
    <w:p w:rsidR="00C1164B" w:rsidRPr="00C1164B" w:rsidRDefault="00C1164B" w:rsidP="00C1164B">
      <w:pPr>
        <w:autoSpaceDE w:val="0"/>
        <w:autoSpaceDN w:val="0"/>
        <w:adjustRightInd w:val="0"/>
        <w:spacing w:after="0" w:line="300" w:lineRule="exact"/>
        <w:jc w:val="both"/>
        <w:rPr>
          <w:rFonts w:ascii="Times New Roman" w:eastAsia="Times New Roman" w:hAnsi="Times New Roman" w:cs="Times New Roman"/>
          <w:sz w:val="20"/>
          <w:szCs w:val="20"/>
          <w:lang w:eastAsia="it-IT"/>
        </w:rPr>
      </w:pPr>
      <w:r w:rsidRPr="00C1164B">
        <w:rPr>
          <w:rFonts w:ascii="Calibri" w:eastAsia="Times New Roman" w:hAnsi="Calibri" w:cs="Times New Roman"/>
          <w:lang w:eastAsia="da-DK"/>
        </w:rPr>
        <w:t xml:space="preserve">Accordingly, in specific transitional justice settings (e.g DRC, </w:t>
      </w:r>
      <w:smartTag w:uri="urn:schemas-microsoft-com:office:smarttags" w:element="country-region">
        <w:smartTag w:uri="urn:schemas-microsoft-com:office:smarttags" w:element="place">
          <w:r w:rsidRPr="00C1164B">
            <w:rPr>
              <w:rFonts w:ascii="Calibri" w:eastAsia="Times New Roman" w:hAnsi="Calibri" w:cs="Times New Roman"/>
              <w:lang w:eastAsia="da-DK"/>
            </w:rPr>
            <w:t>Sierra Leone</w:t>
          </w:r>
        </w:smartTag>
      </w:smartTag>
      <w:r w:rsidRPr="00C1164B">
        <w:rPr>
          <w:rFonts w:ascii="Calibri" w:eastAsia="Times New Roman" w:hAnsi="Calibri" w:cs="Times New Roman"/>
          <w:lang w:eastAsia="da-DK"/>
        </w:rPr>
        <w:t>) the evaluation will</w:t>
      </w:r>
      <w:r w:rsidRPr="00C1164B">
        <w:rPr>
          <w:rFonts w:ascii="Times New Roman" w:eastAsia="Times New Roman" w:hAnsi="Times New Roman" w:cs="Times New Roman"/>
          <w:sz w:val="23"/>
          <w:szCs w:val="20"/>
          <w:lang w:eastAsia="da-DK"/>
        </w:rPr>
        <w:t xml:space="preserve"> </w:t>
      </w:r>
      <w:r w:rsidRPr="00C1164B">
        <w:rPr>
          <w:rFonts w:ascii="Calibri" w:eastAsia="Times New Roman" w:hAnsi="Calibri" w:cs="Times New Roman"/>
          <w:lang w:eastAsia="da-DK"/>
        </w:rPr>
        <w:t xml:space="preserve">assess the impact of UNDP supported mobile courts on transitional justice processes, with a focus on the opportunity for conflict-affected population to seek redress for human rights violations and the capacity of mobile courts to address impunity and eventually offer reparations for human rights abuses. </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As per TOR, specific objectives of the evaluation are:</w:t>
      </w:r>
    </w:p>
    <w:p w:rsidR="00C1164B" w:rsidRPr="00C1164B" w:rsidRDefault="00C1164B" w:rsidP="00C1164B">
      <w:pPr>
        <w:numPr>
          <w:ilvl w:val="0"/>
          <w:numId w:val="92"/>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To assess the extent to which mobile courts interventions met their intended objectives and contributed to the achievement of outcomes/outputs;</w:t>
      </w:r>
    </w:p>
    <w:p w:rsidR="00C1164B" w:rsidRPr="00C1164B" w:rsidRDefault="00C1164B" w:rsidP="00C1164B">
      <w:pPr>
        <w:numPr>
          <w:ilvl w:val="0"/>
          <w:numId w:val="92"/>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lastRenderedPageBreak/>
        <w:t>To systematically review the implementation modalities, capacity development efforts, knowledge management and considerations for access to justice for vulnerable groups including women and in particular survivors of sexual violence;</w:t>
      </w:r>
    </w:p>
    <w:p w:rsidR="00C1164B" w:rsidRPr="00C1164B" w:rsidRDefault="00C1164B" w:rsidP="00C1164B">
      <w:pPr>
        <w:numPr>
          <w:ilvl w:val="0"/>
          <w:numId w:val="92"/>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To determine the extent to which support to mobile courts has contributed to increasing access to or decentralizing provision of justice services; and restoration of state-authority in conflict-affected areas</w:t>
      </w:r>
    </w:p>
    <w:p w:rsidR="00C1164B" w:rsidRPr="00C1164B" w:rsidRDefault="00C1164B" w:rsidP="00C1164B">
      <w:pPr>
        <w:numPr>
          <w:ilvl w:val="0"/>
          <w:numId w:val="92"/>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The extent to which mobile courts contribute towards developing and strengthening long term national capacities and strategies for increased A2J;</w:t>
      </w:r>
    </w:p>
    <w:p w:rsidR="00C1164B" w:rsidRPr="00C1164B" w:rsidRDefault="00C1164B" w:rsidP="00C1164B">
      <w:pPr>
        <w:numPr>
          <w:ilvl w:val="0"/>
          <w:numId w:val="92"/>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Assess the exit strategy for UNDP’s support to the mobile courts given their temporary nature;</w:t>
      </w:r>
    </w:p>
    <w:p w:rsidR="00C1164B" w:rsidRPr="00C1164B" w:rsidRDefault="00C1164B" w:rsidP="00C1164B">
      <w:pPr>
        <w:numPr>
          <w:ilvl w:val="0"/>
          <w:numId w:val="92"/>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To present key findings, generate lessons learned, and provide a set of clear and forward-looking recommendations for enhancing the quality of future engagement of UNDP and its partners in supporting mobile courts’ arrangements. </w:t>
      </w:r>
    </w:p>
    <w:p w:rsidR="00C1164B" w:rsidRPr="00C1164B" w:rsidRDefault="00C1164B" w:rsidP="00C1164B">
      <w:pPr>
        <w:autoSpaceDE w:val="0"/>
        <w:autoSpaceDN w:val="0"/>
        <w:adjustRightInd w:val="0"/>
        <w:spacing w:after="0" w:line="300" w:lineRule="exact"/>
        <w:jc w:val="both"/>
        <w:rPr>
          <w:rFonts w:ascii="Calibri" w:eastAsia="Times New Roman" w:hAnsi="Calibri" w:cs="Myriad-Bold"/>
          <w:b/>
          <w:bCs/>
          <w:color w:val="004DFB"/>
          <w:lang w:eastAsia="it-IT"/>
        </w:rPr>
      </w:pPr>
    </w:p>
    <w:p w:rsidR="00C1164B" w:rsidRPr="00C1164B" w:rsidRDefault="00C1164B" w:rsidP="00C1164B">
      <w:pPr>
        <w:autoSpaceDE w:val="0"/>
        <w:autoSpaceDN w:val="0"/>
        <w:adjustRightInd w:val="0"/>
        <w:spacing w:after="0" w:line="300" w:lineRule="exact"/>
        <w:jc w:val="both"/>
        <w:rPr>
          <w:rFonts w:ascii="Calibri" w:eastAsia="Times New Roman" w:hAnsi="Calibri" w:cs="ACaslon-Regular"/>
          <w:color w:val="000000"/>
          <w:lang w:eastAsia="it-IT"/>
        </w:rPr>
      </w:pPr>
      <w:r w:rsidRPr="00C1164B">
        <w:rPr>
          <w:rFonts w:ascii="Calibri" w:eastAsia="Times New Roman" w:hAnsi="Calibri" w:cs="ACaslon-Regular"/>
          <w:color w:val="000000"/>
          <w:lang w:eastAsia="it-IT"/>
        </w:rPr>
        <w:t xml:space="preserve">The above mentioned evaluation objectives will be further defined by the </w:t>
      </w:r>
      <w:r w:rsidRPr="00C1164B">
        <w:rPr>
          <w:rFonts w:ascii="Calibri" w:eastAsia="Times New Roman" w:hAnsi="Calibri" w:cs="ACaslon-Regular"/>
          <w:b/>
          <w:color w:val="000000"/>
          <w:lang w:eastAsia="it-IT"/>
        </w:rPr>
        <w:t>evaluation criteria</w:t>
      </w:r>
      <w:r w:rsidRPr="00C1164B">
        <w:rPr>
          <w:rFonts w:ascii="Calibri" w:eastAsia="Times New Roman" w:hAnsi="Calibri" w:cs="ACaslon-Regular"/>
          <w:color w:val="000000"/>
          <w:lang w:eastAsia="it-IT"/>
        </w:rPr>
        <w:t>, which represent the standards against which the initiatives will be assessed, and are illustrated in § 2.2 (evaluation matrix)</w:t>
      </w:r>
    </w:p>
    <w:p w:rsidR="00C1164B" w:rsidRPr="00C1164B" w:rsidRDefault="00C1164B" w:rsidP="00C1164B">
      <w:pPr>
        <w:spacing w:after="0" w:line="300" w:lineRule="exact"/>
        <w:jc w:val="both"/>
        <w:rPr>
          <w:rFonts w:ascii="Calibri" w:eastAsia="Times New Roman" w:hAnsi="Calibri" w:cs="ACaslon-Regular"/>
          <w:b/>
          <w:lang w:eastAsia="it-IT"/>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xml:space="preserve">§ 1.2. Scope </w:t>
      </w:r>
    </w:p>
    <w:p w:rsidR="00C1164B" w:rsidRPr="00C1164B" w:rsidRDefault="00C1164B" w:rsidP="00C1164B">
      <w:pPr>
        <w:spacing w:after="0" w:line="300" w:lineRule="exact"/>
        <w:jc w:val="both"/>
        <w:rPr>
          <w:rFonts w:ascii="Calibri" w:eastAsia="Times New Roman" w:hAnsi="Calibri" w:cs="ACaslon-Regular"/>
          <w:lang w:eastAsia="it-IT"/>
        </w:rPr>
      </w:pPr>
    </w:p>
    <w:p w:rsidR="00C1164B" w:rsidRPr="00C1164B" w:rsidRDefault="00C1164B" w:rsidP="00C1164B">
      <w:pPr>
        <w:spacing w:after="0" w:line="300" w:lineRule="exact"/>
        <w:jc w:val="both"/>
        <w:rPr>
          <w:rFonts w:ascii="Calibri" w:eastAsia="Times New Roman" w:hAnsi="Calibri" w:cs="ACaslon-Regular"/>
          <w:lang w:eastAsia="it-IT"/>
        </w:rPr>
      </w:pPr>
      <w:r w:rsidRPr="00C1164B">
        <w:rPr>
          <w:rFonts w:ascii="Calibri" w:eastAsia="Times New Roman" w:hAnsi="Calibri" w:cs="ACaslon-Regular"/>
          <w:lang w:eastAsia="it-IT"/>
        </w:rPr>
        <w:t xml:space="preserve">The evaluation will cover 3 mobile courts interventions implemented within the framework of broader ROL programmes/projects funded under the BCPR Global ROL programme, as indicated in the table below. A number of additional country offices will be identified to participate in the desk study.  </w:t>
      </w:r>
    </w:p>
    <w:p w:rsidR="00C1164B" w:rsidRPr="00C1164B" w:rsidRDefault="00C1164B" w:rsidP="00C1164B">
      <w:pPr>
        <w:spacing w:after="0" w:line="300" w:lineRule="exact"/>
        <w:jc w:val="both"/>
        <w:rPr>
          <w:rFonts w:ascii="Calibri" w:eastAsia="Times New Roman" w:hAnsi="Calibri" w:cs="ACaslon-Regular"/>
          <w:lang w:eastAsia="it-IT"/>
        </w:rPr>
      </w:pPr>
      <w:r w:rsidRPr="00C1164B">
        <w:rPr>
          <w:rFonts w:ascii="Calibri" w:eastAsia="Times New Roman" w:hAnsi="Calibri" w:cs="ACaslon-Regular"/>
          <w:lang w:eastAsia="it-IT"/>
        </w:rPr>
        <w:t>The period covered by the evaluation will vary according to the different status of project implementation in each country, but the reference document for the evaluation will be the latest results framework.</w:t>
      </w:r>
    </w:p>
    <w:p w:rsidR="00C1164B" w:rsidRPr="00C1164B" w:rsidRDefault="00C1164B" w:rsidP="00C1164B">
      <w:pPr>
        <w:spacing w:after="0" w:line="270" w:lineRule="atLeast"/>
        <w:rPr>
          <w:rFonts w:ascii="Calibri" w:eastAsia="Times New Roman" w:hAnsi="Calibri" w:cs="ACaslon-Regular"/>
          <w:lang w:eastAsia="it-IT"/>
        </w:rPr>
      </w:pPr>
    </w:p>
    <w:tbl>
      <w:tblPr>
        <w:tblStyle w:val="TableGrid3"/>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1548"/>
        <w:gridCol w:w="3960"/>
        <w:gridCol w:w="1980"/>
        <w:gridCol w:w="2290"/>
      </w:tblGrid>
      <w:tr w:rsidR="00C1164B" w:rsidRPr="00C1164B" w:rsidTr="00C8613A">
        <w:tc>
          <w:tcPr>
            <w:tcW w:w="1548" w:type="dxa"/>
            <w:shd w:val="clear" w:color="auto" w:fill="333333"/>
          </w:tcPr>
          <w:p w:rsidR="00C1164B" w:rsidRPr="00C1164B" w:rsidRDefault="00C1164B" w:rsidP="00C1164B">
            <w:pPr>
              <w:rPr>
                <w:rFonts w:ascii="Calibri" w:hAnsi="Calibri" w:cs="ACaslon-Regular"/>
                <w:b/>
                <w:smallCaps/>
                <w:color w:val="FFFFFF"/>
                <w:lang w:eastAsia="it-IT"/>
              </w:rPr>
            </w:pPr>
            <w:r w:rsidRPr="00C1164B">
              <w:rPr>
                <w:rFonts w:ascii="Calibri" w:hAnsi="Calibri" w:cs="ACaslon-Regular"/>
                <w:b/>
                <w:smallCaps/>
                <w:color w:val="FFFFFF"/>
                <w:lang w:eastAsia="it-IT"/>
              </w:rPr>
              <w:t>country</w:t>
            </w:r>
          </w:p>
        </w:tc>
        <w:tc>
          <w:tcPr>
            <w:tcW w:w="3960" w:type="dxa"/>
            <w:shd w:val="clear" w:color="auto" w:fill="333333"/>
          </w:tcPr>
          <w:p w:rsidR="00C1164B" w:rsidRPr="00C1164B" w:rsidRDefault="00C1164B" w:rsidP="00C1164B">
            <w:pPr>
              <w:rPr>
                <w:rFonts w:ascii="Calibri" w:hAnsi="Calibri" w:cs="ACaslon-Regular"/>
                <w:b/>
                <w:smallCaps/>
                <w:color w:val="FFFFFF"/>
                <w:lang w:eastAsia="it-IT"/>
              </w:rPr>
            </w:pPr>
            <w:r w:rsidRPr="00C1164B">
              <w:rPr>
                <w:rFonts w:ascii="Calibri" w:hAnsi="Calibri" w:cs="ACaslon-Regular"/>
                <w:b/>
                <w:smallCaps/>
                <w:color w:val="FFFFFF"/>
                <w:lang w:eastAsia="it-IT"/>
              </w:rPr>
              <w:t xml:space="preserve">title of UNDP  projet or programme under which </w:t>
            </w:r>
            <w:smartTag w:uri="urn:schemas-microsoft-com:office:smarttags" w:element="place">
              <w:r w:rsidRPr="00C1164B">
                <w:rPr>
                  <w:rFonts w:ascii="Calibri" w:hAnsi="Calibri" w:cs="ACaslon-Regular"/>
                  <w:b/>
                  <w:smallCaps/>
                  <w:color w:val="FFFFFF"/>
                  <w:lang w:eastAsia="it-IT"/>
                </w:rPr>
                <w:t>mobile</w:t>
              </w:r>
            </w:smartTag>
            <w:r w:rsidRPr="00C1164B">
              <w:rPr>
                <w:rFonts w:ascii="Calibri" w:hAnsi="Calibri" w:cs="ACaslon-Regular"/>
                <w:b/>
                <w:smallCaps/>
                <w:color w:val="FFFFFF"/>
                <w:lang w:eastAsia="it-IT"/>
              </w:rPr>
              <w:t xml:space="preserve"> courts are implemented</w:t>
            </w:r>
          </w:p>
        </w:tc>
        <w:tc>
          <w:tcPr>
            <w:tcW w:w="1980" w:type="dxa"/>
            <w:shd w:val="clear" w:color="auto" w:fill="333333"/>
          </w:tcPr>
          <w:p w:rsidR="00C1164B" w:rsidRPr="00C1164B" w:rsidRDefault="00C1164B" w:rsidP="00C1164B">
            <w:pPr>
              <w:rPr>
                <w:rFonts w:ascii="Calibri" w:hAnsi="Calibri" w:cs="ACaslon-Regular"/>
                <w:b/>
                <w:smallCaps/>
                <w:color w:val="FFFFFF"/>
                <w:lang w:eastAsia="it-IT"/>
              </w:rPr>
            </w:pPr>
            <w:r w:rsidRPr="00C1164B">
              <w:rPr>
                <w:rFonts w:ascii="Calibri" w:hAnsi="Calibri" w:cs="ACaslon-Regular"/>
                <w:b/>
                <w:smallCaps/>
                <w:color w:val="FFFFFF"/>
                <w:lang w:eastAsia="it-IT"/>
              </w:rPr>
              <w:t>project/ programme duration</w:t>
            </w:r>
          </w:p>
        </w:tc>
        <w:tc>
          <w:tcPr>
            <w:tcW w:w="2290" w:type="dxa"/>
            <w:shd w:val="clear" w:color="auto" w:fill="333333"/>
          </w:tcPr>
          <w:p w:rsidR="00C1164B" w:rsidRPr="00C1164B" w:rsidRDefault="00C1164B" w:rsidP="00C1164B">
            <w:pPr>
              <w:rPr>
                <w:rFonts w:ascii="Calibri" w:hAnsi="Calibri" w:cs="ACaslon-Regular"/>
                <w:b/>
                <w:smallCaps/>
                <w:color w:val="FFFFFF"/>
                <w:lang w:eastAsia="it-IT"/>
              </w:rPr>
            </w:pPr>
            <w:r w:rsidRPr="00C1164B">
              <w:rPr>
                <w:rFonts w:ascii="Calibri" w:hAnsi="Calibri" w:cs="ACaslon-Regular"/>
                <w:b/>
                <w:smallCaps/>
                <w:color w:val="FFFFFF"/>
                <w:lang w:eastAsia="it-IT"/>
              </w:rPr>
              <w:t xml:space="preserve">Year when UNDP started to support </w:t>
            </w:r>
            <w:smartTag w:uri="urn:schemas-microsoft-com:office:smarttags" w:element="place">
              <w:r w:rsidRPr="00C1164B">
                <w:rPr>
                  <w:rFonts w:ascii="Calibri" w:hAnsi="Calibri" w:cs="ACaslon-Regular"/>
                  <w:b/>
                  <w:smallCaps/>
                  <w:color w:val="FFFFFF"/>
                  <w:lang w:eastAsia="it-IT"/>
                </w:rPr>
                <w:t>mobile</w:t>
              </w:r>
            </w:smartTag>
            <w:r w:rsidRPr="00C1164B">
              <w:rPr>
                <w:rFonts w:ascii="Calibri" w:hAnsi="Calibri" w:cs="ACaslon-Regular"/>
                <w:b/>
                <w:smallCaps/>
                <w:color w:val="FFFFFF"/>
                <w:lang w:eastAsia="it-IT"/>
              </w:rPr>
              <w:t xml:space="preserve"> courts </w:t>
            </w:r>
          </w:p>
        </w:tc>
      </w:tr>
      <w:tr w:rsidR="00C1164B" w:rsidRPr="00C1164B" w:rsidTr="00C8613A">
        <w:tc>
          <w:tcPr>
            <w:tcW w:w="1548" w:type="dxa"/>
          </w:tcPr>
          <w:p w:rsidR="00C1164B" w:rsidRPr="00C1164B" w:rsidRDefault="00C1164B" w:rsidP="00C1164B">
            <w:pPr>
              <w:rPr>
                <w:rFonts w:ascii="Calibri" w:hAnsi="Calibri" w:cs="ACaslon-Regular"/>
                <w:b/>
                <w:lang w:eastAsia="it-IT"/>
              </w:rPr>
            </w:pPr>
            <w:smartTag w:uri="urn:schemas-microsoft-com:office:smarttags" w:element="place">
              <w:r w:rsidRPr="00C1164B">
                <w:rPr>
                  <w:rFonts w:ascii="Calibri" w:hAnsi="Calibri" w:cs="ACaslon-Regular"/>
                  <w:b/>
                  <w:lang w:eastAsia="it-IT"/>
                </w:rPr>
                <w:t>Central Africa</w:t>
              </w:r>
            </w:smartTag>
          </w:p>
        </w:tc>
        <w:tc>
          <w:tcPr>
            <w:tcW w:w="3960" w:type="dxa"/>
          </w:tcPr>
          <w:p w:rsidR="00C1164B" w:rsidRPr="00C1164B" w:rsidRDefault="00C1164B" w:rsidP="00C1164B">
            <w:pPr>
              <w:rPr>
                <w:rFonts w:ascii="Calibri" w:hAnsi="Calibri"/>
                <w:bCs/>
                <w:lang w:val="fr-FR" w:eastAsia="da-DK"/>
              </w:rPr>
            </w:pPr>
            <w:r w:rsidRPr="00C1164B">
              <w:rPr>
                <w:rFonts w:ascii="Calibri" w:hAnsi="Calibri"/>
                <w:bCs/>
                <w:lang w:val="fr-FR" w:eastAsia="da-DK"/>
              </w:rPr>
              <w:t>Stratégie de Développement des Capacités pour le Renforcement de l’Etat de droit ?</w:t>
            </w:r>
          </w:p>
        </w:tc>
        <w:tc>
          <w:tcPr>
            <w:tcW w:w="1980" w:type="dxa"/>
          </w:tcPr>
          <w:p w:rsidR="00C1164B" w:rsidRPr="00C1164B" w:rsidRDefault="00C1164B" w:rsidP="00C1164B">
            <w:pPr>
              <w:rPr>
                <w:rFonts w:ascii="Calibri" w:hAnsi="Calibri" w:cs="ACaslon-Regular"/>
                <w:lang w:eastAsia="it-IT"/>
              </w:rPr>
            </w:pPr>
            <w:r w:rsidRPr="00C1164B">
              <w:rPr>
                <w:rFonts w:ascii="Calibri" w:hAnsi="Calibri"/>
                <w:lang w:val="fr-FR" w:eastAsia="da-DK"/>
              </w:rPr>
              <w:t>2012 – 2016</w:t>
            </w:r>
          </w:p>
        </w:tc>
        <w:tc>
          <w:tcPr>
            <w:tcW w:w="2290" w:type="dxa"/>
          </w:tcPr>
          <w:p w:rsidR="00C1164B" w:rsidRPr="00C1164B" w:rsidRDefault="00C1164B" w:rsidP="00C1164B">
            <w:pPr>
              <w:rPr>
                <w:rFonts w:ascii="Calibri" w:hAnsi="Calibri" w:cs="ACaslon-Regular"/>
                <w:lang w:eastAsia="it-IT"/>
              </w:rPr>
            </w:pPr>
            <w:r w:rsidRPr="00C1164B">
              <w:rPr>
                <w:rFonts w:ascii="Calibri" w:hAnsi="Calibri" w:cs="ACaslon-Regular"/>
                <w:lang w:eastAsia="it-IT"/>
              </w:rPr>
              <w:t>?</w:t>
            </w:r>
          </w:p>
        </w:tc>
      </w:tr>
      <w:tr w:rsidR="00C1164B" w:rsidRPr="00C1164B" w:rsidTr="00C8613A">
        <w:tc>
          <w:tcPr>
            <w:tcW w:w="1548" w:type="dxa"/>
          </w:tcPr>
          <w:p w:rsidR="00C1164B" w:rsidRPr="00C1164B" w:rsidRDefault="00C1164B" w:rsidP="00C1164B">
            <w:pPr>
              <w:rPr>
                <w:rFonts w:ascii="Calibri" w:hAnsi="Calibri" w:cs="ACaslon-Regular"/>
                <w:b/>
                <w:lang w:eastAsia="it-IT"/>
              </w:rPr>
            </w:pPr>
            <w:smartTag w:uri="urn:schemas-microsoft-com:office:smarttags" w:element="place">
              <w:smartTag w:uri="urn:schemas-microsoft-com:office:smarttags" w:element="country-region">
                <w:r w:rsidRPr="00C1164B">
                  <w:rPr>
                    <w:rFonts w:ascii="Calibri" w:hAnsi="Calibri" w:cs="ACaslon-Regular"/>
                    <w:b/>
                    <w:lang w:eastAsia="it-IT"/>
                  </w:rPr>
                  <w:t>Sierra Leone</w:t>
                </w:r>
              </w:smartTag>
            </w:smartTag>
          </w:p>
        </w:tc>
        <w:tc>
          <w:tcPr>
            <w:tcW w:w="3960" w:type="dxa"/>
          </w:tcPr>
          <w:p w:rsidR="00C1164B" w:rsidRPr="00C1164B" w:rsidRDefault="00C1164B" w:rsidP="00C1164B">
            <w:pPr>
              <w:rPr>
                <w:rFonts w:ascii="Calibri" w:hAnsi="Calibri"/>
                <w:bCs/>
                <w:lang w:eastAsia="da-DK"/>
              </w:rPr>
            </w:pPr>
            <w:r w:rsidRPr="00C1164B">
              <w:rPr>
                <w:rFonts w:ascii="Calibri" w:hAnsi="Calibri"/>
                <w:lang w:eastAsia="da-DK"/>
              </w:rPr>
              <w:t>Improving Access to Justice Programme</w:t>
            </w:r>
          </w:p>
        </w:tc>
        <w:tc>
          <w:tcPr>
            <w:tcW w:w="1980" w:type="dxa"/>
          </w:tcPr>
          <w:p w:rsidR="00C1164B" w:rsidRPr="00C1164B" w:rsidRDefault="00C1164B" w:rsidP="00C1164B">
            <w:pPr>
              <w:rPr>
                <w:rFonts w:ascii="Calibri" w:hAnsi="Calibri"/>
                <w:lang w:eastAsia="da-DK"/>
              </w:rPr>
            </w:pPr>
            <w:r w:rsidRPr="00C1164B">
              <w:rPr>
                <w:rFonts w:ascii="Calibri" w:hAnsi="Calibri"/>
                <w:lang w:eastAsia="da-DK"/>
              </w:rPr>
              <w:t xml:space="preserve">2010 – 2011 </w:t>
            </w:r>
          </w:p>
        </w:tc>
        <w:tc>
          <w:tcPr>
            <w:tcW w:w="2290" w:type="dxa"/>
          </w:tcPr>
          <w:p w:rsidR="00C1164B" w:rsidRPr="00C1164B" w:rsidRDefault="00C1164B" w:rsidP="00C1164B">
            <w:pPr>
              <w:rPr>
                <w:rFonts w:ascii="Calibri" w:hAnsi="Calibri" w:cs="ACaslon-Regular"/>
                <w:lang w:eastAsia="it-IT"/>
              </w:rPr>
            </w:pPr>
            <w:r w:rsidRPr="00C1164B">
              <w:rPr>
                <w:rFonts w:ascii="Calibri" w:hAnsi="Calibri" w:cs="ACaslon-Regular"/>
                <w:lang w:eastAsia="it-IT"/>
              </w:rPr>
              <w:t>?</w:t>
            </w:r>
          </w:p>
        </w:tc>
      </w:tr>
      <w:tr w:rsidR="00C1164B" w:rsidRPr="00C1164B" w:rsidTr="00C8613A">
        <w:tc>
          <w:tcPr>
            <w:tcW w:w="1548" w:type="dxa"/>
          </w:tcPr>
          <w:p w:rsidR="00C1164B" w:rsidRPr="00C1164B" w:rsidRDefault="00C1164B" w:rsidP="00C1164B">
            <w:pPr>
              <w:rPr>
                <w:rFonts w:ascii="Calibri" w:hAnsi="Calibri" w:cs="ACaslon-Regular"/>
                <w:b/>
                <w:lang w:eastAsia="it-IT"/>
              </w:rPr>
            </w:pPr>
            <w:smartTag w:uri="urn:schemas-microsoft-com:office:smarttags" w:element="place">
              <w:smartTag w:uri="urn:schemas-microsoft-com:office:smarttags" w:element="country-region">
                <w:r w:rsidRPr="00C1164B">
                  <w:rPr>
                    <w:rFonts w:ascii="Calibri" w:hAnsi="Calibri" w:cs="ACaslon-Regular"/>
                    <w:b/>
                    <w:lang w:eastAsia="it-IT"/>
                  </w:rPr>
                  <w:t>Somalia</w:t>
                </w:r>
              </w:smartTag>
            </w:smartTag>
          </w:p>
        </w:tc>
        <w:tc>
          <w:tcPr>
            <w:tcW w:w="3960" w:type="dxa"/>
          </w:tcPr>
          <w:p w:rsidR="00C1164B" w:rsidRPr="00C1164B" w:rsidRDefault="00C1164B" w:rsidP="00C1164B">
            <w:pPr>
              <w:rPr>
                <w:rFonts w:ascii="Calibri" w:hAnsi="Calibri"/>
                <w:lang w:eastAsia="da-DK"/>
              </w:rPr>
            </w:pPr>
            <w:r w:rsidRPr="00C1164B">
              <w:rPr>
                <w:rFonts w:ascii="Calibri" w:hAnsi="Calibri"/>
                <w:lang w:eastAsia="da-DK"/>
              </w:rPr>
              <w:t>Governance and rule of law programme</w:t>
            </w:r>
          </w:p>
        </w:tc>
        <w:tc>
          <w:tcPr>
            <w:tcW w:w="1980" w:type="dxa"/>
          </w:tcPr>
          <w:p w:rsidR="00C1164B" w:rsidRPr="00C1164B" w:rsidRDefault="00C1164B" w:rsidP="00C1164B">
            <w:pPr>
              <w:rPr>
                <w:rFonts w:ascii="Calibri" w:hAnsi="Calibri"/>
                <w:lang w:eastAsia="da-DK"/>
              </w:rPr>
            </w:pPr>
            <w:r w:rsidRPr="00C1164B">
              <w:rPr>
                <w:rFonts w:ascii="Calibri" w:hAnsi="Calibri"/>
                <w:lang w:eastAsia="da-DK"/>
              </w:rPr>
              <w:t>2012-2015</w:t>
            </w:r>
          </w:p>
        </w:tc>
        <w:tc>
          <w:tcPr>
            <w:tcW w:w="2290" w:type="dxa"/>
          </w:tcPr>
          <w:p w:rsidR="00C1164B" w:rsidRPr="00C1164B" w:rsidRDefault="00C1164B" w:rsidP="00C1164B">
            <w:pPr>
              <w:rPr>
                <w:rFonts w:ascii="Calibri" w:hAnsi="Calibri" w:cs="ACaslon-Regular"/>
                <w:lang w:eastAsia="it-IT"/>
              </w:rPr>
            </w:pPr>
            <w:r w:rsidRPr="00C1164B">
              <w:rPr>
                <w:rFonts w:ascii="Calibri" w:hAnsi="Calibri" w:cs="ACaslon-Regular"/>
                <w:lang w:eastAsia="it-IT"/>
              </w:rPr>
              <w:t>2008</w:t>
            </w:r>
          </w:p>
        </w:tc>
      </w:tr>
      <w:tr w:rsidR="00C1164B" w:rsidRPr="00C1164B" w:rsidTr="00C8613A">
        <w:tc>
          <w:tcPr>
            <w:tcW w:w="9778" w:type="dxa"/>
            <w:gridSpan w:val="4"/>
          </w:tcPr>
          <w:p w:rsidR="00C1164B" w:rsidRPr="00C1164B" w:rsidRDefault="00C1164B" w:rsidP="00C1164B">
            <w:pPr>
              <w:rPr>
                <w:rFonts w:ascii="Calibri" w:hAnsi="Calibri" w:cs="ACaslon-Regular"/>
                <w:lang w:eastAsia="it-IT"/>
              </w:rPr>
            </w:pPr>
            <w:r w:rsidRPr="00C1164B">
              <w:rPr>
                <w:rFonts w:ascii="Calibri" w:hAnsi="Calibri" w:cs="ACaslon-Regular"/>
                <w:lang w:eastAsia="it-IT"/>
              </w:rPr>
              <w:t>Additional countries will be identified for the desk study and will include Guinea Bissau, DRC and Timor Leste</w:t>
            </w:r>
          </w:p>
        </w:tc>
      </w:tr>
    </w:tbl>
    <w:p w:rsidR="00C1164B" w:rsidRPr="00C1164B" w:rsidRDefault="00C1164B" w:rsidP="00C1164B">
      <w:pPr>
        <w:spacing w:after="0" w:line="270" w:lineRule="atLeast"/>
        <w:rPr>
          <w:rFonts w:ascii="Calibri" w:eastAsia="Times New Roman" w:hAnsi="Calibri" w:cs="ACaslon-Regular"/>
          <w:lang w:eastAsia="it-IT"/>
        </w:rPr>
      </w:pPr>
    </w:p>
    <w:p w:rsidR="00C1164B" w:rsidRPr="00C1164B" w:rsidRDefault="00C1164B" w:rsidP="00C1164B">
      <w:pPr>
        <w:spacing w:after="0" w:line="270" w:lineRule="atLeast"/>
        <w:rPr>
          <w:rFonts w:ascii="Calibri" w:eastAsia="Times New Roman" w:hAnsi="Calibri" w:cs="ACaslon-Regular"/>
          <w:lang w:eastAsia="it-IT"/>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1.3 Target audiences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identification of the target audiences for the evaluation is interlinked with 2 main purposes of the evaluation:   </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numPr>
          <w:ilvl w:val="0"/>
          <w:numId w:val="94"/>
        </w:numPr>
        <w:spacing w:after="0" w:line="300" w:lineRule="exact"/>
        <w:rPr>
          <w:rFonts w:ascii="Calibri" w:eastAsia="Times New Roman" w:hAnsi="Calibri" w:cs="Times New Roman"/>
          <w:lang w:val="en-GB" w:eastAsia="da-DK"/>
        </w:rPr>
      </w:pPr>
      <w:r w:rsidRPr="00C1164B">
        <w:rPr>
          <w:rFonts w:ascii="Calibri" w:eastAsia="Times New Roman" w:hAnsi="Calibri" w:cs="Times New Roman"/>
          <w:lang w:eastAsia="da-DK"/>
        </w:rPr>
        <w:t>T</w:t>
      </w:r>
      <w:r w:rsidRPr="00C1164B">
        <w:rPr>
          <w:rFonts w:ascii="Calibri" w:eastAsia="Times New Roman" w:hAnsi="Calibri" w:cs="Times New Roman"/>
          <w:lang w:val="en-GB" w:eastAsia="da-DK"/>
        </w:rPr>
        <w:t xml:space="preserve">he </w:t>
      </w:r>
      <w:r w:rsidRPr="00C1164B">
        <w:rPr>
          <w:rFonts w:ascii="Calibri" w:eastAsia="Times New Roman" w:hAnsi="Calibri" w:cs="Times New Roman"/>
          <w:b/>
          <w:lang w:val="en-GB" w:eastAsia="da-DK"/>
        </w:rPr>
        <w:t>accountability component</w:t>
      </w:r>
      <w:r w:rsidRPr="00C1164B">
        <w:rPr>
          <w:rFonts w:ascii="Calibri" w:eastAsia="Times New Roman" w:hAnsi="Calibri" w:cs="Times New Roman"/>
          <w:lang w:val="en-GB" w:eastAsia="da-DK"/>
        </w:rPr>
        <w:t xml:space="preserve"> responds to the information needs of the </w:t>
      </w:r>
      <w:r w:rsidRPr="00C1164B">
        <w:rPr>
          <w:rFonts w:ascii="Calibri" w:eastAsia="Times New Roman" w:hAnsi="Calibri" w:cs="Times New Roman"/>
          <w:b/>
          <w:lang w:val="en-GB" w:eastAsia="da-DK"/>
        </w:rPr>
        <w:t>following users</w:t>
      </w:r>
      <w:r w:rsidRPr="00C1164B">
        <w:rPr>
          <w:rFonts w:ascii="Calibri" w:eastAsia="Times New Roman" w:hAnsi="Calibri" w:cs="Times New Roman"/>
          <w:lang w:val="en-GB" w:eastAsia="da-DK"/>
        </w:rPr>
        <w:t xml:space="preserve">: </w:t>
      </w:r>
    </w:p>
    <w:p w:rsidR="00C1164B" w:rsidRPr="00C1164B" w:rsidRDefault="00C1164B" w:rsidP="00C1164B">
      <w:pPr>
        <w:spacing w:after="0" w:line="300" w:lineRule="exact"/>
        <w:ind w:firstLine="432"/>
        <w:rPr>
          <w:rFonts w:ascii="Calibri" w:eastAsia="Times New Roman" w:hAnsi="Calibri" w:cs="Times New Roman"/>
          <w:lang w:val="en-GB" w:eastAsia="da-DK"/>
        </w:rPr>
      </w:pPr>
      <w:r w:rsidRPr="00C1164B">
        <w:rPr>
          <w:rFonts w:ascii="Calibri" w:eastAsia="Times New Roman" w:hAnsi="Calibri" w:cs="Times New Roman"/>
          <w:lang w:val="en-GB" w:eastAsia="da-DK"/>
        </w:rPr>
        <w:t>- BCPR and UNDP staff in the 5 Country Offices;</w:t>
      </w:r>
    </w:p>
    <w:p w:rsidR="00C1164B" w:rsidRPr="00C1164B" w:rsidRDefault="00C1164B" w:rsidP="00C1164B">
      <w:pPr>
        <w:spacing w:after="0" w:line="300" w:lineRule="exact"/>
        <w:ind w:left="432"/>
        <w:rPr>
          <w:rFonts w:ascii="Calibri" w:eastAsia="Times New Roman" w:hAnsi="Calibri" w:cs="Times New Roman"/>
          <w:lang w:val="en-GB" w:eastAsia="da-DK"/>
        </w:rPr>
      </w:pPr>
      <w:r w:rsidRPr="00C1164B">
        <w:rPr>
          <w:rFonts w:ascii="Calibri" w:eastAsia="Times New Roman" w:hAnsi="Calibri" w:cs="Times New Roman"/>
          <w:lang w:val="en-GB" w:eastAsia="da-DK"/>
        </w:rPr>
        <w:t>- national partner ( Judiciary or Ministry of Justice) and/or implementing partner (NGO,CSO);</w:t>
      </w:r>
    </w:p>
    <w:p w:rsidR="00C1164B" w:rsidRPr="00C1164B" w:rsidRDefault="00C1164B" w:rsidP="00C1164B">
      <w:pPr>
        <w:spacing w:after="0" w:line="300" w:lineRule="exact"/>
        <w:ind w:left="432"/>
        <w:rPr>
          <w:rFonts w:ascii="Calibri" w:eastAsia="Times New Roman" w:hAnsi="Calibri" w:cs="Times New Roman"/>
          <w:lang w:val="en-GB" w:eastAsia="da-DK"/>
        </w:rPr>
      </w:pPr>
      <w:r w:rsidRPr="00C1164B">
        <w:rPr>
          <w:rFonts w:ascii="Calibri" w:eastAsia="Times New Roman" w:hAnsi="Calibri" w:cs="Times New Roman"/>
          <w:lang w:val="en-GB" w:eastAsia="da-DK"/>
        </w:rPr>
        <w:t>- eventual UN partners (e.g. DPKO) in case of joint interventions;</w:t>
      </w:r>
    </w:p>
    <w:p w:rsidR="00C1164B" w:rsidRPr="00C1164B" w:rsidRDefault="00C1164B" w:rsidP="00C1164B">
      <w:pPr>
        <w:spacing w:after="0" w:line="300" w:lineRule="exact"/>
        <w:ind w:left="432"/>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 eventual donors contributing to the initiative. </w:t>
      </w:r>
    </w:p>
    <w:p w:rsidR="00C1164B" w:rsidRPr="00C1164B" w:rsidRDefault="00C1164B" w:rsidP="00C1164B">
      <w:pPr>
        <w:spacing w:after="0" w:line="300" w:lineRule="exact"/>
        <w:jc w:val="both"/>
        <w:rPr>
          <w:rFonts w:ascii="Calibri" w:eastAsia="Times New Roman" w:hAnsi="Calibri" w:cs="ACaslon-Regular"/>
          <w:lang w:eastAsia="it-IT"/>
        </w:rPr>
      </w:pPr>
      <w:r w:rsidRPr="00C1164B">
        <w:rPr>
          <w:rFonts w:ascii="Calibri" w:eastAsia="Times New Roman" w:hAnsi="Calibri" w:cs="Times New Roman"/>
          <w:lang w:val="en-GB" w:eastAsia="da-DK"/>
        </w:rPr>
        <w:t xml:space="preserve">The report will be used to improve programme delivery, </w:t>
      </w:r>
      <w:r w:rsidRPr="00C1164B">
        <w:rPr>
          <w:rFonts w:ascii="Calibri" w:eastAsia="Times New Roman" w:hAnsi="Calibri" w:cs="ACaslon-Regular"/>
          <w:lang w:eastAsia="it-IT"/>
        </w:rPr>
        <w:t>make informed and evidence-based decisions and plan strategically the activities to be implemented.</w:t>
      </w:r>
    </w:p>
    <w:p w:rsidR="00C1164B" w:rsidRPr="00C1164B" w:rsidRDefault="00C1164B" w:rsidP="00C1164B">
      <w:pPr>
        <w:spacing w:after="0" w:line="300" w:lineRule="exact"/>
        <w:ind w:left="432"/>
        <w:jc w:val="both"/>
        <w:rPr>
          <w:rFonts w:ascii="Calibri" w:eastAsia="Times New Roman" w:hAnsi="Calibri" w:cs="Times New Roman"/>
          <w:lang w:val="en-GB" w:eastAsia="da-DK"/>
        </w:rPr>
      </w:pPr>
    </w:p>
    <w:p w:rsidR="00C1164B" w:rsidRPr="00C1164B" w:rsidRDefault="00C1164B" w:rsidP="00C1164B">
      <w:pPr>
        <w:numPr>
          <w:ilvl w:val="0"/>
          <w:numId w:val="94"/>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The </w:t>
      </w:r>
      <w:r w:rsidRPr="00C1164B">
        <w:rPr>
          <w:rFonts w:ascii="Calibri" w:eastAsia="Times New Roman" w:hAnsi="Calibri" w:cs="Times New Roman"/>
          <w:b/>
          <w:lang w:val="en-GB" w:eastAsia="da-DK"/>
        </w:rPr>
        <w:t>lesson learned component</w:t>
      </w:r>
      <w:r w:rsidRPr="00C1164B">
        <w:rPr>
          <w:rFonts w:ascii="Calibri" w:eastAsia="Times New Roman" w:hAnsi="Calibri" w:cs="Times New Roman"/>
          <w:lang w:val="en-GB" w:eastAsia="da-DK"/>
        </w:rPr>
        <w:t xml:space="preserve"> has a broader audience: in addition to the above-mentioned users, the evaluation could also be of interest for the </w:t>
      </w:r>
      <w:r w:rsidRPr="00C1164B">
        <w:rPr>
          <w:rFonts w:ascii="Calibri" w:eastAsia="Times New Roman" w:hAnsi="Calibri" w:cs="Times New Roman"/>
          <w:b/>
          <w:lang w:val="en-GB" w:eastAsia="da-DK"/>
        </w:rPr>
        <w:t>following users</w:t>
      </w:r>
      <w:r w:rsidRPr="00C1164B">
        <w:rPr>
          <w:rFonts w:ascii="Calibri" w:eastAsia="Times New Roman" w:hAnsi="Calibri" w:cs="Times New Roman"/>
          <w:lang w:val="en-GB" w:eastAsia="da-DK"/>
        </w:rPr>
        <w:t>:</w:t>
      </w:r>
    </w:p>
    <w:p w:rsidR="00C1164B" w:rsidRPr="00C1164B" w:rsidRDefault="00C1164B" w:rsidP="00C1164B">
      <w:pPr>
        <w:spacing w:after="0" w:line="300" w:lineRule="exact"/>
        <w:ind w:firstLine="432"/>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development partners (INGOs, donors, international organisations….)</w:t>
      </w:r>
    </w:p>
    <w:p w:rsidR="00C1164B" w:rsidRPr="00C1164B" w:rsidRDefault="00C1164B" w:rsidP="00C1164B">
      <w:pPr>
        <w:spacing w:after="0" w:line="300" w:lineRule="exact"/>
        <w:ind w:firstLine="432"/>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 UN sister agencies, </w:t>
      </w:r>
    </w:p>
    <w:p w:rsidR="00C1164B" w:rsidRPr="00C1164B" w:rsidRDefault="00C1164B" w:rsidP="00C1164B">
      <w:pPr>
        <w:spacing w:after="0" w:line="300" w:lineRule="exact"/>
        <w:ind w:firstLine="432"/>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 academic and research institutions, </w:t>
      </w:r>
    </w:p>
    <w:p w:rsidR="00C1164B" w:rsidRPr="00C1164B" w:rsidRDefault="00C1164B" w:rsidP="00C1164B">
      <w:pPr>
        <w:spacing w:after="0" w:line="300" w:lineRule="exact"/>
        <w:ind w:firstLine="432"/>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national institutions as Police, Prison system, Bar Associations…</w:t>
      </w:r>
    </w:p>
    <w:p w:rsidR="00C1164B" w:rsidRPr="00C1164B" w:rsidRDefault="00C1164B" w:rsidP="00C1164B">
      <w:pPr>
        <w:spacing w:after="0" w:line="300" w:lineRule="exact"/>
        <w:jc w:val="both"/>
        <w:rPr>
          <w:rFonts w:ascii="Calibri" w:eastAsia="Times New Roman" w:hAnsi="Calibri" w:cs="ACaslon-Regular"/>
          <w:lang w:eastAsia="it-IT"/>
        </w:rPr>
      </w:pPr>
      <w:r w:rsidRPr="00C1164B">
        <w:rPr>
          <w:rFonts w:ascii="Calibri" w:eastAsia="Times New Roman" w:hAnsi="Calibri" w:cs="ACaslon-Regular"/>
          <w:lang w:eastAsia="it-IT"/>
        </w:rPr>
        <w:t xml:space="preserve">The report will be used to inform programming, generate knowledge, promote guidance and disseminate BCPR’s achievements in supporting mobile courts across its Global ROL programme. </w:t>
      </w:r>
    </w:p>
    <w:p w:rsidR="00C1164B" w:rsidRPr="00C1164B" w:rsidRDefault="00C1164B" w:rsidP="00C1164B">
      <w:pPr>
        <w:spacing w:after="0" w:line="300" w:lineRule="exact"/>
        <w:jc w:val="both"/>
        <w:rPr>
          <w:rFonts w:ascii="Calibri" w:eastAsia="Times New Roman" w:hAnsi="Calibri" w:cs="ACaslon-Regular"/>
          <w:lang w:eastAsia="it-IT"/>
        </w:rPr>
      </w:pPr>
    </w:p>
    <w:p w:rsidR="00C1164B" w:rsidRPr="00C1164B" w:rsidRDefault="00C1164B" w:rsidP="00C1164B">
      <w:pPr>
        <w:spacing w:after="0" w:line="300" w:lineRule="exact"/>
        <w:jc w:val="both"/>
        <w:rPr>
          <w:rFonts w:ascii="Calibri" w:eastAsia="Times New Roman" w:hAnsi="Calibri" w:cs="Times New Roman"/>
          <w:lang w:val="en-GB" w:eastAsia="da-DK"/>
        </w:rPr>
      </w:pPr>
      <w:r w:rsidRPr="00C1164B">
        <w:rPr>
          <w:rFonts w:ascii="Calibri" w:eastAsia="Times New Roman" w:hAnsi="Calibri" w:cs="ACaslon-Regular"/>
          <w:lang w:eastAsia="it-IT"/>
        </w:rPr>
        <w:t>Considered the different information needs of the 2 above mentioned target audiences, it will be suggested</w:t>
      </w:r>
      <w:r w:rsidRPr="00C1164B">
        <w:rPr>
          <w:rFonts w:ascii="Calibri" w:eastAsia="Times New Roman" w:hAnsi="Calibri" w:cs="Times New Roman"/>
          <w:lang w:val="en-GB" w:eastAsia="da-DK"/>
        </w:rPr>
        <w:t xml:space="preserve"> to disseminate the evaluation in the form of two different documents, one for each target group (see § 7)</w:t>
      </w: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1.4. Limitations</w:t>
      </w:r>
    </w:p>
    <w:p w:rsidR="00C1164B" w:rsidRPr="00C1164B" w:rsidRDefault="00C1164B" w:rsidP="00C1164B">
      <w:pPr>
        <w:spacing w:after="0" w:line="300" w:lineRule="exact"/>
        <w:jc w:val="both"/>
        <w:rPr>
          <w:rFonts w:ascii="Calibri" w:eastAsia="Times New Roman" w:hAnsi="Calibri" w:cs="Times New Roman"/>
          <w:b/>
          <w:lang w:val="en-GB"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ACaslon-Bold"/>
          <w:bCs/>
          <w:lang w:eastAsia="it-IT"/>
        </w:rPr>
      </w:pPr>
      <w:r w:rsidRPr="00C1164B">
        <w:rPr>
          <w:rFonts w:ascii="Calibri" w:eastAsia="Times New Roman" w:hAnsi="Calibri" w:cs="ACaslon-Bold"/>
          <w:bCs/>
          <w:lang w:eastAsia="it-IT"/>
        </w:rPr>
        <w:t>As illustrated below, the desk review phase allowed to point out some limitations that might hamper the presentation of clear and accurate evaluation findings (particularly with regards to the accountability component). In order to address these issues in a timely manner, some suggestions are proposed to identify appropriate solutions.</w:t>
      </w:r>
    </w:p>
    <w:p w:rsidR="00C1164B" w:rsidRPr="00C1164B" w:rsidRDefault="00C1164B" w:rsidP="00C1164B">
      <w:pPr>
        <w:autoSpaceDE w:val="0"/>
        <w:autoSpaceDN w:val="0"/>
        <w:adjustRightInd w:val="0"/>
        <w:spacing w:after="0" w:line="300" w:lineRule="exact"/>
        <w:jc w:val="both"/>
        <w:rPr>
          <w:rFonts w:ascii="Calibri" w:eastAsia="Times New Roman" w:hAnsi="Calibri" w:cs="ACaslon-Bold"/>
          <w:bCs/>
          <w:lang w:eastAsia="it-IT"/>
        </w:rPr>
      </w:pPr>
    </w:p>
    <w:p w:rsidR="00C1164B" w:rsidRPr="00C1164B" w:rsidRDefault="00C1164B" w:rsidP="00C1164B">
      <w:pPr>
        <w:autoSpaceDE w:val="0"/>
        <w:autoSpaceDN w:val="0"/>
        <w:adjustRightInd w:val="0"/>
        <w:spacing w:after="0" w:line="300" w:lineRule="exact"/>
        <w:jc w:val="both"/>
        <w:rPr>
          <w:rFonts w:ascii="Calibri" w:eastAsia="Times New Roman" w:hAnsi="Calibri" w:cs="ACaslon-Bold"/>
          <w:b/>
          <w:bCs/>
          <w:lang w:eastAsia="it-IT"/>
        </w:rPr>
      </w:pPr>
      <w:r w:rsidRPr="00C1164B">
        <w:rPr>
          <w:rFonts w:ascii="Calibri" w:eastAsia="Times New Roman" w:hAnsi="Calibri" w:cs="ACaslon-Bold"/>
          <w:b/>
          <w:bCs/>
          <w:lang w:eastAsia="it-IT"/>
        </w:rPr>
        <w:t>1) Lack of detailed resource-frameworks specifically related to mobile courts interventions</w:t>
      </w:r>
    </w:p>
    <w:p w:rsidR="00C1164B" w:rsidRPr="00C1164B" w:rsidRDefault="00C1164B" w:rsidP="00C1164B">
      <w:pPr>
        <w:autoSpaceDE w:val="0"/>
        <w:autoSpaceDN w:val="0"/>
        <w:adjustRightInd w:val="0"/>
        <w:spacing w:after="0" w:line="300" w:lineRule="exact"/>
        <w:jc w:val="both"/>
        <w:rPr>
          <w:rFonts w:ascii="Calibri" w:eastAsia="Times New Roman" w:hAnsi="Calibri" w:cs="ACaslon-Bold"/>
          <w:bCs/>
          <w:lang w:eastAsia="it-IT"/>
        </w:rPr>
      </w:pPr>
      <w:r w:rsidRPr="00C1164B">
        <w:rPr>
          <w:rFonts w:ascii="Calibri" w:eastAsia="Times New Roman" w:hAnsi="Calibri" w:cs="ACaslon-Bold"/>
          <w:bCs/>
          <w:lang w:eastAsia="it-IT"/>
        </w:rPr>
        <w:t xml:space="preserve">The lack of detailed resource-frameworks is inherent to the way mobile courts interventions are planned within UNDP programmes. </w:t>
      </w:r>
    </w:p>
    <w:p w:rsidR="00C1164B" w:rsidRPr="00C1164B" w:rsidRDefault="00C1164B" w:rsidP="00C1164B">
      <w:pPr>
        <w:autoSpaceDE w:val="0"/>
        <w:autoSpaceDN w:val="0"/>
        <w:adjustRightInd w:val="0"/>
        <w:spacing w:after="0" w:line="300" w:lineRule="exact"/>
        <w:jc w:val="both"/>
        <w:rPr>
          <w:rFonts w:ascii="Calibri" w:eastAsia="Times New Roman" w:hAnsi="Calibri" w:cs="ACaslon-Bold"/>
          <w:bCs/>
          <w:lang w:eastAsia="it-IT"/>
        </w:rPr>
      </w:pPr>
      <w:r w:rsidRPr="00C1164B">
        <w:rPr>
          <w:rFonts w:ascii="Calibri" w:eastAsia="Times New Roman" w:hAnsi="Calibri" w:cs="ACaslon-Bold"/>
          <w:bCs/>
          <w:lang w:eastAsia="it-IT"/>
        </w:rPr>
        <w:t xml:space="preserve">In the 5 pilot countries, mobile courts are a small component of broader ROL programmes. Consequently specific resource-frameworks for </w:t>
      </w:r>
      <w:r w:rsidRPr="00C1164B">
        <w:rPr>
          <w:rFonts w:ascii="Calibri" w:eastAsia="Times New Roman" w:hAnsi="Calibri" w:cs="ACaslon-Bold"/>
          <w:bCs/>
          <w:lang w:val="en-GB" w:eastAsia="it-IT"/>
        </w:rPr>
        <w:t xml:space="preserve">mobile courts interventions are not available: such interventions </w:t>
      </w:r>
      <w:r w:rsidRPr="00C1164B">
        <w:rPr>
          <w:rFonts w:ascii="Calibri" w:eastAsia="Times New Roman" w:hAnsi="Calibri" w:cs="ACaslon-Bold"/>
          <w:bCs/>
          <w:lang w:eastAsia="it-IT"/>
        </w:rPr>
        <w:t xml:space="preserve">are only mentioned as an “activity result” of the general ROL project result framework.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ACaslon-Bold"/>
          <w:bCs/>
          <w:lang w:eastAsia="it-IT"/>
        </w:rPr>
        <w:t xml:space="preserve">This </w:t>
      </w:r>
      <w:r w:rsidRPr="00C1164B">
        <w:rPr>
          <w:rFonts w:ascii="Calibri" w:eastAsia="Times New Roman" w:hAnsi="Calibri" w:cs="ACaslon-Bold"/>
          <w:bCs/>
          <w:lang w:val="en-GB" w:eastAsia="it-IT"/>
        </w:rPr>
        <w:t xml:space="preserve">means that indicators, targets, baseline and activities for mobile courts interventions are not presented with sufficient details to allow a consistent evaluation.  </w:t>
      </w:r>
      <w:r w:rsidRPr="00C1164B">
        <w:rPr>
          <w:rFonts w:ascii="Calibri" w:eastAsia="Times New Roman" w:hAnsi="Calibri" w:cs="Times New Roman"/>
          <w:lang w:val="en-GB" w:eastAsia="da-DK"/>
        </w:rPr>
        <w:t>For example in the Sierra Leone Project Document</w:t>
      </w:r>
      <w:r w:rsidRPr="00C1164B">
        <w:rPr>
          <w:rFonts w:ascii="Calibri" w:eastAsia="Times New Roman" w:hAnsi="Calibri" w:cs="Times New Roman"/>
          <w:vertAlign w:val="superscript"/>
          <w:lang w:val="en-GB" w:eastAsia="da-DK"/>
        </w:rPr>
        <w:footnoteReference w:id="4"/>
      </w:r>
      <w:r w:rsidRPr="00C1164B">
        <w:rPr>
          <w:rFonts w:ascii="Calibri" w:eastAsia="Times New Roman" w:hAnsi="Calibri" w:cs="Times New Roman"/>
          <w:lang w:val="en-GB" w:eastAsia="da-DK"/>
        </w:rPr>
        <w:t>, mobile courts fall under activity 1.1.5 ,which is framed as “</w:t>
      </w:r>
      <w:r w:rsidRPr="00C1164B">
        <w:rPr>
          <w:rFonts w:ascii="Calibri" w:eastAsia="Times New Roman" w:hAnsi="Calibri" w:cs="Times New Roman"/>
          <w:i/>
          <w:lang w:val="en-GB" w:eastAsia="da-DK"/>
        </w:rPr>
        <w:t>Funding for Magistrates or  mobile courts in under or un-serviced areas</w:t>
      </w:r>
      <w:r w:rsidRPr="00C1164B">
        <w:rPr>
          <w:rFonts w:ascii="Calibri" w:eastAsia="Times New Roman" w:hAnsi="Calibri" w:cs="Times New Roman"/>
          <w:lang w:val="en-GB" w:eastAsia="da-DK"/>
        </w:rPr>
        <w:t>” and is measured with the indicator “</w:t>
      </w:r>
      <w:r w:rsidRPr="00C1164B">
        <w:rPr>
          <w:rFonts w:ascii="Calibri" w:eastAsia="Times New Roman" w:hAnsi="Calibri" w:cs="Times New Roman"/>
          <w:i/>
          <w:lang w:val="en-GB" w:eastAsia="da-DK"/>
        </w:rPr>
        <w:t>Number of new magistrates/mobile courts assigned to under or un-serviced areas</w:t>
      </w:r>
      <w:r w:rsidRPr="00C1164B">
        <w:rPr>
          <w:rFonts w:ascii="Calibri" w:eastAsia="Times New Roman" w:hAnsi="Calibri" w:cs="Times New Roman"/>
          <w:lang w:val="en-GB" w:eastAsia="da-DK"/>
        </w:rPr>
        <w:t xml:space="preserve">”.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Conversely the same limitation applies to monitoring tools: there is a lack of detailed progress reports to illustrate specifically the achievements for the mobile courts intervention.  For the same reasons it is likely that specific quantitative data (statistics) will be difficult to collect.</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A proposed solution would be to develop an additional reference document for the evaluation, which would identify the standard activities and respective indicators required for mobile courts intervention on the basis of the international standard for fair trial and the practices developed by UNDP country offices. The “</w:t>
      </w:r>
      <w:r w:rsidRPr="00C1164B">
        <w:rPr>
          <w:rFonts w:ascii="Calibri" w:eastAsia="Times New Roman" w:hAnsi="Calibri" w:cs="Times New Roman"/>
          <w:i/>
          <w:lang w:val="en-GB" w:eastAsia="da-DK"/>
        </w:rPr>
        <w:t>framework for good practices in mobile court interventions</w:t>
      </w:r>
      <w:r w:rsidRPr="00C1164B">
        <w:rPr>
          <w:rFonts w:ascii="Calibri" w:eastAsia="Times New Roman" w:hAnsi="Calibri" w:cs="Times New Roman"/>
          <w:lang w:val="en-GB" w:eastAsia="da-DK"/>
        </w:rPr>
        <w:t xml:space="preserve">” described in § 4.1.2. has been designed, </w:t>
      </w:r>
      <w:r w:rsidRPr="00C1164B">
        <w:rPr>
          <w:rFonts w:ascii="Calibri" w:eastAsia="Times New Roman" w:hAnsi="Calibri" w:cs="Times New Roman"/>
          <w:i/>
          <w:lang w:val="en-GB" w:eastAsia="da-DK"/>
        </w:rPr>
        <w:t>inter alia,</w:t>
      </w:r>
      <w:r w:rsidRPr="00C1164B">
        <w:rPr>
          <w:rFonts w:ascii="Calibri" w:eastAsia="Times New Roman" w:hAnsi="Calibri" w:cs="Times New Roman"/>
          <w:lang w:val="en-GB" w:eastAsia="da-DK"/>
        </w:rPr>
        <w:t xml:space="preserve"> for this purpose.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ACaslon-Bold"/>
          <w:b/>
          <w:bCs/>
          <w:lang w:eastAsia="it-IT"/>
        </w:rPr>
      </w:pPr>
      <w:r w:rsidRPr="00C1164B">
        <w:rPr>
          <w:rFonts w:ascii="Calibri" w:eastAsia="Times New Roman" w:hAnsi="Calibri" w:cs="Myriad-Roman"/>
          <w:lang w:eastAsia="da-DK"/>
        </w:rPr>
        <w:t xml:space="preserve">2) </w:t>
      </w:r>
      <w:r w:rsidRPr="00C1164B">
        <w:rPr>
          <w:rFonts w:ascii="Calibri" w:eastAsia="Times New Roman" w:hAnsi="Calibri" w:cs="ACaslon-Bold"/>
          <w:b/>
          <w:bCs/>
          <w:lang w:eastAsia="da-DK"/>
        </w:rPr>
        <w:t>Issues related to the administrative independence of the Judiciary</w:t>
      </w:r>
      <w:r w:rsidRPr="00C1164B">
        <w:rPr>
          <w:rFonts w:ascii="Calibri" w:eastAsia="Times New Roman" w:hAnsi="Calibri" w:cs="ACaslon-Bold"/>
          <w:b/>
          <w:bCs/>
          <w:lang w:eastAsia="it-IT"/>
        </w:rPr>
        <w:t xml:space="preserve">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lastRenderedPageBreak/>
        <w:t xml:space="preserve">In the light of the principle of administrative independence of the Judiciary, mobile courts interventions are generally implemented autonomously by the national partner (Judiciary/MOJ) with involvement of UNDP limited to the planning/monitoring phase and mainly focused on providing financial support. In some contexts there is therefore a risk that the evaluation exercise might be perceived by the local judicial authorities as an interference in their administrative independence.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A proposed solution would be to structure the evaluation as a joint UNDP/Judiciary initiative and ensure that a representative of the MOJ/judiciary takes part in the evaluation mission </w:t>
      </w:r>
      <w:r w:rsidRPr="00C1164B">
        <w:rPr>
          <w:rFonts w:ascii="Calibri" w:eastAsia="Times New Roman" w:hAnsi="Calibri" w:cs="Times New Roman"/>
          <w:i/>
          <w:lang w:val="en-GB" w:eastAsia="da-DK"/>
        </w:rPr>
        <w:t>in loco</w:t>
      </w:r>
      <w:r w:rsidRPr="00C1164B">
        <w:rPr>
          <w:rFonts w:ascii="Calibri" w:eastAsia="Times New Roman" w:hAnsi="Calibri" w:cs="Times New Roman"/>
          <w:lang w:val="en-GB" w:eastAsia="da-DK"/>
        </w:rPr>
        <w:t>. This approach would enhance the national ownership and promote the capacity building of national partners, in addition to facilitating access to court records and statistics required for the evaluation. In addition, the presence of a representative of the Judiciary would facilitate and give a stronger legitimacy to the assessment of accountability aspects more directly linked with the national government</w:t>
      </w:r>
      <w:r w:rsidRPr="00C1164B">
        <w:rPr>
          <w:rFonts w:ascii="Calibri" w:eastAsia="Times New Roman" w:hAnsi="Calibri" w:cs="Times New Roman"/>
          <w:vertAlign w:val="superscript"/>
          <w:lang w:val="en-GB" w:eastAsia="da-DK"/>
        </w:rPr>
        <w:footnoteReference w:id="5"/>
      </w:r>
      <w:r w:rsidRPr="00C1164B">
        <w:rPr>
          <w:rFonts w:ascii="Calibri" w:eastAsia="Times New Roman" w:hAnsi="Calibri" w:cs="Times New Roman"/>
          <w:lang w:val="en-GB" w:eastAsia="da-DK"/>
        </w:rPr>
        <w:t xml:space="preserve">. </w:t>
      </w:r>
    </w:p>
    <w:p w:rsidR="00C1164B" w:rsidRPr="00C1164B" w:rsidRDefault="00C1164B" w:rsidP="00C1164B">
      <w:pPr>
        <w:autoSpaceDE w:val="0"/>
        <w:autoSpaceDN w:val="0"/>
        <w:adjustRightInd w:val="0"/>
        <w:spacing w:after="0" w:line="300" w:lineRule="exact"/>
        <w:jc w:val="both"/>
        <w:rPr>
          <w:rFonts w:ascii="Calibri" w:eastAsia="Times New Roman" w:hAnsi="Calibri" w:cs="Myriad-Roman"/>
          <w:lang w:val="en-GB" w:eastAsia="da-DK"/>
        </w:rPr>
      </w:pPr>
      <w:r w:rsidRPr="00C1164B">
        <w:rPr>
          <w:rFonts w:ascii="Calibri" w:eastAsia="Times New Roman" w:hAnsi="Calibri" w:cs="Times New Roman"/>
          <w:lang w:val="en-GB" w:eastAsia="da-DK"/>
        </w:rPr>
        <w:t xml:space="preserve">The joint approach would be proposed only those countries where the institutional context would be conducive to these kinds of arrangements (e.g. </w:t>
      </w:r>
      <w:smartTag w:uri="urn:schemas-microsoft-com:office:smarttags" w:element="place">
        <w:smartTag w:uri="urn:schemas-microsoft-com:office:smarttags" w:element="country-region">
          <w:r w:rsidRPr="00C1164B">
            <w:rPr>
              <w:rFonts w:ascii="Calibri" w:eastAsia="Times New Roman" w:hAnsi="Calibri" w:cs="Times New Roman"/>
              <w:lang w:val="en-GB" w:eastAsia="da-DK"/>
            </w:rPr>
            <w:t>Sierra Leone</w:t>
          </w:r>
        </w:smartTag>
      </w:smartTag>
      <w:r w:rsidRPr="00C1164B">
        <w:rPr>
          <w:rFonts w:ascii="Calibri" w:eastAsia="Times New Roman" w:hAnsi="Calibri" w:cs="Times New Roman"/>
          <w:lang w:val="en-GB" w:eastAsia="da-DK"/>
        </w:rPr>
        <w:t>).</w:t>
      </w:r>
    </w:p>
    <w:p w:rsidR="00C1164B" w:rsidRPr="00C1164B" w:rsidRDefault="00C1164B" w:rsidP="00C1164B">
      <w:pPr>
        <w:spacing w:after="0" w:line="300" w:lineRule="exact"/>
        <w:jc w:val="both"/>
        <w:rPr>
          <w:rFonts w:ascii="Calibri" w:eastAsia="Times New Roman" w:hAnsi="Calibri" w:cs="Times New Roman"/>
          <w:b/>
          <w:lang w:val="en-GB" w:eastAsia="da-DK"/>
        </w:rPr>
      </w:pP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Calibri" w:eastAsia="Times New Roman" w:hAnsi="Calibri" w:cs="Times New Roman"/>
          <w:b/>
          <w:lang w:eastAsia="da-DK"/>
        </w:rPr>
        <w:t xml:space="preserve">3) Limited availability of court statistics </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Discussions with </w:t>
      </w:r>
      <w:smartTag w:uri="urn:schemas-microsoft-com:office:smarttags" w:element="country-region">
        <w:smartTag w:uri="urn:schemas-microsoft-com:office:smarttags" w:element="place">
          <w:r w:rsidRPr="00C1164B">
            <w:rPr>
              <w:rFonts w:ascii="Calibri" w:eastAsia="Times New Roman" w:hAnsi="Calibri" w:cs="Times New Roman"/>
              <w:lang w:eastAsia="da-DK"/>
            </w:rPr>
            <w:t>Sierra Leone</w:t>
          </w:r>
        </w:smartTag>
      </w:smartTag>
      <w:r w:rsidRPr="00C1164B">
        <w:rPr>
          <w:rFonts w:ascii="Calibri" w:eastAsia="Times New Roman" w:hAnsi="Calibri" w:cs="Times New Roman"/>
          <w:lang w:eastAsia="da-DK"/>
        </w:rPr>
        <w:t xml:space="preserve"> and CAR Country Offices have pointed out that the national case management system is weak, particularly with regards to mobile courts sessions. </w:t>
      </w:r>
    </w:p>
    <w:p w:rsidR="00C1164B" w:rsidRPr="00C1164B" w:rsidRDefault="00C1164B" w:rsidP="00C1164B">
      <w:pPr>
        <w:spacing w:after="0" w:line="270" w:lineRule="atLeas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To fill this gap and adequately prepare the field missions, the country offices will give a special attention to ensure that judicial authorities will make available the quantitative data related to each mobile court session. </w:t>
      </w:r>
    </w:p>
    <w:p w:rsidR="00C1164B" w:rsidRPr="00C1164B" w:rsidRDefault="00C1164B" w:rsidP="00C1164B">
      <w:pPr>
        <w:spacing w:after="0" w:line="270" w:lineRule="atLeast"/>
        <w:jc w:val="both"/>
        <w:rPr>
          <w:rFonts w:ascii="Calibri" w:eastAsia="Times New Roman" w:hAnsi="Calibri" w:cs="Times New Roman"/>
          <w:lang w:val="en-GB" w:eastAsia="da-DK"/>
        </w:rPr>
      </w:pPr>
      <w:r w:rsidRPr="00C1164B">
        <w:rPr>
          <w:rFonts w:ascii="Calibri" w:eastAsia="Times New Roman" w:hAnsi="Calibri" w:cs="Times New Roman"/>
          <w:lang w:eastAsia="da-DK"/>
        </w:rPr>
        <w:t xml:space="preserve">Annex 3 (mobile courts case records) will </w:t>
      </w:r>
      <w:r w:rsidRPr="00C1164B">
        <w:rPr>
          <w:rFonts w:ascii="Calibri" w:eastAsia="Times New Roman" w:hAnsi="Calibri" w:cs="Times New Roman"/>
          <w:lang w:val="en-GB" w:eastAsia="da-DK"/>
        </w:rPr>
        <w:t>give country offices an indication of the basic statistical information that would be needed in order to provide an overview of mobile courts workload in the evaluation report.</w:t>
      </w:r>
      <w:r w:rsidRPr="00C1164B">
        <w:rPr>
          <w:rFonts w:ascii="Calibri" w:eastAsia="Times New Roman" w:hAnsi="Calibri" w:cs="Times New Roman"/>
          <w:lang w:eastAsia="da-DK"/>
        </w:rPr>
        <w:t xml:space="preserve"> </w:t>
      </w:r>
      <w:r w:rsidRPr="00C1164B">
        <w:rPr>
          <w:rFonts w:ascii="Calibri" w:eastAsia="Times New Roman" w:hAnsi="Calibri" w:cs="Times New Roman"/>
          <w:lang w:val="en-GB" w:eastAsia="da-DK"/>
        </w:rPr>
        <w:t xml:space="preserve"> </w:t>
      </w:r>
    </w:p>
    <w:p w:rsidR="00C1164B" w:rsidRPr="00C1164B" w:rsidRDefault="00C1164B" w:rsidP="00C1164B">
      <w:pPr>
        <w:spacing w:after="0" w:line="300" w:lineRule="exact"/>
        <w:jc w:val="both"/>
        <w:rPr>
          <w:rFonts w:ascii="Calibri" w:eastAsia="Times New Roman" w:hAnsi="Calibri" w:cs="Times New Roman"/>
          <w:lang w:val="en-GB" w:eastAsia="da-DK"/>
        </w:rPr>
      </w:pPr>
    </w:p>
    <w:p w:rsidR="00C1164B" w:rsidRPr="00C1164B" w:rsidRDefault="00C1164B" w:rsidP="00C1164B">
      <w:pPr>
        <w:spacing w:after="0" w:line="300" w:lineRule="exact"/>
        <w:jc w:val="both"/>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1.5. Status of the evaluation process</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In the process leading up to the present inception report, the consultant conducted the following activities:</w:t>
      </w:r>
    </w:p>
    <w:p w:rsidR="00C1164B" w:rsidRPr="00C1164B" w:rsidRDefault="00C1164B" w:rsidP="00C1164B">
      <w:pPr>
        <w:numPr>
          <w:ilvl w:val="0"/>
          <w:numId w:val="93"/>
        </w:num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Desk and literature review to collect the basic documentation that will inform the evaluation (general and country specific material described in § 2.4.1). The online research is concluded, but the documentation from the Country Offices is not yet complete. The material is available on a shared Dropbox folder, as mentioned in § 2.4.1.</w:t>
      </w:r>
    </w:p>
    <w:p w:rsidR="00C1164B" w:rsidRPr="00C1164B" w:rsidRDefault="00C1164B" w:rsidP="00C1164B">
      <w:pPr>
        <w:numPr>
          <w:ilvl w:val="0"/>
          <w:numId w:val="93"/>
        </w:numPr>
        <w:autoSpaceDE w:val="0"/>
        <w:autoSpaceDN w:val="0"/>
        <w:adjustRightInd w:val="0"/>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3 phone interviews: UNDP </w:t>
      </w:r>
      <w:smartTag w:uri="urn:schemas-microsoft-com:office:smarttags" w:element="country-region">
        <w:smartTag w:uri="urn:schemas-microsoft-com:office:smarttags" w:element="place">
          <w:r w:rsidRPr="00C1164B">
            <w:rPr>
              <w:rFonts w:ascii="Calibri" w:eastAsia="Times New Roman" w:hAnsi="Calibri" w:cs="Times New Roman"/>
              <w:lang w:val="en-GB" w:eastAsia="da-DK"/>
            </w:rPr>
            <w:t>Sierra Leone</w:t>
          </w:r>
        </w:smartTag>
      </w:smartTag>
      <w:r w:rsidRPr="00C1164B">
        <w:rPr>
          <w:rFonts w:ascii="Calibri" w:eastAsia="Times New Roman" w:hAnsi="Calibri" w:cs="Times New Roman"/>
          <w:lang w:val="en-GB" w:eastAsia="da-DK"/>
        </w:rPr>
        <w:t xml:space="preserve"> (Mr James Nunan and Ms Rakel Larsen); BCPR (Ms Isabelle Tschan); UNDP Central African Republic (Mr Appolinaire Fotso)</w:t>
      </w:r>
    </w:p>
    <w:p w:rsidR="00C1164B" w:rsidRPr="00C1164B" w:rsidRDefault="00C1164B" w:rsidP="00C1164B">
      <w:pPr>
        <w:numPr>
          <w:ilvl w:val="0"/>
          <w:numId w:val="93"/>
        </w:num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val="en-GB" w:eastAsia="da-DK"/>
        </w:rPr>
        <w:t>emails exchanges with BCPR staff (how to conduct the desk review phase, introductions to UNDP staff in the country offices, suggestions for evaluation tools…) and UNDP field staff to collect feedback on the Evaluation Matrix.</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Given some constraints related to the end of the year festivities and some recent security concerns in some of the evaluated countries (DRC and Guinea Bissau), it was agreed that the field missions and the mission to New York would only take place starting from mid January 2013. </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lastRenderedPageBreak/>
        <w:t xml:space="preserve">The country offices that will participate in the evaluation process are still being defined. It is likely that missions will take place in </w:t>
      </w:r>
      <w:smartTag w:uri="urn:schemas-microsoft-com:office:smarttags" w:element="country-region">
        <w:r w:rsidRPr="00C1164B">
          <w:rPr>
            <w:rFonts w:ascii="Calibri" w:eastAsia="Times New Roman" w:hAnsi="Calibri" w:cs="Times New Roman"/>
            <w:lang w:val="en-GB" w:eastAsia="da-DK"/>
          </w:rPr>
          <w:t>Sierra Leone</w:t>
        </w:r>
      </w:smartTag>
      <w:r w:rsidRPr="00C1164B">
        <w:rPr>
          <w:rFonts w:ascii="Calibri" w:eastAsia="Times New Roman" w:hAnsi="Calibri" w:cs="Times New Roman"/>
          <w:lang w:val="en-GB" w:eastAsia="da-DK"/>
        </w:rPr>
        <w:t xml:space="preserve">, Central Africa and </w:t>
      </w:r>
      <w:smartTag w:uri="urn:schemas-microsoft-com:office:smarttags" w:element="country-region">
        <w:smartTag w:uri="urn:schemas-microsoft-com:office:smarttags" w:element="place">
          <w:r w:rsidRPr="00C1164B">
            <w:rPr>
              <w:rFonts w:ascii="Calibri" w:eastAsia="Times New Roman" w:hAnsi="Calibri" w:cs="Times New Roman"/>
              <w:lang w:val="en-GB" w:eastAsia="da-DK"/>
            </w:rPr>
            <w:t>Somalia</w:t>
          </w:r>
        </w:smartTag>
      </w:smartTag>
      <w:r w:rsidRPr="00C1164B">
        <w:rPr>
          <w:rFonts w:ascii="Calibri" w:eastAsia="Times New Roman" w:hAnsi="Calibri" w:cs="Times New Roman"/>
          <w:lang w:val="en-GB" w:eastAsia="da-DK"/>
        </w:rPr>
        <w:t>; other countries (e.g. DRC, Guinea Bissau) will participate by contributing to the desk study.</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val="en-GB"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ACaslon-Bold"/>
          <w:b/>
          <w:bCs/>
          <w:lang w:val="en-GB" w:eastAsia="it-IT"/>
        </w:rPr>
      </w:pPr>
    </w:p>
    <w:p w:rsidR="00C1164B" w:rsidRPr="00C1164B" w:rsidRDefault="00C1164B" w:rsidP="00C1164B">
      <w:pPr>
        <w:spacing w:after="0" w:line="300" w:lineRule="exact"/>
        <w:jc w:val="both"/>
        <w:rPr>
          <w:rFonts w:ascii="Calibri" w:eastAsia="Times New Roman" w:hAnsi="Calibri" w:cs="Times New Roman"/>
          <w:b/>
          <w:smallCaps/>
          <w:color w:val="800000"/>
          <w:u w:val="single"/>
          <w:lang w:eastAsia="da-DK"/>
        </w:rPr>
      </w:pPr>
      <w:r w:rsidRPr="00C1164B">
        <w:rPr>
          <w:rFonts w:ascii="Calibri" w:eastAsia="Times New Roman" w:hAnsi="Calibri" w:cs="Times New Roman"/>
          <w:b/>
          <w:smallCaps/>
          <w:color w:val="800000"/>
          <w:u w:val="single"/>
          <w:lang w:eastAsia="da-DK"/>
        </w:rPr>
        <w:t>SECTION 2: EVALUATION METHODOLOGY</w:t>
      </w:r>
    </w:p>
    <w:p w:rsidR="00C1164B" w:rsidRPr="00C1164B" w:rsidRDefault="00C1164B" w:rsidP="00C1164B">
      <w:pPr>
        <w:autoSpaceDE w:val="0"/>
        <w:autoSpaceDN w:val="0"/>
        <w:adjustRightInd w:val="0"/>
        <w:spacing w:after="0" w:line="300" w:lineRule="exact"/>
        <w:jc w:val="both"/>
        <w:rPr>
          <w:rFonts w:ascii="Calibri" w:eastAsia="Times New Roman" w:hAnsi="Calibri" w:cs="ACaslon-Bold"/>
          <w:b/>
          <w:bCs/>
          <w:color w:val="800000"/>
          <w:lang w:val="en-GB" w:eastAsia="it-IT"/>
        </w:rPr>
      </w:pPr>
    </w:p>
    <w:p w:rsidR="00C1164B" w:rsidRPr="00C1164B" w:rsidRDefault="00C1164B" w:rsidP="00C1164B">
      <w:pPr>
        <w:autoSpaceDE w:val="0"/>
        <w:autoSpaceDN w:val="0"/>
        <w:adjustRightInd w:val="0"/>
        <w:spacing w:after="0" w:line="300" w:lineRule="exact"/>
        <w:jc w:val="both"/>
        <w:rPr>
          <w:rFonts w:ascii="Calibri" w:eastAsia="Times New Roman" w:hAnsi="Calibri" w:cs="ACaslon-Bold"/>
          <w:b/>
          <w:bCs/>
          <w:color w:val="800000"/>
          <w:lang w:eastAsia="it-IT"/>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2.1. Overview of the methodological approach</w:t>
      </w:r>
    </w:p>
    <w:p w:rsidR="00C1164B" w:rsidRPr="00C1164B" w:rsidRDefault="00C1164B" w:rsidP="00C1164B">
      <w:pPr>
        <w:spacing w:after="0" w:line="300" w:lineRule="exact"/>
        <w:jc w:val="both"/>
        <w:rPr>
          <w:rFonts w:ascii="Calibri" w:eastAsia="Times New Roman" w:hAnsi="Calibri" w:cs="Times New Roman"/>
          <w:lang w:val="en-GB" w:eastAsia="it-IT"/>
        </w:rPr>
      </w:pPr>
    </w:p>
    <w:p w:rsidR="00C1164B" w:rsidRPr="00C1164B" w:rsidRDefault="00C1164B" w:rsidP="00C1164B">
      <w:pPr>
        <w:spacing w:after="0" w:line="300" w:lineRule="exact"/>
        <w:jc w:val="both"/>
        <w:rPr>
          <w:rFonts w:ascii="Calibri" w:eastAsia="Times New Roman" w:hAnsi="Calibri" w:cs="Times New Roman"/>
          <w:lang w:val="en-GB" w:eastAsia="it-IT"/>
        </w:rPr>
      </w:pPr>
      <w:r w:rsidRPr="00C1164B">
        <w:rPr>
          <w:rFonts w:ascii="Calibri" w:eastAsia="Times New Roman" w:hAnsi="Calibri" w:cs="Times New Roman"/>
          <w:lang w:val="en-GB" w:eastAsia="it-IT"/>
        </w:rPr>
        <w:t xml:space="preserve">The evaluation process will be conducted in the light of the guiding principles and quality standards defined for UNDP evaluations </w:t>
      </w:r>
    </w:p>
    <w:p w:rsidR="00C1164B" w:rsidRPr="00C1164B" w:rsidRDefault="00C1164B" w:rsidP="00C1164B">
      <w:pPr>
        <w:spacing w:after="0" w:line="300" w:lineRule="exact"/>
        <w:jc w:val="both"/>
        <w:rPr>
          <w:rFonts w:ascii="Calibri" w:eastAsia="Times New Roman" w:hAnsi="Calibri" w:cs="Times New Roman"/>
          <w:lang w:val="en-GB" w:eastAsia="it-IT"/>
        </w:rPr>
      </w:pPr>
      <w:r w:rsidRPr="00C1164B">
        <w:rPr>
          <w:rFonts w:ascii="Calibri" w:eastAsia="Times New Roman" w:hAnsi="Calibri" w:cs="Times New Roman"/>
          <w:lang w:val="en-GB" w:eastAsia="it-IT"/>
        </w:rPr>
        <w:t xml:space="preserve">Special attention will be given to ensure the involvement of all stakeholders and partners in order to ensure local ownership and enhance the credibility and transparency of the evaluation exercise. Mixed methods of collecting data will be used, in particular to triangulate evidence from once source (e.g. interviews) with other source (e.g monitoring reports). The evaluation will reflect UNDP’s commitment to human rights based approaches and gender equality. </w:t>
      </w:r>
    </w:p>
    <w:p w:rsidR="00C1164B" w:rsidRPr="00C1164B" w:rsidRDefault="00C1164B" w:rsidP="00C1164B">
      <w:pPr>
        <w:spacing w:after="0" w:line="300" w:lineRule="exact"/>
        <w:jc w:val="both"/>
        <w:rPr>
          <w:rFonts w:ascii="Calibri" w:eastAsia="Times New Roman" w:hAnsi="Calibri" w:cs="Times New Roman"/>
          <w:lang w:val="en-GB" w:eastAsia="it-IT"/>
        </w:rPr>
      </w:pPr>
    </w:p>
    <w:p w:rsidR="00C1164B" w:rsidRPr="00C1164B" w:rsidRDefault="00C1164B" w:rsidP="00C1164B">
      <w:pPr>
        <w:spacing w:before="120" w:after="0" w:line="300" w:lineRule="exact"/>
        <w:jc w:val="both"/>
        <w:rPr>
          <w:rFonts w:ascii="Calibri" w:eastAsia="Times New Roman" w:hAnsi="Calibri" w:cs="Times New Roman"/>
        </w:rPr>
      </w:pPr>
      <w:r w:rsidRPr="00C1164B">
        <w:rPr>
          <w:rFonts w:ascii="Calibri" w:eastAsia="Times New Roman" w:hAnsi="Calibri" w:cs="Times New Roman"/>
        </w:rPr>
        <w:t xml:space="preserve">The proposed methodology consists of a mixture of qualitative and quantitative research methods. </w:t>
      </w:r>
      <w:r w:rsidRPr="00C1164B">
        <w:rPr>
          <w:rFonts w:ascii="Calibri" w:eastAsia="Times New Roman" w:hAnsi="Calibri" w:cs="Times New Roman"/>
          <w:b/>
        </w:rPr>
        <w:t>Quantitative methods</w:t>
      </w:r>
      <w:r w:rsidRPr="00C1164B">
        <w:rPr>
          <w:rFonts w:ascii="Calibri" w:eastAsia="Times New Roman" w:hAnsi="Calibri" w:cs="Times New Roman"/>
        </w:rPr>
        <w:t xml:space="preserve"> will be used to elicit information such as the functioning of mobile courts, the effectiveness and efficiency of UNDP’s support. </w:t>
      </w:r>
    </w:p>
    <w:p w:rsidR="00C1164B" w:rsidRPr="00C1164B" w:rsidRDefault="00C1164B" w:rsidP="00C1164B">
      <w:pPr>
        <w:spacing w:before="120" w:after="0" w:line="300" w:lineRule="exact"/>
        <w:jc w:val="both"/>
        <w:rPr>
          <w:rFonts w:ascii="Calibri" w:eastAsia="Times New Roman" w:hAnsi="Calibri" w:cs="Times New Roman"/>
        </w:rPr>
      </w:pPr>
      <w:r w:rsidRPr="00C1164B">
        <w:rPr>
          <w:rFonts w:ascii="Calibri" w:eastAsia="Times New Roman" w:hAnsi="Calibri" w:cs="Times New Roman"/>
        </w:rPr>
        <w:t>The following quantitative data will be collected:</w:t>
      </w:r>
    </w:p>
    <w:p w:rsidR="00C1164B" w:rsidRPr="00C1164B" w:rsidRDefault="00C1164B" w:rsidP="00C1164B">
      <w:pPr>
        <w:numPr>
          <w:ilvl w:val="0"/>
          <w:numId w:val="97"/>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Court records analysis. (Country Offices will ensure that the minimum required information will be available, if possible prior to the field missions. See Annex 3) </w:t>
      </w:r>
    </w:p>
    <w:p w:rsidR="00C1164B" w:rsidRPr="00C1164B" w:rsidRDefault="00C1164B" w:rsidP="00C1164B">
      <w:pPr>
        <w:numPr>
          <w:ilvl w:val="0"/>
          <w:numId w:val="97"/>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Performance indicators derived from UNDP planning and monitoring documentation</w:t>
      </w:r>
    </w:p>
    <w:p w:rsidR="00C1164B" w:rsidRPr="00C1164B" w:rsidRDefault="00C1164B" w:rsidP="00C1164B">
      <w:pPr>
        <w:numPr>
          <w:ilvl w:val="0"/>
          <w:numId w:val="97"/>
        </w:numPr>
        <w:spacing w:after="0" w:line="300" w:lineRule="exact"/>
        <w:jc w:val="both"/>
        <w:rPr>
          <w:rFonts w:ascii="Calibri" w:eastAsia="Times New Roman" w:hAnsi="Calibri" w:cs="Times New Roman"/>
          <w:b/>
          <w:lang w:eastAsia="da-DK"/>
        </w:rPr>
      </w:pPr>
      <w:r w:rsidRPr="00C1164B">
        <w:rPr>
          <w:rFonts w:ascii="Calibri" w:eastAsia="Times New Roman" w:hAnsi="Calibri" w:cs="Times New Roman"/>
          <w:lang w:val="en-GB" w:eastAsia="da-DK"/>
        </w:rPr>
        <w:t>Query and Survey for UNDP Country Offices participating in the desk study (see Annex 5)</w:t>
      </w:r>
    </w:p>
    <w:p w:rsidR="00C1164B" w:rsidRPr="00C1164B" w:rsidRDefault="00C1164B" w:rsidP="00C1164B">
      <w:pPr>
        <w:spacing w:before="120" w:after="0" w:line="300" w:lineRule="exact"/>
        <w:jc w:val="both"/>
        <w:rPr>
          <w:rFonts w:ascii="Calibri" w:eastAsia="Times New Roman" w:hAnsi="Calibri" w:cs="Times New Roman"/>
        </w:rPr>
      </w:pPr>
      <w:r w:rsidRPr="00C1164B">
        <w:rPr>
          <w:rFonts w:ascii="Calibri" w:eastAsia="Times New Roman" w:hAnsi="Calibri" w:cs="Times New Roman"/>
          <w:b/>
        </w:rPr>
        <w:t>Qualitative methods</w:t>
      </w:r>
      <w:r w:rsidRPr="00C1164B">
        <w:rPr>
          <w:rFonts w:ascii="Calibri" w:eastAsia="Times New Roman" w:hAnsi="Calibri" w:cs="Times New Roman"/>
        </w:rPr>
        <w:t xml:space="preserve"> will offer greater insight into the process, the perceptions and the impact of the interventions.  </w:t>
      </w: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Calibri" w:eastAsia="Times New Roman" w:hAnsi="Calibri" w:cs="Times New Roman"/>
          <w:lang w:val="en-GB" w:eastAsia="da-DK"/>
        </w:rPr>
        <w:t>The following qualitative data will be collected:</w:t>
      </w:r>
    </w:p>
    <w:p w:rsidR="00C1164B" w:rsidRPr="00C1164B" w:rsidRDefault="00C1164B" w:rsidP="00C1164B">
      <w:pPr>
        <w:numPr>
          <w:ilvl w:val="0"/>
          <w:numId w:val="98"/>
        </w:num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Focus groups with beneficiaries</w:t>
      </w:r>
    </w:p>
    <w:p w:rsidR="00C1164B" w:rsidRPr="00C1164B" w:rsidRDefault="00C1164B" w:rsidP="00C1164B">
      <w:pPr>
        <w:numPr>
          <w:ilvl w:val="0"/>
          <w:numId w:val="98"/>
        </w:num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Eventual “mobile court user perception survey” (on the model of the initiative currently piloted in </w:t>
      </w:r>
      <w:smartTag w:uri="urn:schemas-microsoft-com:office:smarttags" w:element="country-region">
        <w:smartTag w:uri="urn:schemas-microsoft-com:office:smarttags" w:element="place">
          <w:r w:rsidRPr="00C1164B">
            <w:rPr>
              <w:rFonts w:ascii="Calibri" w:eastAsia="Times New Roman" w:hAnsi="Calibri" w:cs="Times New Roman"/>
              <w:lang w:eastAsia="da-DK"/>
            </w:rPr>
            <w:t>Sierra Leone</w:t>
          </w:r>
        </w:smartTag>
      </w:smartTag>
      <w:r w:rsidRPr="00C1164B">
        <w:rPr>
          <w:rFonts w:ascii="Calibri" w:eastAsia="Times New Roman" w:hAnsi="Calibri" w:cs="Times New Roman"/>
          <w:lang w:eastAsia="da-DK"/>
        </w:rPr>
        <w:t>. See Annex 4)</w:t>
      </w:r>
    </w:p>
    <w:p w:rsidR="00C1164B" w:rsidRPr="00C1164B" w:rsidRDefault="00C1164B" w:rsidP="00C1164B">
      <w:pPr>
        <w:numPr>
          <w:ilvl w:val="0"/>
          <w:numId w:val="98"/>
        </w:num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Individual semi-structured interviews</w:t>
      </w:r>
    </w:p>
    <w:p w:rsidR="00C1164B" w:rsidRPr="00C1164B" w:rsidRDefault="00C1164B" w:rsidP="00C1164B">
      <w:pPr>
        <w:numPr>
          <w:ilvl w:val="0"/>
          <w:numId w:val="98"/>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Case study methods, to develop informative stories that are notable either for their frequency or their uniqueness;</w:t>
      </w:r>
    </w:p>
    <w:p w:rsidR="00C1164B" w:rsidRPr="00C1164B" w:rsidRDefault="00C1164B" w:rsidP="00C1164B">
      <w:pPr>
        <w:numPr>
          <w:ilvl w:val="0"/>
          <w:numId w:val="98"/>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Documentary evidence (UNDP monitoring reports, past evaluations, research papers, donor reports…)</w:t>
      </w:r>
    </w:p>
    <w:p w:rsidR="00C1164B" w:rsidRPr="00C1164B" w:rsidRDefault="00C1164B" w:rsidP="00C1164B">
      <w:pPr>
        <w:numPr>
          <w:ilvl w:val="0"/>
          <w:numId w:val="98"/>
        </w:num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If possible, on-site observation of a mobile court in action</w:t>
      </w:r>
    </w:p>
    <w:p w:rsidR="00C1164B" w:rsidRPr="00C1164B" w:rsidRDefault="00C1164B" w:rsidP="00C1164B">
      <w:pPr>
        <w:spacing w:after="0" w:line="300" w:lineRule="exact"/>
        <w:jc w:val="both"/>
        <w:rPr>
          <w:rFonts w:ascii="Calibri" w:eastAsia="Times New Roman" w:hAnsi="Calibri" w:cs="Times New Roman"/>
          <w:b/>
          <w:lang w:eastAsia="da-DK"/>
        </w:rPr>
      </w:pPr>
    </w:p>
    <w:p w:rsidR="00C1164B" w:rsidRPr="00C1164B" w:rsidRDefault="00C1164B" w:rsidP="00C1164B">
      <w:pPr>
        <w:spacing w:after="0" w:line="300" w:lineRule="exact"/>
        <w:jc w:val="both"/>
        <w:rPr>
          <w:rFonts w:ascii="Calibri" w:eastAsia="Times New Roman" w:hAnsi="Calibri" w:cs="Times New Roman"/>
        </w:rPr>
      </w:pPr>
      <w:r w:rsidRPr="00C1164B">
        <w:rPr>
          <w:rFonts w:ascii="Calibri" w:eastAsia="Times New Roman" w:hAnsi="Calibri" w:cs="Times New Roman"/>
        </w:rPr>
        <w:t>Quantitative data will be analyzed by cleaning the surveys and creating tables, graphs that illustrate the findings.</w:t>
      </w:r>
    </w:p>
    <w:p w:rsidR="00C1164B" w:rsidRPr="00C1164B" w:rsidRDefault="00C1164B" w:rsidP="00C1164B">
      <w:pPr>
        <w:spacing w:after="0" w:line="300" w:lineRule="exact"/>
        <w:jc w:val="both"/>
        <w:rPr>
          <w:rFonts w:ascii="Calibri" w:eastAsia="Times New Roman" w:hAnsi="Calibri" w:cs="Times New Roman"/>
        </w:rPr>
      </w:pPr>
      <w:r w:rsidRPr="00C1164B">
        <w:rPr>
          <w:rFonts w:ascii="Calibri" w:eastAsia="Times New Roman" w:hAnsi="Calibri" w:cs="Times New Roman"/>
        </w:rPr>
        <w:t xml:space="preserve">Qualitative data will be analyzed by summarizing the information collected during interviews or focus groups. </w:t>
      </w:r>
    </w:p>
    <w:p w:rsidR="00C1164B" w:rsidRPr="00C1164B" w:rsidRDefault="00C1164B" w:rsidP="00C1164B">
      <w:pPr>
        <w:spacing w:after="0" w:line="300" w:lineRule="exact"/>
        <w:jc w:val="both"/>
        <w:rPr>
          <w:rFonts w:ascii="Calibri" w:eastAsia="Times New Roman" w:hAnsi="Calibri" w:cs="Arial"/>
          <w:lang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2.2. Evaluation matrix</w:t>
      </w:r>
    </w:p>
    <w:p w:rsidR="00C1164B" w:rsidRPr="00C1164B" w:rsidRDefault="00C1164B" w:rsidP="00C1164B">
      <w:pPr>
        <w:spacing w:before="120" w:after="0" w:line="300" w:lineRule="exact"/>
        <w:jc w:val="both"/>
        <w:rPr>
          <w:rFonts w:ascii="Calibri" w:eastAsia="Times New Roman" w:hAnsi="Calibri" w:cs="Times New Roman"/>
        </w:rPr>
      </w:pPr>
    </w:p>
    <w:p w:rsidR="00C1164B" w:rsidRPr="00C1164B" w:rsidRDefault="00C1164B" w:rsidP="00C1164B">
      <w:pPr>
        <w:spacing w:before="120" w:after="0" w:line="300" w:lineRule="exact"/>
        <w:jc w:val="both"/>
        <w:rPr>
          <w:rFonts w:ascii="Calibri" w:eastAsia="Times New Roman" w:hAnsi="Calibri" w:cs="Times New Roman"/>
        </w:rPr>
      </w:pPr>
      <w:r w:rsidRPr="00C1164B">
        <w:rPr>
          <w:rFonts w:ascii="Calibri" w:eastAsia="Times New Roman" w:hAnsi="Calibri" w:cs="Times New Roman"/>
        </w:rPr>
        <w:t xml:space="preserve">The Evaluation Matrix is based on the evaluation questions listed in the TOR and specifies further each key question by articulating sub-questions, data sources and data collection methods. </w:t>
      </w:r>
    </w:p>
    <w:p w:rsidR="00C1164B" w:rsidRPr="00C1164B" w:rsidRDefault="00C1164B" w:rsidP="00C1164B">
      <w:pPr>
        <w:spacing w:before="120" w:after="0" w:line="300" w:lineRule="exact"/>
        <w:jc w:val="both"/>
        <w:rPr>
          <w:rFonts w:ascii="Calibri" w:eastAsia="Times New Roman" w:hAnsi="Calibri" w:cs="Times New Roman"/>
        </w:rPr>
      </w:pPr>
      <w:r w:rsidRPr="00C1164B">
        <w:rPr>
          <w:rFonts w:ascii="Calibri" w:eastAsia="Times New Roman" w:hAnsi="Calibri" w:cs="Times New Roman"/>
        </w:rPr>
        <w:t xml:space="preserve">An additional criterion (impact) was added in order to assess the impact of mobile courts interventions on the population and the judicial system. In some cases, the questions contained in the matrix have been modified from those in the TOR, in order to reflect additional information or eliminate duplicative questions. </w:t>
      </w:r>
    </w:p>
    <w:p w:rsidR="00C1164B" w:rsidRPr="00C1164B" w:rsidRDefault="00C1164B" w:rsidP="00C1164B">
      <w:pPr>
        <w:spacing w:before="120" w:after="0" w:line="300" w:lineRule="exact"/>
        <w:jc w:val="both"/>
        <w:rPr>
          <w:rFonts w:ascii="Calibri" w:eastAsia="Times New Roman" w:hAnsi="Calibri" w:cs="Times New Roman"/>
        </w:rPr>
      </w:pPr>
      <w:r w:rsidRPr="00C1164B">
        <w:rPr>
          <w:rFonts w:ascii="Calibri" w:eastAsia="Times New Roman" w:hAnsi="Calibri" w:cs="Times New Roman"/>
        </w:rPr>
        <w:t xml:space="preserve">The Evaluation Matrix is presented in </w:t>
      </w:r>
      <w:r w:rsidRPr="00C1164B">
        <w:rPr>
          <w:rFonts w:ascii="Calibri" w:eastAsia="Times New Roman" w:hAnsi="Calibri" w:cs="Times New Roman"/>
          <w:b/>
        </w:rPr>
        <w:t>Annex 1.</w:t>
      </w:r>
    </w:p>
    <w:p w:rsidR="00C1164B" w:rsidRPr="00C1164B" w:rsidRDefault="00C1164B" w:rsidP="00C1164B">
      <w:pPr>
        <w:spacing w:after="0" w:line="300" w:lineRule="exact"/>
        <w:jc w:val="both"/>
        <w:rPr>
          <w:rFonts w:ascii="Calibri" w:eastAsia="Times New Roman" w:hAnsi="Calibri" w:cs="Times New Roman"/>
          <w:b/>
          <w:lang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xml:space="preserve">2.3. Evaluation activities </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The evaluation will be conducted in a three phase approach and will consist of the key steps described below.</w:t>
      </w:r>
    </w:p>
    <w:p w:rsidR="00C1164B" w:rsidRPr="00C1164B" w:rsidRDefault="00C1164B" w:rsidP="00C1164B">
      <w:pPr>
        <w:spacing w:after="0" w:line="300" w:lineRule="exact"/>
        <w:jc w:val="both"/>
        <w:rPr>
          <w:rFonts w:ascii="Calibri" w:eastAsia="Times New Roman" w:hAnsi="Calibri" w:cs="Times New Roman"/>
          <w:u w:val="single"/>
          <w:lang w:eastAsia="da-DK"/>
        </w:rPr>
      </w:pPr>
    </w:p>
    <w:p w:rsidR="00C1164B" w:rsidRPr="00C1164B" w:rsidRDefault="00C1164B" w:rsidP="00C1164B">
      <w:pPr>
        <w:spacing w:after="0" w:line="300" w:lineRule="exact"/>
        <w:jc w:val="both"/>
        <w:rPr>
          <w:rFonts w:ascii="Calibri" w:eastAsia="Times New Roman" w:hAnsi="Calibri" w:cs="Times New Roman"/>
          <w:b/>
          <w:u w:val="single"/>
          <w:lang w:val="en-GB" w:eastAsia="da-DK"/>
        </w:rPr>
      </w:pPr>
      <w:r w:rsidRPr="00C1164B">
        <w:rPr>
          <w:rFonts w:ascii="Calibri" w:eastAsia="Times New Roman" w:hAnsi="Calibri" w:cs="Times New Roman"/>
          <w:b/>
          <w:u w:val="single"/>
          <w:lang w:val="en-GB" w:eastAsia="da-DK"/>
        </w:rPr>
        <w:t xml:space="preserve">Phase 1 </w:t>
      </w:r>
      <w:r w:rsidRPr="00C1164B">
        <w:rPr>
          <w:rFonts w:ascii="Calibri" w:eastAsia="Times New Roman" w:hAnsi="Calibri" w:cs="Times New Roman"/>
          <w:i/>
          <w:u w:val="single"/>
          <w:lang w:val="en-GB" w:eastAsia="da-DK"/>
        </w:rPr>
        <w:t xml:space="preserve">(desk review, inception report, mission to </w:t>
      </w:r>
      <w:smartTag w:uri="urn:schemas-microsoft-com:office:smarttags" w:element="place">
        <w:smartTag w:uri="urn:schemas-microsoft-com:office:smarttags" w:element="State">
          <w:r w:rsidRPr="00C1164B">
            <w:rPr>
              <w:rFonts w:ascii="Calibri" w:eastAsia="Times New Roman" w:hAnsi="Calibri" w:cs="Times New Roman"/>
              <w:i/>
              <w:u w:val="single"/>
              <w:lang w:val="en-GB" w:eastAsia="da-DK"/>
            </w:rPr>
            <w:t>New York</w:t>
          </w:r>
        </w:smartTag>
      </w:smartTag>
      <w:r w:rsidRPr="00C1164B">
        <w:rPr>
          <w:rFonts w:ascii="Calibri" w:eastAsia="Times New Roman" w:hAnsi="Calibri" w:cs="Times New Roman"/>
          <w:i/>
          <w:u w:val="single"/>
          <w:lang w:val="en-GB" w:eastAsia="da-DK"/>
        </w:rPr>
        <w:t>)</w:t>
      </w:r>
    </w:p>
    <w:p w:rsidR="00C1164B" w:rsidRPr="00C1164B" w:rsidRDefault="00C1164B" w:rsidP="00C1164B">
      <w:pPr>
        <w:spacing w:after="0" w:line="300" w:lineRule="exact"/>
        <w:jc w:val="both"/>
        <w:rPr>
          <w:rFonts w:ascii="Calibri" w:eastAsia="Times New Roman" w:hAnsi="Calibri" w:cs="Arial"/>
          <w:b/>
          <w:lang w:eastAsia="da-DK"/>
        </w:rPr>
      </w:pP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Arial" w:eastAsia="Times New Roman" w:hAnsi="Arial" w:cs="Arial"/>
          <w:b/>
          <w:lang w:eastAsia="da-DK"/>
        </w:rPr>
        <w:t>►</w:t>
      </w:r>
      <w:r w:rsidRPr="00C1164B">
        <w:rPr>
          <w:rFonts w:ascii="Calibri" w:eastAsia="Times New Roman" w:hAnsi="Calibri" w:cs="Times New Roman"/>
          <w:b/>
          <w:lang w:eastAsia="da-DK"/>
        </w:rPr>
        <w:t xml:space="preserve"> Desk and literature review</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desk and literature review consists in collecting and analyzing existing documentation related to mobile courts interventions, available both online and at UNDP offices.  </w:t>
      </w:r>
    </w:p>
    <w:p w:rsidR="00C1164B" w:rsidRPr="00C1164B" w:rsidRDefault="00C1164B" w:rsidP="00C1164B">
      <w:pPr>
        <w:spacing w:after="0" w:line="300" w:lineRule="exact"/>
        <w:jc w:val="both"/>
        <w:rPr>
          <w:rFonts w:ascii="Calibri" w:eastAsia="Times New Roman" w:hAnsi="Calibri" w:cs="Times New Roman"/>
          <w:u w:val="single"/>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u w:val="single"/>
          <w:lang w:eastAsia="da-DK"/>
        </w:rPr>
        <w:t>Specific UNDP documents to be reviewed include:</w:t>
      </w:r>
      <w:r w:rsidRPr="00C1164B">
        <w:rPr>
          <w:rFonts w:ascii="Calibri" w:eastAsia="Times New Roman" w:hAnsi="Calibri" w:cs="Times New Roman"/>
          <w:lang w:eastAsia="da-DK"/>
        </w:rPr>
        <w:t xml:space="preserve"> UNDP Project Documents with related resource frameworks and Annual Workplans; UNDP strategic documents (e.g. UNDAF, CPAP), UNDP monitoring tools (e.g. quarterly and annual reports, databases…); past UNDP evaluations of ROL projects in the relevant Country offices; UNDP financial documents (e.g. Atlas reports, budgets); eventual partnership agreements with other organizations or judicial authorities to support mobile courts.</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u w:val="single"/>
          <w:lang w:eastAsia="da-DK"/>
        </w:rPr>
        <w:t xml:space="preserve">General documents to be reviewed include: </w:t>
      </w:r>
      <w:r w:rsidRPr="00C1164B">
        <w:rPr>
          <w:rFonts w:ascii="Calibri" w:eastAsia="Times New Roman" w:hAnsi="Calibri" w:cs="Times New Roman"/>
          <w:lang w:eastAsia="da-DK"/>
        </w:rPr>
        <w:t>samples of legislation on mobile courts, research studies, articles, court statistics, justice sector strategies, national development plans and poverty reduction strategies, material from other development partners, justice sector assessments in relevant Country Offices….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To facilitate the collection of relevant documentation a folder was set up on Dropbox and was shared among focal points for the mobile courts evaluation in CO/HQ and the consultant. </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The objective is that each team member will be able to easily upload files related to the mobile courts evaluation and at the same time be updated about the material available in other Country Offices.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Arial" w:eastAsia="Times New Roman" w:hAnsi="Arial" w:cs="Arial"/>
          <w:lang w:eastAsia="da-DK"/>
        </w:rPr>
        <w:t>►</w:t>
      </w:r>
      <w:r w:rsidRPr="00C1164B">
        <w:rPr>
          <w:rFonts w:ascii="Calibri" w:eastAsia="Times New Roman" w:hAnsi="Calibri" w:cs="Arial"/>
          <w:lang w:eastAsia="da-DK"/>
        </w:rPr>
        <w:t xml:space="preserve"> </w:t>
      </w:r>
      <w:r w:rsidRPr="00C1164B">
        <w:rPr>
          <w:rFonts w:ascii="Calibri" w:eastAsia="Times New Roman" w:hAnsi="Calibri" w:cs="Times New Roman"/>
          <w:b/>
          <w:lang w:eastAsia="da-DK"/>
        </w:rPr>
        <w:t>Desk study on additional Country Offices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In addition to the 3 evaluated Country Offices, other UNDP Country Offices are running mobile courts under the BCPR Global ROL programme, (e.g. </w:t>
      </w:r>
      <w:smartTag w:uri="urn:schemas-microsoft-com:office:smarttags" w:element="country-region">
        <w:r w:rsidRPr="00C1164B">
          <w:rPr>
            <w:rFonts w:ascii="Calibri" w:eastAsia="Times New Roman" w:hAnsi="Calibri" w:cs="Times New Roman"/>
            <w:lang w:val="en-GB" w:eastAsia="da-DK"/>
          </w:rPr>
          <w:t>Chad</w:t>
        </w:r>
      </w:smartTag>
      <w:r w:rsidRPr="00C1164B">
        <w:rPr>
          <w:rFonts w:ascii="Calibri" w:eastAsia="Times New Roman" w:hAnsi="Calibri" w:cs="Times New Roman"/>
          <w:lang w:val="en-GB" w:eastAsia="da-DK"/>
        </w:rPr>
        <w:t xml:space="preserve">) or under the UNDP BDP Global A2J programme (e.g. </w:t>
      </w:r>
      <w:smartTag w:uri="urn:schemas-microsoft-com:office:smarttags" w:element="country-region">
        <w:r w:rsidRPr="00C1164B">
          <w:rPr>
            <w:rFonts w:ascii="Calibri" w:eastAsia="Times New Roman" w:hAnsi="Calibri" w:cs="Times New Roman"/>
            <w:lang w:val="en-GB" w:eastAsia="da-DK"/>
          </w:rPr>
          <w:t>Djibouti</w:t>
        </w:r>
      </w:smartTag>
      <w:r w:rsidRPr="00C1164B">
        <w:rPr>
          <w:rFonts w:ascii="Calibri" w:eastAsia="Times New Roman" w:hAnsi="Calibri" w:cs="Times New Roman"/>
          <w:lang w:val="en-GB" w:eastAsia="da-DK"/>
        </w:rPr>
        <w:t xml:space="preserve">, </w:t>
      </w:r>
      <w:smartTag w:uri="urn:schemas-microsoft-com:office:smarttags" w:element="place">
        <w:smartTag w:uri="urn:schemas-microsoft-com:office:smarttags" w:element="country-region">
          <w:r w:rsidRPr="00C1164B">
            <w:rPr>
              <w:rFonts w:ascii="Calibri" w:eastAsia="Times New Roman" w:hAnsi="Calibri" w:cs="Times New Roman"/>
              <w:lang w:val="en-GB" w:eastAsia="da-DK"/>
            </w:rPr>
            <w:t>Pakistan</w:t>
          </w:r>
        </w:smartTag>
      </w:smartTag>
      <w:r w:rsidRPr="00C1164B">
        <w:rPr>
          <w:rFonts w:ascii="Calibri" w:eastAsia="Times New Roman" w:hAnsi="Calibri" w:cs="Times New Roman"/>
          <w:lang w:val="en-GB" w:eastAsia="da-DK"/>
        </w:rPr>
        <w:t>).</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val="en-GB" w:eastAsia="da-DK"/>
        </w:rPr>
        <w:t xml:space="preserve">In order to complement the information from the 3 evaluated CO and promote a greater participation in terms of lessons learned at the global level, additional information will be collected on </w:t>
      </w:r>
      <w:r w:rsidRPr="00C1164B">
        <w:rPr>
          <w:rFonts w:ascii="Calibri" w:eastAsia="Times New Roman" w:hAnsi="Calibri" w:cs="Times New Roman"/>
          <w:lang w:eastAsia="da-DK"/>
        </w:rPr>
        <w:t xml:space="preserve">how such </w:t>
      </w:r>
      <w:r w:rsidRPr="00C1164B">
        <w:rPr>
          <w:rFonts w:ascii="Calibri" w:eastAsia="Times New Roman" w:hAnsi="Calibri" w:cs="Times New Roman"/>
          <w:lang w:val="en-GB" w:eastAsia="da-DK"/>
        </w:rPr>
        <w:t xml:space="preserve">additional Country Offices support </w:t>
      </w:r>
      <w:r w:rsidRPr="00C1164B">
        <w:rPr>
          <w:rFonts w:ascii="Calibri" w:eastAsia="Times New Roman" w:hAnsi="Calibri" w:cs="Times New Roman"/>
          <w:lang w:eastAsia="da-DK"/>
        </w:rPr>
        <w:t xml:space="preserve">mobile courts. </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lastRenderedPageBreak/>
        <w:t>As illustrated in Annex 5, the data collection method will be a survey (via SurveyMonkey) and a query posted on UNDP’s  communities of practice (e.g. CRPnet and Huritalk).</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Arial" w:eastAsia="Times New Roman" w:hAnsi="Arial" w:cs="Arial"/>
          <w:lang w:eastAsia="da-DK"/>
        </w:rPr>
        <w:t>►</w:t>
      </w:r>
      <w:r w:rsidRPr="00C1164B">
        <w:rPr>
          <w:rFonts w:ascii="Calibri" w:eastAsia="Times New Roman" w:hAnsi="Calibri" w:cs="Arial"/>
          <w:lang w:eastAsia="da-DK"/>
        </w:rPr>
        <w:t xml:space="preserve"> </w:t>
      </w:r>
      <w:r w:rsidRPr="00C1164B">
        <w:rPr>
          <w:rFonts w:ascii="Calibri" w:eastAsia="Times New Roman" w:hAnsi="Calibri" w:cs="Times New Roman"/>
          <w:b/>
          <w:lang w:eastAsia="da-DK"/>
        </w:rPr>
        <w:t>Framework for good practices in mobile courts interventions</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Considered the lack of a specific resource framework for mobile courts interventions</w:t>
      </w:r>
      <w:r w:rsidRPr="00C1164B">
        <w:rPr>
          <w:rFonts w:ascii="Calibri" w:eastAsia="Times New Roman" w:hAnsi="Calibri" w:cs="Times New Roman"/>
          <w:vertAlign w:val="superscript"/>
          <w:lang w:eastAsia="da-DK"/>
        </w:rPr>
        <w:footnoteReference w:id="6"/>
      </w:r>
      <w:r w:rsidRPr="00C1164B">
        <w:rPr>
          <w:rFonts w:ascii="Calibri" w:eastAsia="Times New Roman" w:hAnsi="Calibri" w:cs="Times New Roman"/>
          <w:lang w:eastAsia="da-DK"/>
        </w:rPr>
        <w:t xml:space="preserve">, it is suggested to develop some solid indicators combined with indicative activities/good practices in order to guide the evaluation. </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To this end a “Framework for good practices in mobile courts interventions” has been designed on the basis of the international standards for fair trial and the practices developed by UNDP country offices. A draft is annexed to the present report and will be discussed and validated by UNDP staff in Country Offices and BCPR (Annex 2)</w:t>
      </w:r>
    </w:p>
    <w:p w:rsidR="00C1164B" w:rsidRPr="00C1164B" w:rsidRDefault="00C1164B" w:rsidP="00C1164B">
      <w:pPr>
        <w:spacing w:after="0" w:line="300" w:lineRule="exact"/>
        <w:jc w:val="both"/>
        <w:rPr>
          <w:rFonts w:ascii="Calibri" w:eastAsia="Times New Roman" w:hAnsi="Calibri" w:cs="Times New Roman"/>
          <w:b/>
          <w:lang w:eastAsia="da-DK"/>
        </w:rPr>
      </w:pPr>
      <w:r w:rsidRPr="00C1164B">
        <w:rPr>
          <w:rFonts w:ascii="Calibri" w:eastAsia="Times New Roman" w:hAnsi="Calibri" w:cs="Times New Roman"/>
          <w:lang w:eastAsia="da-DK"/>
        </w:rPr>
        <w:t xml:space="preserve">The added value of this tool would also be to make available a framework for eventual future guidelines or basic standards for mobile courts interventions across UNDP programmes.  </w:t>
      </w:r>
    </w:p>
    <w:p w:rsidR="00C1164B" w:rsidRPr="00C1164B" w:rsidRDefault="00C1164B" w:rsidP="00C1164B">
      <w:pPr>
        <w:autoSpaceDE w:val="0"/>
        <w:autoSpaceDN w:val="0"/>
        <w:adjustRightInd w:val="0"/>
        <w:spacing w:after="0" w:line="300" w:lineRule="exact"/>
        <w:jc w:val="both"/>
        <w:rPr>
          <w:rFonts w:ascii="Calibri" w:eastAsia="Times New Roman" w:hAnsi="Calibri" w:cs="Arial"/>
          <w:lang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b/>
          <w:i/>
          <w:lang w:eastAsia="da-DK"/>
        </w:rPr>
      </w:pPr>
      <w:r w:rsidRPr="00C1164B">
        <w:rPr>
          <w:rFonts w:ascii="Arial" w:eastAsia="Times New Roman" w:hAnsi="Arial" w:cs="Arial"/>
          <w:lang w:eastAsia="da-DK"/>
        </w:rPr>
        <w:t>►</w:t>
      </w:r>
      <w:r w:rsidRPr="00C1164B">
        <w:rPr>
          <w:rFonts w:ascii="Calibri" w:eastAsia="Times New Roman" w:hAnsi="Calibri" w:cs="Times New Roman"/>
          <w:b/>
          <w:lang w:eastAsia="da-DK"/>
        </w:rPr>
        <w:t xml:space="preserve">Inception Report </w:t>
      </w:r>
      <w:r w:rsidRPr="00C1164B">
        <w:rPr>
          <w:rFonts w:ascii="Calibri" w:eastAsia="Times New Roman" w:hAnsi="Calibri" w:cs="Times New Roman"/>
          <w:i/>
          <w:lang w:eastAsia="da-DK"/>
        </w:rPr>
        <w:t>(present document)</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A draft inception report was submitted on the 7</w:t>
      </w:r>
      <w:r w:rsidRPr="00C1164B">
        <w:rPr>
          <w:rFonts w:ascii="Calibri" w:eastAsia="Times New Roman" w:hAnsi="Calibri" w:cs="Times New Roman"/>
          <w:vertAlign w:val="superscript"/>
          <w:lang w:eastAsia="da-DK"/>
        </w:rPr>
        <w:t>th</w:t>
      </w:r>
      <w:r w:rsidRPr="00C1164B">
        <w:rPr>
          <w:rFonts w:ascii="Calibri" w:eastAsia="Times New Roman" w:hAnsi="Calibri" w:cs="Times New Roman"/>
          <w:lang w:eastAsia="da-DK"/>
        </w:rPr>
        <w:t xml:space="preserve"> of December 2012. Feedback from BCPR was consolidated and a revised version was submitted on 17</w:t>
      </w:r>
      <w:r w:rsidRPr="00C1164B">
        <w:rPr>
          <w:rFonts w:ascii="Calibri" w:eastAsia="Times New Roman" w:hAnsi="Calibri" w:cs="Times New Roman"/>
          <w:vertAlign w:val="superscript"/>
          <w:lang w:eastAsia="da-DK"/>
        </w:rPr>
        <w:t>th</w:t>
      </w:r>
      <w:r w:rsidRPr="00C1164B">
        <w:rPr>
          <w:rFonts w:ascii="Calibri" w:eastAsia="Times New Roman" w:hAnsi="Calibri" w:cs="Times New Roman"/>
          <w:lang w:eastAsia="da-DK"/>
        </w:rPr>
        <w:t xml:space="preserve"> of December.</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Due to time constraints it has been agreed that further feedback from BCPR will be given in January during the first mission to </w:t>
      </w:r>
      <w:smartTag w:uri="urn:schemas-microsoft-com:office:smarttags" w:element="State">
        <w:smartTag w:uri="urn:schemas-microsoft-com:office:smarttags" w:element="place">
          <w:r w:rsidRPr="00C1164B">
            <w:rPr>
              <w:rFonts w:ascii="Calibri" w:eastAsia="Times New Roman" w:hAnsi="Calibri" w:cs="Times New Roman"/>
              <w:lang w:eastAsia="da-DK"/>
            </w:rPr>
            <w:t>New York</w:t>
          </w:r>
        </w:smartTag>
      </w:smartTag>
      <w:r w:rsidRPr="00C1164B">
        <w:rPr>
          <w:rFonts w:ascii="Calibri" w:eastAsia="Times New Roman" w:hAnsi="Calibri" w:cs="Times New Roman"/>
          <w:lang w:eastAsia="da-DK"/>
        </w:rPr>
        <w:t xml:space="preserve">.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b/>
          <w:lang w:eastAsia="da-DK"/>
        </w:rPr>
      </w:pPr>
      <w:r w:rsidRPr="00C1164B">
        <w:rPr>
          <w:rFonts w:ascii="Arial" w:eastAsia="Times New Roman" w:hAnsi="Arial" w:cs="Arial"/>
          <w:lang w:eastAsia="da-DK"/>
        </w:rPr>
        <w:t>►</w:t>
      </w:r>
      <w:r w:rsidRPr="00C1164B">
        <w:rPr>
          <w:rFonts w:ascii="Calibri" w:eastAsia="Times New Roman" w:hAnsi="Calibri" w:cs="Arial"/>
          <w:lang w:eastAsia="da-DK"/>
        </w:rPr>
        <w:t xml:space="preserve"> </w:t>
      </w:r>
      <w:r w:rsidRPr="00C1164B">
        <w:rPr>
          <w:rFonts w:ascii="Calibri" w:eastAsia="Times New Roman" w:hAnsi="Calibri" w:cs="Times New Roman"/>
          <w:b/>
          <w:lang w:eastAsia="da-DK"/>
        </w:rPr>
        <w:t xml:space="preserve">First mission to </w:t>
      </w:r>
      <w:smartTag w:uri="urn:schemas-microsoft-com:office:smarttags" w:element="place">
        <w:smartTag w:uri="urn:schemas-microsoft-com:office:smarttags" w:element="State">
          <w:r w:rsidRPr="00C1164B">
            <w:rPr>
              <w:rFonts w:ascii="Calibri" w:eastAsia="Times New Roman" w:hAnsi="Calibri" w:cs="Times New Roman"/>
              <w:b/>
              <w:lang w:eastAsia="da-DK"/>
            </w:rPr>
            <w:t>New York</w:t>
          </w:r>
        </w:smartTag>
      </w:smartTag>
      <w:r w:rsidRPr="00C1164B">
        <w:rPr>
          <w:rFonts w:ascii="Calibri" w:eastAsia="Times New Roman" w:hAnsi="Calibri" w:cs="Times New Roman"/>
          <w:b/>
          <w:lang w:eastAsia="da-DK"/>
        </w:rPr>
        <w:t xml:space="preserve"> </w:t>
      </w:r>
    </w:p>
    <w:p w:rsidR="00C1164B" w:rsidRPr="00C1164B" w:rsidRDefault="00C1164B" w:rsidP="00C1164B">
      <w:p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mission to </w:t>
      </w:r>
      <w:smartTag w:uri="urn:schemas-microsoft-com:office:smarttags" w:element="place">
        <w:smartTag w:uri="urn:schemas-microsoft-com:office:smarttags" w:element="State">
          <w:r w:rsidRPr="00C1164B">
            <w:rPr>
              <w:rFonts w:ascii="Calibri" w:eastAsia="Times New Roman" w:hAnsi="Calibri" w:cs="Times New Roman"/>
              <w:lang w:eastAsia="da-DK"/>
            </w:rPr>
            <w:t>New York</w:t>
          </w:r>
        </w:smartTag>
      </w:smartTag>
      <w:r w:rsidRPr="00C1164B">
        <w:rPr>
          <w:rFonts w:ascii="Calibri" w:eastAsia="Times New Roman" w:hAnsi="Calibri" w:cs="Times New Roman"/>
          <w:lang w:eastAsia="da-DK"/>
        </w:rPr>
        <w:t xml:space="preserve"> will take place in the second week of January and will have the following objectives:</w:t>
      </w:r>
    </w:p>
    <w:p w:rsidR="00C1164B" w:rsidRPr="00C1164B" w:rsidRDefault="00C1164B" w:rsidP="00C1164B">
      <w:pPr>
        <w:numPr>
          <w:ilvl w:val="0"/>
          <w:numId w:val="99"/>
        </w:num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Collect feedback on the inception report and validate the document. </w:t>
      </w:r>
    </w:p>
    <w:p w:rsidR="00C1164B" w:rsidRPr="00C1164B" w:rsidRDefault="00C1164B" w:rsidP="00C1164B">
      <w:pPr>
        <w:numPr>
          <w:ilvl w:val="0"/>
          <w:numId w:val="99"/>
        </w:num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Discuss and eventually adopt the Checklist for mobile court interventions.</w:t>
      </w:r>
    </w:p>
    <w:p w:rsidR="00C1164B" w:rsidRPr="00C1164B" w:rsidRDefault="00C1164B" w:rsidP="00C1164B">
      <w:pPr>
        <w:numPr>
          <w:ilvl w:val="0"/>
          <w:numId w:val="99"/>
        </w:num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Organize the field missions.</w:t>
      </w:r>
    </w:p>
    <w:p w:rsidR="00C1164B" w:rsidRPr="00C1164B" w:rsidRDefault="00C1164B" w:rsidP="00C1164B">
      <w:pPr>
        <w:numPr>
          <w:ilvl w:val="0"/>
          <w:numId w:val="99"/>
        </w:num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Meet key BCPR staff in ROL Unit</w:t>
      </w:r>
    </w:p>
    <w:p w:rsidR="00C1164B" w:rsidRPr="00C1164B" w:rsidRDefault="00C1164B" w:rsidP="00C1164B">
      <w:pPr>
        <w:numPr>
          <w:ilvl w:val="0"/>
          <w:numId w:val="99"/>
        </w:numPr>
        <w:autoSpaceDE w:val="0"/>
        <w:autoSpaceDN w:val="0"/>
        <w:adjustRightInd w:val="0"/>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Meet key development partners supporting mobile courts interventions (American Bar Association, OSJI, UN sister agencies, DPKO, World Bank…)</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b/>
          <w:u w:val="single"/>
          <w:lang w:val="en-GB" w:eastAsia="da-DK"/>
        </w:rPr>
      </w:pPr>
      <w:r w:rsidRPr="00C1164B">
        <w:rPr>
          <w:rFonts w:ascii="Calibri" w:eastAsia="Times New Roman" w:hAnsi="Calibri" w:cs="Times New Roman"/>
          <w:b/>
          <w:u w:val="single"/>
          <w:lang w:val="en-GB" w:eastAsia="da-DK"/>
        </w:rPr>
        <w:t xml:space="preserve">Phase 2 </w:t>
      </w:r>
      <w:r w:rsidRPr="00C1164B">
        <w:rPr>
          <w:rFonts w:ascii="Calibri" w:eastAsia="Times New Roman" w:hAnsi="Calibri" w:cs="Times New Roman"/>
          <w:i/>
          <w:u w:val="single"/>
          <w:lang w:val="en-GB" w:eastAsia="da-DK"/>
        </w:rPr>
        <w:t>(Field visits)</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before="120" w:after="0" w:line="300" w:lineRule="exact"/>
        <w:jc w:val="both"/>
        <w:rPr>
          <w:rFonts w:ascii="Calibri" w:eastAsia="Times New Roman" w:hAnsi="Calibri" w:cs="Times New Roman"/>
          <w:lang w:val="en-GB" w:eastAsia="it-IT"/>
        </w:rPr>
      </w:pPr>
      <w:r w:rsidRPr="00C1164B">
        <w:rPr>
          <w:rFonts w:ascii="Calibri" w:eastAsia="Times New Roman" w:hAnsi="Calibri" w:cs="Times New Roman"/>
          <w:lang w:val="en-GB" w:eastAsia="it-IT"/>
        </w:rPr>
        <w:t>The programme for each field mission will be defined jointly with the Country Offices.</w:t>
      </w:r>
    </w:p>
    <w:p w:rsidR="00C1164B" w:rsidRPr="00C1164B" w:rsidRDefault="00C1164B" w:rsidP="00C1164B">
      <w:pPr>
        <w:spacing w:before="120" w:after="0" w:line="300" w:lineRule="exact"/>
        <w:jc w:val="both"/>
        <w:rPr>
          <w:rFonts w:ascii="Calibri" w:eastAsia="Times New Roman" w:hAnsi="Calibri" w:cs="Times New Roman"/>
          <w:lang w:val="en-GB" w:eastAsia="it-IT"/>
        </w:rPr>
      </w:pPr>
      <w:r w:rsidRPr="00C1164B">
        <w:rPr>
          <w:rFonts w:ascii="Calibri" w:eastAsia="Times New Roman" w:hAnsi="Calibri" w:cs="Times New Roman"/>
          <w:lang w:val="en-GB" w:eastAsia="it-IT"/>
        </w:rPr>
        <w:t xml:space="preserve">The missions will mainly consist in conducting interviews, focus groups with relevant stakeholders and key informants, arranged by </w:t>
      </w:r>
      <w:smartTag w:uri="urn:schemas-microsoft-com:office:smarttags" w:element="place">
        <w:smartTag w:uri="urn:schemas-microsoft-com:office:smarttags" w:element="City">
          <w:r w:rsidRPr="00C1164B">
            <w:rPr>
              <w:rFonts w:ascii="Calibri" w:eastAsia="Times New Roman" w:hAnsi="Calibri" w:cs="Times New Roman"/>
              <w:lang w:val="en-GB" w:eastAsia="it-IT"/>
            </w:rPr>
            <w:t>UNDP</w:t>
          </w:r>
        </w:smartTag>
        <w:r w:rsidRPr="00C1164B">
          <w:rPr>
            <w:rFonts w:ascii="Calibri" w:eastAsia="Times New Roman" w:hAnsi="Calibri" w:cs="Times New Roman"/>
            <w:lang w:val="en-GB" w:eastAsia="it-IT"/>
          </w:rPr>
          <w:t xml:space="preserve"> </w:t>
        </w:r>
        <w:smartTag w:uri="urn:schemas-microsoft-com:office:smarttags" w:element="State">
          <w:r w:rsidRPr="00C1164B">
            <w:rPr>
              <w:rFonts w:ascii="Calibri" w:eastAsia="Times New Roman" w:hAnsi="Calibri" w:cs="Times New Roman"/>
              <w:lang w:val="en-GB" w:eastAsia="it-IT"/>
            </w:rPr>
            <w:t>CO</w:t>
          </w:r>
        </w:smartTag>
      </w:smartTag>
      <w:r w:rsidRPr="00C1164B">
        <w:rPr>
          <w:rFonts w:ascii="Calibri" w:eastAsia="Times New Roman" w:hAnsi="Calibri" w:cs="Times New Roman"/>
          <w:lang w:val="en-GB" w:eastAsia="it-IT"/>
        </w:rPr>
        <w:t xml:space="preserve"> in advance. Preliminary finding will be presented by the evaluator to UNDP office representatives at the end of each field visit. </w:t>
      </w:r>
    </w:p>
    <w:p w:rsidR="00C1164B" w:rsidRPr="00C1164B" w:rsidRDefault="00C1164B" w:rsidP="00C1164B">
      <w:pPr>
        <w:spacing w:after="0" w:line="300" w:lineRule="exact"/>
        <w:jc w:val="both"/>
        <w:rPr>
          <w:rFonts w:ascii="Calibri" w:eastAsia="Times New Roman" w:hAnsi="Calibri" w:cs="Times New Roman"/>
          <w:lang w:val="en-GB" w:eastAsia="it-IT"/>
        </w:rPr>
      </w:pPr>
    </w:p>
    <w:p w:rsidR="00C1164B" w:rsidRPr="00C1164B" w:rsidRDefault="00C1164B" w:rsidP="00C1164B">
      <w:pPr>
        <w:spacing w:after="0" w:line="300" w:lineRule="exact"/>
        <w:jc w:val="both"/>
        <w:rPr>
          <w:rFonts w:ascii="Calibri" w:eastAsia="Times New Roman" w:hAnsi="Calibri" w:cs="Times New Roman"/>
          <w:lang w:val="en-GB" w:eastAsia="it-IT"/>
        </w:rPr>
      </w:pPr>
      <w:r w:rsidRPr="00C1164B">
        <w:rPr>
          <w:rFonts w:ascii="Calibri" w:eastAsia="Times New Roman" w:hAnsi="Calibri" w:cs="Times New Roman"/>
          <w:lang w:val="en-GB" w:eastAsia="it-IT"/>
        </w:rPr>
        <w:t xml:space="preserve">Key informants to be met during field missions will be identified jointly with the CO. </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val="en-GB" w:eastAsia="it-IT"/>
        </w:rPr>
        <w:t>It will be ensured that the following actors are included: national judicial authorities (judges, prosecutors, ministry of justice</w:t>
      </w:r>
      <w:r w:rsidRPr="00C1164B">
        <w:rPr>
          <w:rFonts w:ascii="Calibri" w:eastAsia="Times New Roman" w:hAnsi="Calibri" w:cs="Times New Roman"/>
          <w:lang w:eastAsia="da-DK"/>
        </w:rPr>
        <w:t xml:space="preserve">), UNDP staff, donors, UN system, INGOs, human rights CSO, representatives of the police and prison system, lawyers and Bar Association, traditional authorities; beneficiaries/users of mobile courts.  </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b/>
          <w:u w:val="single"/>
          <w:lang w:val="en-GB" w:eastAsia="da-DK"/>
        </w:rPr>
      </w:pPr>
      <w:r w:rsidRPr="00C1164B">
        <w:rPr>
          <w:rFonts w:ascii="Calibri" w:eastAsia="Times New Roman" w:hAnsi="Calibri" w:cs="Times New Roman"/>
          <w:b/>
          <w:u w:val="single"/>
          <w:lang w:val="en-GB" w:eastAsia="da-DK"/>
        </w:rPr>
        <w:t xml:space="preserve">Phase 3 </w:t>
      </w:r>
      <w:r w:rsidRPr="00C1164B">
        <w:rPr>
          <w:rFonts w:ascii="Calibri" w:eastAsia="Times New Roman" w:hAnsi="Calibri" w:cs="Times New Roman"/>
          <w:i/>
          <w:u w:val="single"/>
          <w:lang w:val="en-GB" w:eastAsia="da-DK"/>
        </w:rPr>
        <w:t>(Final report drafting and dissemination)</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The last phase of the evaluation will include the submission of a draft report to BCPR and the CO in order to collect comments and feedback. </w:t>
      </w: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A final report will be submitted after consolidating the feedback received and will be presented to the Evaluation Reference Group during a second mission to </w:t>
      </w:r>
      <w:smartTag w:uri="urn:schemas-microsoft-com:office:smarttags" w:element="place">
        <w:smartTag w:uri="urn:schemas-microsoft-com:office:smarttags" w:element="State">
          <w:r w:rsidRPr="00C1164B">
            <w:rPr>
              <w:rFonts w:ascii="Calibri" w:eastAsia="Times New Roman" w:hAnsi="Calibri" w:cs="Times New Roman"/>
              <w:lang w:eastAsia="da-DK"/>
            </w:rPr>
            <w:t>New York</w:t>
          </w:r>
        </w:smartTag>
      </w:smartTag>
      <w:r w:rsidRPr="00C1164B">
        <w:rPr>
          <w:rFonts w:ascii="Calibri" w:eastAsia="Times New Roman" w:hAnsi="Calibri" w:cs="Times New Roman"/>
          <w:lang w:eastAsia="da-DK"/>
        </w:rPr>
        <w:t>, that could take place in May 2013.</w:t>
      </w:r>
    </w:p>
    <w:p w:rsidR="00C1164B" w:rsidRPr="00C1164B" w:rsidRDefault="00C1164B" w:rsidP="00C1164B">
      <w:pPr>
        <w:spacing w:after="0" w:line="300" w:lineRule="exact"/>
        <w:jc w:val="both"/>
        <w:rPr>
          <w:rFonts w:ascii="Calibri" w:eastAsia="Times New Roman" w:hAnsi="Calibri" w:cs="Times New Roman"/>
          <w:lang w:eastAsia="da-DK"/>
        </w:rPr>
      </w:pPr>
    </w:p>
    <w:p w:rsidR="00C1164B" w:rsidRPr="00C1164B" w:rsidRDefault="00C1164B" w:rsidP="00C1164B">
      <w:pPr>
        <w:spacing w:after="0" w:line="300" w:lineRule="exact"/>
        <w:jc w:val="both"/>
        <w:rPr>
          <w:rFonts w:ascii="Calibri" w:eastAsia="Times New Roman" w:hAnsi="Calibri" w:cs="Times New Roman"/>
          <w:lang w:eastAsia="da-DK"/>
        </w:rPr>
      </w:pPr>
      <w:r w:rsidRPr="00C1164B">
        <w:rPr>
          <w:rFonts w:ascii="Calibri" w:eastAsia="Times New Roman" w:hAnsi="Calibri" w:cs="Times New Roman"/>
          <w:lang w:eastAsia="da-DK"/>
        </w:rPr>
        <w:t xml:space="preserve">A strategy to disseminate the evaluation results internally and externally will be identified with BCPR during the first mission to </w:t>
      </w:r>
      <w:smartTag w:uri="urn:schemas-microsoft-com:office:smarttags" w:element="place">
        <w:smartTag w:uri="urn:schemas-microsoft-com:office:smarttags" w:element="State">
          <w:r w:rsidRPr="00C1164B">
            <w:rPr>
              <w:rFonts w:ascii="Calibri" w:eastAsia="Times New Roman" w:hAnsi="Calibri" w:cs="Times New Roman"/>
              <w:lang w:eastAsia="da-DK"/>
            </w:rPr>
            <w:t>New York</w:t>
          </w:r>
        </w:smartTag>
      </w:smartTag>
      <w:r w:rsidRPr="00C1164B">
        <w:rPr>
          <w:rFonts w:ascii="Calibri" w:eastAsia="Times New Roman" w:hAnsi="Calibri" w:cs="Times New Roman"/>
          <w:lang w:eastAsia="da-DK"/>
        </w:rPr>
        <w:t xml:space="preserve">. </w:t>
      </w:r>
    </w:p>
    <w:p w:rsidR="00C1164B" w:rsidRPr="00C1164B" w:rsidRDefault="00C1164B" w:rsidP="00C1164B">
      <w:pPr>
        <w:spacing w:after="0" w:line="300" w:lineRule="exact"/>
        <w:jc w:val="both"/>
        <w:rPr>
          <w:rFonts w:ascii="Calibri" w:eastAsia="Times New Roman" w:hAnsi="Calibri" w:cs="Times New Roman"/>
          <w:b/>
          <w:lang w:val="en-GB" w:eastAsia="da-DK"/>
        </w:rPr>
      </w:pPr>
    </w:p>
    <w:p w:rsidR="00C1164B" w:rsidRPr="00C1164B" w:rsidRDefault="00C1164B" w:rsidP="00C1164B">
      <w:pPr>
        <w:spacing w:after="0" w:line="300" w:lineRule="exact"/>
        <w:jc w:val="both"/>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300" w:lineRule="exac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5. Work-plan</w:t>
      </w:r>
    </w:p>
    <w:p w:rsidR="00C1164B" w:rsidRPr="00C1164B" w:rsidRDefault="00C1164B" w:rsidP="00C1164B">
      <w:pPr>
        <w:spacing w:after="0" w:line="300" w:lineRule="exact"/>
        <w:rPr>
          <w:rFonts w:ascii="Calibri" w:eastAsia="Times New Roman" w:hAnsi="Calibri" w:cs="Times New Roman"/>
          <w:b/>
          <w:sz w:val="23"/>
          <w:szCs w:val="20"/>
          <w:lang w:val="en-GB" w:eastAsia="da-DK"/>
        </w:rPr>
      </w:pPr>
    </w:p>
    <w:p w:rsidR="00C1164B" w:rsidRPr="00C1164B" w:rsidRDefault="00C1164B" w:rsidP="00C1164B">
      <w:pPr>
        <w:spacing w:after="0" w:line="300" w:lineRule="exact"/>
        <w:rPr>
          <w:rFonts w:ascii="Calibri" w:eastAsia="Times New Roman" w:hAnsi="Calibri" w:cs="Times New Roman"/>
          <w:b/>
          <w:sz w:val="23"/>
          <w:szCs w:val="20"/>
          <w:lang w:val="en-GB" w:eastAsia="da-DK"/>
        </w:rPr>
      </w:pPr>
    </w:p>
    <w:p w:rsidR="00C1164B" w:rsidRPr="00C1164B" w:rsidRDefault="00C1164B" w:rsidP="00C1164B">
      <w:pPr>
        <w:spacing w:after="0" w:line="270" w:lineRule="atLeast"/>
        <w:rPr>
          <w:rFonts w:ascii="Calibri" w:eastAsia="Times New Roman" w:hAnsi="Calibri" w:cs="Times New Roman"/>
          <w:b/>
          <w:sz w:val="23"/>
          <w:szCs w:val="20"/>
          <w:lang w:val="en-GB" w:eastAsia="da-DK"/>
        </w:rPr>
      </w:pPr>
    </w:p>
    <w:tbl>
      <w:tblPr>
        <w:tblStyle w:val="TableGrid3"/>
        <w:tblW w:w="9854" w:type="dxa"/>
        <w:tblLayout w:type="fixed"/>
        <w:tblLook w:val="01E0" w:firstRow="1" w:lastRow="1" w:firstColumn="1" w:lastColumn="1" w:noHBand="0" w:noVBand="0"/>
      </w:tblPr>
      <w:tblGrid>
        <w:gridCol w:w="262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6"/>
      </w:tblGrid>
      <w:tr w:rsidR="00C1164B" w:rsidRPr="00C1164B" w:rsidTr="00C8613A">
        <w:tc>
          <w:tcPr>
            <w:tcW w:w="2628" w:type="dxa"/>
          </w:tcPr>
          <w:p w:rsidR="00C1164B" w:rsidRPr="00C1164B" w:rsidRDefault="00C1164B" w:rsidP="00C1164B">
            <w:pPr>
              <w:rPr>
                <w:rFonts w:ascii="Calibri" w:hAnsi="Calibri"/>
                <w:b/>
                <w:lang w:val="en-GB" w:eastAsia="da-DK"/>
              </w:rPr>
            </w:pPr>
            <w:r w:rsidRPr="00C1164B">
              <w:rPr>
                <w:rFonts w:ascii="Calibri" w:hAnsi="Calibri"/>
                <w:b/>
                <w:lang w:val="en-GB" w:eastAsia="da-DK"/>
              </w:rPr>
              <w:t>ACTIVITY</w:t>
            </w:r>
          </w:p>
        </w:tc>
        <w:tc>
          <w:tcPr>
            <w:tcW w:w="7226" w:type="dxa"/>
            <w:gridSpan w:val="20"/>
          </w:tcPr>
          <w:p w:rsidR="00C1164B" w:rsidRPr="00C1164B" w:rsidRDefault="00C1164B" w:rsidP="00C1164B">
            <w:pPr>
              <w:rPr>
                <w:rFonts w:ascii="Calibri" w:hAnsi="Calibri"/>
                <w:b/>
                <w:lang w:val="en-GB" w:eastAsia="da-DK"/>
              </w:rPr>
            </w:pPr>
            <w:r w:rsidRPr="00C1164B">
              <w:rPr>
                <w:rFonts w:ascii="Calibri" w:hAnsi="Calibri"/>
                <w:b/>
                <w:lang w:val="en-GB" w:eastAsia="da-DK"/>
              </w:rPr>
              <w:t>TIMESCHEDULE 2012 / 2013</w:t>
            </w:r>
          </w:p>
        </w:tc>
      </w:tr>
      <w:tr w:rsidR="00C1164B" w:rsidRPr="00C1164B" w:rsidTr="00C8613A">
        <w:tc>
          <w:tcPr>
            <w:tcW w:w="2628" w:type="dxa"/>
          </w:tcPr>
          <w:p w:rsidR="00C1164B" w:rsidRPr="00C1164B" w:rsidRDefault="00C1164B" w:rsidP="00C1164B">
            <w:pPr>
              <w:rPr>
                <w:rFonts w:ascii="Calibri" w:hAnsi="Calibri"/>
                <w:b/>
                <w:lang w:val="en-GB" w:eastAsia="da-DK"/>
              </w:rPr>
            </w:pPr>
          </w:p>
        </w:tc>
        <w:tc>
          <w:tcPr>
            <w:tcW w:w="720" w:type="dxa"/>
            <w:gridSpan w:val="2"/>
            <w:tcBorders>
              <w:bottom w:val="single" w:sz="4" w:space="0" w:color="auto"/>
            </w:tcBorders>
          </w:tcPr>
          <w:p w:rsidR="00C1164B" w:rsidRPr="00C1164B" w:rsidRDefault="00C1164B" w:rsidP="00C1164B">
            <w:pPr>
              <w:rPr>
                <w:rFonts w:ascii="Calibri" w:hAnsi="Calibri"/>
                <w:b/>
                <w:lang w:val="en-GB" w:eastAsia="da-DK"/>
              </w:rPr>
            </w:pPr>
            <w:r w:rsidRPr="00C1164B">
              <w:rPr>
                <w:rFonts w:ascii="Calibri" w:hAnsi="Calibri"/>
                <w:b/>
                <w:lang w:val="en-GB" w:eastAsia="da-DK"/>
              </w:rPr>
              <w:t>Nov</w:t>
            </w:r>
          </w:p>
        </w:tc>
        <w:tc>
          <w:tcPr>
            <w:tcW w:w="1440" w:type="dxa"/>
            <w:gridSpan w:val="4"/>
          </w:tcPr>
          <w:p w:rsidR="00C1164B" w:rsidRPr="00C1164B" w:rsidRDefault="00C1164B" w:rsidP="00C1164B">
            <w:pPr>
              <w:rPr>
                <w:rFonts w:ascii="Calibri" w:hAnsi="Calibri"/>
                <w:b/>
                <w:lang w:val="en-GB" w:eastAsia="da-DK"/>
              </w:rPr>
            </w:pPr>
            <w:r w:rsidRPr="00C1164B">
              <w:rPr>
                <w:rFonts w:ascii="Calibri" w:hAnsi="Calibri"/>
                <w:b/>
                <w:lang w:val="en-GB" w:eastAsia="da-DK"/>
              </w:rPr>
              <w:t>December</w:t>
            </w:r>
          </w:p>
        </w:tc>
        <w:tc>
          <w:tcPr>
            <w:tcW w:w="1440" w:type="dxa"/>
            <w:gridSpan w:val="4"/>
          </w:tcPr>
          <w:p w:rsidR="00C1164B" w:rsidRPr="00C1164B" w:rsidRDefault="00C1164B" w:rsidP="00C1164B">
            <w:pPr>
              <w:rPr>
                <w:rFonts w:ascii="Calibri" w:hAnsi="Calibri"/>
                <w:b/>
                <w:lang w:val="en-GB" w:eastAsia="da-DK"/>
              </w:rPr>
            </w:pPr>
            <w:r w:rsidRPr="00C1164B">
              <w:rPr>
                <w:rFonts w:ascii="Calibri" w:hAnsi="Calibri"/>
                <w:b/>
                <w:lang w:val="en-GB" w:eastAsia="da-DK"/>
              </w:rPr>
              <w:t>January</w:t>
            </w:r>
          </w:p>
        </w:tc>
        <w:tc>
          <w:tcPr>
            <w:tcW w:w="1440" w:type="dxa"/>
            <w:gridSpan w:val="4"/>
          </w:tcPr>
          <w:p w:rsidR="00C1164B" w:rsidRPr="00C1164B" w:rsidRDefault="00C1164B" w:rsidP="00C1164B">
            <w:pPr>
              <w:rPr>
                <w:rFonts w:ascii="Calibri" w:hAnsi="Calibri"/>
                <w:b/>
                <w:lang w:val="en-GB" w:eastAsia="da-DK"/>
              </w:rPr>
            </w:pPr>
            <w:r w:rsidRPr="00C1164B">
              <w:rPr>
                <w:rFonts w:ascii="Calibri" w:hAnsi="Calibri"/>
                <w:b/>
                <w:lang w:val="en-GB" w:eastAsia="da-DK"/>
              </w:rPr>
              <w:t>February</w:t>
            </w:r>
          </w:p>
        </w:tc>
        <w:tc>
          <w:tcPr>
            <w:tcW w:w="1440" w:type="dxa"/>
            <w:gridSpan w:val="4"/>
          </w:tcPr>
          <w:p w:rsidR="00C1164B" w:rsidRPr="00C1164B" w:rsidRDefault="00C1164B" w:rsidP="00C1164B">
            <w:pPr>
              <w:rPr>
                <w:rFonts w:ascii="Calibri" w:hAnsi="Calibri"/>
                <w:b/>
                <w:lang w:val="en-GB" w:eastAsia="da-DK"/>
              </w:rPr>
            </w:pPr>
            <w:r w:rsidRPr="00C1164B">
              <w:rPr>
                <w:rFonts w:ascii="Calibri" w:hAnsi="Calibri"/>
                <w:b/>
                <w:lang w:val="en-GB" w:eastAsia="da-DK"/>
              </w:rPr>
              <w:t>March</w:t>
            </w:r>
          </w:p>
        </w:tc>
        <w:tc>
          <w:tcPr>
            <w:tcW w:w="746" w:type="dxa"/>
            <w:gridSpan w:val="2"/>
          </w:tcPr>
          <w:p w:rsidR="00C1164B" w:rsidRPr="00C1164B" w:rsidRDefault="00C1164B" w:rsidP="00C1164B">
            <w:pPr>
              <w:rPr>
                <w:rFonts w:ascii="Calibri" w:hAnsi="Calibri"/>
                <w:b/>
                <w:lang w:val="en-GB" w:eastAsia="da-DK"/>
              </w:rPr>
            </w:pPr>
            <w:r w:rsidRPr="00C1164B">
              <w:rPr>
                <w:rFonts w:ascii="Calibri" w:hAnsi="Calibri"/>
                <w:b/>
                <w:lang w:val="en-GB" w:eastAsia="da-DK"/>
              </w:rPr>
              <w:t>April</w:t>
            </w:r>
          </w:p>
        </w:tc>
      </w:tr>
      <w:tr w:rsidR="00C1164B" w:rsidRPr="00C1164B" w:rsidTr="00C8613A">
        <w:tc>
          <w:tcPr>
            <w:tcW w:w="2628" w:type="dxa"/>
          </w:tcPr>
          <w:p w:rsidR="00C1164B" w:rsidRPr="00C1164B" w:rsidRDefault="00C1164B" w:rsidP="00C1164B">
            <w:pPr>
              <w:rPr>
                <w:rFonts w:ascii="Calibri" w:hAnsi="Calibri"/>
                <w:b/>
                <w:lang w:val="en-GB" w:eastAsia="da-DK"/>
              </w:rPr>
            </w:pPr>
            <w:r w:rsidRPr="00C1164B">
              <w:rPr>
                <w:rFonts w:ascii="Calibri" w:hAnsi="Calibri"/>
                <w:lang w:val="en-GB" w:eastAsia="da-DK"/>
              </w:rPr>
              <w:t>Literature &amp; desk review</w:t>
            </w: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highlight w:val="blue"/>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highlight w:val="blue"/>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86" w:type="dxa"/>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Desk study on additional CO</w:t>
            </w: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86" w:type="dxa"/>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Submission Inception Report</w:t>
            </w: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86" w:type="dxa"/>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First mission to NY</w:t>
            </w: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60" w:type="dxa"/>
            <w:tcBorders>
              <w:bottom w:val="single" w:sz="4" w:space="0" w:color="auto"/>
            </w:tcBorders>
          </w:tcPr>
          <w:p w:rsidR="00C1164B" w:rsidRPr="00C1164B" w:rsidRDefault="00C1164B" w:rsidP="00C1164B">
            <w:pPr>
              <w:rPr>
                <w:rFonts w:ascii="Calibri" w:hAnsi="Calibri"/>
                <w:b/>
                <w:lang w:val="en-GB" w:eastAsia="da-DK"/>
              </w:rPr>
            </w:pPr>
          </w:p>
        </w:tc>
        <w:tc>
          <w:tcPr>
            <w:tcW w:w="386" w:type="dxa"/>
            <w:tcBorders>
              <w:bottom w:val="single" w:sz="4" w:space="0" w:color="auto"/>
            </w:tcBorders>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Field mission to </w:t>
            </w:r>
            <w:smartTag w:uri="urn:schemas-microsoft-com:office:smarttags" w:element="place">
              <w:smartTag w:uri="urn:schemas-microsoft-com:office:smarttags" w:element="country-region">
                <w:r w:rsidRPr="00C1164B">
                  <w:rPr>
                    <w:rFonts w:ascii="Calibri" w:hAnsi="Calibri"/>
                    <w:lang w:val="en-GB" w:eastAsia="da-DK"/>
                  </w:rPr>
                  <w:t>Sierra Leone</w:t>
                </w:r>
              </w:smartTag>
            </w:smartTag>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86" w:type="dxa"/>
            <w:shd w:val="clear" w:color="auto" w:fill="auto"/>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Field mission to CAR</w:t>
            </w: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86" w:type="dxa"/>
            <w:shd w:val="clear" w:color="auto" w:fill="auto"/>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Field mission to </w:t>
            </w:r>
            <w:smartTag w:uri="urn:schemas-microsoft-com:office:smarttags" w:element="place">
              <w:smartTag w:uri="urn:schemas-microsoft-com:office:smarttags" w:element="country-region">
                <w:r w:rsidRPr="00C1164B">
                  <w:rPr>
                    <w:rFonts w:ascii="Calibri" w:hAnsi="Calibri"/>
                    <w:lang w:val="en-GB" w:eastAsia="da-DK"/>
                  </w:rPr>
                  <w:t>Somalia</w:t>
                </w:r>
              </w:smartTag>
            </w:smartTag>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86" w:type="dxa"/>
            <w:shd w:val="clear" w:color="auto" w:fill="auto"/>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Draft evaluation report </w:t>
            </w: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60"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c>
          <w:tcPr>
            <w:tcW w:w="386" w:type="dxa"/>
            <w:tcBorders>
              <w:bottom w:val="single" w:sz="4" w:space="0" w:color="auto"/>
            </w:tcBorders>
            <w:shd w:val="clear" w:color="auto" w:fill="auto"/>
          </w:tcPr>
          <w:p w:rsidR="00C1164B" w:rsidRPr="00C1164B" w:rsidRDefault="00C1164B" w:rsidP="00C1164B">
            <w:pPr>
              <w:rPr>
                <w:rFonts w:ascii="Calibri" w:hAnsi="Calibri"/>
                <w:b/>
                <w:lang w:val="en-GB" w:eastAsia="da-DK"/>
              </w:rPr>
            </w:pPr>
          </w:p>
        </w:tc>
      </w:tr>
      <w:tr w:rsidR="00C1164B" w:rsidRPr="00C1164B" w:rsidTr="00C8613A">
        <w:tc>
          <w:tcPr>
            <w:tcW w:w="2628" w:type="dxa"/>
          </w:tcPr>
          <w:p w:rsidR="00C1164B" w:rsidRPr="00C1164B" w:rsidRDefault="00C1164B" w:rsidP="00C1164B">
            <w:pPr>
              <w:rPr>
                <w:rFonts w:ascii="Calibri" w:hAnsi="Calibri"/>
                <w:lang w:val="en-GB" w:eastAsia="da-DK"/>
              </w:rPr>
            </w:pPr>
            <w:r w:rsidRPr="00C1164B">
              <w:rPr>
                <w:rFonts w:ascii="Calibri" w:hAnsi="Calibri"/>
                <w:lang w:val="en-GB" w:eastAsia="da-DK"/>
              </w:rPr>
              <w:t>Second mission to NY (TBD)</w:t>
            </w: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auto"/>
          </w:tcPr>
          <w:p w:rsidR="00C1164B" w:rsidRPr="00C1164B" w:rsidRDefault="00C1164B" w:rsidP="00C1164B">
            <w:pPr>
              <w:rPr>
                <w:rFonts w:ascii="Calibri" w:hAnsi="Calibri"/>
                <w:b/>
                <w:lang w:val="en-GB" w:eastAsia="da-DK"/>
              </w:rPr>
            </w:pPr>
          </w:p>
        </w:tc>
        <w:tc>
          <w:tcPr>
            <w:tcW w:w="360" w:type="dxa"/>
            <w:shd w:val="clear" w:color="auto" w:fill="0000FF"/>
          </w:tcPr>
          <w:p w:rsidR="00C1164B" w:rsidRPr="00C1164B" w:rsidRDefault="00C1164B" w:rsidP="00C1164B">
            <w:pPr>
              <w:rPr>
                <w:rFonts w:ascii="Calibri" w:hAnsi="Calibri"/>
                <w:b/>
                <w:lang w:val="en-GB" w:eastAsia="da-DK"/>
              </w:rPr>
            </w:pPr>
          </w:p>
        </w:tc>
        <w:tc>
          <w:tcPr>
            <w:tcW w:w="386" w:type="dxa"/>
            <w:shd w:val="clear" w:color="auto" w:fill="auto"/>
          </w:tcPr>
          <w:p w:rsidR="00C1164B" w:rsidRPr="00C1164B" w:rsidRDefault="00C1164B" w:rsidP="00C1164B">
            <w:pPr>
              <w:rPr>
                <w:rFonts w:ascii="Calibri" w:hAnsi="Calibri"/>
                <w:b/>
                <w:lang w:val="en-GB" w:eastAsia="da-DK"/>
              </w:rPr>
            </w:pPr>
          </w:p>
        </w:tc>
      </w:tr>
    </w:tbl>
    <w:p w:rsidR="00C1164B" w:rsidRPr="00C1164B" w:rsidRDefault="00C1164B" w:rsidP="00C1164B">
      <w:pPr>
        <w:spacing w:after="0" w:line="270" w:lineRule="atLeast"/>
        <w:rPr>
          <w:rFonts w:ascii="Calibri" w:eastAsia="Times New Roman" w:hAnsi="Calibri" w:cs="Times New Roman"/>
          <w:b/>
          <w:sz w:val="20"/>
          <w:szCs w:val="20"/>
          <w:lang w:val="en-GB" w:eastAsia="da-DK"/>
        </w:rPr>
      </w:pPr>
    </w:p>
    <w:p w:rsidR="00C1164B" w:rsidRPr="00C1164B" w:rsidRDefault="00C1164B" w:rsidP="00C1164B">
      <w:pPr>
        <w:spacing w:after="0" w:line="270" w:lineRule="atLeast"/>
        <w:rPr>
          <w:rFonts w:ascii="Calibri" w:eastAsia="Times New Roman" w:hAnsi="Calibri" w:cs="Times New Roman"/>
          <w:b/>
          <w:lang w:val="en-GB" w:eastAsia="da-DK"/>
        </w:rPr>
      </w:pPr>
    </w:p>
    <w:p w:rsidR="00C1164B" w:rsidRPr="00C1164B" w:rsidRDefault="00C1164B" w:rsidP="00C1164B">
      <w:pPr>
        <w:spacing w:after="0" w:line="270" w:lineRule="atLeast"/>
        <w:rPr>
          <w:rFonts w:ascii="Calibri" w:eastAsia="Times New Roman" w:hAnsi="Calibri" w:cs="Times New Roman"/>
          <w:b/>
          <w:lang w:val="en-GB" w:eastAsia="da-DK"/>
        </w:rPr>
      </w:pPr>
    </w:p>
    <w:p w:rsidR="00C1164B" w:rsidRPr="00C1164B" w:rsidRDefault="00C1164B" w:rsidP="00C1164B">
      <w:pPr>
        <w:pBdr>
          <w:bottom w:val="single" w:sz="18" w:space="1" w:color="808080"/>
        </w:pBdr>
        <w:spacing w:after="0" w:line="270" w:lineRule="atLeas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6. Expected Deliverables</w:t>
      </w:r>
    </w:p>
    <w:p w:rsidR="00C1164B" w:rsidRPr="00C1164B" w:rsidRDefault="00C1164B" w:rsidP="00C1164B">
      <w:pPr>
        <w:spacing w:after="0" w:line="270" w:lineRule="atLeast"/>
        <w:rPr>
          <w:rFonts w:ascii="Calibri" w:eastAsia="Times New Roman" w:hAnsi="Calibri" w:cs="Times New Roman"/>
          <w:b/>
          <w:lang w:val="en-GB" w:eastAsia="da-DK"/>
        </w:rPr>
      </w:pPr>
    </w:p>
    <w:p w:rsidR="00C1164B" w:rsidRPr="00C1164B" w:rsidRDefault="00C1164B" w:rsidP="00C1164B">
      <w:pPr>
        <w:spacing w:after="0" w:line="270" w:lineRule="atLeast"/>
        <w:rPr>
          <w:rFonts w:ascii="Calibri" w:eastAsia="Times New Roman" w:hAnsi="Calibri" w:cs="Times New Roman"/>
          <w:lang w:val="en-GB" w:eastAsia="da-DK"/>
        </w:rPr>
      </w:pPr>
      <w:r w:rsidRPr="00C1164B">
        <w:rPr>
          <w:rFonts w:ascii="Calibri" w:eastAsia="Times New Roman" w:hAnsi="Calibri" w:cs="Times New Roman"/>
          <w:lang w:val="en-GB" w:eastAsia="da-DK"/>
        </w:rPr>
        <w:t>The following deliverables will be submitted to BCPR:</w:t>
      </w:r>
    </w:p>
    <w:p w:rsidR="00C1164B" w:rsidRPr="00C1164B" w:rsidRDefault="00C1164B" w:rsidP="00C1164B">
      <w:pPr>
        <w:numPr>
          <w:ilvl w:val="0"/>
          <w:numId w:val="96"/>
        </w:numPr>
        <w:spacing w:after="0" w:line="270" w:lineRule="atLeast"/>
        <w:rPr>
          <w:rFonts w:ascii="Calibri" w:eastAsia="Times New Roman" w:hAnsi="Calibri" w:cs="Times New Roman"/>
          <w:lang w:val="en-GB" w:eastAsia="da-DK"/>
        </w:rPr>
      </w:pPr>
      <w:r w:rsidRPr="00C1164B">
        <w:rPr>
          <w:rFonts w:ascii="Calibri" w:eastAsia="Times New Roman" w:hAnsi="Calibri" w:cs="Times New Roman"/>
          <w:lang w:val="en-GB" w:eastAsia="da-DK"/>
        </w:rPr>
        <w:t>Inception report (present document);</w:t>
      </w:r>
    </w:p>
    <w:p w:rsidR="00C1164B" w:rsidRPr="00C1164B" w:rsidRDefault="00C1164B" w:rsidP="00C1164B">
      <w:pPr>
        <w:numPr>
          <w:ilvl w:val="0"/>
          <w:numId w:val="96"/>
        </w:numPr>
        <w:spacing w:after="0" w:line="270" w:lineRule="atLeast"/>
        <w:rPr>
          <w:rFonts w:ascii="Calibri" w:eastAsia="Times New Roman" w:hAnsi="Calibri" w:cs="Times New Roman"/>
          <w:lang w:val="en-GB" w:eastAsia="da-DK"/>
        </w:rPr>
      </w:pPr>
      <w:r w:rsidRPr="00C1164B">
        <w:rPr>
          <w:rFonts w:ascii="Calibri" w:eastAsia="Times New Roman" w:hAnsi="Calibri" w:cs="Times New Roman"/>
          <w:lang w:val="en-GB" w:eastAsia="da-DK"/>
        </w:rPr>
        <w:t>Country-specific evaluation report.  (for internal dissemination  and with focus on accountability);</w:t>
      </w:r>
    </w:p>
    <w:p w:rsidR="00C1164B" w:rsidRPr="00C1164B" w:rsidRDefault="00C1164B" w:rsidP="00C1164B">
      <w:pPr>
        <w:numPr>
          <w:ilvl w:val="0"/>
          <w:numId w:val="96"/>
        </w:numPr>
        <w:spacing w:after="0" w:line="270" w:lineRule="atLeast"/>
        <w:rPr>
          <w:rFonts w:ascii="Calibri" w:eastAsia="Times New Roman" w:hAnsi="Calibri" w:cs="Times New Roman"/>
          <w:lang w:val="en-GB" w:eastAsia="da-DK"/>
        </w:rPr>
      </w:pPr>
      <w:r w:rsidRPr="00C1164B">
        <w:rPr>
          <w:rFonts w:ascii="Calibri" w:eastAsia="Times New Roman" w:hAnsi="Calibri" w:cs="Times New Roman"/>
          <w:lang w:val="en-GB" w:eastAsia="da-DK"/>
        </w:rPr>
        <w:t>Thematic evaluation report.  (for external dissemination and with focus on learning );</w:t>
      </w:r>
    </w:p>
    <w:p w:rsidR="00C1164B" w:rsidRPr="00C1164B" w:rsidRDefault="00C1164B" w:rsidP="00C1164B">
      <w:pPr>
        <w:numPr>
          <w:ilvl w:val="0"/>
          <w:numId w:val="96"/>
        </w:numPr>
        <w:spacing w:after="0" w:line="270" w:lineRule="atLeast"/>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Presentation to illustrate the evaluation findings in </w:t>
      </w:r>
      <w:smartTag w:uri="urn:schemas-microsoft-com:office:smarttags" w:element="State">
        <w:smartTag w:uri="urn:schemas-microsoft-com:office:smarttags" w:element="place">
          <w:r w:rsidRPr="00C1164B">
            <w:rPr>
              <w:rFonts w:ascii="Calibri" w:eastAsia="Times New Roman" w:hAnsi="Calibri" w:cs="Times New Roman"/>
              <w:lang w:val="en-GB" w:eastAsia="da-DK"/>
            </w:rPr>
            <w:t>New York</w:t>
          </w:r>
        </w:smartTag>
      </w:smartTag>
      <w:r w:rsidRPr="00C1164B">
        <w:rPr>
          <w:rFonts w:ascii="Calibri" w:eastAsia="Times New Roman" w:hAnsi="Calibri" w:cs="Times New Roman"/>
          <w:lang w:val="en-GB" w:eastAsia="da-DK"/>
        </w:rPr>
        <w:t xml:space="preserve"> to the </w:t>
      </w:r>
      <w:r w:rsidRPr="00C1164B">
        <w:rPr>
          <w:rFonts w:ascii="Calibri" w:eastAsia="Times New Roman" w:hAnsi="Calibri" w:cs="Times New Roman"/>
          <w:lang w:eastAsia="da-DK"/>
        </w:rPr>
        <w:t>Evaluation Reference Group.</w:t>
      </w:r>
    </w:p>
    <w:p w:rsidR="00C1164B" w:rsidRPr="00C1164B" w:rsidRDefault="00C1164B" w:rsidP="00C1164B">
      <w:pPr>
        <w:spacing w:after="0" w:line="270" w:lineRule="atLeast"/>
        <w:rPr>
          <w:rFonts w:ascii="Calibri" w:eastAsia="Times New Roman" w:hAnsi="Calibri" w:cs="Times New Roman"/>
          <w:lang w:val="en-GB" w:eastAsia="da-DK"/>
        </w:rPr>
      </w:pPr>
    </w:p>
    <w:p w:rsidR="00C1164B" w:rsidRPr="00C1164B" w:rsidRDefault="00C1164B" w:rsidP="00C1164B">
      <w:pPr>
        <w:spacing w:after="0" w:line="270" w:lineRule="atLeast"/>
        <w:rPr>
          <w:rFonts w:ascii="Calibri" w:eastAsia="Times New Roman" w:hAnsi="Calibri" w:cs="Times New Roman"/>
          <w:lang w:val="en-GB" w:eastAsia="da-DK"/>
        </w:rPr>
      </w:pPr>
      <w:r w:rsidRPr="00C1164B">
        <w:rPr>
          <w:rFonts w:ascii="Calibri" w:eastAsia="Times New Roman" w:hAnsi="Calibri" w:cs="Times New Roman"/>
          <w:lang w:val="en-GB" w:eastAsia="da-DK"/>
        </w:rPr>
        <w:t>In addition to these deliverables, the consultant will provide BCPR with regular progress updates throughout the course of the assignment.</w:t>
      </w:r>
    </w:p>
    <w:p w:rsidR="00C1164B" w:rsidRPr="00C1164B" w:rsidRDefault="00C1164B" w:rsidP="00C1164B">
      <w:pPr>
        <w:spacing w:after="0" w:line="270" w:lineRule="atLeast"/>
        <w:rPr>
          <w:rFonts w:ascii="Calibri" w:eastAsia="Times New Roman" w:hAnsi="Calibri" w:cs="Times New Roman"/>
          <w:lang w:val="en-GB" w:eastAsia="da-DK"/>
        </w:rPr>
      </w:pPr>
    </w:p>
    <w:p w:rsidR="00C1164B" w:rsidRPr="00C1164B" w:rsidRDefault="00C1164B" w:rsidP="00C1164B">
      <w:pPr>
        <w:spacing w:after="0" w:line="270" w:lineRule="atLeast"/>
        <w:jc w:val="both"/>
        <w:rPr>
          <w:rFonts w:ascii="Calibri" w:eastAsia="Times New Roman" w:hAnsi="Calibri" w:cs="Times New Roman"/>
          <w:b/>
          <w:color w:val="800000"/>
          <w:lang w:val="en-GB" w:eastAsia="da-DK"/>
        </w:rPr>
      </w:pPr>
    </w:p>
    <w:p w:rsidR="00C1164B" w:rsidRPr="00C1164B" w:rsidRDefault="00C1164B" w:rsidP="00C1164B">
      <w:pPr>
        <w:spacing w:after="0" w:line="270" w:lineRule="atLeast"/>
        <w:jc w:val="both"/>
        <w:rPr>
          <w:rFonts w:ascii="Calibri" w:eastAsia="Times New Roman" w:hAnsi="Calibri" w:cs="Times New Roman"/>
          <w:b/>
          <w:color w:val="800000"/>
          <w:lang w:val="en-GB" w:eastAsia="da-DK"/>
        </w:rPr>
      </w:pPr>
    </w:p>
    <w:p w:rsidR="00C1164B" w:rsidRPr="00C1164B" w:rsidRDefault="00C1164B" w:rsidP="00C1164B">
      <w:pPr>
        <w:spacing w:after="0" w:line="270" w:lineRule="atLeast"/>
        <w:jc w:val="both"/>
        <w:rPr>
          <w:rFonts w:ascii="Calibri" w:eastAsia="Times New Roman" w:hAnsi="Calibri" w:cs="Times New Roman"/>
          <w:b/>
          <w:color w:val="800000"/>
          <w:lang w:val="en-GB" w:eastAsia="da-DK"/>
        </w:rPr>
      </w:pPr>
    </w:p>
    <w:p w:rsidR="00C1164B" w:rsidRPr="00C1164B" w:rsidRDefault="00C1164B" w:rsidP="00C1164B">
      <w:pPr>
        <w:pBdr>
          <w:bottom w:val="single" w:sz="18" w:space="1" w:color="808080"/>
        </w:pBdr>
        <w:spacing w:after="0" w:line="270" w:lineRule="atLeas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7. Structure of the final report</w:t>
      </w:r>
    </w:p>
    <w:p w:rsidR="00C1164B" w:rsidRPr="00C1164B" w:rsidRDefault="00C1164B" w:rsidP="00C1164B">
      <w:pPr>
        <w:spacing w:after="0" w:line="270" w:lineRule="atLeast"/>
        <w:jc w:val="both"/>
        <w:rPr>
          <w:rFonts w:ascii="Calibri" w:eastAsia="Times New Roman" w:hAnsi="Calibri" w:cs="Times New Roman"/>
          <w:color w:val="2A2A2A"/>
          <w:lang w:eastAsia="da-DK"/>
        </w:rPr>
      </w:pPr>
    </w:p>
    <w:p w:rsidR="00C1164B" w:rsidRPr="00C1164B" w:rsidRDefault="00C1164B" w:rsidP="00C1164B">
      <w:pPr>
        <w:spacing w:after="0" w:line="270" w:lineRule="atLeas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Considered the two folded purpose of the evaluation (accountability and learning) and that the respective target audiences have different information needs, it is suggested to structure the evaluation in 2 separate documents, as follows:</w:t>
      </w:r>
    </w:p>
    <w:p w:rsidR="00C1164B" w:rsidRPr="00C1164B" w:rsidRDefault="00C1164B" w:rsidP="00C1164B">
      <w:pPr>
        <w:spacing w:after="0" w:line="270" w:lineRule="atLeast"/>
        <w:jc w:val="both"/>
        <w:rPr>
          <w:rFonts w:ascii="Calibri" w:eastAsia="Times New Roman" w:hAnsi="Calibri" w:cs="Times New Roman"/>
          <w:color w:val="2A2A2A"/>
          <w:lang w:eastAsia="da-DK"/>
        </w:rPr>
      </w:pPr>
    </w:p>
    <w:p w:rsidR="00C1164B" w:rsidRPr="00C1164B" w:rsidRDefault="00C1164B" w:rsidP="00C1164B">
      <w:pPr>
        <w:numPr>
          <w:ilvl w:val="0"/>
          <w:numId w:val="100"/>
        </w:numPr>
        <w:spacing w:after="0" w:line="270" w:lineRule="atLeast"/>
        <w:jc w:val="both"/>
        <w:rPr>
          <w:rFonts w:ascii="Calibri" w:eastAsia="Times New Roman" w:hAnsi="Calibri" w:cs="Times New Roman"/>
          <w:lang w:val="en-GB" w:eastAsia="da-DK"/>
        </w:rPr>
      </w:pPr>
      <w:r w:rsidRPr="00C1164B">
        <w:rPr>
          <w:rFonts w:ascii="Calibri" w:eastAsia="Times New Roman" w:hAnsi="Calibri" w:cs="Times New Roman"/>
          <w:b/>
          <w:lang w:val="en-GB" w:eastAsia="da-DK"/>
        </w:rPr>
        <w:lastRenderedPageBreak/>
        <w:t>A country-specific evaluation report.</w:t>
      </w:r>
      <w:r w:rsidRPr="00C1164B">
        <w:rPr>
          <w:rFonts w:ascii="Calibri" w:eastAsia="Times New Roman" w:hAnsi="Calibri" w:cs="Times New Roman"/>
          <w:lang w:val="en-GB" w:eastAsia="da-DK"/>
        </w:rPr>
        <w:t xml:space="preserve"> This document will focus on the accountability component of the evaluation by applying the 5 evaluation criteria for each country office, which will allow to present recommendations specific to each context.</w:t>
      </w:r>
    </w:p>
    <w:p w:rsidR="00C1164B" w:rsidRPr="00C1164B" w:rsidRDefault="00C1164B" w:rsidP="00C1164B">
      <w:pPr>
        <w:spacing w:after="0" w:line="270" w:lineRule="atLeast"/>
        <w:ind w:left="432"/>
        <w:jc w:val="both"/>
        <w:rPr>
          <w:rFonts w:ascii="Calibri" w:eastAsia="Times New Roman" w:hAnsi="Calibri" w:cs="Times New Roman"/>
          <w:lang w:val="en-GB" w:eastAsia="da-DK"/>
        </w:rPr>
      </w:pPr>
      <w:r w:rsidRPr="00C1164B">
        <w:rPr>
          <w:rFonts w:ascii="Calibri" w:eastAsia="Times New Roman" w:hAnsi="Calibri" w:cs="Times New Roman"/>
          <w:lang w:val="en-GB" w:eastAsia="da-DK"/>
        </w:rPr>
        <w:t>The report will be disseminated only among UNDP/BCPR staff, Judiciary and other implementing partners and eventual donors.</w:t>
      </w:r>
    </w:p>
    <w:p w:rsidR="00C1164B" w:rsidRPr="00C1164B" w:rsidRDefault="00C1164B" w:rsidP="00C1164B">
      <w:pPr>
        <w:spacing w:after="0" w:line="270" w:lineRule="atLeast"/>
        <w:ind w:firstLine="432"/>
        <w:jc w:val="both"/>
        <w:rPr>
          <w:rFonts w:ascii="Calibri" w:eastAsia="Times New Roman" w:hAnsi="Calibri" w:cs="Times New Roman"/>
          <w:lang w:val="en-GB" w:eastAsia="da-DK"/>
        </w:rPr>
      </w:pPr>
    </w:p>
    <w:p w:rsidR="00C1164B" w:rsidRPr="00C1164B" w:rsidRDefault="00C1164B" w:rsidP="00C1164B">
      <w:pPr>
        <w:numPr>
          <w:ilvl w:val="0"/>
          <w:numId w:val="100"/>
        </w:numPr>
        <w:spacing w:after="0" w:line="270" w:lineRule="atLeast"/>
        <w:jc w:val="both"/>
        <w:rPr>
          <w:rFonts w:ascii="Calibri" w:eastAsia="Times New Roman" w:hAnsi="Calibri" w:cs="Times New Roman"/>
          <w:lang w:val="en-GB" w:eastAsia="da-DK"/>
        </w:rPr>
      </w:pPr>
      <w:r w:rsidRPr="00C1164B">
        <w:rPr>
          <w:rFonts w:ascii="Calibri" w:eastAsia="Times New Roman" w:hAnsi="Calibri" w:cs="Times New Roman"/>
          <w:b/>
          <w:lang w:val="en-GB" w:eastAsia="da-DK"/>
        </w:rPr>
        <w:t>Thematic evaluation report.</w:t>
      </w:r>
      <w:r w:rsidRPr="00C1164B">
        <w:rPr>
          <w:rFonts w:ascii="Calibri" w:eastAsia="Times New Roman" w:hAnsi="Calibri" w:cs="Times New Roman"/>
          <w:lang w:val="en-GB" w:eastAsia="da-DK"/>
        </w:rPr>
        <w:t xml:space="preserve"> This document will focus on learning component and will present the findings and best practices in a comparative approach by following the outline of the “</w:t>
      </w:r>
      <w:r w:rsidRPr="00C1164B">
        <w:rPr>
          <w:rFonts w:ascii="Calibri" w:eastAsia="Times New Roman" w:hAnsi="Calibri" w:cs="Times New Roman"/>
          <w:i/>
          <w:lang w:val="en-GB" w:eastAsia="da-DK"/>
        </w:rPr>
        <w:t>framework for good practices in mobile court interventions</w:t>
      </w:r>
      <w:r w:rsidRPr="00C1164B">
        <w:rPr>
          <w:rFonts w:ascii="Calibri" w:eastAsia="Times New Roman" w:hAnsi="Calibri" w:cs="Times New Roman"/>
          <w:lang w:val="en-GB" w:eastAsia="da-DK"/>
        </w:rPr>
        <w:t>”</w:t>
      </w:r>
      <w:r w:rsidRPr="00C1164B">
        <w:rPr>
          <w:rFonts w:ascii="Calibri" w:eastAsia="Times New Roman" w:hAnsi="Calibri" w:cs="Times New Roman"/>
          <w:vertAlign w:val="superscript"/>
          <w:lang w:val="en-GB" w:eastAsia="da-DK"/>
        </w:rPr>
        <w:footnoteReference w:id="7"/>
      </w:r>
    </w:p>
    <w:p w:rsidR="00C1164B" w:rsidRPr="00C1164B" w:rsidRDefault="00C1164B" w:rsidP="00C1164B">
      <w:pPr>
        <w:spacing w:after="0" w:line="270" w:lineRule="atLeast"/>
        <w:ind w:left="432"/>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The report will be widely disseminated to </w:t>
      </w:r>
      <w:r w:rsidRPr="00C1164B">
        <w:rPr>
          <w:rFonts w:ascii="Calibri" w:eastAsia="Times New Roman" w:hAnsi="Calibri" w:cs="ACaslon-Regular"/>
          <w:lang w:eastAsia="it-IT"/>
        </w:rPr>
        <w:t xml:space="preserve">generate knowledge, promote guidance and disseminate BCPR’s achievements in supporting mobile courts across its Global ROL programme. </w:t>
      </w:r>
    </w:p>
    <w:p w:rsidR="00C1164B" w:rsidRPr="00C1164B" w:rsidRDefault="00C1164B" w:rsidP="00C1164B">
      <w:pPr>
        <w:spacing w:after="0" w:line="270" w:lineRule="atLeast"/>
        <w:jc w:val="both"/>
        <w:rPr>
          <w:rFonts w:ascii="Calibri" w:eastAsia="Times New Roman" w:hAnsi="Calibri" w:cs="Times New Roman"/>
          <w:lang w:val="en-GB" w:eastAsia="da-DK"/>
        </w:rPr>
      </w:pPr>
    </w:p>
    <w:p w:rsidR="00C1164B" w:rsidRPr="00C1164B" w:rsidRDefault="00C1164B" w:rsidP="00C1164B">
      <w:p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 xml:space="preserve">The table of content for the </w:t>
      </w:r>
      <w:r w:rsidRPr="00C1164B">
        <w:rPr>
          <w:rFonts w:ascii="Calibri" w:eastAsia="Times New Roman" w:hAnsi="Calibri" w:cs="Times New Roman"/>
          <w:u w:val="single"/>
          <w:lang w:eastAsia="da-DK"/>
        </w:rPr>
        <w:t>country-specific report</w:t>
      </w:r>
      <w:r w:rsidRPr="00C1164B">
        <w:rPr>
          <w:rFonts w:ascii="Calibri" w:eastAsia="Times New Roman" w:hAnsi="Calibri" w:cs="Times New Roman"/>
          <w:lang w:eastAsia="da-DK"/>
        </w:rPr>
        <w:t xml:space="preserve"> is outlined below:</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Executive summary</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Part 1: Context and Methodology</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 xml:space="preserve">Part 2: Evaluation findings presented by criteria: relevance, effectiveness, efficiency, sustainability, impact </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Part 3: Conclusions, Recommendations, Lessons Learned</w:t>
      </w:r>
    </w:p>
    <w:p w:rsidR="00C1164B" w:rsidRPr="00C1164B" w:rsidRDefault="00C1164B" w:rsidP="00C1164B">
      <w:pPr>
        <w:numPr>
          <w:ilvl w:val="0"/>
          <w:numId w:val="102"/>
        </w:numPr>
        <w:spacing w:after="0" w:line="270" w:lineRule="atLeast"/>
        <w:rPr>
          <w:rFonts w:ascii="Calibri" w:eastAsia="Times New Roman" w:hAnsi="Calibri" w:cs="Times New Roman"/>
          <w:b/>
          <w:lang w:eastAsia="da-DK"/>
        </w:rPr>
      </w:pPr>
      <w:r w:rsidRPr="00C1164B">
        <w:rPr>
          <w:rFonts w:ascii="Calibri" w:eastAsia="Times New Roman" w:hAnsi="Calibri" w:cs="Times New Roman"/>
          <w:lang w:eastAsia="da-DK"/>
        </w:rPr>
        <w:t>Annexes</w:t>
      </w:r>
    </w:p>
    <w:p w:rsidR="00C1164B" w:rsidRPr="00C1164B" w:rsidRDefault="00C1164B" w:rsidP="00C1164B">
      <w:p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 xml:space="preserve"> Part 2 and 3 will be repeated for each evaluated country. </w:t>
      </w:r>
    </w:p>
    <w:p w:rsidR="00C1164B" w:rsidRPr="00C1164B" w:rsidRDefault="00C1164B" w:rsidP="00C1164B">
      <w:pPr>
        <w:spacing w:after="0" w:line="270" w:lineRule="atLeast"/>
        <w:rPr>
          <w:rFonts w:ascii="Calibri" w:eastAsia="Times New Roman" w:hAnsi="Calibri" w:cs="Times New Roman"/>
          <w:lang w:eastAsia="da-DK"/>
        </w:rPr>
      </w:pPr>
    </w:p>
    <w:p w:rsidR="00C1164B" w:rsidRPr="00C1164B" w:rsidRDefault="00C1164B" w:rsidP="00C1164B">
      <w:p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 xml:space="preserve">The table of content for the </w:t>
      </w:r>
      <w:r w:rsidRPr="00C1164B">
        <w:rPr>
          <w:rFonts w:ascii="Calibri" w:eastAsia="Times New Roman" w:hAnsi="Calibri" w:cs="Times New Roman"/>
          <w:u w:val="single"/>
          <w:lang w:eastAsia="da-DK"/>
        </w:rPr>
        <w:t>thematic report</w:t>
      </w:r>
      <w:r w:rsidRPr="00C1164B">
        <w:rPr>
          <w:rFonts w:ascii="Calibri" w:eastAsia="Times New Roman" w:hAnsi="Calibri" w:cs="Times New Roman"/>
          <w:lang w:eastAsia="da-DK"/>
        </w:rPr>
        <w:t xml:space="preserve"> is outlined below:</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Executive summary</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Part 1: Context and Methodology</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Part 2: Best practices, lessons learned, case studies presented by mobile court phases (as identified in the Framework for good practices): i) planning and assessment ii) before mobile courts sessions ii) during mobile courts sessions iii) after mobile courts sessions iv) monitoring activities v) crosscutting issues</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Part 3: Conclusions, Recommendations</w:t>
      </w:r>
    </w:p>
    <w:p w:rsidR="00C1164B" w:rsidRPr="00C1164B" w:rsidRDefault="00C1164B" w:rsidP="00C1164B">
      <w:pPr>
        <w:numPr>
          <w:ilvl w:val="0"/>
          <w:numId w:val="102"/>
        </w:numPr>
        <w:spacing w:after="0" w:line="270" w:lineRule="atLeast"/>
        <w:rPr>
          <w:rFonts w:ascii="Calibri" w:eastAsia="Times New Roman" w:hAnsi="Calibri" w:cs="Times New Roman"/>
          <w:lang w:eastAsia="da-DK"/>
        </w:rPr>
      </w:pPr>
      <w:r w:rsidRPr="00C1164B">
        <w:rPr>
          <w:rFonts w:ascii="Calibri" w:eastAsia="Times New Roman" w:hAnsi="Calibri" w:cs="Times New Roman"/>
          <w:lang w:eastAsia="da-DK"/>
        </w:rPr>
        <w:t>Annexes</w:t>
      </w:r>
    </w:p>
    <w:p w:rsidR="00C1164B" w:rsidRPr="00C1164B" w:rsidRDefault="00C1164B" w:rsidP="00C1164B">
      <w:pPr>
        <w:spacing w:after="0" w:line="270" w:lineRule="atLeast"/>
        <w:rPr>
          <w:rFonts w:ascii="Calibri" w:eastAsia="Times New Roman" w:hAnsi="Calibri" w:cs="Times New Roman"/>
          <w:b/>
          <w:lang w:eastAsia="da-DK"/>
        </w:rPr>
      </w:pPr>
    </w:p>
    <w:p w:rsidR="00C1164B" w:rsidRPr="00C1164B" w:rsidRDefault="00C1164B" w:rsidP="00C1164B">
      <w:pPr>
        <w:spacing w:after="0" w:line="270" w:lineRule="atLeast"/>
        <w:rPr>
          <w:rFonts w:ascii="Calibri" w:eastAsia="Times New Roman" w:hAnsi="Calibri" w:cs="Times New Roman"/>
          <w:b/>
          <w:lang w:eastAsia="da-DK"/>
        </w:rPr>
      </w:pPr>
    </w:p>
    <w:p w:rsidR="00C1164B" w:rsidRPr="00C1164B" w:rsidRDefault="00C1164B" w:rsidP="00C1164B">
      <w:pPr>
        <w:pBdr>
          <w:bottom w:val="single" w:sz="18" w:space="1" w:color="808080"/>
        </w:pBdr>
        <w:spacing w:after="0" w:line="270" w:lineRule="atLeast"/>
        <w:jc w:val="both"/>
        <w:rPr>
          <w:rFonts w:ascii="Calibri" w:eastAsia="Times New Roman" w:hAnsi="Calibri" w:cs="Times New Roman"/>
          <w:b/>
          <w:color w:val="800000"/>
          <w:lang w:val="en-GB" w:eastAsia="da-DK"/>
        </w:rPr>
      </w:pPr>
      <w:r w:rsidRPr="00C1164B">
        <w:rPr>
          <w:rFonts w:ascii="Calibri" w:eastAsia="Times New Roman" w:hAnsi="Calibri" w:cs="Times New Roman"/>
          <w:b/>
          <w:color w:val="800000"/>
          <w:lang w:val="en-GB" w:eastAsia="da-DK"/>
        </w:rPr>
        <w:t>§ 8. Annexes</w:t>
      </w:r>
    </w:p>
    <w:p w:rsidR="00C1164B" w:rsidRPr="00C1164B" w:rsidRDefault="00C1164B" w:rsidP="00C1164B">
      <w:pPr>
        <w:spacing w:after="0" w:line="270" w:lineRule="atLeast"/>
        <w:rPr>
          <w:rFonts w:ascii="Calibri" w:eastAsia="Times New Roman" w:hAnsi="Calibri" w:cs="Times New Roman"/>
          <w:b/>
          <w:lang w:val="en-GB" w:eastAsia="da-DK"/>
        </w:rPr>
      </w:pPr>
    </w:p>
    <w:p w:rsidR="00C1164B" w:rsidRPr="00C1164B" w:rsidRDefault="00C1164B" w:rsidP="00C1164B">
      <w:pPr>
        <w:numPr>
          <w:ilvl w:val="0"/>
          <w:numId w:val="103"/>
        </w:numPr>
        <w:spacing w:after="0" w:line="270" w:lineRule="atLeast"/>
        <w:rPr>
          <w:rFonts w:ascii="Calibri" w:eastAsia="Times New Roman" w:hAnsi="Calibri" w:cs="Times New Roman"/>
          <w:b/>
          <w:lang w:eastAsia="da-DK"/>
        </w:rPr>
      </w:pPr>
      <w:r w:rsidRPr="00C1164B">
        <w:rPr>
          <w:rFonts w:ascii="Calibri" w:eastAsia="Times New Roman" w:hAnsi="Calibri" w:cs="Times New Roman"/>
          <w:b/>
          <w:lang w:eastAsia="da-DK"/>
        </w:rPr>
        <w:t>Annex 1: Evaluation Matrix</w:t>
      </w:r>
    </w:p>
    <w:p w:rsidR="00C1164B" w:rsidRPr="00C1164B" w:rsidRDefault="00C1164B" w:rsidP="00C1164B">
      <w:pPr>
        <w:numPr>
          <w:ilvl w:val="0"/>
          <w:numId w:val="103"/>
        </w:numPr>
        <w:spacing w:after="0" w:line="270" w:lineRule="atLeast"/>
        <w:rPr>
          <w:rFonts w:ascii="Calibri" w:eastAsia="Times New Roman" w:hAnsi="Calibri" w:cs="Times New Roman"/>
          <w:b/>
          <w:lang w:eastAsia="da-DK"/>
        </w:rPr>
      </w:pPr>
      <w:r w:rsidRPr="00C1164B">
        <w:rPr>
          <w:rFonts w:ascii="Calibri" w:eastAsia="Times New Roman" w:hAnsi="Calibri" w:cs="Times New Roman"/>
          <w:b/>
          <w:lang w:eastAsia="da-DK"/>
        </w:rPr>
        <w:t>Annex 2: Framework for good practices in mobile courts interventions</w:t>
      </w:r>
    </w:p>
    <w:p w:rsidR="00C1164B" w:rsidRPr="00C1164B" w:rsidRDefault="00C1164B" w:rsidP="00C1164B">
      <w:pPr>
        <w:numPr>
          <w:ilvl w:val="0"/>
          <w:numId w:val="103"/>
        </w:numPr>
        <w:spacing w:after="0" w:line="270" w:lineRule="atLeast"/>
        <w:rPr>
          <w:rFonts w:ascii="Calibri" w:eastAsia="Times New Roman" w:hAnsi="Calibri" w:cs="Times New Roman"/>
          <w:b/>
          <w:lang w:eastAsia="da-DK"/>
        </w:rPr>
      </w:pPr>
      <w:r w:rsidRPr="00C1164B">
        <w:rPr>
          <w:rFonts w:ascii="Calibri" w:eastAsia="Times New Roman" w:hAnsi="Calibri" w:cs="Times New Roman"/>
          <w:b/>
          <w:lang w:eastAsia="da-DK"/>
        </w:rPr>
        <w:t xml:space="preserve">Annex 3: </w:t>
      </w:r>
      <w:smartTag w:uri="urn:schemas-microsoft-com:office:smarttags" w:element="place">
        <w:r w:rsidRPr="00C1164B">
          <w:rPr>
            <w:rFonts w:ascii="Calibri" w:eastAsia="Times New Roman" w:hAnsi="Calibri" w:cs="Times New Roman"/>
            <w:b/>
            <w:lang w:eastAsia="da-DK"/>
          </w:rPr>
          <w:t>Mobile</w:t>
        </w:r>
      </w:smartTag>
      <w:r w:rsidRPr="00C1164B">
        <w:rPr>
          <w:rFonts w:ascii="Calibri" w:eastAsia="Times New Roman" w:hAnsi="Calibri" w:cs="Times New Roman"/>
          <w:b/>
          <w:lang w:eastAsia="da-DK"/>
        </w:rPr>
        <w:t xml:space="preserve"> courts case records</w:t>
      </w:r>
    </w:p>
    <w:p w:rsidR="00C1164B" w:rsidRPr="00C1164B" w:rsidRDefault="00C1164B" w:rsidP="00C1164B">
      <w:pPr>
        <w:numPr>
          <w:ilvl w:val="0"/>
          <w:numId w:val="103"/>
        </w:numPr>
        <w:spacing w:after="0" w:line="270" w:lineRule="atLeast"/>
        <w:rPr>
          <w:rFonts w:ascii="Calibri" w:eastAsia="Times New Roman" w:hAnsi="Calibri" w:cs="Times New Roman"/>
          <w:b/>
          <w:lang w:eastAsia="da-DK"/>
        </w:rPr>
      </w:pPr>
      <w:r w:rsidRPr="00C1164B">
        <w:rPr>
          <w:rFonts w:ascii="Calibri" w:eastAsia="Times New Roman" w:hAnsi="Calibri" w:cs="Times New Roman"/>
          <w:b/>
          <w:lang w:eastAsia="da-DK"/>
        </w:rPr>
        <w:t xml:space="preserve">Annex 4: Sample questionnaire for </w:t>
      </w:r>
      <w:smartTag w:uri="urn:schemas-microsoft-com:office:smarttags" w:element="Street">
        <w:smartTag w:uri="urn:schemas-microsoft-com:office:smarttags" w:element="address">
          <w:r w:rsidRPr="00C1164B">
            <w:rPr>
              <w:rFonts w:ascii="Calibri" w:eastAsia="Times New Roman" w:hAnsi="Calibri" w:cs="Times New Roman"/>
              <w:b/>
              <w:lang w:eastAsia="da-DK"/>
            </w:rPr>
            <w:t>Mobile Court</w:t>
          </w:r>
        </w:smartTag>
      </w:smartTag>
      <w:r w:rsidRPr="00C1164B">
        <w:rPr>
          <w:rFonts w:ascii="Calibri" w:eastAsia="Times New Roman" w:hAnsi="Calibri" w:cs="Times New Roman"/>
          <w:b/>
          <w:lang w:eastAsia="da-DK"/>
        </w:rPr>
        <w:t xml:space="preserve"> users </w:t>
      </w:r>
    </w:p>
    <w:p w:rsidR="00C1164B" w:rsidRPr="00C1164B" w:rsidRDefault="00C1164B" w:rsidP="00C1164B">
      <w:pPr>
        <w:numPr>
          <w:ilvl w:val="0"/>
          <w:numId w:val="103"/>
        </w:numPr>
        <w:spacing w:after="0" w:line="270" w:lineRule="atLeast"/>
        <w:rPr>
          <w:rFonts w:ascii="Calibri" w:eastAsia="Times New Roman" w:hAnsi="Calibri" w:cs="Times New Roman"/>
          <w:b/>
          <w:lang w:eastAsia="da-DK"/>
        </w:rPr>
      </w:pPr>
      <w:r w:rsidRPr="00C1164B">
        <w:rPr>
          <w:rFonts w:ascii="Calibri" w:eastAsia="Times New Roman" w:hAnsi="Calibri" w:cs="Times New Roman"/>
          <w:b/>
          <w:lang w:eastAsia="da-DK"/>
        </w:rPr>
        <w:t xml:space="preserve">Annex 5: </w:t>
      </w:r>
      <w:r w:rsidRPr="00C1164B">
        <w:rPr>
          <w:rFonts w:ascii="Calibri" w:eastAsia="Times New Roman" w:hAnsi="Calibri" w:cs="Times New Roman"/>
          <w:b/>
          <w:lang w:val="en-GB" w:eastAsia="da-DK"/>
        </w:rPr>
        <w:t xml:space="preserve">Query on </w:t>
      </w:r>
      <w:smartTag w:uri="urn:schemas-microsoft-com:office:smarttags" w:element="Street">
        <w:smartTag w:uri="urn:schemas-microsoft-com:office:smarttags" w:element="address">
          <w:r w:rsidRPr="00C1164B">
            <w:rPr>
              <w:rFonts w:ascii="Calibri" w:eastAsia="Times New Roman" w:hAnsi="Calibri" w:cs="Times New Roman"/>
              <w:b/>
              <w:lang w:val="en-GB" w:eastAsia="da-DK"/>
            </w:rPr>
            <w:t>Mobile Court</w:t>
          </w:r>
        </w:smartTag>
      </w:smartTag>
      <w:r w:rsidRPr="00C1164B">
        <w:rPr>
          <w:rFonts w:ascii="Calibri" w:eastAsia="Times New Roman" w:hAnsi="Calibri" w:cs="Times New Roman"/>
          <w:b/>
          <w:lang w:val="en-GB" w:eastAsia="da-DK"/>
        </w:rPr>
        <w:t xml:space="preserve"> interventions for UNDP knowledge networks</w:t>
      </w:r>
    </w:p>
    <w:p w:rsidR="00C1164B" w:rsidRPr="00C1164B" w:rsidRDefault="00C1164B" w:rsidP="00C1164B">
      <w:pPr>
        <w:numPr>
          <w:ilvl w:val="0"/>
          <w:numId w:val="103"/>
        </w:numPr>
        <w:spacing w:after="0" w:line="270" w:lineRule="atLeast"/>
        <w:rPr>
          <w:rFonts w:ascii="Calibri" w:eastAsia="Times New Roman" w:hAnsi="Calibri" w:cs="Times New Roman"/>
          <w:b/>
          <w:lang w:eastAsia="da-DK"/>
        </w:rPr>
      </w:pPr>
      <w:r w:rsidRPr="00C1164B">
        <w:rPr>
          <w:rFonts w:ascii="Calibri" w:eastAsia="Times New Roman" w:hAnsi="Calibri" w:cs="Times New Roman"/>
          <w:b/>
          <w:lang w:eastAsia="da-DK"/>
        </w:rPr>
        <w:t>Annex 6 : TOR</w:t>
      </w:r>
    </w:p>
    <w:p w:rsidR="00C1164B" w:rsidRPr="00C1164B" w:rsidRDefault="00C1164B" w:rsidP="00C1164B">
      <w:pPr>
        <w:spacing w:after="0" w:line="270" w:lineRule="atLeast"/>
        <w:rPr>
          <w:rFonts w:ascii="Calibri" w:eastAsia="Times New Roman" w:hAnsi="Calibri" w:cs="Times New Roman"/>
          <w:b/>
          <w:lang w:val="en-GB" w:eastAsia="da-DK"/>
        </w:rPr>
        <w:sectPr w:rsidR="00C1164B" w:rsidRPr="00C1164B" w:rsidSect="00E04061">
          <w:headerReference w:type="even" r:id="rId8"/>
          <w:headerReference w:type="default" r:id="rId9"/>
          <w:footerReference w:type="even" r:id="rId10"/>
          <w:footerReference w:type="default" r:id="rId11"/>
          <w:headerReference w:type="first" r:id="rId12"/>
          <w:footerReference w:type="first" r:id="rId13"/>
          <w:pgSz w:w="11906" w:h="16838"/>
          <w:pgMar w:top="1411" w:right="1138" w:bottom="1440" w:left="1138" w:header="720" w:footer="720" w:gutter="0"/>
          <w:cols w:space="720"/>
          <w:titlePg/>
          <w:docGrid w:linePitch="360"/>
        </w:sectPr>
      </w:pPr>
    </w:p>
    <w:p w:rsidR="00C1164B" w:rsidRPr="00C1164B" w:rsidRDefault="00C1164B" w:rsidP="00C1164B">
      <w:pPr>
        <w:spacing w:after="0" w:line="270" w:lineRule="atLeast"/>
        <w:rPr>
          <w:rFonts w:ascii="Calibri" w:eastAsia="Times New Roman" w:hAnsi="Calibri" w:cs="Times New Roman"/>
          <w:b/>
          <w:color w:val="800000"/>
          <w:lang w:val="en-GB" w:eastAsia="da-DK"/>
        </w:rPr>
      </w:pPr>
      <w:r w:rsidRPr="00C1164B">
        <w:rPr>
          <w:rFonts w:ascii="Calibri" w:eastAsia="Times New Roman" w:hAnsi="Calibri" w:cs="Times New Roman"/>
          <w:b/>
          <w:color w:val="800000"/>
          <w:sz w:val="28"/>
          <w:szCs w:val="28"/>
          <w:u w:val="single"/>
          <w:lang w:val="en-GB" w:eastAsia="da-DK"/>
        </w:rPr>
        <w:lastRenderedPageBreak/>
        <w:t>ANNEX 1</w:t>
      </w:r>
      <w:r w:rsidRPr="00C1164B">
        <w:rPr>
          <w:rFonts w:ascii="Calibri" w:eastAsia="Times New Roman" w:hAnsi="Calibri" w:cs="Times New Roman"/>
          <w:b/>
          <w:color w:val="800000"/>
          <w:lang w:val="en-GB" w:eastAsia="da-DK"/>
        </w:rPr>
        <w:t xml:space="preserve">: Evaluation Matrix </w:t>
      </w:r>
    </w:p>
    <w:p w:rsidR="00C1164B" w:rsidRPr="00C1164B" w:rsidRDefault="00C1164B" w:rsidP="00C1164B">
      <w:pPr>
        <w:spacing w:after="0" w:line="270" w:lineRule="atLeast"/>
        <w:rPr>
          <w:rFonts w:ascii="Calibri" w:eastAsia="Times New Roman" w:hAnsi="Calibri" w:cs="Times New Roman"/>
          <w:b/>
          <w:lang w:val="en-GB" w:eastAsia="da-DK"/>
        </w:rPr>
      </w:pPr>
    </w:p>
    <w:tbl>
      <w:tblPr>
        <w:tblStyle w:val="TableGrid3"/>
        <w:tblW w:w="0" w:type="auto"/>
        <w:tblLook w:val="01E0" w:firstRow="1" w:lastRow="1" w:firstColumn="1" w:lastColumn="1" w:noHBand="0" w:noVBand="0"/>
      </w:tblPr>
      <w:tblGrid>
        <w:gridCol w:w="5170"/>
        <w:gridCol w:w="691"/>
        <w:gridCol w:w="1417"/>
        <w:gridCol w:w="516"/>
        <w:gridCol w:w="2052"/>
      </w:tblGrid>
      <w:tr w:rsidR="00C1164B" w:rsidRPr="00C1164B" w:rsidTr="00C8613A">
        <w:tc>
          <w:tcPr>
            <w:tcW w:w="9846" w:type="dxa"/>
            <w:gridSpan w:val="5"/>
            <w:tcBorders>
              <w:bottom w:val="single" w:sz="4" w:space="0" w:color="auto"/>
            </w:tcBorders>
          </w:tcPr>
          <w:p w:rsidR="00C1164B" w:rsidRPr="00C1164B" w:rsidRDefault="00C1164B" w:rsidP="00C1164B">
            <w:pPr>
              <w:rPr>
                <w:rFonts w:ascii="Calibri" w:hAnsi="Calibri"/>
                <w:lang w:val="en-GB" w:eastAsia="da-DK"/>
              </w:rPr>
            </w:pPr>
          </w:p>
          <w:p w:rsidR="00C1164B" w:rsidRPr="00C1164B" w:rsidRDefault="00C1164B" w:rsidP="00C1164B">
            <w:pPr>
              <w:jc w:val="center"/>
              <w:rPr>
                <w:rFonts w:ascii="Calibri" w:hAnsi="Calibri"/>
                <w:b/>
                <w:lang w:val="en-GB" w:eastAsia="da-DK"/>
              </w:rPr>
            </w:pPr>
            <w:r w:rsidRPr="00C1164B">
              <w:rPr>
                <w:rFonts w:ascii="Calibri" w:hAnsi="Calibri"/>
                <w:b/>
                <w:lang w:val="en-GB" w:eastAsia="da-DK"/>
              </w:rPr>
              <w:t>Evaluation of UNDP support to mobile courts arrangements in post-conflict situations</w:t>
            </w:r>
          </w:p>
          <w:p w:rsidR="00C1164B" w:rsidRPr="00C1164B" w:rsidRDefault="00C1164B" w:rsidP="00C1164B">
            <w:pPr>
              <w:jc w:val="center"/>
              <w:rPr>
                <w:rFonts w:ascii="Calibri" w:hAnsi="Calibri"/>
                <w:b/>
                <w:smallCaps/>
                <w:spacing w:val="28"/>
                <w:lang w:val="en-GB" w:eastAsia="da-DK"/>
              </w:rPr>
            </w:pPr>
            <w:r w:rsidRPr="00C1164B">
              <w:rPr>
                <w:rFonts w:ascii="Calibri" w:hAnsi="Calibri"/>
                <w:b/>
                <w:smallCaps/>
                <w:spacing w:val="28"/>
                <w:lang w:val="en-GB" w:eastAsia="da-DK"/>
              </w:rPr>
              <w:t>EVALUATION MATRIX</w:t>
            </w:r>
          </w:p>
          <w:p w:rsidR="00C1164B" w:rsidRPr="00C1164B" w:rsidRDefault="00C1164B" w:rsidP="00C1164B">
            <w:pPr>
              <w:rPr>
                <w:rFonts w:ascii="Calibri" w:hAnsi="Calibri"/>
                <w:lang w:val="en-GB" w:eastAsia="da-DK"/>
              </w:rPr>
            </w:pPr>
          </w:p>
        </w:tc>
      </w:tr>
      <w:tr w:rsidR="00C1164B" w:rsidRPr="00C1164B" w:rsidTr="00C8613A">
        <w:tc>
          <w:tcPr>
            <w:tcW w:w="9846" w:type="dxa"/>
            <w:gridSpan w:val="5"/>
            <w:tcBorders>
              <w:bottom w:val="single" w:sz="4" w:space="0" w:color="auto"/>
            </w:tcBorders>
            <w:shd w:val="clear" w:color="auto" w:fill="E7EDF5"/>
          </w:tcPr>
          <w:p w:rsidR="00C1164B" w:rsidRPr="00C1164B" w:rsidRDefault="00C1164B" w:rsidP="00C1164B">
            <w:pPr>
              <w:rPr>
                <w:rFonts w:ascii="Calibri" w:hAnsi="Calibri"/>
                <w:b/>
                <w:smallCaps/>
                <w:spacing w:val="28"/>
                <w:lang w:val="en-GB" w:eastAsia="da-DK"/>
              </w:rPr>
            </w:pPr>
            <w:r w:rsidRPr="00C1164B">
              <w:rPr>
                <w:rFonts w:ascii="Calibri" w:hAnsi="Calibri"/>
                <w:b/>
                <w:smallCaps/>
                <w:spacing w:val="28"/>
                <w:lang w:val="en-GB" w:eastAsia="da-DK"/>
              </w:rPr>
              <w:t>1. RELEVANCE</w:t>
            </w:r>
          </w:p>
          <w:p w:rsidR="00C1164B" w:rsidRPr="00C1164B" w:rsidRDefault="00C1164B" w:rsidP="00C1164B">
            <w:pPr>
              <w:rPr>
                <w:rFonts w:ascii="Calibri" w:hAnsi="Calibri"/>
                <w:lang w:val="en-GB" w:eastAsia="da-DK"/>
              </w:rPr>
            </w:pPr>
            <w:r w:rsidRPr="00C1164B">
              <w:rPr>
                <w:rFonts w:ascii="Calibri" w:hAnsi="Calibri"/>
                <w:i/>
                <w:color w:val="333333"/>
                <w:lang w:eastAsia="da-DK"/>
              </w:rPr>
              <w:t>Relevance concerns the extent to which a development initiative and its intended outputs or outcomes are consistent with national and local policies and priorities and the needs of intended beneficiaries. Relevance also considers the extent to which the initiative is responsive to UNDP corporate plan and human development priorities of empowerment and gender equality issues. Relevance concerns the congruency between the perception of what is needed as envisioned by the initiative planners and the reality of what is needed from the perspective of intended beneficiaries. It also incorporates the concept of responsiveness—that is, the extent to which UNDP was able to respond to changing and emerging development priorities and needs in a responsive manner.</w:t>
            </w:r>
            <w:r w:rsidRPr="00C1164B">
              <w:rPr>
                <w:rFonts w:ascii="Calibri" w:hAnsi="Calibri" w:cs="ACaslon-Regular"/>
                <w:lang w:eastAsia="da-DK"/>
              </w:rPr>
              <w:t xml:space="preserve"> </w:t>
            </w:r>
            <w:r w:rsidRPr="00C1164B">
              <w:rPr>
                <w:rFonts w:ascii="Calibri" w:hAnsi="Calibri"/>
                <w:i/>
                <w:color w:val="333333"/>
                <w:lang w:eastAsia="da-DK"/>
              </w:rPr>
              <w:t>An essential sub-category of relevance is the criteria of appropriateness, which concerns the cultural acceptance as well as feasibility of the activities or method of delivery of a development initiative</w:t>
            </w:r>
            <w:r w:rsidRPr="00C1164B">
              <w:rPr>
                <w:rFonts w:ascii="Calibri" w:hAnsi="Calibri"/>
                <w:i/>
                <w:color w:val="333333"/>
                <w:vertAlign w:val="superscript"/>
                <w:lang w:eastAsia="da-DK"/>
              </w:rPr>
              <w:footnoteReference w:id="8"/>
            </w:r>
            <w:r w:rsidRPr="00C1164B">
              <w:rPr>
                <w:rFonts w:ascii="Calibri" w:hAnsi="Calibri"/>
                <w:i/>
                <w:color w:val="333333"/>
                <w:lang w:eastAsia="da-DK"/>
              </w:rPr>
              <w:t>.</w:t>
            </w:r>
          </w:p>
        </w:tc>
      </w:tr>
      <w:tr w:rsidR="00C1164B" w:rsidRPr="00C1164B" w:rsidTr="00C8613A">
        <w:tc>
          <w:tcPr>
            <w:tcW w:w="5861"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questions &amp; sub-questions</w:t>
            </w:r>
          </w:p>
        </w:tc>
        <w:tc>
          <w:tcPr>
            <w:tcW w:w="1933"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sources</w:t>
            </w:r>
          </w:p>
        </w:tc>
        <w:tc>
          <w:tcPr>
            <w:tcW w:w="2052" w:type="dxa"/>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collection method</w:t>
            </w:r>
          </w:p>
        </w:tc>
      </w:tr>
      <w:tr w:rsidR="00C1164B" w:rsidRPr="00C1164B" w:rsidTr="00C8613A">
        <w:tc>
          <w:tcPr>
            <w:tcW w:w="5861" w:type="dxa"/>
            <w:gridSpan w:val="2"/>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Q.1.1. To what extent do the mobile courts’ support interventions respond to the priorities outlined in national strategies?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is the legal basis for implementing mobile courts?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Are a national strategy and a national budget available for MC?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Is there an MOU between UNDP and the Judiciary/MOJ to support mobile courts?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Has the Judiciary implemented MC without the support of international donors? If so, what were the results?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How does the country legal system (civil/common law, pluralistic..) influence mobile courts arrangements?</w:t>
            </w:r>
          </w:p>
          <w:p w:rsidR="00C1164B" w:rsidRPr="00C1164B" w:rsidRDefault="00C1164B" w:rsidP="00C1164B">
            <w:pPr>
              <w:numPr>
                <w:ilvl w:val="1"/>
                <w:numId w:val="27"/>
              </w:numPr>
              <w:spacing w:line="240" w:lineRule="auto"/>
              <w:rPr>
                <w:rFonts w:ascii="Calibri" w:hAnsi="Calibri"/>
                <w:lang w:eastAsia="da-DK"/>
              </w:rPr>
            </w:pPr>
          </w:p>
        </w:tc>
        <w:tc>
          <w:tcPr>
            <w:tcW w:w="1933"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National legislation</w:t>
            </w:r>
          </w:p>
          <w:p w:rsidR="00C1164B" w:rsidRPr="00C1164B" w:rsidRDefault="00C1164B" w:rsidP="00C1164B">
            <w:pPr>
              <w:rPr>
                <w:rFonts w:ascii="Calibri" w:hAnsi="Calibri"/>
                <w:lang w:val="en-GB" w:eastAsia="da-DK"/>
              </w:rPr>
            </w:pPr>
            <w:r w:rsidRPr="00C1164B">
              <w:rPr>
                <w:rFonts w:ascii="Calibri" w:hAnsi="Calibri"/>
                <w:lang w:val="en-GB" w:eastAsia="da-DK"/>
              </w:rPr>
              <w:t xml:space="preserve">- National Justice       </w:t>
            </w:r>
          </w:p>
          <w:p w:rsidR="00C1164B" w:rsidRPr="00C1164B" w:rsidRDefault="00C1164B" w:rsidP="00C1164B">
            <w:pPr>
              <w:rPr>
                <w:rFonts w:ascii="Calibri" w:hAnsi="Calibri"/>
                <w:lang w:val="en-GB" w:eastAsia="da-DK"/>
              </w:rPr>
            </w:pPr>
            <w:r w:rsidRPr="00C1164B">
              <w:rPr>
                <w:rFonts w:ascii="Calibri" w:hAnsi="Calibri"/>
                <w:lang w:val="en-GB" w:eastAsia="da-DK"/>
              </w:rPr>
              <w:t>Sector strategies</w:t>
            </w:r>
          </w:p>
          <w:p w:rsidR="00C1164B" w:rsidRPr="00C1164B" w:rsidRDefault="00C1164B" w:rsidP="00C1164B">
            <w:pPr>
              <w:rPr>
                <w:rFonts w:ascii="Calibri" w:hAnsi="Calibri"/>
                <w:lang w:val="en-GB" w:eastAsia="da-DK"/>
              </w:rPr>
            </w:pPr>
            <w:r w:rsidRPr="00C1164B">
              <w:rPr>
                <w:rFonts w:ascii="Calibri" w:hAnsi="Calibri"/>
                <w:lang w:val="en-GB" w:eastAsia="da-DK"/>
              </w:rPr>
              <w:t>- MOU between        UNDP and Judiciary</w:t>
            </w:r>
          </w:p>
          <w:p w:rsidR="00C1164B" w:rsidRPr="00C1164B" w:rsidRDefault="00C1164B" w:rsidP="00C1164B">
            <w:pPr>
              <w:rPr>
                <w:rFonts w:ascii="Calibri" w:hAnsi="Calibri"/>
                <w:lang w:val="en-GB" w:eastAsia="da-DK"/>
              </w:rPr>
            </w:pPr>
          </w:p>
        </w:tc>
        <w:tc>
          <w:tcPr>
            <w:tcW w:w="2052" w:type="dxa"/>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Online research</w:t>
            </w: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val="en-GB" w:eastAsia="da-DK"/>
              </w:rPr>
            </w:pPr>
            <w:r w:rsidRPr="00C1164B">
              <w:rPr>
                <w:rFonts w:ascii="Calibri" w:hAnsi="Calibri"/>
                <w:lang w:val="en-GB" w:eastAsia="da-DK"/>
              </w:rPr>
              <w:t xml:space="preserve">- Interviews: judicial authorities.. </w:t>
            </w:r>
          </w:p>
        </w:tc>
      </w:tr>
      <w:tr w:rsidR="00C1164B" w:rsidRPr="00C1164B" w:rsidTr="00C8613A">
        <w:tc>
          <w:tcPr>
            <w:tcW w:w="5861" w:type="dxa"/>
            <w:gridSpan w:val="2"/>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Q.1.2. How well do programming and implementation modalities match the needs of the population and national partners?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What influenced UNDP’s decisions on where, how and to what extent to engage in supporting mobile courts? Was the decision discussed with relevant stakeholders?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Was a needs assessment conducted before launching the mobile court intervention? Was the Judiciary  involved?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Which are the most vulnerable groups in the country? Are they targeted by mobile courts interventions?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To what extent were issues related to the restorative v. retributive conception of justice in remote areas taken into consideration?</w:t>
            </w:r>
          </w:p>
        </w:tc>
        <w:tc>
          <w:tcPr>
            <w:tcW w:w="1933"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Needs assessment or baseline analysis reports (by UNDP, Judiciary  or other actors)</w:t>
            </w:r>
          </w:p>
          <w:p w:rsidR="00C1164B" w:rsidRPr="00C1164B" w:rsidRDefault="00C1164B" w:rsidP="00C1164B">
            <w:pPr>
              <w:rPr>
                <w:rFonts w:ascii="Calibri" w:hAnsi="Calibri"/>
                <w:lang w:val="en-GB" w:eastAsia="da-DK"/>
              </w:rPr>
            </w:pPr>
            <w:r w:rsidRPr="00C1164B">
              <w:rPr>
                <w:rFonts w:ascii="Calibri" w:hAnsi="Calibri"/>
                <w:lang w:val="en-GB" w:eastAsia="da-DK"/>
              </w:rPr>
              <w:t>- research reports</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tc>
        <w:tc>
          <w:tcPr>
            <w:tcW w:w="2052" w:type="dxa"/>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Online research</w:t>
            </w: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val="en-GB" w:eastAsia="da-DK"/>
              </w:rPr>
            </w:pPr>
            <w:r w:rsidRPr="00C1164B">
              <w:rPr>
                <w:rFonts w:ascii="Calibri" w:hAnsi="Calibri"/>
                <w:lang w:val="en-GB" w:eastAsia="da-DK"/>
              </w:rPr>
              <w:t>- Interviews:   MOJ, judicial authorities, UNDP staff..</w:t>
            </w:r>
          </w:p>
        </w:tc>
      </w:tr>
      <w:tr w:rsidR="00C1164B" w:rsidRPr="00C1164B" w:rsidTr="00C8613A">
        <w:tc>
          <w:tcPr>
            <w:tcW w:w="5861" w:type="dxa"/>
            <w:gridSpan w:val="2"/>
            <w:tcBorders>
              <w:bottom w:val="single" w:sz="4" w:space="0" w:color="auto"/>
            </w:tcBorders>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Q.1.3. What was the relevance of mobile courts assistance for other priorities of UNDP Rule of Law programmes and the cross-cutting areas of gender equality, capacity building and national ownership?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Were synergies established between MC and other components of UNDP Rule of law programmes?  (Legal aid, Paralegalism, Policing, …), If so, what was the added value of a </w:t>
            </w:r>
            <w:r w:rsidRPr="00C1164B">
              <w:rPr>
                <w:rFonts w:ascii="Calibri" w:hAnsi="Calibri"/>
                <w:lang w:eastAsia="da-DK"/>
              </w:rPr>
              <w:lastRenderedPageBreak/>
              <w:t xml:space="preserve">mobile court component?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How was gender mainstreamed across the mobile court intervention?</w:t>
            </w:r>
          </w:p>
          <w:p w:rsidR="00C1164B" w:rsidRPr="00C1164B" w:rsidRDefault="00C1164B" w:rsidP="00C1164B">
            <w:pPr>
              <w:numPr>
                <w:ilvl w:val="1"/>
                <w:numId w:val="27"/>
              </w:numPr>
              <w:spacing w:line="240" w:lineRule="auto"/>
              <w:rPr>
                <w:rFonts w:ascii="Verdana" w:hAnsi="Verdana"/>
                <w:color w:val="FF0000"/>
                <w:sz w:val="11"/>
                <w:szCs w:val="11"/>
                <w:lang w:eastAsia="da-DK"/>
              </w:rPr>
            </w:pPr>
            <w:r w:rsidRPr="00C1164B">
              <w:rPr>
                <w:rFonts w:ascii="Calibri" w:hAnsi="Calibri"/>
                <w:lang w:eastAsia="da-DK"/>
              </w:rPr>
              <w:t>Have mobile courts interventions utilized existing local capacities of rights holders and duty bearers to achieve their results? How were their capacities strengthened?</w:t>
            </w:r>
          </w:p>
        </w:tc>
        <w:tc>
          <w:tcPr>
            <w:tcW w:w="1933" w:type="dxa"/>
            <w:gridSpan w:val="2"/>
            <w:tcBorders>
              <w:bottom w:val="single" w:sz="4" w:space="0" w:color="auto"/>
            </w:tcBorders>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eastAsia="da-DK"/>
              </w:rPr>
            </w:pPr>
            <w:r w:rsidRPr="00C1164B">
              <w:rPr>
                <w:rFonts w:ascii="Calibri" w:hAnsi="Calibri"/>
                <w:lang w:eastAsia="da-DK"/>
              </w:rPr>
              <w:t xml:space="preserve">- UNDP documents: CPAP/UNDP project documents /BCPR field visits reports/ BCPR integrated projects/ evaluation </w:t>
            </w:r>
            <w:r w:rsidRPr="00C1164B">
              <w:rPr>
                <w:rFonts w:ascii="Calibri" w:hAnsi="Calibri"/>
                <w:lang w:eastAsia="da-DK"/>
              </w:rPr>
              <w:lastRenderedPageBreak/>
              <w:t>reports…</w:t>
            </w:r>
          </w:p>
          <w:p w:rsidR="00C1164B" w:rsidRPr="00C1164B" w:rsidRDefault="00C1164B" w:rsidP="00C1164B">
            <w:pPr>
              <w:rPr>
                <w:rFonts w:ascii="Calibri" w:hAnsi="Calibri"/>
                <w:lang w:eastAsia="da-DK"/>
              </w:rPr>
            </w:pPr>
            <w:r w:rsidRPr="00C1164B">
              <w:rPr>
                <w:rFonts w:ascii="Calibri" w:hAnsi="Calibri"/>
                <w:lang w:val="en-GB" w:eastAsia="da-DK"/>
              </w:rPr>
              <w:t>- reported opinions from key informants</w:t>
            </w:r>
          </w:p>
        </w:tc>
        <w:tc>
          <w:tcPr>
            <w:tcW w:w="2052" w:type="dxa"/>
            <w:tcBorders>
              <w:bottom w:val="single" w:sz="4" w:space="0" w:color="auto"/>
            </w:tcBorders>
          </w:tcPr>
          <w:p w:rsidR="00C1164B" w:rsidRPr="00C1164B" w:rsidRDefault="00C1164B" w:rsidP="00C1164B">
            <w:pPr>
              <w:rPr>
                <w:rFonts w:ascii="Calibri" w:hAnsi="Calibri"/>
                <w:lang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eastAsia="da-DK"/>
              </w:rPr>
            </w:pPr>
            <w:r w:rsidRPr="00C1164B">
              <w:rPr>
                <w:rFonts w:ascii="Calibri" w:hAnsi="Calibri"/>
                <w:lang w:val="en-GB" w:eastAsia="da-DK"/>
              </w:rPr>
              <w:t>- Interviews:   UNDP staff..</w:t>
            </w:r>
          </w:p>
        </w:tc>
      </w:tr>
      <w:tr w:rsidR="00C1164B" w:rsidRPr="00C1164B" w:rsidTr="00C8613A">
        <w:tc>
          <w:tcPr>
            <w:tcW w:w="9846" w:type="dxa"/>
            <w:gridSpan w:val="5"/>
            <w:tcBorders>
              <w:bottom w:val="single" w:sz="4" w:space="0" w:color="auto"/>
            </w:tcBorders>
            <w:shd w:val="clear" w:color="auto" w:fill="E7EDEB"/>
          </w:tcPr>
          <w:p w:rsidR="00C1164B" w:rsidRPr="00C1164B" w:rsidRDefault="00C1164B" w:rsidP="00C1164B">
            <w:pPr>
              <w:rPr>
                <w:rFonts w:ascii="Calibri" w:hAnsi="Calibri"/>
                <w:b/>
                <w:smallCaps/>
                <w:spacing w:val="28"/>
                <w:lang w:val="en-GB" w:eastAsia="da-DK"/>
              </w:rPr>
            </w:pPr>
            <w:r w:rsidRPr="00C1164B">
              <w:rPr>
                <w:rFonts w:ascii="Calibri" w:hAnsi="Calibri"/>
                <w:b/>
                <w:smallCaps/>
                <w:spacing w:val="28"/>
                <w:lang w:val="en-GB" w:eastAsia="da-DK"/>
              </w:rPr>
              <w:lastRenderedPageBreak/>
              <w:t>2. EFFECTIVENESS</w:t>
            </w:r>
          </w:p>
          <w:p w:rsidR="00C1164B" w:rsidRPr="00C1164B" w:rsidRDefault="00C1164B" w:rsidP="00C1164B">
            <w:pPr>
              <w:rPr>
                <w:rFonts w:ascii="Calibri" w:hAnsi="Calibri"/>
                <w:lang w:val="en-GB" w:eastAsia="da-DK"/>
              </w:rPr>
            </w:pPr>
            <w:r w:rsidRPr="00C1164B">
              <w:rPr>
                <w:rFonts w:ascii="Calibri" w:hAnsi="Calibri"/>
                <w:i/>
                <w:color w:val="333333"/>
                <w:lang w:eastAsia="da-DK"/>
              </w:rPr>
              <w:t>Effectiveness is a measure of the extent to which the initiative’s intended results (outputs or outcomes) have been achieved or the extent to which progress toward outputs or outcomes has been achieved</w:t>
            </w:r>
            <w:r w:rsidRPr="00C1164B">
              <w:rPr>
                <w:rFonts w:ascii="Calibri" w:hAnsi="Calibri"/>
                <w:i/>
                <w:color w:val="333333"/>
                <w:sz w:val="18"/>
                <w:szCs w:val="18"/>
                <w:vertAlign w:val="superscript"/>
                <w:lang w:eastAsia="da-DK"/>
              </w:rPr>
              <w:t>5</w:t>
            </w:r>
          </w:p>
        </w:tc>
      </w:tr>
      <w:tr w:rsidR="00C1164B" w:rsidRPr="00C1164B" w:rsidTr="00C8613A">
        <w:tc>
          <w:tcPr>
            <w:tcW w:w="5170" w:type="dxa"/>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questions &amp; sub-questions</w:t>
            </w:r>
          </w:p>
        </w:tc>
        <w:tc>
          <w:tcPr>
            <w:tcW w:w="210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sources</w:t>
            </w:r>
          </w:p>
        </w:tc>
        <w:tc>
          <w:tcPr>
            <w:tcW w:w="256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collection method</w:t>
            </w:r>
          </w:p>
        </w:tc>
      </w:tr>
      <w:tr w:rsidR="00C1164B" w:rsidRPr="00C1164B" w:rsidTr="00C8613A">
        <w:tc>
          <w:tcPr>
            <w:tcW w:w="5170" w:type="dxa"/>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Q.2.1: What model of MC emerges from the CO practice?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What is the composition of the MC? How are the judges/prosecutors/lawyers selected to participate?</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is the jurisdiction of mobile courts with regards to subject matters, litigants and geographical coverage?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is the average distance between the permanent tribunal and the mobile court?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How long does the mobile court session last and how often does it visit the same area per year?</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To what extent have interventions addressed transitional justice process and impunity of international crimes? </w:t>
            </w:r>
          </w:p>
          <w:p w:rsidR="00C1164B" w:rsidRPr="00C1164B" w:rsidRDefault="00C1164B" w:rsidP="00C1164B">
            <w:pPr>
              <w:rPr>
                <w:rFonts w:ascii="Calibri" w:hAnsi="Calibri"/>
                <w:b/>
                <w:lang w:eastAsia="da-DK"/>
              </w:rPr>
            </w:pPr>
          </w:p>
        </w:tc>
        <w:tc>
          <w:tcPr>
            <w:tcW w:w="2108" w:type="dxa"/>
            <w:gridSpan w:val="2"/>
          </w:tcPr>
          <w:p w:rsidR="00C1164B" w:rsidRPr="00C1164B" w:rsidRDefault="00C1164B" w:rsidP="00C1164B">
            <w:pPr>
              <w:rPr>
                <w:rFonts w:ascii="Calibri" w:hAnsi="Calibri"/>
                <w:lang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Databases /statistics</w:t>
            </w:r>
          </w:p>
          <w:p w:rsidR="00C1164B" w:rsidRPr="00C1164B" w:rsidRDefault="00C1164B" w:rsidP="00C1164B">
            <w:pPr>
              <w:rPr>
                <w:rFonts w:ascii="Calibri" w:hAnsi="Calibri"/>
                <w:lang w:eastAsia="da-DK"/>
              </w:rPr>
            </w:pPr>
            <w:r w:rsidRPr="00C1164B">
              <w:rPr>
                <w:rFonts w:ascii="Calibri" w:hAnsi="Calibri"/>
                <w:lang w:eastAsia="da-DK"/>
              </w:rPr>
              <w:t>- Map of the judiciary</w:t>
            </w:r>
          </w:p>
          <w:p w:rsidR="00C1164B" w:rsidRPr="00C1164B" w:rsidRDefault="00C1164B" w:rsidP="00C1164B">
            <w:pPr>
              <w:rPr>
                <w:rFonts w:ascii="Calibri" w:hAnsi="Calibri"/>
                <w:lang w:val="en-GB" w:eastAsia="da-DK"/>
              </w:rPr>
            </w:pPr>
            <w:r w:rsidRPr="00C1164B">
              <w:rPr>
                <w:rFonts w:ascii="Calibri" w:hAnsi="Calibri"/>
                <w:lang w:eastAsia="da-DK"/>
              </w:rPr>
              <w:t>- project document</w:t>
            </w:r>
          </w:p>
          <w:p w:rsidR="00C1164B" w:rsidRPr="00C1164B" w:rsidRDefault="00C1164B" w:rsidP="00C1164B">
            <w:pPr>
              <w:rPr>
                <w:rFonts w:ascii="Calibri" w:hAnsi="Calibri"/>
                <w:lang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Ministry of Justice…</w:t>
            </w: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val="en-GB" w:eastAsia="da-DK"/>
              </w:rPr>
            </w:pP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b/>
                <w:lang w:eastAsia="da-DK"/>
              </w:rPr>
            </w:pPr>
            <w:r w:rsidRPr="00C1164B">
              <w:rPr>
                <w:rFonts w:ascii="Calibri" w:hAnsi="Calibri"/>
                <w:b/>
                <w:lang w:eastAsia="da-DK"/>
              </w:rPr>
              <w:t>Q.2.2: What results (quantitative and qualitative) were achieved in each phase of mobile court interventions?</w:t>
            </w:r>
          </w:p>
          <w:p w:rsidR="00C1164B" w:rsidRPr="00C1164B" w:rsidRDefault="00C1164B" w:rsidP="00C1164B">
            <w:pPr>
              <w:ind w:left="144" w:firstLine="432"/>
              <w:rPr>
                <w:rFonts w:ascii="Calibri" w:hAnsi="Calibri"/>
                <w:smallCaps/>
                <w:u w:val="single"/>
                <w:lang w:eastAsia="da-DK"/>
              </w:rPr>
            </w:pPr>
          </w:p>
          <w:p w:rsidR="00C1164B" w:rsidRPr="00C1164B" w:rsidRDefault="00C1164B" w:rsidP="00C1164B">
            <w:pPr>
              <w:ind w:left="144" w:firstLine="432"/>
              <w:rPr>
                <w:rFonts w:ascii="Calibri" w:hAnsi="Calibri"/>
                <w:smallCaps/>
                <w:u w:val="single"/>
                <w:lang w:eastAsia="da-DK"/>
              </w:rPr>
            </w:pPr>
            <w:r w:rsidRPr="00C1164B">
              <w:rPr>
                <w:rFonts w:ascii="Calibri" w:hAnsi="Calibri"/>
                <w:smallCaps/>
                <w:u w:val="single"/>
                <w:lang w:eastAsia="da-DK"/>
              </w:rPr>
              <w:t xml:space="preserve">phase 1: before </w:t>
            </w:r>
            <w:smartTag w:uri="urn:schemas-microsoft-com:office:smarttags" w:element="place">
              <w:r w:rsidRPr="00C1164B">
                <w:rPr>
                  <w:rFonts w:ascii="Calibri" w:hAnsi="Calibri"/>
                  <w:smallCaps/>
                  <w:u w:val="single"/>
                  <w:lang w:eastAsia="da-DK"/>
                </w:rPr>
                <w:t>mobile</w:t>
              </w:r>
            </w:smartTag>
            <w:r w:rsidRPr="00C1164B">
              <w:rPr>
                <w:rFonts w:ascii="Calibri" w:hAnsi="Calibri"/>
                <w:smallCaps/>
                <w:u w:val="single"/>
                <w:lang w:eastAsia="da-DK"/>
              </w:rPr>
              <w:t xml:space="preserve"> court sessions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support did UNDP ensure to the logistical aspects of mobile courts (transport, courtroom, accommodation, office and legal material for judges on circuit)?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the population and local authorities informed about the arrival of the mobile court in an appropriate and timely manner?</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investigations in criminal cases effectively conducted? Were eventual pretrial detention issues addressed? Were linkages between Prosecutors and Police promoted?</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Were notifications of procedural acts issued and communicated in a timely manner?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specific trainings for mobile court staff organized? (knowledge of the local culture and traditional law practices, gender/child rights…)</w:t>
            </w:r>
          </w:p>
          <w:p w:rsidR="00C1164B" w:rsidRPr="00C1164B" w:rsidRDefault="00C1164B" w:rsidP="00C1164B">
            <w:pPr>
              <w:rPr>
                <w:rFonts w:ascii="Calibri" w:hAnsi="Calibri"/>
                <w:smallCaps/>
                <w:u w:val="single"/>
                <w:lang w:eastAsia="da-DK"/>
              </w:rPr>
            </w:pPr>
          </w:p>
          <w:p w:rsidR="00C1164B" w:rsidRPr="00C1164B" w:rsidRDefault="00C1164B" w:rsidP="00C1164B">
            <w:pPr>
              <w:ind w:left="144" w:firstLine="432"/>
              <w:rPr>
                <w:rFonts w:ascii="Calibri" w:hAnsi="Calibri"/>
                <w:smallCaps/>
                <w:u w:val="single"/>
                <w:lang w:eastAsia="da-DK"/>
              </w:rPr>
            </w:pPr>
            <w:r w:rsidRPr="00C1164B">
              <w:rPr>
                <w:rFonts w:ascii="Calibri" w:hAnsi="Calibri"/>
                <w:smallCaps/>
                <w:u w:val="single"/>
                <w:lang w:eastAsia="da-DK"/>
              </w:rPr>
              <w:t xml:space="preserve">phase 2: during </w:t>
            </w:r>
            <w:smartTag w:uri="urn:schemas-microsoft-com:office:smarttags" w:element="place">
              <w:r w:rsidRPr="00C1164B">
                <w:rPr>
                  <w:rFonts w:ascii="Calibri" w:hAnsi="Calibri"/>
                  <w:smallCaps/>
                  <w:u w:val="single"/>
                  <w:lang w:eastAsia="da-DK"/>
                </w:rPr>
                <w:t>mobile</w:t>
              </w:r>
            </w:smartTag>
            <w:r w:rsidRPr="00C1164B">
              <w:rPr>
                <w:rFonts w:ascii="Calibri" w:hAnsi="Calibri"/>
                <w:smallCaps/>
                <w:u w:val="single"/>
                <w:lang w:eastAsia="da-DK"/>
              </w:rPr>
              <w:t xml:space="preserve"> court sessions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How many and what cases received free legal aid from a lawyer? Was the Bar Association involved?</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How many witnesses appeared before the mobile court? Which measures were in place to protect witnesses and victims, and in particular SGBV victims? Is there a “travel cost reimbursement program” to assist witnesses and victims to appear in court?</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hearings translated into local languages?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lastRenderedPageBreak/>
              <w:t>How many people participated in the public hearings? Were they assisted in better understanding the hearings?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Were mechanisms in place to ensure the security of mobile court staff?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the proceedings adequately recorded? Are there higher rates of adjournment for MC proceedings?</w:t>
            </w:r>
          </w:p>
          <w:p w:rsidR="00C1164B" w:rsidRPr="00C1164B" w:rsidRDefault="00C1164B" w:rsidP="00C1164B">
            <w:pPr>
              <w:spacing w:line="240" w:lineRule="auto"/>
              <w:ind w:left="144"/>
              <w:rPr>
                <w:rFonts w:ascii="Calibri" w:hAnsi="Calibri"/>
                <w:smallCaps/>
                <w:u w:val="single"/>
                <w:lang w:eastAsia="da-DK"/>
              </w:rPr>
            </w:pPr>
          </w:p>
          <w:p w:rsidR="00C1164B" w:rsidRPr="00C1164B" w:rsidRDefault="00C1164B" w:rsidP="00C1164B">
            <w:pPr>
              <w:ind w:left="144" w:firstLine="432"/>
              <w:rPr>
                <w:rFonts w:ascii="Calibri" w:hAnsi="Calibri"/>
                <w:smallCaps/>
                <w:u w:val="single"/>
                <w:lang w:eastAsia="da-DK"/>
              </w:rPr>
            </w:pPr>
            <w:r w:rsidRPr="00C1164B">
              <w:rPr>
                <w:rFonts w:ascii="Calibri" w:hAnsi="Calibri"/>
                <w:smallCaps/>
                <w:u w:val="single"/>
                <w:lang w:eastAsia="da-DK"/>
              </w:rPr>
              <w:t xml:space="preserve">phase 3: after </w:t>
            </w:r>
            <w:smartTag w:uri="urn:schemas-microsoft-com:office:smarttags" w:element="place">
              <w:r w:rsidRPr="00C1164B">
                <w:rPr>
                  <w:rFonts w:ascii="Calibri" w:hAnsi="Calibri"/>
                  <w:smallCaps/>
                  <w:u w:val="single"/>
                  <w:lang w:eastAsia="da-DK"/>
                </w:rPr>
                <w:t>mobile</w:t>
              </w:r>
            </w:smartTag>
            <w:r w:rsidRPr="00C1164B">
              <w:rPr>
                <w:rFonts w:ascii="Calibri" w:hAnsi="Calibri"/>
                <w:smallCaps/>
                <w:u w:val="single"/>
                <w:lang w:eastAsia="da-DK"/>
              </w:rPr>
              <w:t xml:space="preserve"> court sessions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How many judgments were enforced (criminal/civil)?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Were mechanisms in place to enforce prison sentences in the absence of local prison facilities?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is the rate of appeal of MC decisions?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Are there mechanisms in place to ensure the communication of MC decisions to the rest of the justice chain to ensure decision enforcement and information sharing?</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parties assisted to collect eventual financial compensation that they were awarded?</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If alternative sanctions to imprisonment were applied (community services), was a follow up ensured?</w:t>
            </w: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xml:space="preserve">- Project performance indicators </w:t>
            </w:r>
          </w:p>
          <w:p w:rsidR="00C1164B" w:rsidRPr="00C1164B" w:rsidRDefault="00C1164B" w:rsidP="00C1164B">
            <w:pPr>
              <w:rPr>
                <w:rFonts w:ascii="Calibri" w:hAnsi="Calibri"/>
                <w:lang w:val="en-GB" w:eastAsia="da-DK"/>
              </w:rPr>
            </w:pPr>
            <w:r w:rsidRPr="00C1164B">
              <w:rPr>
                <w:rFonts w:ascii="Calibri" w:hAnsi="Calibri"/>
                <w:lang w:val="en-GB" w:eastAsia="da-DK"/>
              </w:rPr>
              <w:t>- Databases/ statistics</w:t>
            </w:r>
          </w:p>
          <w:p w:rsidR="00C1164B" w:rsidRPr="00C1164B" w:rsidRDefault="00C1164B" w:rsidP="00C1164B">
            <w:pPr>
              <w:rPr>
                <w:rFonts w:ascii="Calibri" w:hAnsi="Calibri"/>
                <w:lang w:val="en-GB" w:eastAsia="da-DK"/>
              </w:rPr>
            </w:pPr>
            <w:r w:rsidRPr="00C1164B">
              <w:rPr>
                <w:rFonts w:ascii="Calibri" w:hAnsi="Calibri"/>
                <w:lang w:val="en-GB" w:eastAsia="da-DK"/>
              </w:rPr>
              <w:t>- UNDP quarterly and annual reports</w:t>
            </w:r>
          </w:p>
          <w:p w:rsidR="00C1164B" w:rsidRPr="00C1164B" w:rsidRDefault="00C1164B" w:rsidP="00C1164B">
            <w:pPr>
              <w:rPr>
                <w:rFonts w:ascii="Calibri" w:hAnsi="Calibri"/>
                <w:lang w:val="en-GB" w:eastAsia="da-DK"/>
              </w:rPr>
            </w:pPr>
            <w:r w:rsidRPr="00C1164B">
              <w:rPr>
                <w:rFonts w:ascii="Calibri" w:hAnsi="Calibri"/>
                <w:lang w:val="en-GB" w:eastAsia="da-DK"/>
              </w:rPr>
              <w:t>- MC reports</w:t>
            </w:r>
          </w:p>
          <w:p w:rsidR="00C1164B" w:rsidRPr="00C1164B" w:rsidRDefault="00C1164B" w:rsidP="00C1164B">
            <w:pPr>
              <w:rPr>
                <w:rFonts w:ascii="Calibri" w:hAnsi="Calibri"/>
                <w:lang w:val="en-GB" w:eastAsia="da-DK"/>
              </w:rPr>
            </w:pPr>
            <w:r w:rsidRPr="00C1164B">
              <w:rPr>
                <w:rFonts w:ascii="Calibri" w:hAnsi="Calibri"/>
                <w:lang w:val="en-GB" w:eastAsia="da-DK"/>
              </w:rPr>
              <w:t>- Judiciary reports</w:t>
            </w:r>
          </w:p>
          <w:p w:rsidR="00C1164B" w:rsidRPr="00C1164B" w:rsidRDefault="00C1164B" w:rsidP="00C1164B">
            <w:pPr>
              <w:rPr>
                <w:rFonts w:ascii="Calibri" w:hAnsi="Calibri"/>
                <w:lang w:val="en-GB" w:eastAsia="da-DK"/>
              </w:rPr>
            </w:pPr>
            <w:r w:rsidRPr="00C1164B">
              <w:rPr>
                <w:rFonts w:ascii="Calibri" w:hAnsi="Calibri"/>
                <w:lang w:val="en-GB" w:eastAsia="da-DK"/>
              </w:rPr>
              <w:t>- Research studies</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val="en-GB" w:eastAsia="da-DK"/>
              </w:rPr>
            </w:pPr>
            <w:r w:rsidRPr="00C1164B">
              <w:rPr>
                <w:rFonts w:ascii="Calibri" w:hAnsi="Calibri"/>
                <w:lang w:val="en-GB" w:eastAsia="da-DK"/>
              </w:rPr>
              <w:t>- Interviews:   Ministry of Justice, judicial authorities, police, prison staff, traditional authorities, lawyers, other implementing partners, UNDP staff..</w:t>
            </w:r>
          </w:p>
          <w:p w:rsidR="00C1164B" w:rsidRPr="00C1164B" w:rsidRDefault="00C1164B" w:rsidP="00C1164B">
            <w:pPr>
              <w:rPr>
                <w:rFonts w:ascii="Calibri" w:hAnsi="Calibri"/>
                <w:lang w:val="en-GB" w:eastAsia="da-DK"/>
              </w:rPr>
            </w:pPr>
            <w:r w:rsidRPr="00C1164B">
              <w:rPr>
                <w:rFonts w:ascii="Calibri" w:hAnsi="Calibri"/>
                <w:lang w:val="en-GB" w:eastAsia="da-DK"/>
              </w:rPr>
              <w:t>- Focus group with beneficiaries</w:t>
            </w: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b/>
                <w:lang w:eastAsia="da-DK"/>
              </w:rPr>
            </w:pPr>
            <w:r w:rsidRPr="00C1164B">
              <w:rPr>
                <w:rFonts w:ascii="Calibri" w:hAnsi="Calibri"/>
                <w:b/>
                <w:lang w:eastAsia="da-DK"/>
              </w:rPr>
              <w:t>Q.2.3: Were planning and monitoring procedures appropriate to achieve results and ensure accountability?</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Is a clear results framework with SMART indicators, targets and risks analysis available?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monitoring tools are available? Are court statistics available?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Are national partners involved in monitoring activities?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Is there a system in place for trial observation?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Is feedback from mobile court users collected to assess needs and adjust services accordingly?</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How is the quality of mobile court judgments assessed?</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Are landmark cases identified and disseminated? </w:t>
            </w: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Project document and results framework</w:t>
            </w:r>
          </w:p>
          <w:p w:rsidR="00C1164B" w:rsidRPr="00C1164B" w:rsidRDefault="00C1164B" w:rsidP="00C1164B">
            <w:pPr>
              <w:rPr>
                <w:rFonts w:ascii="Calibri" w:hAnsi="Calibri"/>
                <w:lang w:val="en-GB" w:eastAsia="da-DK"/>
              </w:rPr>
            </w:pPr>
            <w:r w:rsidRPr="00C1164B">
              <w:rPr>
                <w:rFonts w:ascii="Calibri" w:hAnsi="Calibri"/>
                <w:lang w:val="en-GB" w:eastAsia="da-DK"/>
              </w:rPr>
              <w:t>- UNDP quarterly and annual reports</w:t>
            </w:r>
          </w:p>
          <w:p w:rsidR="00C1164B" w:rsidRPr="00C1164B" w:rsidRDefault="00C1164B" w:rsidP="00C1164B">
            <w:pPr>
              <w:rPr>
                <w:rFonts w:ascii="Calibri" w:hAnsi="Calibri"/>
                <w:lang w:val="en-GB" w:eastAsia="da-DK"/>
              </w:rPr>
            </w:pPr>
            <w:r w:rsidRPr="00C1164B">
              <w:rPr>
                <w:rFonts w:ascii="Calibri" w:hAnsi="Calibri"/>
                <w:lang w:val="en-GB" w:eastAsia="da-DK"/>
              </w:rPr>
              <w:t>- evaluation reports of broader ROL projects</w:t>
            </w:r>
          </w:p>
          <w:p w:rsidR="00C1164B" w:rsidRPr="00C1164B" w:rsidRDefault="00C1164B" w:rsidP="00C1164B">
            <w:pPr>
              <w:rPr>
                <w:rFonts w:ascii="Calibri" w:hAnsi="Calibri"/>
                <w:lang w:val="en-GB" w:eastAsia="da-DK"/>
              </w:rPr>
            </w:pPr>
            <w:r w:rsidRPr="00C1164B">
              <w:rPr>
                <w:rFonts w:ascii="Calibri" w:hAnsi="Calibri"/>
                <w:lang w:val="en-GB" w:eastAsia="da-DK"/>
              </w:rPr>
              <w:t>- reports drafted by MC staff</w:t>
            </w:r>
          </w:p>
          <w:p w:rsidR="00C1164B" w:rsidRPr="00C1164B" w:rsidRDefault="00C1164B" w:rsidP="00C1164B">
            <w:pPr>
              <w:rPr>
                <w:rFonts w:ascii="Calibri" w:hAnsi="Calibri"/>
                <w:lang w:val="en-GB"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Ministry of Justice…</w:t>
            </w:r>
          </w:p>
          <w:p w:rsidR="00C1164B" w:rsidRPr="00C1164B" w:rsidRDefault="00C1164B" w:rsidP="00C1164B">
            <w:pPr>
              <w:rPr>
                <w:rFonts w:ascii="Calibri" w:hAnsi="Calibri"/>
                <w:lang w:val="en-GB" w:eastAsia="da-DK"/>
              </w:rPr>
            </w:pP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b/>
                <w:lang w:eastAsia="da-DK"/>
              </w:rPr>
            </w:pPr>
            <w:r w:rsidRPr="00C1164B">
              <w:rPr>
                <w:rFonts w:ascii="Calibri" w:hAnsi="Calibri"/>
                <w:b/>
                <w:lang w:eastAsia="da-DK"/>
              </w:rPr>
              <w:t xml:space="preserve">Q.2.4: What were the reasons for achievement and non-achievement of results and the factors contributing or hindering their achievement?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How can UNDP build upon or replicate the achievements?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How can the shortcomings be overcome?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What are the lessons learned?</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Were there any unanticipated events, opportunities or constraints?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What could be done differently in the future?</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What were the unintended results (positive/negative)</w:t>
            </w: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r w:rsidRPr="00C1164B">
              <w:rPr>
                <w:rFonts w:ascii="Calibri" w:hAnsi="Calibri"/>
                <w:lang w:val="en-GB" w:eastAsia="da-DK"/>
              </w:rPr>
              <w:t>- UNDP quarterly and annual reports</w:t>
            </w:r>
          </w:p>
          <w:p w:rsidR="00C1164B" w:rsidRPr="00C1164B" w:rsidRDefault="00C1164B" w:rsidP="00C1164B">
            <w:pPr>
              <w:rPr>
                <w:rFonts w:ascii="Calibri" w:hAnsi="Calibri"/>
                <w:lang w:val="en-GB" w:eastAsia="da-DK"/>
              </w:rPr>
            </w:pPr>
            <w:r w:rsidRPr="00C1164B">
              <w:rPr>
                <w:rFonts w:ascii="Calibri" w:hAnsi="Calibri"/>
                <w:lang w:val="en-GB" w:eastAsia="da-DK"/>
              </w:rPr>
              <w:t>- Judiciary reports</w:t>
            </w: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Ministry of Justice, Mobile court staff…</w:t>
            </w:r>
          </w:p>
          <w:p w:rsidR="00C1164B" w:rsidRPr="00C1164B" w:rsidRDefault="00C1164B" w:rsidP="00C1164B">
            <w:pPr>
              <w:rPr>
                <w:rFonts w:ascii="Calibri" w:hAnsi="Calibri"/>
                <w:lang w:val="en-GB" w:eastAsia="da-DK"/>
              </w:rPr>
            </w:pPr>
          </w:p>
        </w:tc>
      </w:tr>
      <w:tr w:rsidR="00C1164B" w:rsidRPr="00C1164B" w:rsidTr="00C8613A">
        <w:tc>
          <w:tcPr>
            <w:tcW w:w="9846" w:type="dxa"/>
            <w:gridSpan w:val="5"/>
            <w:tcBorders>
              <w:bottom w:val="single" w:sz="4" w:space="0" w:color="auto"/>
            </w:tcBorders>
            <w:shd w:val="clear" w:color="auto" w:fill="E7EDEB"/>
          </w:tcPr>
          <w:p w:rsidR="00C1164B" w:rsidRPr="00C1164B" w:rsidRDefault="00C1164B" w:rsidP="00C1164B">
            <w:pPr>
              <w:rPr>
                <w:rFonts w:ascii="Calibri" w:hAnsi="Calibri"/>
                <w:b/>
                <w:smallCaps/>
                <w:spacing w:val="28"/>
                <w:lang w:val="en-GB" w:eastAsia="da-DK"/>
              </w:rPr>
            </w:pPr>
            <w:r w:rsidRPr="00C1164B">
              <w:rPr>
                <w:rFonts w:ascii="Calibri" w:hAnsi="Calibri"/>
                <w:b/>
                <w:smallCaps/>
                <w:spacing w:val="28"/>
                <w:lang w:val="en-GB" w:eastAsia="da-DK"/>
              </w:rPr>
              <w:t>3. EFFICIENCY</w:t>
            </w:r>
          </w:p>
          <w:p w:rsidR="00C1164B" w:rsidRPr="00C1164B" w:rsidRDefault="00C1164B" w:rsidP="00C1164B">
            <w:pPr>
              <w:autoSpaceDE w:val="0"/>
              <w:autoSpaceDN w:val="0"/>
              <w:adjustRightInd w:val="0"/>
              <w:rPr>
                <w:rFonts w:ascii="Calibri" w:hAnsi="Calibri"/>
                <w:i/>
                <w:color w:val="333333"/>
                <w:lang w:eastAsia="da-DK"/>
              </w:rPr>
            </w:pPr>
            <w:r w:rsidRPr="00C1164B">
              <w:rPr>
                <w:rFonts w:ascii="Calibri" w:hAnsi="Calibri"/>
                <w:i/>
                <w:color w:val="333333"/>
                <w:lang w:eastAsia="da-DK"/>
              </w:rPr>
              <w:t>Efficiency measures how economically resources or inputs (such as funds, expertise and time) are converted to results. An initiative is efficient when it uses resources appropriately and economically to produce the desired outputs. (…)It is also important to assess how the partnership strategy has influenced the efficiency of UNDP initiatives through cost-sharing measures and complementary activities.</w:t>
            </w:r>
            <w:r w:rsidRPr="00C1164B">
              <w:rPr>
                <w:rFonts w:ascii="Calibri" w:hAnsi="Calibri"/>
                <w:i/>
                <w:color w:val="333333"/>
                <w:sz w:val="18"/>
                <w:szCs w:val="18"/>
                <w:vertAlign w:val="superscript"/>
                <w:lang w:eastAsia="da-DK"/>
              </w:rPr>
              <w:t xml:space="preserve"> 5</w:t>
            </w:r>
          </w:p>
        </w:tc>
      </w:tr>
      <w:tr w:rsidR="00C1164B" w:rsidRPr="00C1164B" w:rsidTr="00C8613A">
        <w:tc>
          <w:tcPr>
            <w:tcW w:w="5170" w:type="dxa"/>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questions &amp; sub-questions</w:t>
            </w:r>
          </w:p>
        </w:tc>
        <w:tc>
          <w:tcPr>
            <w:tcW w:w="210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sources</w:t>
            </w:r>
          </w:p>
        </w:tc>
        <w:tc>
          <w:tcPr>
            <w:tcW w:w="256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collection method</w:t>
            </w: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b/>
                <w:lang w:eastAsia="da-DK"/>
              </w:rPr>
            </w:pPr>
            <w:r w:rsidRPr="00C1164B">
              <w:rPr>
                <w:rFonts w:ascii="Calibri" w:hAnsi="Calibri"/>
                <w:b/>
                <w:lang w:eastAsia="da-DK"/>
              </w:rPr>
              <w:t xml:space="preserve">Q.3.1: Has the MC intervention been implemented within </w:t>
            </w:r>
            <w:r w:rsidRPr="00C1164B">
              <w:rPr>
                <w:rFonts w:ascii="Calibri" w:hAnsi="Calibri"/>
                <w:b/>
                <w:lang w:eastAsia="da-DK"/>
              </w:rPr>
              <w:lastRenderedPageBreak/>
              <w:t>its cost estimates and is it cost-effective?</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sufficient resources allocated for mobile courts’ support interventions? Is the national government contributing to the budget for MC?</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Are the expenditures for MC proportionate to the number of cases and broader indicators as the number of participants in public hearings?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are the costs per trial? would it be cheaper to build court rooms and provide staff in remote areas?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Are perdiems for judges and MC staff in line with local market?</w:t>
            </w:r>
          </w:p>
          <w:p w:rsidR="00C1164B" w:rsidRPr="00C1164B" w:rsidRDefault="00C1164B" w:rsidP="00C1164B">
            <w:pPr>
              <w:ind w:left="144"/>
              <w:rPr>
                <w:rFonts w:ascii="Calibri" w:hAnsi="Calibri"/>
                <w:b/>
                <w:lang w:eastAsia="da-DK"/>
              </w:rPr>
            </w:pP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lastRenderedPageBreak/>
              <w:t xml:space="preserve">- Resource frameworks, budgets, AWP, </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r w:rsidRPr="00C1164B">
              <w:rPr>
                <w:rFonts w:ascii="Calibri" w:hAnsi="Calibri"/>
                <w:lang w:val="en-GB" w:eastAsia="da-DK"/>
              </w:rPr>
              <w:t>- UNDP quarterly and annual reports</w:t>
            </w:r>
          </w:p>
          <w:p w:rsidR="00C1164B" w:rsidRPr="00C1164B" w:rsidRDefault="00C1164B" w:rsidP="00C1164B">
            <w:pPr>
              <w:rPr>
                <w:rFonts w:ascii="Calibri" w:hAnsi="Calibri"/>
                <w:lang w:val="en-GB" w:eastAsia="da-DK"/>
              </w:rPr>
            </w:pPr>
            <w:r w:rsidRPr="00C1164B">
              <w:rPr>
                <w:rFonts w:ascii="Calibri" w:hAnsi="Calibri"/>
                <w:lang w:val="en-GB" w:eastAsia="da-DK"/>
              </w:rPr>
              <w:t>- MOJ reports</w:t>
            </w: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lastRenderedPageBreak/>
              <w:t>- Interviews: UNDP staff, Ministry of Justice..</w:t>
            </w: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val="en-GB" w:eastAsia="da-DK"/>
              </w:rPr>
            </w:pP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b/>
                <w:lang w:eastAsia="da-DK"/>
              </w:rPr>
            </w:pPr>
            <w:r w:rsidRPr="00C1164B">
              <w:rPr>
                <w:rFonts w:ascii="Calibri" w:hAnsi="Calibri"/>
                <w:b/>
                <w:lang w:eastAsia="da-DK"/>
              </w:rPr>
              <w:t>Q.3.2: Has UNDP promoted a partnership strategy at the global, regional and national level to implement MC interventions? If so, was it effective and appropriate?</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was the nature and added value of these partnerships?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Did such partnerships promote an integrated approach aiming at addressing complementary aspects of mobile courts interventions (legal awareness for the population; support to police and prisons; linkages with traditional justice …)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UNDP’s comparative advantages perceived/ interpreted and were these reflected in the division of responsibilities?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If the Judiciary received specific support for mobile courts interventions from several donors, were the initiatives efficiently coordinated?</w:t>
            </w: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UNDAF</w:t>
            </w:r>
          </w:p>
          <w:p w:rsidR="00C1164B" w:rsidRPr="00C1164B" w:rsidRDefault="00C1164B" w:rsidP="00C1164B">
            <w:pPr>
              <w:rPr>
                <w:rFonts w:ascii="Calibri" w:hAnsi="Calibri"/>
                <w:lang w:val="en-GB" w:eastAsia="da-DK"/>
              </w:rPr>
            </w:pPr>
            <w:r w:rsidRPr="00C1164B">
              <w:rPr>
                <w:rFonts w:ascii="Calibri" w:hAnsi="Calibri"/>
                <w:lang w:val="en-GB" w:eastAsia="da-DK"/>
              </w:rPr>
              <w:t>- partnership agreements/MOU</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Ministry of Justice,</w:t>
            </w:r>
          </w:p>
          <w:p w:rsidR="00C1164B" w:rsidRPr="00C1164B" w:rsidRDefault="00C1164B" w:rsidP="00C1164B">
            <w:pPr>
              <w:rPr>
                <w:rFonts w:ascii="Calibri" w:hAnsi="Calibri"/>
                <w:lang w:val="en-GB" w:eastAsia="da-DK"/>
              </w:rPr>
            </w:pPr>
            <w:r w:rsidRPr="00C1164B">
              <w:rPr>
                <w:rFonts w:ascii="Calibri" w:hAnsi="Calibri"/>
                <w:lang w:val="en-GB" w:eastAsia="da-DK"/>
              </w:rPr>
              <w:t xml:space="preserve">Protection cluster, UN agencies and INGOs, civil society organisations, universities… </w:t>
            </w:r>
          </w:p>
          <w:p w:rsidR="00C1164B" w:rsidRPr="00C1164B" w:rsidRDefault="00C1164B" w:rsidP="00C1164B">
            <w:pPr>
              <w:rPr>
                <w:rFonts w:ascii="Calibri" w:hAnsi="Calibri"/>
                <w:lang w:val="en-GB" w:eastAsia="da-DK"/>
              </w:rPr>
            </w:pPr>
            <w:r w:rsidRPr="00C1164B">
              <w:rPr>
                <w:rFonts w:ascii="Calibri" w:hAnsi="Calibri"/>
                <w:lang w:val="en-GB" w:eastAsia="da-DK"/>
              </w:rPr>
              <w:t>- Request CO/HQ</w:t>
            </w:r>
          </w:p>
          <w:p w:rsidR="00C1164B" w:rsidRPr="00C1164B" w:rsidRDefault="00C1164B" w:rsidP="00C1164B">
            <w:pPr>
              <w:rPr>
                <w:rFonts w:ascii="Calibri" w:hAnsi="Calibri"/>
                <w:lang w:val="en-GB" w:eastAsia="da-DK"/>
              </w:rPr>
            </w:pP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b/>
                <w:lang w:eastAsia="da-DK"/>
              </w:rPr>
            </w:pPr>
            <w:r w:rsidRPr="00C1164B">
              <w:rPr>
                <w:rFonts w:ascii="Calibri" w:hAnsi="Calibri"/>
                <w:b/>
                <w:lang w:eastAsia="da-DK"/>
              </w:rPr>
              <w:t xml:space="preserve">Q.3.3: What effect did UNDP technical assistance and management arrangements have on the quality of mobile courts interventions in terms of programming, delivery and monitoring for results?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Were the project management structure and the administrative modalities appropriate and effective?</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Was the support from UNDP staff effective and timely?</w:t>
            </w: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Project document and monitoring reports</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Ministry of Justice, Mobile court staff…</w:t>
            </w:r>
          </w:p>
          <w:p w:rsidR="00C1164B" w:rsidRPr="00C1164B" w:rsidRDefault="00C1164B" w:rsidP="00C1164B">
            <w:pPr>
              <w:rPr>
                <w:rFonts w:ascii="Calibri" w:hAnsi="Calibri"/>
                <w:lang w:val="en-GB" w:eastAsia="da-DK"/>
              </w:rPr>
            </w:pPr>
          </w:p>
        </w:tc>
      </w:tr>
      <w:tr w:rsidR="00C1164B" w:rsidRPr="00C1164B" w:rsidTr="00C8613A">
        <w:tc>
          <w:tcPr>
            <w:tcW w:w="5170" w:type="dxa"/>
            <w:tcBorders>
              <w:bottom w:val="single" w:sz="4" w:space="0" w:color="auto"/>
            </w:tcBorders>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Q.3.4: Did mobile courts interventions focus on the set of activities that were expected to produce significant results?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Are all the planned activities implemented? Should additional activities be planned?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Are mobile courts ensuring the implementation of the international standards of fair trial? Would some of the fair trial rights need more attention? </w:t>
            </w:r>
          </w:p>
          <w:p w:rsidR="00C1164B" w:rsidRPr="00C1164B" w:rsidRDefault="00C1164B" w:rsidP="00C1164B">
            <w:pPr>
              <w:ind w:left="144"/>
              <w:rPr>
                <w:rFonts w:ascii="Calibri" w:hAnsi="Calibri"/>
                <w:b/>
                <w:lang w:eastAsia="da-DK"/>
              </w:rPr>
            </w:pPr>
          </w:p>
        </w:tc>
        <w:tc>
          <w:tcPr>
            <w:tcW w:w="2108" w:type="dxa"/>
            <w:gridSpan w:val="2"/>
            <w:tcBorders>
              <w:bottom w:val="single" w:sz="4" w:space="0" w:color="auto"/>
            </w:tcBorders>
          </w:tcPr>
          <w:p w:rsidR="00C1164B" w:rsidRPr="00C1164B" w:rsidRDefault="00C1164B" w:rsidP="00C1164B">
            <w:pPr>
              <w:rPr>
                <w:rFonts w:ascii="Calibri" w:hAnsi="Calibri"/>
                <w:lang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Project document</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r w:rsidRPr="00C1164B">
              <w:rPr>
                <w:rFonts w:ascii="Calibri" w:hAnsi="Calibri"/>
                <w:lang w:val="en-GB" w:eastAsia="da-DK"/>
              </w:rPr>
              <w:t>- international standards on fair trial</w:t>
            </w:r>
          </w:p>
          <w:p w:rsidR="00C1164B" w:rsidRPr="00C1164B" w:rsidRDefault="00C1164B" w:rsidP="00C1164B">
            <w:pPr>
              <w:rPr>
                <w:rFonts w:ascii="Calibri" w:hAnsi="Calibri"/>
                <w:lang w:eastAsia="da-DK"/>
              </w:rPr>
            </w:pPr>
          </w:p>
        </w:tc>
        <w:tc>
          <w:tcPr>
            <w:tcW w:w="2568" w:type="dxa"/>
            <w:gridSpan w:val="2"/>
            <w:tcBorders>
              <w:bottom w:val="single" w:sz="4" w:space="0" w:color="auto"/>
            </w:tcBorders>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Ministry of Justice, other implementing partners…</w:t>
            </w:r>
          </w:p>
        </w:tc>
      </w:tr>
      <w:tr w:rsidR="00C1164B" w:rsidRPr="00C1164B" w:rsidTr="00C8613A">
        <w:tc>
          <w:tcPr>
            <w:tcW w:w="9846" w:type="dxa"/>
            <w:gridSpan w:val="5"/>
            <w:tcBorders>
              <w:bottom w:val="single" w:sz="4" w:space="0" w:color="auto"/>
            </w:tcBorders>
            <w:shd w:val="clear" w:color="auto" w:fill="E7EDEB"/>
          </w:tcPr>
          <w:p w:rsidR="00C1164B" w:rsidRPr="00C1164B" w:rsidRDefault="00C1164B" w:rsidP="00C1164B">
            <w:pPr>
              <w:rPr>
                <w:rFonts w:ascii="Calibri" w:hAnsi="Calibri"/>
                <w:b/>
                <w:smallCaps/>
                <w:spacing w:val="28"/>
                <w:lang w:val="en-GB" w:eastAsia="da-DK"/>
              </w:rPr>
            </w:pPr>
            <w:r w:rsidRPr="00C1164B">
              <w:rPr>
                <w:rFonts w:ascii="Calibri" w:hAnsi="Calibri"/>
                <w:b/>
                <w:smallCaps/>
                <w:spacing w:val="28"/>
                <w:lang w:val="en-GB" w:eastAsia="da-DK"/>
              </w:rPr>
              <w:t>4. SUSTAINABILITY</w:t>
            </w:r>
          </w:p>
          <w:p w:rsidR="00C1164B" w:rsidRPr="00C1164B" w:rsidRDefault="00C1164B" w:rsidP="00C1164B">
            <w:pPr>
              <w:autoSpaceDE w:val="0"/>
              <w:autoSpaceDN w:val="0"/>
              <w:adjustRightInd w:val="0"/>
              <w:rPr>
                <w:rFonts w:ascii="Calibri" w:hAnsi="Calibri"/>
                <w:i/>
                <w:color w:val="333333"/>
                <w:lang w:eastAsia="da-DK"/>
              </w:rPr>
            </w:pPr>
            <w:r w:rsidRPr="00C1164B">
              <w:rPr>
                <w:rFonts w:ascii="Calibri" w:hAnsi="Calibri"/>
                <w:i/>
                <w:color w:val="333333"/>
                <w:lang w:val="en-GB" w:eastAsia="da-DK"/>
              </w:rPr>
              <w:t xml:space="preserve">Sustainability </w:t>
            </w:r>
            <w:r w:rsidRPr="00C1164B">
              <w:rPr>
                <w:rFonts w:ascii="Calibri" w:hAnsi="Calibri"/>
                <w:i/>
                <w:color w:val="333333"/>
                <w:lang w:eastAsia="da-DK"/>
              </w:rPr>
              <w:t>measures the extent to which benefits of initiatives continue after external development assistance has come to an end. Assessing sustainability involves evaluating the extent to which relevant social, economic, political, institutional and other conditions are present and, based on that assessment, making projections about the national capacity to maintain, manage and ensure the development results in the future.</w:t>
            </w:r>
            <w:r w:rsidRPr="00C1164B">
              <w:rPr>
                <w:rFonts w:ascii="Calibri" w:hAnsi="Calibri"/>
                <w:i/>
                <w:color w:val="333333"/>
                <w:sz w:val="18"/>
                <w:szCs w:val="18"/>
                <w:vertAlign w:val="superscript"/>
                <w:lang w:eastAsia="da-DK"/>
              </w:rPr>
              <w:t xml:space="preserve"> 5</w:t>
            </w:r>
          </w:p>
        </w:tc>
      </w:tr>
      <w:tr w:rsidR="00C1164B" w:rsidRPr="00C1164B" w:rsidTr="00C8613A">
        <w:tc>
          <w:tcPr>
            <w:tcW w:w="5170" w:type="dxa"/>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questions &amp; sub-questions</w:t>
            </w:r>
          </w:p>
        </w:tc>
        <w:tc>
          <w:tcPr>
            <w:tcW w:w="210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sources</w:t>
            </w:r>
          </w:p>
        </w:tc>
        <w:tc>
          <w:tcPr>
            <w:tcW w:w="256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collection method</w:t>
            </w: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lang w:eastAsia="da-DK"/>
              </w:rPr>
            </w:pPr>
            <w:r w:rsidRPr="00C1164B">
              <w:rPr>
                <w:rFonts w:ascii="Calibri" w:hAnsi="Calibri"/>
                <w:b/>
                <w:lang w:eastAsia="da-DK"/>
              </w:rPr>
              <w:t xml:space="preserve">Q.4.1: To what extent were sustainability considerations </w:t>
            </w:r>
            <w:r w:rsidRPr="00C1164B">
              <w:rPr>
                <w:rFonts w:ascii="Calibri" w:hAnsi="Calibri"/>
                <w:b/>
                <w:lang w:eastAsia="da-DK"/>
              </w:rPr>
              <w:lastRenderedPageBreak/>
              <w:t xml:space="preserve">taken into account in the design and implementation of interventions?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Were exit strategies for mobile courts interventions appropriately defined and implemented?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steps were taken to ensure that the effects of the intervention would continue beyond UNDP’s support?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Has the development of partnerships contributed to the sustainability of results?</w:t>
            </w:r>
          </w:p>
          <w:p w:rsidR="00C1164B" w:rsidRPr="00C1164B" w:rsidRDefault="00C1164B" w:rsidP="00C1164B">
            <w:pPr>
              <w:ind w:left="144"/>
              <w:rPr>
                <w:rFonts w:ascii="Calibri" w:hAnsi="Calibri"/>
                <w:b/>
                <w:lang w:eastAsia="da-DK"/>
              </w:rPr>
            </w:pP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Project document</w:t>
            </w:r>
          </w:p>
          <w:p w:rsidR="00C1164B" w:rsidRPr="00C1164B" w:rsidRDefault="00C1164B" w:rsidP="00C1164B">
            <w:pPr>
              <w:rPr>
                <w:rFonts w:ascii="Calibri" w:hAnsi="Calibri"/>
                <w:lang w:val="en-GB" w:eastAsia="da-DK"/>
              </w:rPr>
            </w:pPr>
            <w:r w:rsidRPr="00C1164B">
              <w:rPr>
                <w:rFonts w:ascii="Calibri" w:hAnsi="Calibri"/>
                <w:lang w:val="en-GB" w:eastAsia="da-DK"/>
              </w:rPr>
              <w:lastRenderedPageBreak/>
              <w:t>- annual reports</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lastRenderedPageBreak/>
              <w:t>- Interviews: UNDP staff, Ministry of Justice, Judiciary other implementing partners…</w:t>
            </w:r>
          </w:p>
        </w:tc>
      </w:tr>
      <w:tr w:rsidR="00C1164B" w:rsidRPr="00C1164B" w:rsidTr="00C8613A">
        <w:tc>
          <w:tcPr>
            <w:tcW w:w="5170" w:type="dxa"/>
          </w:tcPr>
          <w:p w:rsidR="00C1164B" w:rsidRPr="00C1164B" w:rsidRDefault="00C1164B" w:rsidP="00C1164B">
            <w:pPr>
              <w:ind w:left="144"/>
              <w:rPr>
                <w:rFonts w:ascii="Calibri" w:hAnsi="Calibri"/>
                <w:b/>
                <w:lang w:eastAsia="da-DK"/>
              </w:rPr>
            </w:pPr>
          </w:p>
          <w:p w:rsidR="00C1164B" w:rsidRPr="00C1164B" w:rsidRDefault="00C1164B" w:rsidP="00C1164B">
            <w:pPr>
              <w:ind w:left="144"/>
              <w:rPr>
                <w:rFonts w:ascii="Calibri" w:hAnsi="Calibri"/>
                <w:lang w:eastAsia="da-DK"/>
              </w:rPr>
            </w:pPr>
            <w:r w:rsidRPr="00C1164B">
              <w:rPr>
                <w:rFonts w:ascii="Calibri" w:hAnsi="Calibri"/>
                <w:b/>
                <w:lang w:eastAsia="da-DK"/>
              </w:rPr>
              <w:t>Q.4.2: How were different stakeholders engaged designing, monitoring and implementing mobile courts interventions</w:t>
            </w:r>
            <w:r w:rsidRPr="00C1164B">
              <w:rPr>
                <w:rFonts w:ascii="Calibri" w:hAnsi="Calibri"/>
                <w:lang w:eastAsia="da-DK"/>
              </w:rPr>
              <w:t xml:space="preserv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Has UNDP promoted and facilitated the coordination among local justice and security actors (Police, Prisons, Traditional justice, local authorities…) ?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Have linkages been established between mobile courts and ADR mechanisms? (for example to establish mandatory court annexed mediations). </w:t>
            </w:r>
          </w:p>
        </w:tc>
        <w:tc>
          <w:tcPr>
            <w:tcW w:w="210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Project document</w:t>
            </w:r>
          </w:p>
          <w:p w:rsidR="00C1164B" w:rsidRPr="00C1164B" w:rsidRDefault="00C1164B" w:rsidP="00C1164B">
            <w:pPr>
              <w:rPr>
                <w:rFonts w:ascii="Calibri" w:hAnsi="Calibri"/>
                <w:lang w:val="en-GB" w:eastAsia="da-DK"/>
              </w:rPr>
            </w:pPr>
            <w:r w:rsidRPr="00C1164B">
              <w:rPr>
                <w:rFonts w:ascii="Calibri" w:hAnsi="Calibri"/>
                <w:lang w:val="en-GB" w:eastAsia="da-DK"/>
              </w:rPr>
              <w:t>- annual reports</w:t>
            </w:r>
          </w:p>
          <w:p w:rsidR="00C1164B" w:rsidRPr="00C1164B" w:rsidRDefault="00C1164B" w:rsidP="00C1164B">
            <w:pPr>
              <w:rPr>
                <w:rFonts w:ascii="Calibri" w:hAnsi="Calibri"/>
                <w:lang w:val="en-GB" w:eastAsia="da-DK"/>
              </w:rPr>
            </w:pPr>
            <w:r w:rsidRPr="00C1164B">
              <w:rPr>
                <w:rFonts w:ascii="Calibri" w:hAnsi="Calibri"/>
                <w:lang w:val="en-GB" w:eastAsia="da-DK"/>
              </w:rPr>
              <w:t>- Reported opinions from key informants</w:t>
            </w:r>
          </w:p>
          <w:p w:rsidR="00C1164B" w:rsidRPr="00C1164B" w:rsidRDefault="00C1164B" w:rsidP="00C1164B">
            <w:pPr>
              <w:rPr>
                <w:rFonts w:ascii="Calibri" w:hAnsi="Calibri"/>
                <w:lang w:val="en-GB" w:eastAsia="da-DK"/>
              </w:rPr>
            </w:pPr>
          </w:p>
        </w:tc>
        <w:tc>
          <w:tcPr>
            <w:tcW w:w="2568" w:type="dxa"/>
            <w:gridSpan w:val="2"/>
          </w:tcPr>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lang w:val="en-GB" w:eastAsia="da-DK"/>
              </w:rPr>
              <w:t>- Interviews: UNDP staff, Judiciary, Ministry of Justice, Police, Prison staff, traditional authorities, local authorities…</w:t>
            </w:r>
          </w:p>
        </w:tc>
      </w:tr>
      <w:tr w:rsidR="00C1164B" w:rsidRPr="00C1164B" w:rsidTr="00C8613A">
        <w:tc>
          <w:tcPr>
            <w:tcW w:w="9846" w:type="dxa"/>
            <w:gridSpan w:val="5"/>
            <w:tcBorders>
              <w:bottom w:val="single" w:sz="4" w:space="0" w:color="auto"/>
            </w:tcBorders>
            <w:shd w:val="clear" w:color="auto" w:fill="E7EDEB"/>
          </w:tcPr>
          <w:p w:rsidR="00C1164B" w:rsidRPr="00C1164B" w:rsidRDefault="00C1164B" w:rsidP="00C1164B">
            <w:pPr>
              <w:rPr>
                <w:rFonts w:ascii="Calibri" w:hAnsi="Calibri"/>
                <w:b/>
                <w:smallCaps/>
                <w:spacing w:val="28"/>
                <w:lang w:val="en-GB" w:eastAsia="da-DK"/>
              </w:rPr>
            </w:pPr>
            <w:r w:rsidRPr="00C1164B">
              <w:rPr>
                <w:rFonts w:ascii="Calibri" w:hAnsi="Calibri"/>
                <w:b/>
                <w:smallCaps/>
                <w:spacing w:val="28"/>
                <w:lang w:val="en-GB" w:eastAsia="da-DK"/>
              </w:rPr>
              <w:t>5. IMPACT</w:t>
            </w:r>
          </w:p>
          <w:p w:rsidR="00C1164B" w:rsidRPr="00C1164B" w:rsidRDefault="00C1164B" w:rsidP="00C1164B">
            <w:pPr>
              <w:autoSpaceDE w:val="0"/>
              <w:autoSpaceDN w:val="0"/>
              <w:adjustRightInd w:val="0"/>
              <w:rPr>
                <w:rFonts w:ascii="Calibri" w:hAnsi="Calibri"/>
                <w:i/>
                <w:color w:val="333333"/>
                <w:lang w:eastAsia="da-DK"/>
              </w:rPr>
            </w:pPr>
            <w:r w:rsidRPr="00C1164B">
              <w:rPr>
                <w:rFonts w:ascii="Calibri" w:hAnsi="Calibri"/>
                <w:i/>
                <w:color w:val="333333"/>
                <w:lang w:eastAsia="da-DK"/>
              </w:rPr>
              <w:t>Impact measures changes in human development and people’s well-being that are brought about by development initiatives, directly or indirectly, intended or unintended.</w:t>
            </w:r>
            <w:r w:rsidRPr="00C1164B">
              <w:rPr>
                <w:rFonts w:ascii="Calibri" w:hAnsi="Calibri"/>
                <w:i/>
                <w:color w:val="333333"/>
                <w:sz w:val="18"/>
                <w:szCs w:val="18"/>
                <w:vertAlign w:val="superscript"/>
                <w:lang w:eastAsia="da-DK"/>
              </w:rPr>
              <w:t xml:space="preserve"> 5</w:t>
            </w:r>
          </w:p>
        </w:tc>
      </w:tr>
      <w:tr w:rsidR="00C1164B" w:rsidRPr="00C1164B" w:rsidTr="00C8613A">
        <w:tc>
          <w:tcPr>
            <w:tcW w:w="5170" w:type="dxa"/>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questions &amp; sub-questions</w:t>
            </w:r>
          </w:p>
        </w:tc>
        <w:tc>
          <w:tcPr>
            <w:tcW w:w="210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sources</w:t>
            </w:r>
          </w:p>
        </w:tc>
        <w:tc>
          <w:tcPr>
            <w:tcW w:w="2568" w:type="dxa"/>
            <w:gridSpan w:val="2"/>
            <w:shd w:val="clear" w:color="auto" w:fill="000080"/>
          </w:tcPr>
          <w:p w:rsidR="00C1164B" w:rsidRPr="00C1164B" w:rsidRDefault="00C1164B" w:rsidP="00C1164B">
            <w:pPr>
              <w:rPr>
                <w:rFonts w:ascii="Calibri" w:hAnsi="Calibri"/>
                <w:b/>
                <w:smallCaps/>
                <w:lang w:val="en-GB" w:eastAsia="da-DK"/>
              </w:rPr>
            </w:pPr>
            <w:r w:rsidRPr="00C1164B">
              <w:rPr>
                <w:rFonts w:ascii="Calibri" w:hAnsi="Calibri"/>
                <w:b/>
                <w:smallCaps/>
                <w:lang w:val="en-GB" w:eastAsia="da-DK"/>
              </w:rPr>
              <w:t>data collection method</w:t>
            </w:r>
          </w:p>
        </w:tc>
      </w:tr>
      <w:tr w:rsidR="00C1164B" w:rsidRPr="00C1164B" w:rsidTr="00C8613A">
        <w:tc>
          <w:tcPr>
            <w:tcW w:w="5170" w:type="dxa"/>
          </w:tcPr>
          <w:p w:rsidR="00C1164B" w:rsidRPr="00C1164B" w:rsidRDefault="00C1164B" w:rsidP="00C1164B">
            <w:pPr>
              <w:rPr>
                <w:rFonts w:ascii="Calibri" w:hAnsi="Calibri"/>
                <w:b/>
                <w:lang w:eastAsia="da-DK"/>
              </w:rPr>
            </w:pPr>
            <w:r w:rsidRPr="00C1164B">
              <w:rPr>
                <w:rFonts w:ascii="Calibri" w:hAnsi="Calibri"/>
                <w:b/>
                <w:lang w:eastAsia="da-DK"/>
              </w:rPr>
              <w:t>Q.5.1: What changes did mobile courts interventions bring for rights holders in terms of making justice more accessible to them?</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Have MC interventions promoted a better confidence in the justice system? Is there a perception that impunity is being addressed?</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Are vulnerable groups in remote areas more aware of their rights and do they have a better understanding of the formal justice system?</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Do MC provide an alternative to traditional justice?</w:t>
            </w:r>
          </w:p>
          <w:p w:rsidR="00C1164B" w:rsidRPr="00C1164B" w:rsidRDefault="00C1164B" w:rsidP="00C1164B">
            <w:pPr>
              <w:rPr>
                <w:rFonts w:ascii="Calibri" w:hAnsi="Calibri"/>
                <w:color w:val="333333"/>
                <w:lang w:eastAsia="da-DK"/>
              </w:rPr>
            </w:pPr>
          </w:p>
        </w:tc>
        <w:tc>
          <w:tcPr>
            <w:tcW w:w="2108" w:type="dxa"/>
            <w:gridSpan w:val="2"/>
          </w:tcPr>
          <w:p w:rsidR="00C1164B" w:rsidRPr="00C1164B" w:rsidRDefault="00C1164B" w:rsidP="00C1164B">
            <w:pPr>
              <w:rPr>
                <w:rFonts w:ascii="Calibri" w:hAnsi="Calibri"/>
                <w:lang w:val="en-GB" w:eastAsia="da-DK"/>
              </w:rPr>
            </w:pPr>
            <w:r w:rsidRPr="00C1164B">
              <w:rPr>
                <w:rFonts w:ascii="Calibri" w:hAnsi="Calibri"/>
                <w:lang w:val="en-GB" w:eastAsia="da-DK"/>
              </w:rPr>
              <w:t>Reported opinions from key informants</w:t>
            </w:r>
          </w:p>
        </w:tc>
        <w:tc>
          <w:tcPr>
            <w:tcW w:w="2568" w:type="dxa"/>
            <w:gridSpan w:val="2"/>
          </w:tcPr>
          <w:p w:rsidR="00C1164B" w:rsidRPr="00C1164B" w:rsidRDefault="00C1164B" w:rsidP="00C1164B">
            <w:pPr>
              <w:rPr>
                <w:rFonts w:ascii="Calibri" w:hAnsi="Calibri"/>
                <w:lang w:val="en-GB" w:eastAsia="da-DK"/>
              </w:rPr>
            </w:pPr>
            <w:r w:rsidRPr="00C1164B">
              <w:rPr>
                <w:rFonts w:ascii="Calibri" w:hAnsi="Calibri"/>
                <w:lang w:val="en-GB" w:eastAsia="da-DK"/>
              </w:rPr>
              <w:t>Focus groups with  beneficiaries and interviews with their lawyers / Eventual users perception survey</w:t>
            </w:r>
          </w:p>
        </w:tc>
      </w:tr>
      <w:tr w:rsidR="00C1164B" w:rsidRPr="00C1164B" w:rsidTr="00C8613A">
        <w:tc>
          <w:tcPr>
            <w:tcW w:w="5170" w:type="dxa"/>
          </w:tcPr>
          <w:p w:rsidR="00C1164B" w:rsidRPr="00C1164B" w:rsidRDefault="00C1164B" w:rsidP="00C1164B">
            <w:pPr>
              <w:rPr>
                <w:rFonts w:ascii="Calibri" w:hAnsi="Calibri"/>
                <w:lang w:eastAsia="da-DK"/>
              </w:rPr>
            </w:pPr>
            <w:r w:rsidRPr="00C1164B">
              <w:rPr>
                <w:rFonts w:ascii="Calibri" w:hAnsi="Calibri"/>
                <w:b/>
                <w:lang w:eastAsia="da-DK"/>
              </w:rPr>
              <w:t>Q.5.2: What changes did mobile courts interventions bring for duty bearers in terms of making them more effective in responding to justice need of conflict affected populations in remote/underserved areas?</w:t>
            </w:r>
            <w:r w:rsidRPr="00C1164B">
              <w:rPr>
                <w:rFonts w:ascii="Calibri" w:hAnsi="Calibri"/>
                <w:lang w:eastAsia="da-DK"/>
              </w:rPr>
              <w:t xml:space="preserve">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is the impact of MCs on ordinary courts? (in terms of  case backlog, promoting case management systems, costs)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 xml:space="preserve">What was the impact on ordinary courts of assigning judges and other judicial staff to mobile courts? </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Have MC interventions led to the re-establishment of the justice system eventually in conflict-affected areas?</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Have MC interventions promoted closer coordination among the different actors in the justice chain?</w:t>
            </w:r>
          </w:p>
          <w:p w:rsidR="00C1164B" w:rsidRPr="00C1164B" w:rsidRDefault="00C1164B" w:rsidP="00C1164B">
            <w:pPr>
              <w:numPr>
                <w:ilvl w:val="1"/>
                <w:numId w:val="27"/>
              </w:numPr>
              <w:spacing w:line="240" w:lineRule="auto"/>
              <w:rPr>
                <w:rFonts w:ascii="Calibri" w:hAnsi="Calibri"/>
                <w:lang w:eastAsia="da-DK"/>
              </w:rPr>
            </w:pPr>
            <w:r w:rsidRPr="00C1164B">
              <w:rPr>
                <w:rFonts w:ascii="Calibri" w:hAnsi="Calibri"/>
                <w:lang w:eastAsia="da-DK"/>
              </w:rPr>
              <w:t>Have judicial authorities acquired additional skills and knowledge in terms of managing a MC intervention?</w:t>
            </w:r>
          </w:p>
        </w:tc>
        <w:tc>
          <w:tcPr>
            <w:tcW w:w="2108" w:type="dxa"/>
            <w:gridSpan w:val="2"/>
          </w:tcPr>
          <w:p w:rsidR="00C1164B" w:rsidRPr="00C1164B" w:rsidRDefault="00C1164B" w:rsidP="00C1164B">
            <w:pPr>
              <w:rPr>
                <w:rFonts w:ascii="Calibri" w:hAnsi="Calibri"/>
                <w:lang w:eastAsia="da-DK"/>
              </w:rPr>
            </w:pPr>
            <w:r w:rsidRPr="00C1164B">
              <w:rPr>
                <w:rFonts w:ascii="Calibri" w:hAnsi="Calibri"/>
                <w:lang w:val="en-GB" w:eastAsia="da-DK"/>
              </w:rPr>
              <w:t>Reported opinions from key informants</w:t>
            </w:r>
          </w:p>
        </w:tc>
        <w:tc>
          <w:tcPr>
            <w:tcW w:w="2568" w:type="dxa"/>
            <w:gridSpan w:val="2"/>
          </w:tcPr>
          <w:p w:rsidR="00C1164B" w:rsidRPr="00C1164B" w:rsidRDefault="00C1164B" w:rsidP="00C1164B">
            <w:pPr>
              <w:rPr>
                <w:rFonts w:ascii="Calibri" w:hAnsi="Calibri"/>
                <w:lang w:val="en-GB" w:eastAsia="da-DK"/>
              </w:rPr>
            </w:pPr>
            <w:r w:rsidRPr="00C1164B">
              <w:rPr>
                <w:rFonts w:ascii="Calibri" w:hAnsi="Calibri"/>
                <w:lang w:val="en-GB" w:eastAsia="da-DK"/>
              </w:rPr>
              <w:t>Interviews: Judicial authorities and Ministry of Justice, Police, Prison staff, traditional authorities</w:t>
            </w:r>
          </w:p>
        </w:tc>
      </w:tr>
    </w:tbl>
    <w:p w:rsidR="00C1164B" w:rsidRPr="00C1164B" w:rsidRDefault="00C1164B" w:rsidP="00C1164B">
      <w:pPr>
        <w:spacing w:after="0" w:line="270" w:lineRule="atLeast"/>
        <w:rPr>
          <w:rFonts w:ascii="Calibri" w:eastAsia="Times New Roman" w:hAnsi="Calibri" w:cs="Times New Roman"/>
          <w:sz w:val="20"/>
          <w:szCs w:val="20"/>
          <w:lang w:val="en-GB" w:eastAsia="da-DK"/>
        </w:rPr>
      </w:pPr>
    </w:p>
    <w:p w:rsidR="00C1164B" w:rsidRPr="00C1164B" w:rsidRDefault="00C1164B" w:rsidP="00C1164B">
      <w:pPr>
        <w:autoSpaceDE w:val="0"/>
        <w:autoSpaceDN w:val="0"/>
        <w:adjustRightInd w:val="0"/>
        <w:spacing w:after="0" w:line="270" w:lineRule="atLeast"/>
        <w:rPr>
          <w:rFonts w:ascii="Calibri" w:eastAsia="Times New Roman" w:hAnsi="Calibri" w:cs="Times New Roman"/>
          <w:b/>
          <w:color w:val="800000"/>
          <w:lang w:val="en-GB" w:eastAsia="da-DK"/>
        </w:rPr>
      </w:pPr>
      <w:r w:rsidRPr="00C1164B">
        <w:rPr>
          <w:rFonts w:ascii="Calibri" w:eastAsia="Times New Roman" w:hAnsi="Calibri" w:cs="Times New Roman"/>
          <w:sz w:val="20"/>
          <w:szCs w:val="20"/>
          <w:lang w:val="en-GB" w:eastAsia="da-DK"/>
        </w:rPr>
        <w:br w:type="page"/>
      </w:r>
      <w:r w:rsidRPr="00C1164B">
        <w:rPr>
          <w:rFonts w:ascii="Calibri" w:eastAsia="Times New Roman" w:hAnsi="Calibri" w:cs="Times New Roman"/>
          <w:b/>
          <w:color w:val="800000"/>
          <w:sz w:val="28"/>
          <w:szCs w:val="28"/>
          <w:u w:val="single"/>
          <w:lang w:val="en-GB" w:eastAsia="da-DK"/>
        </w:rPr>
        <w:lastRenderedPageBreak/>
        <w:t>ANNEX 2</w:t>
      </w:r>
      <w:r w:rsidRPr="00C1164B">
        <w:rPr>
          <w:rFonts w:ascii="Calibri" w:eastAsia="Times New Roman" w:hAnsi="Calibri" w:cs="Times New Roman"/>
          <w:b/>
          <w:color w:val="800000"/>
          <w:sz w:val="28"/>
          <w:szCs w:val="28"/>
          <w:lang w:val="en-GB" w:eastAsia="da-DK"/>
        </w:rPr>
        <w:t>:</w:t>
      </w:r>
      <w:r w:rsidRPr="00C1164B">
        <w:rPr>
          <w:rFonts w:ascii="Calibri" w:eastAsia="Times New Roman" w:hAnsi="Calibri" w:cs="Times New Roman"/>
          <w:b/>
          <w:color w:val="800000"/>
          <w:lang w:val="en-GB" w:eastAsia="da-DK"/>
        </w:rPr>
        <w:t xml:space="preserve"> Framework for good practices in mobile courts interventions</w:t>
      </w:r>
    </w:p>
    <w:p w:rsidR="00C1164B" w:rsidRPr="00C1164B" w:rsidRDefault="00C1164B" w:rsidP="00C1164B">
      <w:pPr>
        <w:spacing w:after="0" w:line="270" w:lineRule="atLeast"/>
        <w:rPr>
          <w:rFonts w:ascii="Calibri" w:eastAsia="Times New Roman" w:hAnsi="Calibri" w:cs="Times New Roman"/>
          <w:sz w:val="20"/>
          <w:szCs w:val="20"/>
          <w:lang w:val="en-GB" w:eastAsia="da-DK"/>
        </w:rPr>
      </w:pPr>
    </w:p>
    <w:tbl>
      <w:tblPr>
        <w:tblStyle w:val="TableGrid3"/>
        <w:tblW w:w="0" w:type="auto"/>
        <w:tblLook w:val="01E0" w:firstRow="1" w:lastRow="1" w:firstColumn="1" w:lastColumn="1" w:noHBand="0" w:noVBand="0"/>
      </w:tblPr>
      <w:tblGrid>
        <w:gridCol w:w="4889"/>
        <w:gridCol w:w="4889"/>
      </w:tblGrid>
      <w:tr w:rsidR="00C1164B" w:rsidRPr="00C1164B" w:rsidTr="00C8613A">
        <w:tc>
          <w:tcPr>
            <w:tcW w:w="9778" w:type="dxa"/>
            <w:gridSpan w:val="2"/>
            <w:shd w:val="clear" w:color="auto" w:fill="D9D9D9"/>
          </w:tcPr>
          <w:p w:rsidR="00C1164B" w:rsidRPr="00C1164B" w:rsidRDefault="00C1164B" w:rsidP="00C1164B">
            <w:pPr>
              <w:jc w:val="center"/>
              <w:rPr>
                <w:rFonts w:ascii="Calibri" w:hAnsi="Calibri"/>
                <w:b/>
                <w:spacing w:val="40"/>
                <w:lang w:val="en-GB" w:eastAsia="da-DK"/>
              </w:rPr>
            </w:pPr>
            <w:r w:rsidRPr="00C1164B">
              <w:rPr>
                <w:rFonts w:ascii="Calibri" w:hAnsi="Calibri"/>
                <w:b/>
                <w:spacing w:val="40"/>
                <w:lang w:val="en-GB" w:eastAsia="da-DK"/>
              </w:rPr>
              <w:t xml:space="preserve">GOOD PRACTICES for </w:t>
            </w:r>
            <w:smartTag w:uri="urn:schemas-microsoft-com:office:smarttags" w:element="Street">
              <w:smartTag w:uri="urn:schemas-microsoft-com:office:smarttags" w:element="address">
                <w:r w:rsidRPr="00C1164B">
                  <w:rPr>
                    <w:rFonts w:ascii="Calibri" w:hAnsi="Calibri"/>
                    <w:b/>
                    <w:spacing w:val="40"/>
                    <w:lang w:val="en-GB" w:eastAsia="da-DK"/>
                  </w:rPr>
                  <w:t>MOBILE COURT</w:t>
                </w:r>
              </w:smartTag>
            </w:smartTag>
            <w:r w:rsidRPr="00C1164B">
              <w:rPr>
                <w:rFonts w:ascii="Calibri" w:hAnsi="Calibri"/>
                <w:b/>
                <w:spacing w:val="40"/>
                <w:lang w:val="en-GB" w:eastAsia="da-DK"/>
              </w:rPr>
              <w:t xml:space="preserve"> interventions</w:t>
            </w:r>
          </w:p>
          <w:p w:rsidR="00C1164B" w:rsidRPr="00C1164B" w:rsidRDefault="00C1164B" w:rsidP="00C1164B">
            <w:pPr>
              <w:jc w:val="center"/>
              <w:rPr>
                <w:rFonts w:ascii="Calibri" w:hAnsi="Calibri"/>
                <w:b/>
                <w:spacing w:val="40"/>
                <w:lang w:val="en-GB" w:eastAsia="da-DK"/>
              </w:rPr>
            </w:pPr>
          </w:p>
        </w:tc>
      </w:tr>
      <w:tr w:rsidR="00C1164B" w:rsidRPr="00C1164B" w:rsidTr="00C8613A">
        <w:tc>
          <w:tcPr>
            <w:tcW w:w="4889" w:type="dxa"/>
            <w:tcBorders>
              <w:bottom w:val="single" w:sz="4" w:space="0" w:color="auto"/>
            </w:tcBorders>
          </w:tcPr>
          <w:p w:rsidR="00C1164B" w:rsidRPr="00C1164B" w:rsidRDefault="00C1164B" w:rsidP="00C1164B">
            <w:pPr>
              <w:rPr>
                <w:rFonts w:ascii="Calibri" w:hAnsi="Calibri"/>
                <w:b/>
                <w:smallCaps/>
                <w:sz w:val="24"/>
                <w:szCs w:val="24"/>
                <w:lang w:val="en-GB" w:eastAsia="da-DK"/>
              </w:rPr>
            </w:pPr>
            <w:r w:rsidRPr="00C1164B">
              <w:rPr>
                <w:rFonts w:ascii="Calibri" w:hAnsi="Calibri"/>
                <w:b/>
                <w:smallCaps/>
                <w:sz w:val="24"/>
                <w:szCs w:val="24"/>
                <w:lang w:val="en-GB" w:eastAsia="da-DK"/>
              </w:rPr>
              <w:t xml:space="preserve">good practice statement </w:t>
            </w:r>
          </w:p>
        </w:tc>
        <w:tc>
          <w:tcPr>
            <w:tcW w:w="4889" w:type="dxa"/>
            <w:tcBorders>
              <w:bottom w:val="single" w:sz="4" w:space="0" w:color="auto"/>
            </w:tcBorders>
          </w:tcPr>
          <w:p w:rsidR="00C1164B" w:rsidRPr="00C1164B" w:rsidRDefault="00C1164B" w:rsidP="00C1164B">
            <w:pPr>
              <w:rPr>
                <w:rFonts w:ascii="Calibri" w:hAnsi="Calibri"/>
                <w:b/>
                <w:smallCaps/>
                <w:sz w:val="24"/>
                <w:szCs w:val="24"/>
                <w:lang w:val="en-GB" w:eastAsia="da-DK"/>
              </w:rPr>
            </w:pPr>
            <w:r w:rsidRPr="00C1164B">
              <w:rPr>
                <w:rFonts w:ascii="Calibri" w:hAnsi="Calibri"/>
                <w:b/>
                <w:smallCaps/>
                <w:sz w:val="24"/>
                <w:szCs w:val="24"/>
                <w:lang w:val="en-GB" w:eastAsia="da-DK"/>
              </w:rPr>
              <w:t>indicator</w:t>
            </w:r>
          </w:p>
        </w:tc>
      </w:tr>
      <w:tr w:rsidR="00C1164B" w:rsidRPr="00C1164B" w:rsidTr="00C8613A">
        <w:tc>
          <w:tcPr>
            <w:tcW w:w="9778" w:type="dxa"/>
            <w:gridSpan w:val="2"/>
            <w:tcBorders>
              <w:bottom w:val="single" w:sz="4" w:space="0" w:color="auto"/>
            </w:tcBorders>
            <w:shd w:val="clear" w:color="auto" w:fill="800000"/>
          </w:tcPr>
          <w:p w:rsidR="00C1164B" w:rsidRPr="00C1164B" w:rsidRDefault="00C1164B" w:rsidP="00C1164B">
            <w:pPr>
              <w:rPr>
                <w:rFonts w:ascii="Calibri" w:hAnsi="Calibri"/>
                <w:b/>
                <w:lang w:val="en-GB" w:eastAsia="da-DK"/>
              </w:rPr>
            </w:pPr>
            <w:r w:rsidRPr="00C1164B">
              <w:rPr>
                <w:rFonts w:ascii="Calibri" w:hAnsi="Calibri"/>
                <w:b/>
                <w:lang w:val="en-GB" w:eastAsia="da-DK"/>
              </w:rPr>
              <w:t>1. Planning and assessment</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The context is assessed and needs are identified</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Clear baseline available; eventual study conducted</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A MC model (composition, jurisdiction, geographical coverage…) is identified</w:t>
            </w:r>
          </w:p>
        </w:tc>
        <w:tc>
          <w:tcPr>
            <w:tcW w:w="4889" w:type="dxa"/>
          </w:tcPr>
          <w:p w:rsidR="00C1164B" w:rsidRPr="00C1164B" w:rsidRDefault="00C1164B" w:rsidP="00C1164B">
            <w:pPr>
              <w:rPr>
                <w:rFonts w:ascii="Calibri" w:hAnsi="Calibri"/>
                <w:lang w:val="en-GB" w:eastAsia="da-DK"/>
              </w:rPr>
            </w:pP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UNDP has established a partnership with the Judiciary to support MC interventions</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MOU signed</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UNDP has promoted partnerships with other donors/development partners to ensure that all components of MC interventions are covered (e.g. awareness raising for population / training for police)</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Joint project drafted /  agreements to define areas and modalities of interventions in place</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Linkages among national justice/security actors / traditional authorities are established </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Meetings, discussion </w:t>
            </w:r>
            <w:r w:rsidRPr="00C1164B">
              <w:rPr>
                <w:rFonts w:ascii="Calibri" w:hAnsi="Calibri"/>
                <w:i/>
                <w:lang w:val="en-GB" w:eastAsia="da-DK"/>
              </w:rPr>
              <w:t>fora</w:t>
            </w:r>
            <w:r w:rsidRPr="00C1164B">
              <w:rPr>
                <w:rFonts w:ascii="Calibri" w:hAnsi="Calibri"/>
                <w:lang w:val="en-GB" w:eastAsia="da-DK"/>
              </w:rPr>
              <w:t>, protocols for coordinated interventions in place</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Linkages with other UNDP projects in the same area are established </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Linkages identified in Project Documents</w:t>
            </w:r>
          </w:p>
        </w:tc>
      </w:tr>
      <w:tr w:rsidR="00C1164B" w:rsidRPr="00C1164B" w:rsidTr="00C8613A">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The MC intervention is adequately designed and roles are clearly defined</w:t>
            </w:r>
          </w:p>
        </w:tc>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Specific results framework (SMART indicators) available</w:t>
            </w:r>
          </w:p>
        </w:tc>
      </w:tr>
      <w:tr w:rsidR="00C1164B" w:rsidRPr="00C1164B" w:rsidTr="00C8613A">
        <w:tc>
          <w:tcPr>
            <w:tcW w:w="9778" w:type="dxa"/>
            <w:gridSpan w:val="2"/>
            <w:tcBorders>
              <w:bottom w:val="single" w:sz="4" w:space="0" w:color="auto"/>
            </w:tcBorders>
            <w:shd w:val="clear" w:color="auto" w:fill="800000"/>
          </w:tcPr>
          <w:p w:rsidR="00C1164B" w:rsidRPr="00C1164B" w:rsidRDefault="00C1164B" w:rsidP="00C1164B">
            <w:pPr>
              <w:rPr>
                <w:rFonts w:ascii="Calibri" w:hAnsi="Calibri"/>
                <w:b/>
                <w:lang w:val="en-GB" w:eastAsia="da-DK"/>
              </w:rPr>
            </w:pPr>
            <w:r w:rsidRPr="00C1164B">
              <w:rPr>
                <w:rFonts w:ascii="Calibri" w:hAnsi="Calibri"/>
                <w:b/>
                <w:lang w:val="en-GB" w:eastAsia="da-DK"/>
              </w:rPr>
              <w:t>2. Before MC sessions (logistics &amp; investigations)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The arrival of MC is communicated to the population and relevant authorities in an adequate and timely manner</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Information sessions for the population &amp; meetings with local authorities organised</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The logistical aspects of MC interventions are ensured in a timely and efficient manner</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MC staff transported and accommodated.  Legal resources, courtroom and office equipment available.</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Investigations are conducted by the police and eventual pre-trial detentions issued are identified</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Statistics on investigations/pre-trial detention available </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Court clerks deliver notifications in a timely manner</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notifications of procedural acts delivered</w:t>
            </w:r>
          </w:p>
        </w:tc>
      </w:tr>
      <w:tr w:rsidR="00C1164B" w:rsidRPr="00C1164B" w:rsidTr="00C8613A">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 xml:space="preserve">MC staff participate in trainings to better serve in remote areas (knowledge of </w:t>
            </w:r>
            <w:r w:rsidRPr="00C1164B">
              <w:rPr>
                <w:rFonts w:ascii="Calibri" w:hAnsi="Calibri"/>
                <w:lang w:eastAsia="da-DK"/>
              </w:rPr>
              <w:t xml:space="preserve">local </w:t>
            </w:r>
            <w:r w:rsidRPr="00C1164B">
              <w:rPr>
                <w:rFonts w:ascii="Calibri" w:hAnsi="Calibri"/>
                <w:lang w:val="en-GB" w:eastAsia="da-DK"/>
              </w:rPr>
              <w:t>culture and traditional law practices, gender/child rights ….)</w:t>
            </w:r>
          </w:p>
        </w:tc>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 of trainings for MC staff conducted</w:t>
            </w:r>
          </w:p>
        </w:tc>
      </w:tr>
      <w:tr w:rsidR="00C1164B" w:rsidRPr="00C1164B" w:rsidTr="00C8613A">
        <w:tc>
          <w:tcPr>
            <w:tcW w:w="9778" w:type="dxa"/>
            <w:gridSpan w:val="2"/>
            <w:shd w:val="clear" w:color="auto" w:fill="800000"/>
          </w:tcPr>
          <w:p w:rsidR="00C1164B" w:rsidRPr="00C1164B" w:rsidRDefault="00C1164B" w:rsidP="00C1164B">
            <w:pPr>
              <w:rPr>
                <w:rFonts w:ascii="Calibri" w:hAnsi="Calibri"/>
                <w:b/>
                <w:lang w:val="en-GB" w:eastAsia="da-DK"/>
              </w:rPr>
            </w:pPr>
            <w:r w:rsidRPr="00C1164B">
              <w:rPr>
                <w:rFonts w:ascii="Calibri" w:hAnsi="Calibri"/>
                <w:b/>
                <w:lang w:val="en-GB" w:eastAsia="da-DK"/>
              </w:rPr>
              <w:t>3. During MC sessions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MC deliver final decision in respect of fair trial rights</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Statistics on MC caseload available</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Wi</w:t>
            </w:r>
            <w:r w:rsidRPr="00C1164B">
              <w:rPr>
                <w:rFonts w:ascii="Calibri" w:hAnsi="Calibri"/>
                <w:lang w:eastAsia="da-DK"/>
              </w:rPr>
              <w:t xml:space="preserve">tnesses and victims are financially assisted to appear in court </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victims/witnesses financially assisted to appear in court</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Interpreters translate the hearings into local languages</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An interpreter is part of the MC staff</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A legal aid policy for MC is available and free legal aid is provided</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legal aid cases taken up by lawyers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Witnesses and victims (in particular SGBV survivors) are protected</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and type of special measure in place to protect witnesses and victims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The population participates and understands MC hearings</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 of participants to public hearings; mechanisms in place to facilitate understanding of MC procedures  (e.g. community paralegals) </w:t>
            </w:r>
          </w:p>
        </w:tc>
      </w:tr>
      <w:tr w:rsidR="00C1164B" w:rsidRPr="00C1164B" w:rsidTr="00C8613A">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The physical security of MC staff is ensured</w:t>
            </w:r>
          </w:p>
        </w:tc>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 of police officers/private guards protecting MC staff</w:t>
            </w:r>
          </w:p>
        </w:tc>
      </w:tr>
      <w:tr w:rsidR="00C1164B" w:rsidRPr="00C1164B" w:rsidTr="00C8613A">
        <w:tc>
          <w:tcPr>
            <w:tcW w:w="9778" w:type="dxa"/>
            <w:gridSpan w:val="2"/>
            <w:shd w:val="clear" w:color="auto" w:fill="800000"/>
          </w:tcPr>
          <w:p w:rsidR="00C1164B" w:rsidRPr="00C1164B" w:rsidRDefault="00C1164B" w:rsidP="00C1164B">
            <w:pPr>
              <w:rPr>
                <w:rFonts w:ascii="Calibri" w:hAnsi="Calibri"/>
                <w:b/>
                <w:lang w:val="en-GB" w:eastAsia="da-DK"/>
              </w:rPr>
            </w:pPr>
            <w:r w:rsidRPr="00C1164B">
              <w:rPr>
                <w:rFonts w:ascii="Calibri" w:hAnsi="Calibri"/>
                <w:b/>
                <w:lang w:val="en-GB" w:eastAsia="da-DK"/>
              </w:rPr>
              <w:t>4. After MC sessions (enforcement &amp; reparations)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MC judgements are enforced</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MC judgements enforced (civil/criminal)</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Detainees are transferred to the nearest prison</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detainees transferred to nearest prisons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Alternative sentences to imprisonment are followed up</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A mechanism is in place to ensure the follow up</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Victims are assisted to obtain reparations/ compensation</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victims who have obtained reparations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Opportunities to appeal MC decisions are available and </w:t>
            </w:r>
            <w:r w:rsidRPr="00C1164B">
              <w:rPr>
                <w:rFonts w:ascii="Calibri" w:hAnsi="Calibri"/>
                <w:lang w:val="en-GB" w:eastAsia="da-DK"/>
              </w:rPr>
              <w:lastRenderedPageBreak/>
              <w:t>accessible</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lastRenderedPageBreak/>
              <w:t>≠ of appeals</w:t>
            </w:r>
          </w:p>
        </w:tc>
      </w:tr>
      <w:tr w:rsidR="00C1164B" w:rsidRPr="00C1164B" w:rsidTr="00C8613A">
        <w:tc>
          <w:tcPr>
            <w:tcW w:w="4889" w:type="dxa"/>
            <w:shd w:val="clear" w:color="auto" w:fill="800000"/>
          </w:tcPr>
          <w:p w:rsidR="00C1164B" w:rsidRPr="00C1164B" w:rsidRDefault="00C1164B" w:rsidP="00C1164B">
            <w:pPr>
              <w:rPr>
                <w:rFonts w:ascii="Calibri" w:hAnsi="Calibri"/>
                <w:b/>
                <w:lang w:val="en-GB" w:eastAsia="da-DK"/>
              </w:rPr>
            </w:pPr>
            <w:r w:rsidRPr="00C1164B">
              <w:rPr>
                <w:rFonts w:ascii="Calibri" w:hAnsi="Calibri"/>
                <w:b/>
                <w:lang w:val="en-GB" w:eastAsia="da-DK"/>
              </w:rPr>
              <w:lastRenderedPageBreak/>
              <w:t>5. Monitoring activities</w:t>
            </w:r>
          </w:p>
        </w:tc>
        <w:tc>
          <w:tcPr>
            <w:tcW w:w="4889" w:type="dxa"/>
            <w:shd w:val="clear" w:color="auto" w:fill="800000"/>
          </w:tcPr>
          <w:p w:rsidR="00C1164B" w:rsidRPr="00C1164B" w:rsidRDefault="00C1164B" w:rsidP="00C1164B">
            <w:pPr>
              <w:rPr>
                <w:rFonts w:ascii="Calibri" w:hAnsi="Calibri"/>
                <w:b/>
                <w:lang w:val="en-GB" w:eastAsia="da-DK"/>
              </w:rPr>
            </w:pP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MC activities are regularly monitored </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monitoring tools developed (database, reports…)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A trial observation system is in place</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of trial observed &amp; outcome analysed</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MC users have the opportunity to express their views on how the intervention is delivered </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Surveys conducted</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The quality of MC judgements is regularly assessed</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Outcome of periodical analysis of judgements</w:t>
            </w:r>
          </w:p>
        </w:tc>
      </w:tr>
      <w:tr w:rsidR="00C1164B" w:rsidRPr="00C1164B" w:rsidTr="00C8613A">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 xml:space="preserve">Court records are regularly registered </w:t>
            </w:r>
          </w:p>
        </w:tc>
        <w:tc>
          <w:tcPr>
            <w:tcW w:w="4889" w:type="dxa"/>
            <w:tcBorders>
              <w:bottom w:val="single" w:sz="4" w:space="0" w:color="auto"/>
            </w:tcBorders>
          </w:tcPr>
          <w:p w:rsidR="00C1164B" w:rsidRPr="00C1164B" w:rsidRDefault="00C1164B" w:rsidP="00C1164B">
            <w:pPr>
              <w:rPr>
                <w:rFonts w:ascii="Calibri" w:hAnsi="Calibri"/>
                <w:lang w:val="en-GB" w:eastAsia="da-DK"/>
              </w:rPr>
            </w:pPr>
            <w:r w:rsidRPr="00C1164B">
              <w:rPr>
                <w:rFonts w:ascii="Calibri" w:hAnsi="Calibri"/>
                <w:lang w:val="en-GB" w:eastAsia="da-DK"/>
              </w:rPr>
              <w:t>Court management systems in place</w:t>
            </w:r>
          </w:p>
        </w:tc>
      </w:tr>
      <w:tr w:rsidR="00C1164B" w:rsidRPr="00C1164B" w:rsidTr="00C8613A">
        <w:tc>
          <w:tcPr>
            <w:tcW w:w="9778" w:type="dxa"/>
            <w:gridSpan w:val="2"/>
            <w:shd w:val="clear" w:color="auto" w:fill="800000"/>
          </w:tcPr>
          <w:p w:rsidR="00C1164B" w:rsidRPr="00C1164B" w:rsidRDefault="00C1164B" w:rsidP="00C1164B">
            <w:pPr>
              <w:rPr>
                <w:rFonts w:ascii="Calibri" w:hAnsi="Calibri"/>
                <w:b/>
                <w:lang w:val="en-GB" w:eastAsia="da-DK"/>
              </w:rPr>
            </w:pPr>
            <w:r w:rsidRPr="00C1164B">
              <w:rPr>
                <w:rFonts w:ascii="Calibri" w:hAnsi="Calibri"/>
                <w:b/>
                <w:lang w:val="en-GB" w:eastAsia="da-DK"/>
              </w:rPr>
              <w:t>6. Crosscutting issues</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xml:space="preserve">Safeguards are applied in cases involving children </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In camera hearings, best interest of the child….</w:t>
            </w: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Mechanisms to control corruption are in place</w:t>
            </w:r>
          </w:p>
        </w:tc>
        <w:tc>
          <w:tcPr>
            <w:tcW w:w="4889" w:type="dxa"/>
          </w:tcPr>
          <w:p w:rsidR="00C1164B" w:rsidRPr="00C1164B" w:rsidRDefault="00C1164B" w:rsidP="00C1164B">
            <w:pPr>
              <w:rPr>
                <w:rFonts w:ascii="Calibri" w:hAnsi="Calibri"/>
                <w:lang w:val="en-GB" w:eastAsia="da-DK"/>
              </w:rPr>
            </w:pPr>
          </w:p>
        </w:tc>
      </w:tr>
      <w:tr w:rsidR="00C1164B" w:rsidRPr="00C1164B" w:rsidTr="00C8613A">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Gender is mainstreamed across the MC activities</w:t>
            </w:r>
          </w:p>
        </w:tc>
        <w:tc>
          <w:tcPr>
            <w:tcW w:w="4889" w:type="dxa"/>
          </w:tcPr>
          <w:p w:rsidR="00C1164B" w:rsidRPr="00C1164B" w:rsidRDefault="00C1164B" w:rsidP="00C1164B">
            <w:pPr>
              <w:rPr>
                <w:rFonts w:ascii="Calibri" w:hAnsi="Calibri"/>
                <w:lang w:val="en-GB" w:eastAsia="da-DK"/>
              </w:rPr>
            </w:pPr>
            <w:r w:rsidRPr="00C1164B">
              <w:rPr>
                <w:rFonts w:ascii="Calibri" w:hAnsi="Calibri"/>
                <w:lang w:val="en-GB" w:eastAsia="da-DK"/>
              </w:rPr>
              <w:t>≠ female staff in MC; indicators disaggregated by gender</w:t>
            </w:r>
          </w:p>
        </w:tc>
      </w:tr>
    </w:tbl>
    <w:p w:rsidR="00C1164B" w:rsidRPr="00C1164B" w:rsidRDefault="00C1164B" w:rsidP="00C1164B">
      <w:pPr>
        <w:spacing w:after="0" w:line="270" w:lineRule="atLeast"/>
        <w:rPr>
          <w:rFonts w:ascii="Calibri" w:eastAsia="Times New Roman" w:hAnsi="Calibri" w:cs="Times New Roman"/>
          <w:b/>
          <w:sz w:val="20"/>
          <w:szCs w:val="20"/>
          <w:lang w:val="en-GB" w:eastAsia="da-DK"/>
        </w:rPr>
      </w:pPr>
    </w:p>
    <w:p w:rsidR="00C1164B" w:rsidRPr="00C1164B" w:rsidRDefault="00C1164B" w:rsidP="00C1164B">
      <w:pPr>
        <w:spacing w:after="0" w:line="270" w:lineRule="atLeast"/>
        <w:rPr>
          <w:rFonts w:ascii="Calibri" w:eastAsia="Times New Roman" w:hAnsi="Calibri" w:cs="Times New Roman"/>
          <w:b/>
          <w:color w:val="800000"/>
          <w:sz w:val="20"/>
          <w:szCs w:val="20"/>
          <w:lang w:val="en-GB" w:eastAsia="da-DK"/>
        </w:rPr>
      </w:pPr>
      <w:r w:rsidRPr="00C1164B">
        <w:rPr>
          <w:rFonts w:ascii="Calibri" w:eastAsia="Times New Roman" w:hAnsi="Calibri" w:cs="Times New Roman"/>
          <w:b/>
          <w:color w:val="800000"/>
          <w:sz w:val="20"/>
          <w:szCs w:val="20"/>
          <w:lang w:val="en-GB" w:eastAsia="da-DK"/>
        </w:rPr>
        <w:br w:type="page"/>
      </w:r>
    </w:p>
    <w:p w:rsidR="00C1164B" w:rsidRPr="00C1164B" w:rsidRDefault="00C1164B" w:rsidP="00C1164B">
      <w:pPr>
        <w:spacing w:after="0" w:line="270" w:lineRule="atLeast"/>
        <w:rPr>
          <w:rFonts w:ascii="Calibri" w:eastAsia="Times New Roman" w:hAnsi="Calibri" w:cs="Times New Roman"/>
          <w:b/>
          <w:color w:val="800000"/>
          <w:lang w:val="en-GB" w:eastAsia="da-DK"/>
        </w:rPr>
      </w:pPr>
      <w:r w:rsidRPr="00C1164B">
        <w:rPr>
          <w:rFonts w:ascii="Calibri" w:eastAsia="Times New Roman" w:hAnsi="Calibri" w:cs="Times New Roman"/>
          <w:b/>
          <w:color w:val="800000"/>
          <w:sz w:val="24"/>
          <w:szCs w:val="24"/>
          <w:u w:val="single"/>
          <w:lang w:val="en-GB" w:eastAsia="da-DK"/>
        </w:rPr>
        <w:lastRenderedPageBreak/>
        <w:t>ANNEX 3</w:t>
      </w:r>
      <w:r w:rsidRPr="00C1164B">
        <w:rPr>
          <w:rFonts w:ascii="Calibri" w:eastAsia="Times New Roman" w:hAnsi="Calibri" w:cs="Times New Roman"/>
          <w:b/>
          <w:color w:val="800000"/>
          <w:lang w:val="en-GB" w:eastAsia="da-DK"/>
        </w:rPr>
        <w:t xml:space="preserve">: Statistics required from </w:t>
      </w:r>
      <w:smartTag w:uri="urn:schemas-microsoft-com:office:smarttags" w:element="place">
        <w:r w:rsidRPr="00C1164B">
          <w:rPr>
            <w:rFonts w:ascii="Calibri" w:eastAsia="Times New Roman" w:hAnsi="Calibri" w:cs="Times New Roman"/>
            <w:b/>
            <w:color w:val="800000"/>
            <w:lang w:val="en-GB" w:eastAsia="da-DK"/>
          </w:rPr>
          <w:t>Mobile</w:t>
        </w:r>
      </w:smartTag>
      <w:r w:rsidRPr="00C1164B">
        <w:rPr>
          <w:rFonts w:ascii="Calibri" w:eastAsia="Times New Roman" w:hAnsi="Calibri" w:cs="Times New Roman"/>
          <w:b/>
          <w:color w:val="800000"/>
          <w:lang w:val="en-GB" w:eastAsia="da-DK"/>
        </w:rPr>
        <w:t xml:space="preserve"> Courts case records</w:t>
      </w:r>
    </w:p>
    <w:p w:rsidR="00C1164B" w:rsidRPr="00C1164B" w:rsidRDefault="00C1164B" w:rsidP="00C1164B">
      <w:pPr>
        <w:spacing w:after="0" w:line="270" w:lineRule="atLeast"/>
        <w:rPr>
          <w:rFonts w:ascii="Calibri" w:eastAsia="Times New Roman" w:hAnsi="Calibri" w:cs="Times New Roman"/>
          <w:b/>
          <w:color w:val="800000"/>
          <w:lang w:val="en-GB" w:eastAsia="da-DK"/>
        </w:rPr>
      </w:pPr>
    </w:p>
    <w:p w:rsidR="00C1164B" w:rsidRPr="00C1164B" w:rsidRDefault="00C1164B" w:rsidP="00C1164B">
      <w:pPr>
        <w:spacing w:after="0" w:line="270" w:lineRule="atLeast"/>
        <w:jc w:val="both"/>
        <w:rPr>
          <w:rFonts w:ascii="Calibri" w:eastAsia="Times New Roman" w:hAnsi="Calibri" w:cs="Times New Roman"/>
          <w:lang w:val="en-GB" w:eastAsia="da-DK"/>
        </w:rPr>
      </w:pPr>
      <w:r w:rsidRPr="00C1164B">
        <w:rPr>
          <w:rFonts w:ascii="Calibri" w:eastAsia="Times New Roman" w:hAnsi="Calibri" w:cs="Times New Roman"/>
          <w:lang w:val="en-GB" w:eastAsia="da-DK"/>
        </w:rPr>
        <w:t xml:space="preserve"> (in black: minimum required information; in blue: desired information)</w:t>
      </w:r>
    </w:p>
    <w:p w:rsidR="00C1164B" w:rsidRPr="00C1164B" w:rsidRDefault="00C1164B" w:rsidP="00C1164B">
      <w:pPr>
        <w:spacing w:after="0" w:line="270" w:lineRule="atLeast"/>
        <w:rPr>
          <w:rFonts w:ascii="Times New Roman" w:eastAsia="Times New Roman" w:hAnsi="Times New Roman" w:cs="Times New Roman"/>
          <w:sz w:val="23"/>
          <w:szCs w:val="20"/>
          <w:lang w:eastAsia="da-DK"/>
        </w:rPr>
      </w:pPr>
    </w:p>
    <w:p w:rsidR="00C1164B" w:rsidRPr="00C1164B" w:rsidRDefault="00C1164B" w:rsidP="00C1164B">
      <w:pPr>
        <w:spacing w:after="0" w:line="270" w:lineRule="atLeas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da-DK"/>
        </w:rPr>
      </w:pPr>
    </w:p>
    <w:tbl>
      <w:tblPr>
        <w:tblStyle w:val="TableGrid3"/>
        <w:tblW w:w="0" w:type="auto"/>
        <w:tblLook w:val="01E0" w:firstRow="1" w:lastRow="1" w:firstColumn="1" w:lastColumn="1" w:noHBand="0" w:noVBand="0"/>
      </w:tblPr>
      <w:tblGrid>
        <w:gridCol w:w="4889"/>
        <w:gridCol w:w="4889"/>
      </w:tblGrid>
      <w:tr w:rsidR="00C1164B" w:rsidRPr="00C1164B" w:rsidTr="00C8613A">
        <w:tc>
          <w:tcPr>
            <w:tcW w:w="9778" w:type="dxa"/>
            <w:gridSpan w:val="2"/>
            <w:shd w:val="clear" w:color="auto" w:fill="D9D9D9"/>
          </w:tcPr>
          <w:p w:rsidR="00C1164B" w:rsidRPr="00C1164B" w:rsidRDefault="00C1164B" w:rsidP="00C1164B">
            <w:pPr>
              <w:rPr>
                <w:rFonts w:ascii="Calibri" w:hAnsi="Calibri"/>
                <w:smallCaps/>
                <w:lang w:eastAsia="da-DK"/>
              </w:rPr>
            </w:pPr>
            <w:r w:rsidRPr="00C1164B">
              <w:rPr>
                <w:rFonts w:ascii="Calibri" w:hAnsi="Calibri"/>
                <w:smallCaps/>
                <w:lang w:eastAsia="da-DK"/>
              </w:rPr>
              <w:t>1. Statistics related to  cases</w:t>
            </w:r>
          </w:p>
        </w:tc>
      </w:tr>
      <w:tr w:rsidR="00C1164B" w:rsidRPr="00C1164B" w:rsidTr="00C8613A">
        <w:tc>
          <w:tcPr>
            <w:tcW w:w="4889" w:type="dxa"/>
          </w:tcPr>
          <w:p w:rsidR="00C1164B" w:rsidRPr="00C1164B" w:rsidRDefault="00C1164B" w:rsidP="00C1164B">
            <w:pPr>
              <w:rPr>
                <w:rFonts w:ascii="Calibri" w:hAnsi="Calibri"/>
                <w:b/>
                <w:lang w:eastAsia="da-DK"/>
              </w:rPr>
            </w:pPr>
            <w:r w:rsidRPr="00C1164B">
              <w:rPr>
                <w:rFonts w:ascii="Calibri" w:hAnsi="Calibri"/>
                <w:b/>
                <w:lang w:eastAsia="da-DK"/>
              </w:rPr>
              <w:t>Type of case</w:t>
            </w:r>
          </w:p>
          <w:p w:rsidR="00C1164B" w:rsidRPr="00C1164B" w:rsidRDefault="00C1164B" w:rsidP="00C1164B">
            <w:pPr>
              <w:rPr>
                <w:rFonts w:ascii="Calibri" w:hAnsi="Calibri"/>
                <w:i/>
                <w:lang w:eastAsia="da-DK"/>
              </w:rPr>
            </w:pPr>
          </w:p>
        </w:tc>
        <w:tc>
          <w:tcPr>
            <w:tcW w:w="4889" w:type="dxa"/>
          </w:tcPr>
          <w:p w:rsidR="00C1164B" w:rsidRPr="00C1164B" w:rsidRDefault="00C1164B" w:rsidP="00C1164B">
            <w:pPr>
              <w:rPr>
                <w:rFonts w:ascii="Calibri" w:hAnsi="Calibri" w:cs="Arial"/>
                <w:lang w:eastAsia="da-DK"/>
              </w:rPr>
            </w:pPr>
            <w:r w:rsidRPr="00C1164B">
              <w:rPr>
                <w:rFonts w:ascii="Calibri" w:hAnsi="Calibri" w:cs="Arial"/>
                <w:lang w:eastAsia="da-DK"/>
              </w:rPr>
              <w:t>≠ of criminal cases</w:t>
            </w:r>
          </w:p>
          <w:p w:rsidR="00C1164B" w:rsidRPr="00C1164B" w:rsidRDefault="00C1164B" w:rsidP="00C1164B">
            <w:pPr>
              <w:rPr>
                <w:rFonts w:ascii="Calibri" w:hAnsi="Calibri"/>
                <w:lang w:eastAsia="da-DK"/>
              </w:rPr>
            </w:pPr>
            <w:r w:rsidRPr="00C1164B">
              <w:rPr>
                <w:rFonts w:ascii="Calibri" w:hAnsi="Calibri" w:cs="Arial"/>
                <w:lang w:eastAsia="da-DK"/>
              </w:rPr>
              <w:t>≠ of civil cases</w:t>
            </w:r>
          </w:p>
        </w:tc>
      </w:tr>
      <w:tr w:rsidR="00C1164B" w:rsidRPr="00C1164B" w:rsidTr="00C8613A">
        <w:tc>
          <w:tcPr>
            <w:tcW w:w="4889" w:type="dxa"/>
          </w:tcPr>
          <w:p w:rsidR="00C1164B" w:rsidRPr="00C1164B" w:rsidRDefault="00C1164B" w:rsidP="00C1164B">
            <w:pPr>
              <w:rPr>
                <w:rFonts w:ascii="Calibri" w:hAnsi="Calibri"/>
                <w:b/>
                <w:lang w:eastAsia="da-DK"/>
              </w:rPr>
            </w:pPr>
            <w:r w:rsidRPr="00C1164B">
              <w:rPr>
                <w:rFonts w:ascii="Calibri" w:hAnsi="Calibri"/>
                <w:b/>
                <w:lang w:eastAsia="da-DK"/>
              </w:rPr>
              <w:t>Nature of case</w:t>
            </w:r>
          </w:p>
          <w:p w:rsidR="00C1164B" w:rsidRPr="00C1164B" w:rsidRDefault="00C1164B" w:rsidP="00C1164B">
            <w:pPr>
              <w:rPr>
                <w:rFonts w:ascii="Calibri" w:hAnsi="Calibri"/>
                <w:lang w:eastAsia="da-DK"/>
              </w:rPr>
            </w:pPr>
          </w:p>
        </w:tc>
        <w:tc>
          <w:tcPr>
            <w:tcW w:w="4889" w:type="dxa"/>
          </w:tcPr>
          <w:p w:rsidR="00C1164B" w:rsidRPr="00C1164B" w:rsidRDefault="00C1164B" w:rsidP="00C1164B">
            <w:pPr>
              <w:rPr>
                <w:rFonts w:ascii="Calibri" w:hAnsi="Calibri"/>
                <w:lang w:eastAsia="da-DK"/>
              </w:rPr>
            </w:pPr>
            <w:r w:rsidRPr="00C1164B">
              <w:rPr>
                <w:rFonts w:ascii="Calibri" w:hAnsi="Calibri" w:cs="Arial"/>
                <w:lang w:eastAsia="da-DK"/>
              </w:rPr>
              <w:t>≠</w:t>
            </w:r>
            <w:r w:rsidRPr="00C1164B">
              <w:rPr>
                <w:rFonts w:ascii="Calibri" w:hAnsi="Calibri"/>
                <w:lang w:eastAsia="da-DK"/>
              </w:rPr>
              <w:t xml:space="preserve"> of criminal cases disaggregated by type of crime </w:t>
            </w:r>
          </w:p>
          <w:p w:rsidR="00C1164B" w:rsidRPr="00C1164B" w:rsidRDefault="00C1164B" w:rsidP="00C1164B">
            <w:pPr>
              <w:rPr>
                <w:rFonts w:ascii="Calibri" w:hAnsi="Calibri"/>
                <w:lang w:eastAsia="da-DK"/>
              </w:rPr>
            </w:pPr>
            <w:r w:rsidRPr="00C1164B">
              <w:rPr>
                <w:rFonts w:ascii="Calibri" w:hAnsi="Calibri" w:cs="Arial"/>
                <w:lang w:eastAsia="da-DK"/>
              </w:rPr>
              <w:t xml:space="preserve">≠ of civil cases disaggregated by </w:t>
            </w:r>
            <w:r w:rsidRPr="00C1164B">
              <w:rPr>
                <w:rFonts w:ascii="Calibri" w:hAnsi="Calibri"/>
                <w:lang w:eastAsia="da-DK"/>
              </w:rPr>
              <w:t xml:space="preserve">type of dispute </w:t>
            </w:r>
          </w:p>
        </w:tc>
      </w:tr>
      <w:tr w:rsidR="00C1164B" w:rsidRPr="00C1164B" w:rsidTr="00C8613A">
        <w:tc>
          <w:tcPr>
            <w:tcW w:w="4889" w:type="dxa"/>
          </w:tcPr>
          <w:p w:rsidR="00C1164B" w:rsidRPr="00C1164B" w:rsidRDefault="00C1164B" w:rsidP="00C1164B">
            <w:pPr>
              <w:rPr>
                <w:rFonts w:ascii="Calibri" w:hAnsi="Calibri"/>
                <w:b/>
                <w:lang w:eastAsia="da-DK"/>
              </w:rPr>
            </w:pPr>
            <w:r w:rsidRPr="00C1164B">
              <w:rPr>
                <w:rFonts w:ascii="Calibri" w:hAnsi="Calibri"/>
                <w:b/>
                <w:lang w:eastAsia="da-DK"/>
              </w:rPr>
              <w:t>Result of the case</w:t>
            </w:r>
          </w:p>
          <w:p w:rsidR="00C1164B" w:rsidRPr="00C1164B" w:rsidRDefault="00C1164B" w:rsidP="00C1164B">
            <w:pPr>
              <w:rPr>
                <w:rFonts w:ascii="Calibri" w:hAnsi="Calibri"/>
                <w:lang w:eastAsia="da-DK"/>
              </w:rPr>
            </w:pPr>
          </w:p>
        </w:tc>
        <w:tc>
          <w:tcPr>
            <w:tcW w:w="4889" w:type="dxa"/>
          </w:tcPr>
          <w:p w:rsidR="00C1164B" w:rsidRPr="00C1164B" w:rsidRDefault="00C1164B" w:rsidP="00C1164B">
            <w:pPr>
              <w:rPr>
                <w:rFonts w:ascii="Calibri" w:hAnsi="Calibri" w:cs="Arial"/>
                <w:lang w:eastAsia="da-DK"/>
              </w:rPr>
            </w:pPr>
            <w:r w:rsidRPr="00C1164B">
              <w:rPr>
                <w:rFonts w:ascii="Calibri" w:hAnsi="Calibri" w:cs="Arial"/>
                <w:lang w:eastAsia="da-DK"/>
              </w:rPr>
              <w:t xml:space="preserve">≠ of final decisions </w:t>
            </w:r>
          </w:p>
          <w:p w:rsidR="00C1164B" w:rsidRPr="00C1164B" w:rsidRDefault="00C1164B" w:rsidP="00C1164B">
            <w:pPr>
              <w:rPr>
                <w:rFonts w:ascii="Calibri" w:hAnsi="Calibri" w:cs="Arial"/>
                <w:lang w:eastAsia="da-DK"/>
              </w:rPr>
            </w:pPr>
            <w:r w:rsidRPr="00C1164B">
              <w:rPr>
                <w:rFonts w:ascii="Calibri" w:hAnsi="Calibri" w:cs="Arial"/>
                <w:lang w:eastAsia="da-DK"/>
              </w:rPr>
              <w:t>≠ of cases adjourned</w:t>
            </w:r>
          </w:p>
          <w:p w:rsidR="00C1164B" w:rsidRPr="00C1164B" w:rsidRDefault="00C1164B" w:rsidP="00C1164B">
            <w:pPr>
              <w:rPr>
                <w:rFonts w:ascii="Calibri" w:hAnsi="Calibri" w:cs="Arial"/>
                <w:lang w:eastAsia="da-DK"/>
              </w:rPr>
            </w:pPr>
            <w:r w:rsidRPr="00C1164B">
              <w:rPr>
                <w:rFonts w:ascii="Calibri" w:hAnsi="Calibri" w:cs="Arial"/>
                <w:lang w:eastAsia="da-DK"/>
              </w:rPr>
              <w:t>≠ of cases abandoned/settled outside court</w:t>
            </w:r>
          </w:p>
        </w:tc>
      </w:tr>
      <w:tr w:rsidR="00C1164B" w:rsidRPr="00C1164B" w:rsidTr="00C8613A">
        <w:tc>
          <w:tcPr>
            <w:tcW w:w="4889" w:type="dxa"/>
          </w:tcPr>
          <w:p w:rsidR="00C1164B" w:rsidRPr="00C1164B" w:rsidRDefault="00C1164B" w:rsidP="00C1164B">
            <w:pPr>
              <w:rPr>
                <w:rFonts w:ascii="Calibri" w:hAnsi="Calibri"/>
                <w:b/>
                <w:lang w:eastAsia="da-DK"/>
              </w:rPr>
            </w:pPr>
            <w:r w:rsidRPr="00C1164B">
              <w:rPr>
                <w:rFonts w:ascii="Calibri" w:hAnsi="Calibri"/>
                <w:b/>
                <w:lang w:eastAsia="da-DK"/>
              </w:rPr>
              <w:t xml:space="preserve">Outcome of the case </w:t>
            </w:r>
            <w:r w:rsidRPr="00C1164B">
              <w:rPr>
                <w:rFonts w:ascii="Calibri" w:hAnsi="Calibri" w:cs="Arial"/>
                <w:lang w:eastAsia="da-DK"/>
              </w:rPr>
              <w:t>(if court disposed of the case)</w:t>
            </w:r>
          </w:p>
          <w:p w:rsidR="00C1164B" w:rsidRPr="00C1164B" w:rsidRDefault="00C1164B" w:rsidP="00C1164B">
            <w:pPr>
              <w:rPr>
                <w:rFonts w:ascii="Calibri" w:hAnsi="Calibri"/>
                <w:lang w:eastAsia="da-DK"/>
              </w:rPr>
            </w:pPr>
          </w:p>
        </w:tc>
        <w:tc>
          <w:tcPr>
            <w:tcW w:w="4889" w:type="dxa"/>
          </w:tcPr>
          <w:p w:rsidR="00C1164B" w:rsidRPr="00C1164B" w:rsidRDefault="00C1164B" w:rsidP="00C1164B">
            <w:pPr>
              <w:rPr>
                <w:rFonts w:ascii="Calibri" w:hAnsi="Calibri"/>
                <w:lang w:eastAsia="da-DK"/>
              </w:rPr>
            </w:pPr>
            <w:r w:rsidRPr="00C1164B">
              <w:rPr>
                <w:rFonts w:ascii="Calibri" w:hAnsi="Calibri" w:cs="Arial"/>
                <w:lang w:eastAsia="da-DK"/>
              </w:rPr>
              <w:t xml:space="preserve">≠ of convictions </w:t>
            </w:r>
            <w:r w:rsidRPr="00C1164B">
              <w:rPr>
                <w:rFonts w:ascii="Calibri" w:hAnsi="Calibri"/>
                <w:lang w:eastAsia="da-DK"/>
              </w:rPr>
              <w:t>(and details of sentence)</w:t>
            </w:r>
          </w:p>
          <w:p w:rsidR="00C1164B" w:rsidRPr="00C1164B" w:rsidRDefault="00C1164B" w:rsidP="00C1164B">
            <w:pPr>
              <w:rPr>
                <w:rFonts w:ascii="Calibri" w:hAnsi="Calibri" w:cs="Arial"/>
                <w:lang w:eastAsia="da-DK"/>
              </w:rPr>
            </w:pPr>
            <w:r w:rsidRPr="00C1164B">
              <w:rPr>
                <w:rFonts w:ascii="Calibri" w:hAnsi="Calibri" w:cs="Arial"/>
                <w:lang w:eastAsia="da-DK"/>
              </w:rPr>
              <w:t>≠ of acquittals</w:t>
            </w:r>
          </w:p>
          <w:p w:rsidR="00C1164B" w:rsidRPr="00C1164B" w:rsidRDefault="00C1164B" w:rsidP="00C1164B">
            <w:pPr>
              <w:rPr>
                <w:rFonts w:ascii="Calibri" w:hAnsi="Calibri"/>
                <w:i/>
                <w:iCs/>
                <w:lang w:eastAsia="da-DK"/>
              </w:rPr>
            </w:pPr>
            <w:r w:rsidRPr="00C1164B">
              <w:rPr>
                <w:rFonts w:ascii="Calibri" w:hAnsi="Calibri" w:cs="Arial"/>
                <w:lang w:eastAsia="da-DK"/>
              </w:rPr>
              <w:t>≠ of dismissals</w:t>
            </w:r>
            <w:r w:rsidRPr="00C1164B">
              <w:rPr>
                <w:rFonts w:ascii="Calibri" w:hAnsi="Calibri"/>
                <w:i/>
                <w:iCs/>
                <w:lang w:eastAsia="da-DK"/>
              </w:rPr>
              <w:t xml:space="preserve"> </w:t>
            </w:r>
          </w:p>
          <w:p w:rsidR="00C1164B" w:rsidRPr="00C1164B" w:rsidRDefault="00C1164B" w:rsidP="00C1164B">
            <w:pPr>
              <w:rPr>
                <w:rFonts w:ascii="Calibri" w:hAnsi="Calibri"/>
                <w:lang w:eastAsia="da-DK"/>
              </w:rPr>
            </w:pPr>
            <w:r w:rsidRPr="00C1164B">
              <w:rPr>
                <w:rFonts w:ascii="Calibri" w:hAnsi="Calibri" w:cs="Arial"/>
                <w:lang w:eastAsia="da-DK"/>
              </w:rPr>
              <w:t xml:space="preserve">≠ of settlements of civil cases (and details of conditions) </w:t>
            </w:r>
          </w:p>
        </w:tc>
      </w:tr>
      <w:tr w:rsidR="00C1164B" w:rsidRPr="00C1164B" w:rsidTr="00C8613A">
        <w:tc>
          <w:tcPr>
            <w:tcW w:w="4889" w:type="dxa"/>
          </w:tcPr>
          <w:p w:rsidR="00C1164B" w:rsidRPr="00C1164B" w:rsidRDefault="00C1164B" w:rsidP="00C1164B">
            <w:pPr>
              <w:rPr>
                <w:rFonts w:ascii="Calibri" w:hAnsi="Calibri"/>
                <w:b/>
                <w:color w:val="333399"/>
                <w:lang w:eastAsia="da-DK"/>
              </w:rPr>
            </w:pPr>
            <w:r w:rsidRPr="00C1164B">
              <w:rPr>
                <w:rFonts w:ascii="Calibri" w:hAnsi="Calibri"/>
                <w:b/>
                <w:color w:val="333399"/>
                <w:lang w:eastAsia="da-DK"/>
              </w:rPr>
              <w:t>Case summary</w:t>
            </w:r>
          </w:p>
        </w:tc>
        <w:tc>
          <w:tcPr>
            <w:tcW w:w="4889" w:type="dxa"/>
          </w:tcPr>
          <w:p w:rsidR="00C1164B" w:rsidRPr="00C1164B" w:rsidRDefault="00C1164B" w:rsidP="00C1164B">
            <w:pPr>
              <w:rPr>
                <w:rFonts w:ascii="Calibri" w:hAnsi="Calibri"/>
                <w:color w:val="333399"/>
                <w:lang w:eastAsia="da-DK"/>
              </w:rPr>
            </w:pPr>
            <w:r w:rsidRPr="00C1164B">
              <w:rPr>
                <w:rFonts w:ascii="Calibri" w:hAnsi="Calibri"/>
                <w:color w:val="333399"/>
                <w:lang w:eastAsia="da-DK"/>
              </w:rPr>
              <w:t xml:space="preserve">Description of the facts </w:t>
            </w:r>
          </w:p>
        </w:tc>
      </w:tr>
      <w:tr w:rsidR="00C1164B" w:rsidRPr="00C1164B" w:rsidTr="00C8613A">
        <w:tc>
          <w:tcPr>
            <w:tcW w:w="4889" w:type="dxa"/>
            <w:shd w:val="clear" w:color="auto" w:fill="D9D9D9"/>
          </w:tcPr>
          <w:p w:rsidR="00C1164B" w:rsidRPr="00C1164B" w:rsidRDefault="00C1164B" w:rsidP="00C1164B">
            <w:pPr>
              <w:rPr>
                <w:rFonts w:ascii="Calibri" w:hAnsi="Calibri"/>
                <w:smallCaps/>
                <w:lang w:eastAsia="da-DK"/>
              </w:rPr>
            </w:pPr>
            <w:r w:rsidRPr="00C1164B">
              <w:rPr>
                <w:rFonts w:ascii="Calibri" w:hAnsi="Calibri"/>
                <w:smallCaps/>
                <w:lang w:eastAsia="da-DK"/>
              </w:rPr>
              <w:t xml:space="preserve">2. Statistics related to parties </w:t>
            </w:r>
          </w:p>
        </w:tc>
        <w:tc>
          <w:tcPr>
            <w:tcW w:w="4889" w:type="dxa"/>
            <w:shd w:val="clear" w:color="auto" w:fill="D9D9D9"/>
          </w:tcPr>
          <w:p w:rsidR="00C1164B" w:rsidRPr="00C1164B" w:rsidRDefault="00C1164B" w:rsidP="00C1164B">
            <w:pPr>
              <w:rPr>
                <w:rFonts w:ascii="Calibri" w:hAnsi="Calibri"/>
                <w:smallCaps/>
                <w:lang w:eastAsia="da-DK"/>
              </w:rPr>
            </w:pPr>
          </w:p>
        </w:tc>
      </w:tr>
      <w:tr w:rsidR="00C1164B" w:rsidRPr="00C1164B" w:rsidTr="00C8613A">
        <w:tc>
          <w:tcPr>
            <w:tcW w:w="4889" w:type="dxa"/>
          </w:tcPr>
          <w:p w:rsidR="00C1164B" w:rsidRPr="00C1164B" w:rsidRDefault="00C1164B" w:rsidP="00C1164B">
            <w:pPr>
              <w:rPr>
                <w:rFonts w:ascii="Calibri" w:hAnsi="Calibri"/>
                <w:b/>
                <w:lang w:eastAsia="da-DK"/>
              </w:rPr>
            </w:pPr>
            <w:r w:rsidRPr="00C1164B">
              <w:rPr>
                <w:rFonts w:ascii="Calibri" w:hAnsi="Calibri"/>
                <w:b/>
                <w:lang w:eastAsia="da-DK"/>
              </w:rPr>
              <w:t>Position in case</w:t>
            </w:r>
          </w:p>
        </w:tc>
        <w:tc>
          <w:tcPr>
            <w:tcW w:w="4889" w:type="dxa"/>
          </w:tcPr>
          <w:p w:rsidR="00C1164B" w:rsidRPr="00C1164B" w:rsidRDefault="00C1164B" w:rsidP="00C1164B">
            <w:pPr>
              <w:rPr>
                <w:rFonts w:ascii="Calibri" w:hAnsi="Calibri"/>
                <w:lang w:eastAsia="da-DK"/>
              </w:rPr>
            </w:pPr>
            <w:r w:rsidRPr="00C1164B">
              <w:rPr>
                <w:rFonts w:ascii="Calibri" w:hAnsi="Calibri" w:cs="Arial"/>
                <w:lang w:eastAsia="da-DK"/>
              </w:rPr>
              <w:t xml:space="preserve">≠ of </w:t>
            </w:r>
            <w:r w:rsidRPr="00C1164B">
              <w:rPr>
                <w:rFonts w:ascii="Calibri" w:hAnsi="Calibri"/>
                <w:lang w:eastAsia="da-DK"/>
              </w:rPr>
              <w:t>plaintiffs/complainants (disaggregated by age/sex)</w:t>
            </w:r>
          </w:p>
          <w:p w:rsidR="00C1164B" w:rsidRPr="00C1164B" w:rsidRDefault="00C1164B" w:rsidP="00C1164B">
            <w:pPr>
              <w:rPr>
                <w:rFonts w:ascii="Calibri" w:hAnsi="Calibri"/>
                <w:lang w:eastAsia="da-DK"/>
              </w:rPr>
            </w:pPr>
            <w:r w:rsidRPr="00C1164B">
              <w:rPr>
                <w:rFonts w:ascii="Calibri" w:hAnsi="Calibri" w:cs="Arial"/>
                <w:lang w:eastAsia="da-DK"/>
              </w:rPr>
              <w:t xml:space="preserve">≠ </w:t>
            </w:r>
            <w:r w:rsidRPr="00C1164B">
              <w:rPr>
                <w:rFonts w:ascii="Calibri" w:hAnsi="Calibri"/>
                <w:lang w:eastAsia="da-DK"/>
              </w:rPr>
              <w:t>defendant/accused (disaggregated by age/sex)</w:t>
            </w:r>
          </w:p>
          <w:p w:rsidR="00C1164B" w:rsidRPr="00C1164B" w:rsidRDefault="00C1164B" w:rsidP="00C1164B">
            <w:pPr>
              <w:rPr>
                <w:rFonts w:ascii="Calibri" w:hAnsi="Calibri"/>
                <w:lang w:eastAsia="da-DK"/>
              </w:rPr>
            </w:pPr>
            <w:r w:rsidRPr="00C1164B">
              <w:rPr>
                <w:rFonts w:ascii="Calibri" w:hAnsi="Calibri" w:cs="Arial"/>
                <w:lang w:eastAsia="da-DK"/>
              </w:rPr>
              <w:t xml:space="preserve">≠ </w:t>
            </w:r>
            <w:r w:rsidRPr="00C1164B">
              <w:rPr>
                <w:rFonts w:ascii="Calibri" w:hAnsi="Calibri"/>
                <w:lang w:eastAsia="da-DK"/>
              </w:rPr>
              <w:t>civil party (if applicable)</w:t>
            </w:r>
          </w:p>
          <w:p w:rsidR="00C1164B" w:rsidRPr="00C1164B" w:rsidRDefault="00C1164B" w:rsidP="00C1164B">
            <w:pPr>
              <w:rPr>
                <w:rFonts w:ascii="Calibri" w:hAnsi="Calibri" w:cs="Arial"/>
                <w:lang w:eastAsia="da-DK"/>
              </w:rPr>
            </w:pPr>
            <w:r w:rsidRPr="00C1164B">
              <w:rPr>
                <w:rFonts w:ascii="Calibri" w:hAnsi="Calibri" w:cs="Arial"/>
                <w:lang w:eastAsia="da-DK"/>
              </w:rPr>
              <w:t xml:space="preserve">≠ of witnesses who testified </w:t>
            </w:r>
          </w:p>
          <w:p w:rsidR="00C1164B" w:rsidRPr="00C1164B" w:rsidRDefault="00C1164B" w:rsidP="00C1164B">
            <w:pPr>
              <w:rPr>
                <w:rFonts w:ascii="Calibri" w:hAnsi="Calibri"/>
                <w:color w:val="333399"/>
                <w:lang w:eastAsia="da-DK"/>
              </w:rPr>
            </w:pPr>
            <w:r w:rsidRPr="00C1164B">
              <w:rPr>
                <w:rFonts w:ascii="Calibri" w:hAnsi="Calibri" w:cs="Arial"/>
                <w:color w:val="333399"/>
                <w:lang w:eastAsia="da-DK"/>
              </w:rPr>
              <w:t>≠ of people who participated in the public hearings</w:t>
            </w:r>
          </w:p>
        </w:tc>
      </w:tr>
      <w:tr w:rsidR="00C1164B" w:rsidRPr="00C1164B" w:rsidTr="00C8613A">
        <w:tc>
          <w:tcPr>
            <w:tcW w:w="4889" w:type="dxa"/>
          </w:tcPr>
          <w:p w:rsidR="00C1164B" w:rsidRPr="00C1164B" w:rsidRDefault="00C1164B" w:rsidP="00C1164B">
            <w:pPr>
              <w:rPr>
                <w:rFonts w:ascii="Calibri" w:hAnsi="Calibri"/>
                <w:b/>
                <w:color w:val="333399"/>
                <w:lang w:eastAsia="da-DK"/>
              </w:rPr>
            </w:pPr>
            <w:r w:rsidRPr="00C1164B">
              <w:rPr>
                <w:rFonts w:ascii="Calibri" w:hAnsi="Calibri"/>
                <w:b/>
                <w:color w:val="333399"/>
                <w:lang w:eastAsia="da-DK"/>
              </w:rPr>
              <w:t>Occupation/Status</w:t>
            </w:r>
          </w:p>
        </w:tc>
        <w:tc>
          <w:tcPr>
            <w:tcW w:w="4889" w:type="dxa"/>
          </w:tcPr>
          <w:p w:rsidR="00C1164B" w:rsidRPr="00C1164B" w:rsidRDefault="00C1164B" w:rsidP="00C1164B">
            <w:pPr>
              <w:rPr>
                <w:rFonts w:ascii="Calibri" w:hAnsi="Calibri"/>
                <w:color w:val="333399"/>
                <w:lang w:eastAsia="da-DK"/>
              </w:rPr>
            </w:pPr>
            <w:r w:rsidRPr="00C1164B">
              <w:rPr>
                <w:rFonts w:ascii="Calibri" w:hAnsi="Calibri"/>
                <w:color w:val="333399"/>
                <w:lang w:eastAsia="da-DK"/>
              </w:rPr>
              <w:t>Specify occupation or position in the community</w:t>
            </w:r>
          </w:p>
        </w:tc>
      </w:tr>
      <w:tr w:rsidR="00C1164B" w:rsidRPr="00C1164B" w:rsidTr="00C8613A">
        <w:tc>
          <w:tcPr>
            <w:tcW w:w="4889" w:type="dxa"/>
          </w:tcPr>
          <w:p w:rsidR="00C1164B" w:rsidRPr="00C1164B" w:rsidRDefault="00C1164B" w:rsidP="00C1164B">
            <w:pPr>
              <w:rPr>
                <w:rFonts w:ascii="Calibri" w:hAnsi="Calibri"/>
                <w:b/>
                <w:lang w:eastAsia="da-DK"/>
              </w:rPr>
            </w:pPr>
            <w:r w:rsidRPr="00C1164B">
              <w:rPr>
                <w:rFonts w:ascii="Calibri" w:hAnsi="Calibri"/>
                <w:b/>
                <w:lang w:eastAsia="da-DK"/>
              </w:rPr>
              <w:t xml:space="preserve">Legal representation </w:t>
            </w:r>
          </w:p>
        </w:tc>
        <w:tc>
          <w:tcPr>
            <w:tcW w:w="4889" w:type="dxa"/>
          </w:tcPr>
          <w:p w:rsidR="00C1164B" w:rsidRPr="00C1164B" w:rsidRDefault="00C1164B" w:rsidP="00C1164B">
            <w:pPr>
              <w:rPr>
                <w:rFonts w:ascii="Calibri" w:hAnsi="Calibri"/>
                <w:lang w:eastAsia="da-DK"/>
              </w:rPr>
            </w:pPr>
            <w:r w:rsidRPr="00C1164B">
              <w:rPr>
                <w:rFonts w:ascii="Calibri" w:hAnsi="Calibri" w:cs="Arial"/>
                <w:lang w:eastAsia="da-DK"/>
              </w:rPr>
              <w:t>≠ of parties represented by a lawyer in court</w:t>
            </w:r>
          </w:p>
        </w:tc>
      </w:tr>
      <w:tr w:rsidR="00C1164B" w:rsidRPr="00C1164B" w:rsidTr="00C8613A">
        <w:tc>
          <w:tcPr>
            <w:tcW w:w="4889" w:type="dxa"/>
            <w:tcBorders>
              <w:bottom w:val="single" w:sz="4" w:space="0" w:color="auto"/>
            </w:tcBorders>
          </w:tcPr>
          <w:p w:rsidR="00C1164B" w:rsidRPr="00C1164B" w:rsidRDefault="00C1164B" w:rsidP="00C1164B">
            <w:pPr>
              <w:rPr>
                <w:rFonts w:ascii="Calibri" w:hAnsi="Calibri"/>
                <w:b/>
                <w:lang w:eastAsia="da-DK"/>
              </w:rPr>
            </w:pPr>
            <w:r w:rsidRPr="00C1164B">
              <w:rPr>
                <w:rFonts w:ascii="Calibri" w:hAnsi="Calibri"/>
                <w:b/>
                <w:lang w:eastAsia="da-DK"/>
              </w:rPr>
              <w:t>Fees paid to court by parties</w:t>
            </w:r>
          </w:p>
        </w:tc>
        <w:tc>
          <w:tcPr>
            <w:tcW w:w="4889" w:type="dxa"/>
            <w:tcBorders>
              <w:bottom w:val="single" w:sz="4" w:space="0" w:color="auto"/>
            </w:tcBorders>
          </w:tcPr>
          <w:p w:rsidR="00C1164B" w:rsidRPr="00C1164B" w:rsidRDefault="00C1164B" w:rsidP="00C1164B">
            <w:pPr>
              <w:rPr>
                <w:rFonts w:ascii="Calibri" w:hAnsi="Calibri"/>
                <w:lang w:eastAsia="da-DK"/>
              </w:rPr>
            </w:pPr>
            <w:r w:rsidRPr="00C1164B">
              <w:rPr>
                <w:rFonts w:ascii="Calibri" w:hAnsi="Calibri"/>
                <w:lang w:eastAsia="da-DK"/>
              </w:rPr>
              <w:t>Amount of fees paid to court per case</w:t>
            </w:r>
          </w:p>
        </w:tc>
      </w:tr>
    </w:tbl>
    <w:p w:rsidR="00C1164B" w:rsidRPr="00C1164B" w:rsidRDefault="00C1164B" w:rsidP="00C1164B">
      <w:pPr>
        <w:spacing w:after="0" w:line="270" w:lineRule="atLeas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da-DK"/>
        </w:rPr>
      </w:pPr>
    </w:p>
    <w:p w:rsidR="00C1164B" w:rsidRPr="00C1164B" w:rsidRDefault="00C1164B" w:rsidP="00C1164B">
      <w:pPr>
        <w:spacing w:after="0" w:line="270" w:lineRule="atLeast"/>
        <w:rPr>
          <w:rFonts w:ascii="Calibri" w:eastAsia="Times New Roman" w:hAnsi="Calibri" w:cs="Times New Roman"/>
          <w:b/>
          <w:color w:val="800000"/>
          <w:sz w:val="20"/>
          <w:szCs w:val="20"/>
          <w:lang w:eastAsia="da-DK"/>
        </w:rPr>
      </w:pPr>
      <w:r w:rsidRPr="00C1164B">
        <w:rPr>
          <w:rFonts w:ascii="Calibri" w:eastAsia="Times New Roman" w:hAnsi="Calibri" w:cs="Times New Roman"/>
          <w:b/>
          <w:color w:val="800000"/>
          <w:sz w:val="20"/>
          <w:szCs w:val="20"/>
          <w:lang w:eastAsia="da-DK"/>
        </w:rPr>
        <w:br w:type="page"/>
      </w:r>
      <w:r w:rsidRPr="00C1164B">
        <w:rPr>
          <w:rFonts w:ascii="Calibri" w:eastAsia="Times New Roman" w:hAnsi="Calibri" w:cs="Times New Roman"/>
          <w:b/>
          <w:color w:val="800000"/>
          <w:sz w:val="28"/>
          <w:szCs w:val="28"/>
          <w:u w:val="single"/>
          <w:lang w:val="en-GB" w:eastAsia="da-DK"/>
        </w:rPr>
        <w:lastRenderedPageBreak/>
        <w:t>ANNEX 4</w:t>
      </w:r>
      <w:r w:rsidRPr="00C1164B">
        <w:rPr>
          <w:rFonts w:ascii="Calibri" w:eastAsia="Times New Roman" w:hAnsi="Calibri" w:cs="Times New Roman"/>
          <w:b/>
          <w:color w:val="800000"/>
          <w:lang w:val="en-GB" w:eastAsia="da-DK"/>
        </w:rPr>
        <w:t xml:space="preserve">: Sample questionnaire for </w:t>
      </w:r>
      <w:smartTag w:uri="urn:schemas-microsoft-com:office:smarttags" w:element="Street">
        <w:smartTag w:uri="urn:schemas-microsoft-com:office:smarttags" w:element="address">
          <w:r w:rsidRPr="00C1164B">
            <w:rPr>
              <w:rFonts w:ascii="Calibri" w:eastAsia="Times New Roman" w:hAnsi="Calibri" w:cs="Times New Roman"/>
              <w:b/>
              <w:color w:val="800000"/>
              <w:lang w:val="en-GB" w:eastAsia="da-DK"/>
            </w:rPr>
            <w:t>Mobile Court</w:t>
          </w:r>
        </w:smartTag>
      </w:smartTag>
      <w:r w:rsidRPr="00C1164B">
        <w:rPr>
          <w:rFonts w:ascii="Calibri" w:eastAsia="Times New Roman" w:hAnsi="Calibri" w:cs="Times New Roman"/>
          <w:b/>
          <w:color w:val="800000"/>
          <w:lang w:val="en-GB" w:eastAsia="da-DK"/>
        </w:rPr>
        <w:t xml:space="preserve"> users</w:t>
      </w:r>
    </w:p>
    <w:p w:rsidR="00C1164B" w:rsidRPr="00C1164B" w:rsidRDefault="00C1164B" w:rsidP="00C1164B">
      <w:pPr>
        <w:spacing w:after="0" w:line="270" w:lineRule="atLeast"/>
        <w:rPr>
          <w:rFonts w:ascii="Verdana" w:eastAsia="Times New Roman" w:hAnsi="Verdana" w:cs="Verdana"/>
          <w:b/>
          <w:sz w:val="16"/>
          <w:szCs w:val="16"/>
          <w:lang w:eastAsia="da-DK"/>
        </w:rPr>
      </w:pPr>
    </w:p>
    <w:p w:rsidR="00C1164B" w:rsidRPr="00C1164B" w:rsidRDefault="00C1164B" w:rsidP="00C1164B">
      <w:pPr>
        <w:shd w:val="clear" w:color="auto" w:fill="E6E6E6"/>
        <w:spacing w:after="0" w:line="270" w:lineRule="atLeast"/>
        <w:jc w:val="center"/>
        <w:rPr>
          <w:rFonts w:ascii="Calibri" w:eastAsia="Times New Roman" w:hAnsi="Calibri" w:cs="Verdana"/>
          <w:b/>
          <w:sz w:val="28"/>
          <w:szCs w:val="28"/>
          <w:lang w:eastAsia="da-DK"/>
        </w:rPr>
      </w:pPr>
    </w:p>
    <w:p w:rsidR="00C1164B" w:rsidRPr="00C1164B" w:rsidRDefault="00C1164B" w:rsidP="00C1164B">
      <w:pPr>
        <w:shd w:val="clear" w:color="auto" w:fill="E6E6E6"/>
        <w:spacing w:after="0" w:line="270" w:lineRule="atLeast"/>
        <w:jc w:val="center"/>
        <w:rPr>
          <w:rFonts w:ascii="Calibri" w:eastAsia="Times New Roman" w:hAnsi="Calibri" w:cs="Verdana"/>
          <w:b/>
          <w:sz w:val="28"/>
          <w:szCs w:val="28"/>
          <w:lang w:eastAsia="da-DK"/>
        </w:rPr>
      </w:pPr>
      <w:r w:rsidRPr="00C1164B">
        <w:rPr>
          <w:rFonts w:ascii="Calibri" w:eastAsia="Times New Roman" w:hAnsi="Calibri" w:cs="Verdana"/>
          <w:b/>
          <w:sz w:val="28"/>
          <w:szCs w:val="28"/>
          <w:lang w:eastAsia="da-DK"/>
        </w:rPr>
        <w:t>Evaluation of MCs from a user perspective:</w:t>
      </w:r>
    </w:p>
    <w:p w:rsidR="00C1164B" w:rsidRPr="00C1164B" w:rsidRDefault="00C1164B" w:rsidP="00C1164B">
      <w:pPr>
        <w:shd w:val="clear" w:color="auto" w:fill="E6E6E6"/>
        <w:spacing w:after="0" w:line="270" w:lineRule="atLeast"/>
        <w:jc w:val="center"/>
        <w:rPr>
          <w:rFonts w:ascii="Calibri" w:eastAsia="Times New Roman" w:hAnsi="Calibri" w:cs="Verdana"/>
          <w:b/>
          <w:sz w:val="28"/>
          <w:szCs w:val="28"/>
          <w:lang w:eastAsia="da-DK"/>
        </w:rPr>
      </w:pPr>
      <w:r w:rsidRPr="00C1164B">
        <w:rPr>
          <w:rFonts w:ascii="Calibri" w:eastAsia="Times New Roman" w:hAnsi="Calibri" w:cs="Verdana"/>
          <w:b/>
          <w:color w:val="800000"/>
          <w:sz w:val="28"/>
          <w:szCs w:val="28"/>
          <w:lang w:eastAsia="da-DK"/>
        </w:rPr>
        <w:t>Questions for survey/interview with parties to MC cases</w:t>
      </w:r>
    </w:p>
    <w:p w:rsidR="00C1164B" w:rsidRPr="00C1164B" w:rsidRDefault="00C1164B" w:rsidP="00C1164B">
      <w:pPr>
        <w:shd w:val="clear" w:color="auto" w:fill="E6E6E6"/>
        <w:spacing w:after="0" w:line="270" w:lineRule="atLeast"/>
        <w:jc w:val="center"/>
        <w:rPr>
          <w:rFonts w:ascii="Calibri" w:eastAsia="Times New Roman" w:hAnsi="Calibri" w:cs="Verdana"/>
          <w:b/>
          <w:sz w:val="28"/>
          <w:szCs w:val="28"/>
          <w:lang w:eastAsia="da-DK"/>
        </w:rPr>
      </w:pPr>
    </w:p>
    <w:p w:rsidR="00C1164B" w:rsidRPr="00C1164B" w:rsidRDefault="00C1164B" w:rsidP="00C1164B">
      <w:pPr>
        <w:spacing w:after="0" w:line="270" w:lineRule="atLeast"/>
        <w:ind w:left="708"/>
        <w:rPr>
          <w:rFonts w:ascii="Verdana" w:eastAsia="Times New Roman" w:hAnsi="Verdana" w:cs="Verdana"/>
          <w:b/>
          <w:sz w:val="16"/>
          <w:szCs w:val="16"/>
          <w:lang w:eastAsia="da-DK"/>
        </w:rPr>
      </w:pPr>
    </w:p>
    <w:p w:rsidR="00C1164B" w:rsidRPr="00C1164B" w:rsidRDefault="00C1164B" w:rsidP="00C1164B">
      <w:pPr>
        <w:spacing w:after="0" w:line="270" w:lineRule="atLeast"/>
        <w:rPr>
          <w:rFonts w:ascii="Verdana" w:eastAsia="Times New Roman" w:hAnsi="Verdana" w:cs="Verdana"/>
          <w:b/>
          <w:sz w:val="16"/>
          <w:szCs w:val="16"/>
          <w:lang w:eastAsia="da-DK"/>
        </w:rPr>
      </w:pPr>
    </w:p>
    <w:p w:rsidR="00C1164B" w:rsidRPr="00C1164B" w:rsidRDefault="00C1164B" w:rsidP="00C1164B">
      <w:pPr>
        <w:spacing w:after="0" w:line="270" w:lineRule="atLeast"/>
        <w:rPr>
          <w:rFonts w:ascii="Calibri" w:eastAsia="Times New Roman" w:hAnsi="Calibri" w:cs="Verdana"/>
          <w:b/>
          <w:lang w:eastAsia="da-DK"/>
        </w:rPr>
      </w:pPr>
    </w:p>
    <w:tbl>
      <w:tblPr>
        <w:tblStyle w:val="TableGrid3"/>
        <w:tblW w:w="0" w:type="auto"/>
        <w:tblLook w:val="01E0" w:firstRow="1" w:lastRow="1" w:firstColumn="1" w:lastColumn="1" w:noHBand="0" w:noVBand="0"/>
      </w:tblPr>
      <w:tblGrid>
        <w:gridCol w:w="468"/>
        <w:gridCol w:w="9310"/>
      </w:tblGrid>
      <w:tr w:rsidR="00C1164B" w:rsidRPr="00C1164B" w:rsidTr="00C8613A">
        <w:tc>
          <w:tcPr>
            <w:tcW w:w="9778" w:type="dxa"/>
            <w:gridSpan w:val="2"/>
          </w:tcPr>
          <w:p w:rsidR="00C1164B" w:rsidRPr="00C1164B" w:rsidRDefault="00C1164B" w:rsidP="00C1164B">
            <w:pPr>
              <w:autoSpaceDE w:val="0"/>
              <w:autoSpaceDN w:val="0"/>
              <w:adjustRightInd w:val="0"/>
              <w:ind w:firstLine="360"/>
              <w:rPr>
                <w:rFonts w:ascii="Calibri" w:hAnsi="Calibri" w:cs="Verdana"/>
                <w:lang w:eastAsia="da-DK"/>
              </w:rPr>
            </w:pPr>
          </w:p>
          <w:p w:rsidR="00C1164B" w:rsidRPr="00C1164B" w:rsidRDefault="00C1164B" w:rsidP="00C1164B">
            <w:pPr>
              <w:autoSpaceDE w:val="0"/>
              <w:autoSpaceDN w:val="0"/>
              <w:adjustRightInd w:val="0"/>
              <w:ind w:firstLine="360"/>
              <w:rPr>
                <w:rFonts w:ascii="Calibri" w:hAnsi="Calibri" w:cs="Verdana"/>
                <w:i/>
                <w:lang w:eastAsia="da-DK"/>
              </w:rPr>
            </w:pPr>
            <w:r w:rsidRPr="00C1164B">
              <w:rPr>
                <w:rFonts w:ascii="Calibri" w:hAnsi="Calibri" w:cs="Verdana"/>
                <w:b/>
                <w:i/>
                <w:lang w:eastAsia="da-DK"/>
              </w:rPr>
              <w:t>Age</w:t>
            </w:r>
            <w:r w:rsidRPr="00C1164B">
              <w:rPr>
                <w:rFonts w:ascii="Calibri" w:hAnsi="Calibri" w:cs="Verdana"/>
                <w:i/>
                <w:lang w:eastAsia="da-DK"/>
              </w:rPr>
              <w:t>: ……..</w:t>
            </w:r>
          </w:p>
          <w:p w:rsidR="00C1164B" w:rsidRPr="00C1164B" w:rsidRDefault="00C1164B" w:rsidP="00C1164B">
            <w:pPr>
              <w:autoSpaceDE w:val="0"/>
              <w:autoSpaceDN w:val="0"/>
              <w:adjustRightInd w:val="0"/>
              <w:ind w:firstLine="360"/>
              <w:rPr>
                <w:rFonts w:ascii="Calibri" w:hAnsi="Calibri" w:cs="Verdana"/>
                <w:i/>
                <w:lang w:eastAsia="da-DK"/>
              </w:rPr>
            </w:pPr>
            <w:r w:rsidRPr="00C1164B">
              <w:rPr>
                <w:rFonts w:ascii="Calibri" w:hAnsi="Calibri" w:cs="Verdana"/>
                <w:b/>
                <w:i/>
                <w:lang w:eastAsia="da-DK"/>
              </w:rPr>
              <w:t>Sex</w:t>
            </w:r>
            <w:r w:rsidRPr="00C1164B">
              <w:rPr>
                <w:rFonts w:ascii="Calibri" w:hAnsi="Calibri" w:cs="Verdana"/>
                <w:i/>
                <w:lang w:eastAsia="da-DK"/>
              </w:rPr>
              <w:t>: F | M</w:t>
            </w:r>
          </w:p>
          <w:p w:rsidR="00C1164B" w:rsidRPr="00C1164B" w:rsidRDefault="00C1164B" w:rsidP="00C1164B">
            <w:pPr>
              <w:autoSpaceDE w:val="0"/>
              <w:autoSpaceDN w:val="0"/>
              <w:adjustRightInd w:val="0"/>
              <w:ind w:firstLine="360"/>
              <w:rPr>
                <w:rFonts w:ascii="Calibri" w:hAnsi="Calibri" w:cs="Verdana"/>
                <w:i/>
                <w:lang w:eastAsia="da-DK"/>
              </w:rPr>
            </w:pPr>
            <w:r w:rsidRPr="00C1164B">
              <w:rPr>
                <w:rFonts w:ascii="Calibri" w:hAnsi="Calibri" w:cs="Verdana"/>
                <w:b/>
                <w:i/>
                <w:lang w:eastAsia="da-DK"/>
              </w:rPr>
              <w:t>Marital status</w:t>
            </w:r>
            <w:r w:rsidRPr="00C1164B">
              <w:rPr>
                <w:rFonts w:ascii="Calibri" w:hAnsi="Calibri" w:cs="Verdana"/>
                <w:i/>
                <w:lang w:eastAsia="da-DK"/>
              </w:rPr>
              <w:t>: Single | Married | Divorced | Widowed | Other</w:t>
            </w:r>
          </w:p>
          <w:p w:rsidR="00C1164B" w:rsidRPr="00C1164B" w:rsidRDefault="00C1164B" w:rsidP="00C1164B">
            <w:pPr>
              <w:ind w:firstLine="360"/>
              <w:rPr>
                <w:rFonts w:ascii="Calibri" w:hAnsi="Calibri" w:cs="Verdana"/>
                <w:i/>
                <w:lang w:eastAsia="da-DK"/>
              </w:rPr>
            </w:pPr>
            <w:r w:rsidRPr="00C1164B">
              <w:rPr>
                <w:rFonts w:ascii="Calibri" w:hAnsi="Calibri" w:cs="Verdana"/>
                <w:b/>
                <w:i/>
                <w:lang w:eastAsia="da-DK"/>
              </w:rPr>
              <w:t>Employment</w:t>
            </w:r>
            <w:r w:rsidRPr="00C1164B">
              <w:rPr>
                <w:rFonts w:ascii="Calibri" w:hAnsi="Calibri" w:cs="Verdana"/>
                <w:i/>
                <w:lang w:eastAsia="da-DK"/>
              </w:rPr>
              <w:t>: No | Full time | Self-employed | Student | Retired | Other</w:t>
            </w:r>
          </w:p>
          <w:p w:rsidR="00C1164B" w:rsidRPr="00C1164B" w:rsidRDefault="00C1164B" w:rsidP="00C1164B">
            <w:pPr>
              <w:ind w:firstLine="360"/>
              <w:rPr>
                <w:rFonts w:ascii="Calibri" w:hAnsi="Calibri" w:cs="Verdana"/>
                <w:i/>
                <w:lang w:eastAsia="da-DK"/>
              </w:rPr>
            </w:pPr>
            <w:r w:rsidRPr="00C1164B">
              <w:rPr>
                <w:rFonts w:ascii="Calibri" w:hAnsi="Calibri" w:cs="Verdana"/>
                <w:b/>
                <w:i/>
                <w:lang w:eastAsia="da-DK"/>
              </w:rPr>
              <w:t>Position in case</w:t>
            </w:r>
            <w:r w:rsidRPr="00C1164B">
              <w:rPr>
                <w:rFonts w:ascii="Calibri" w:hAnsi="Calibri" w:cs="Verdana"/>
                <w:i/>
                <w:lang w:eastAsia="da-DK"/>
              </w:rPr>
              <w:t>: claimant |defendant | witness| victim/survivor | (civil party)</w:t>
            </w:r>
          </w:p>
          <w:p w:rsidR="00C1164B" w:rsidRPr="00C1164B" w:rsidRDefault="00C1164B" w:rsidP="00C1164B">
            <w:pPr>
              <w:ind w:firstLine="360"/>
              <w:rPr>
                <w:rFonts w:ascii="Calibri" w:hAnsi="Calibri" w:cs="Verdana"/>
                <w:i/>
                <w:lang w:eastAsia="da-DK"/>
              </w:rPr>
            </w:pPr>
            <w:r w:rsidRPr="00C1164B">
              <w:rPr>
                <w:rFonts w:ascii="Calibri" w:hAnsi="Calibri" w:cs="Verdana"/>
                <w:b/>
                <w:i/>
                <w:lang w:eastAsia="da-DK"/>
              </w:rPr>
              <w:t>Type of case</w:t>
            </w:r>
            <w:r w:rsidRPr="00C1164B">
              <w:rPr>
                <w:rFonts w:ascii="Calibri" w:hAnsi="Calibri" w:cs="Verdana"/>
                <w:i/>
                <w:lang w:eastAsia="da-DK"/>
              </w:rPr>
              <w:t xml:space="preserve">: civil | criminal </w:t>
            </w:r>
          </w:p>
          <w:p w:rsidR="00C1164B" w:rsidRPr="00C1164B" w:rsidRDefault="00C1164B" w:rsidP="00C1164B">
            <w:pPr>
              <w:ind w:firstLine="360"/>
              <w:rPr>
                <w:rFonts w:ascii="Calibri" w:hAnsi="Calibri" w:cs="Verdana"/>
                <w:i/>
                <w:lang w:eastAsia="da-DK"/>
              </w:rPr>
            </w:pPr>
            <w:r w:rsidRPr="00C1164B">
              <w:rPr>
                <w:rFonts w:ascii="Calibri" w:hAnsi="Calibri" w:cs="Verdana"/>
                <w:b/>
                <w:i/>
                <w:lang w:eastAsia="da-DK"/>
              </w:rPr>
              <w:t>Nature of case</w:t>
            </w:r>
            <w:r w:rsidRPr="00C1164B">
              <w:rPr>
                <w:rFonts w:ascii="Calibri" w:hAnsi="Calibri" w:cs="Verdana"/>
                <w:i/>
                <w:lang w:eastAsia="da-DK"/>
              </w:rPr>
              <w:t>: SGBV | land |divorce |inheritance |theft |physical assault |other ……………………..</w:t>
            </w:r>
          </w:p>
          <w:p w:rsidR="00C1164B" w:rsidRPr="00C1164B" w:rsidRDefault="00C1164B" w:rsidP="00C1164B">
            <w:pPr>
              <w:ind w:firstLine="360"/>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1</w:t>
            </w:r>
          </w:p>
        </w:tc>
        <w:tc>
          <w:tcPr>
            <w:tcW w:w="9310" w:type="dxa"/>
          </w:tcPr>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lang w:eastAsia="da-DK"/>
              </w:rPr>
            </w:pPr>
            <w:r w:rsidRPr="00C1164B">
              <w:rPr>
                <w:rFonts w:ascii="Calibri" w:hAnsi="Calibri" w:cs="Verdana"/>
                <w:lang w:eastAsia="da-DK"/>
              </w:rPr>
              <w:t xml:space="preserve">When did you start the procedure? …………………(month, year) </w:t>
            </w:r>
          </w:p>
          <w:p w:rsidR="00C1164B" w:rsidRPr="00C1164B" w:rsidRDefault="00C1164B" w:rsidP="00C1164B">
            <w:pPr>
              <w:rPr>
                <w:rFonts w:ascii="Calibri" w:hAnsi="Calibri" w:cs="Verdana"/>
                <w:lang w:eastAsia="da-DK"/>
              </w:rPr>
            </w:pPr>
            <w:r w:rsidRPr="00C1164B">
              <w:rPr>
                <w:rFonts w:ascii="Calibri" w:hAnsi="Calibri" w:cs="Verdana"/>
                <w:lang w:eastAsia="da-DK"/>
              </w:rPr>
              <w:t xml:space="preserve">When did you receive an outcome? ………………. (month, year) </w:t>
            </w:r>
            <w:r w:rsidRPr="00C1164B">
              <w:rPr>
                <w:rFonts w:ascii="Arial" w:hAnsi="Arial" w:cs="Arial"/>
                <w:lang w:eastAsia="da-DK"/>
              </w:rPr>
              <w:t xml:space="preserve">□ </w:t>
            </w:r>
            <w:r w:rsidRPr="00C1164B">
              <w:rPr>
                <w:rFonts w:ascii="Calibri" w:hAnsi="Calibri" w:cs="Verdana"/>
                <w:lang w:eastAsia="da-DK"/>
              </w:rPr>
              <w:t>I did not receive an outcome yet.</w:t>
            </w: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Are you satisfied with the overall time of the MC procedure? </w:t>
            </w:r>
            <w:r w:rsidRPr="00C1164B">
              <w:rPr>
                <w:rFonts w:ascii="Calibri" w:hAnsi="Calibri" w:cs="Verdana"/>
                <w:lang w:eastAsia="da-DK"/>
              </w:rPr>
              <w:t>(from start to final decision)</w:t>
            </w:r>
            <w:r w:rsidRPr="00C1164B">
              <w:rPr>
                <w:rFonts w:ascii="Calibri" w:hAnsi="Calibri" w:cs="Verdana"/>
                <w:b/>
                <w:lang w:eastAsia="da-DK"/>
              </w:rPr>
              <w:t xml:space="preserve">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2</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Was the process of opening your case before the MC easy and straightforward?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lang w:eastAsia="da-DK"/>
              </w:rPr>
            </w:pPr>
            <w:r w:rsidRPr="00C1164B">
              <w:rPr>
                <w:rFonts w:ascii="Calibri" w:hAnsi="Calibri" w:cs="Verdana"/>
                <w:b/>
                <w:lang w:eastAsia="da-DK"/>
              </w:rPr>
              <w:t xml:space="preserve">Who did you first contact to file your case before the MC </w:t>
            </w:r>
            <w:r w:rsidRPr="00C1164B">
              <w:rPr>
                <w:rFonts w:ascii="Calibri" w:hAnsi="Calibri" w:cs="Verdana"/>
                <w:lang w:eastAsia="da-DK"/>
              </w:rPr>
              <w:t>(authorities, NGOs, etc..)</w:t>
            </w:r>
            <w:r w:rsidRPr="00C1164B">
              <w:rPr>
                <w:rFonts w:ascii="Calibri" w:hAnsi="Calibri" w:cs="Verdana"/>
                <w:b/>
                <w:lang w:eastAsia="da-DK"/>
              </w:rPr>
              <w:t xml:space="preserve"> ?</w:t>
            </w:r>
            <w:r w:rsidRPr="00C1164B">
              <w:rPr>
                <w:rFonts w:ascii="Calibri" w:hAnsi="Calibri" w:cs="Verdana"/>
                <w:lang w:eastAsia="da-DK"/>
              </w:rPr>
              <w:t xml:space="preserve"> ………………………</w:t>
            </w:r>
          </w:p>
          <w:p w:rsidR="00C1164B" w:rsidRPr="00C1164B" w:rsidRDefault="00C1164B" w:rsidP="00C1164B">
            <w:pPr>
              <w:rPr>
                <w:rFonts w:ascii="Calibri" w:hAnsi="Calibri" w:cs="Verdana"/>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3</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Were you informed in a timely and adequate manner about your case throughout the procedure?</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Have you received general information about the MC </w:t>
            </w:r>
            <w:r w:rsidRPr="00C1164B">
              <w:rPr>
                <w:rFonts w:ascii="Calibri" w:hAnsi="Calibri" w:cs="Verdana"/>
                <w:lang w:eastAsia="da-DK"/>
              </w:rPr>
              <w:t>(role, objectives…)</w:t>
            </w:r>
            <w:r w:rsidRPr="00C1164B">
              <w:rPr>
                <w:rFonts w:ascii="Calibri" w:hAnsi="Calibri" w:cs="Verdana"/>
                <w:b/>
                <w:lang w:eastAsia="da-DK"/>
              </w:rPr>
              <w:t xml:space="preserve">?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r w:rsidRPr="00C1164B">
              <w:rPr>
                <w:rFonts w:ascii="Calibri" w:hAnsi="Calibri" w:cs="Verdana"/>
                <w:b/>
                <w:lang w:eastAsia="da-DK"/>
              </w:rPr>
              <w:t xml:space="preserve">. </w:t>
            </w:r>
            <w:r w:rsidRPr="00C1164B">
              <w:rPr>
                <w:rFonts w:ascii="Calibri" w:hAnsi="Calibri" w:cs="Verdana"/>
                <w:lang w:eastAsia="da-DK"/>
              </w:rPr>
              <w:t>Please specify by whom ………………………………………………………………………………….</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4</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Were you granted legal aid from a lawyer or a paralegal? </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 xml:space="preserve">Yes. Please specify if:  </w:t>
            </w:r>
            <w:r w:rsidRPr="00C1164B">
              <w:rPr>
                <w:rFonts w:ascii="Arial" w:hAnsi="Arial" w:cs="Arial"/>
                <w:lang w:eastAsia="da-DK"/>
              </w:rPr>
              <w:t>□</w:t>
            </w:r>
            <w:r w:rsidRPr="00C1164B">
              <w:rPr>
                <w:rFonts w:ascii="Calibri" w:hAnsi="Calibri" w:cs="Verdana"/>
                <w:lang w:eastAsia="da-DK"/>
              </w:rPr>
              <w:t xml:space="preserve"> lawyer or </w:t>
            </w:r>
            <w:r w:rsidRPr="00C1164B">
              <w:rPr>
                <w:rFonts w:ascii="Arial" w:hAnsi="Arial" w:cs="Arial"/>
                <w:lang w:eastAsia="da-DK"/>
              </w:rPr>
              <w:t xml:space="preserve">□ </w:t>
            </w:r>
            <w:r w:rsidRPr="00C1164B">
              <w:rPr>
                <w:rFonts w:ascii="Calibri" w:hAnsi="Calibri" w:cs="Verdana"/>
                <w:lang w:eastAsia="da-DK"/>
              </w:rPr>
              <w:t>paralegal</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Was the assistance of the lawyer/paralegal useful?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5</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Was the final decision fair?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Was the final decision in accordance with the traditions and culture of your community?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Was the final decision explained and eventually translated to you?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6</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Was your problem solved by the decision of the MC?</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7</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Were traditional authorities involved in the procedure?</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b/>
                <w:lang w:eastAsia="da-DK"/>
              </w:rPr>
            </w:pPr>
            <w:r w:rsidRPr="00C1164B">
              <w:rPr>
                <w:rFonts w:ascii="Calibri" w:hAnsi="Calibri" w:cs="Verdana"/>
                <w:lang w:eastAsia="da-DK"/>
              </w:rPr>
              <w:t xml:space="preserve"> </w:t>
            </w:r>
            <w:r w:rsidRPr="00C1164B">
              <w:rPr>
                <w:rFonts w:ascii="Calibri" w:hAnsi="Calibri" w:cs="Verdana"/>
                <w:b/>
                <w:lang w:eastAsia="da-DK"/>
              </w:rPr>
              <w:t>If so, did they facilitate the procedure?</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8</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How much money did you eventually spend for the procedure </w:t>
            </w:r>
            <w:r w:rsidRPr="00C1164B">
              <w:rPr>
                <w:rFonts w:ascii="Calibri" w:hAnsi="Calibri" w:cs="Verdana"/>
                <w:lang w:eastAsia="da-DK"/>
              </w:rPr>
              <w:t>(court fees, lawyer etc)</w:t>
            </w:r>
            <w:r w:rsidRPr="00C1164B">
              <w:rPr>
                <w:rFonts w:ascii="Calibri" w:hAnsi="Calibri" w:cs="Verdana"/>
                <w:b/>
                <w:lang w:eastAsia="da-DK"/>
              </w:rPr>
              <w:t xml:space="preserve">? </w:t>
            </w:r>
          </w:p>
          <w:p w:rsidR="00C1164B" w:rsidRPr="00C1164B" w:rsidRDefault="00C1164B" w:rsidP="00C1164B">
            <w:pPr>
              <w:rPr>
                <w:rFonts w:ascii="Calibri" w:hAnsi="Calibri" w:cs="Verdana"/>
                <w:lang w:eastAsia="da-DK"/>
              </w:rPr>
            </w:pPr>
            <w:r w:rsidRPr="00C1164B">
              <w:rPr>
                <w:rFonts w:ascii="Calibri" w:hAnsi="Calibri" w:cs="Verdana"/>
                <w:lang w:eastAsia="da-DK"/>
              </w:rPr>
              <w:t>Please specify: ………………………….</w:t>
            </w:r>
          </w:p>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Did you have to pay bribes?</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9</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Did your participation in the MC trial have an impact on your social relationships?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 a positive impact </w:t>
            </w:r>
            <w:r w:rsidRPr="00C1164B">
              <w:rPr>
                <w:rFonts w:ascii="Arial" w:hAnsi="Arial" w:cs="Arial"/>
                <w:lang w:eastAsia="da-DK"/>
              </w:rPr>
              <w:t>□</w:t>
            </w:r>
            <w:r w:rsidRPr="00C1164B">
              <w:rPr>
                <w:rFonts w:ascii="Calibri" w:hAnsi="Calibri" w:cs="Verdana"/>
                <w:lang w:eastAsia="da-DK"/>
              </w:rPr>
              <w:t xml:space="preserve"> Yes, a negative impact </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lastRenderedPageBreak/>
              <w:t xml:space="preserve">□ </w:t>
            </w:r>
            <w:r w:rsidRPr="00C1164B">
              <w:rPr>
                <w:rFonts w:ascii="Calibri" w:hAnsi="Calibri" w:cs="Verdana"/>
                <w:lang w:eastAsia="da-DK"/>
              </w:rPr>
              <w:t>Don’t know</w:t>
            </w: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Did your participation in the MC trial affect your personal security at any stage of the procedure?</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 Please specify ……………………………………………………….</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No</w:t>
            </w:r>
          </w:p>
          <w:p w:rsidR="00C1164B" w:rsidRPr="00C1164B" w:rsidRDefault="00C1164B" w:rsidP="00C1164B">
            <w:pPr>
              <w:rPr>
                <w:rFonts w:ascii="Calibri" w:hAnsi="Calibri" w:cs="Verdana"/>
                <w:lang w:eastAsia="da-DK"/>
              </w:rPr>
            </w:pPr>
            <w:r w:rsidRPr="00C1164B">
              <w:rPr>
                <w:rFonts w:ascii="Arial" w:hAnsi="Arial" w:cs="Arial"/>
                <w:lang w:eastAsia="da-DK"/>
              </w:rPr>
              <w:t xml:space="preserve">□ </w:t>
            </w:r>
            <w:r w:rsidRPr="00C1164B">
              <w:rPr>
                <w:rFonts w:ascii="Calibri" w:hAnsi="Calibri" w:cs="Verdana"/>
                <w:lang w:eastAsia="da-DK"/>
              </w:rPr>
              <w:t>Don’t know</w:t>
            </w:r>
          </w:p>
          <w:p w:rsidR="00C1164B" w:rsidRPr="00C1164B" w:rsidRDefault="00C1164B" w:rsidP="00C1164B">
            <w:pPr>
              <w:rPr>
                <w:rFonts w:ascii="Calibri" w:hAnsi="Calibri" w:cs="Verdana"/>
                <w:b/>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10</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For eventual future disputes would you refer your case to the MC again?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Yes</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No. Please specify why: ………………………………………………………………………..</w:t>
            </w:r>
          </w:p>
          <w:p w:rsidR="00C1164B" w:rsidRPr="00C1164B" w:rsidRDefault="00C1164B" w:rsidP="00C1164B">
            <w:pPr>
              <w:rPr>
                <w:rFonts w:ascii="Calibri" w:hAnsi="Calibri" w:cs="Verdana"/>
                <w:lang w:eastAsia="da-DK"/>
              </w:rPr>
            </w:pPr>
            <w:r w:rsidRPr="00C1164B">
              <w:rPr>
                <w:rFonts w:ascii="Arial" w:hAnsi="Arial" w:cs="Arial"/>
                <w:lang w:eastAsia="da-DK"/>
              </w:rPr>
              <w:t>□</w:t>
            </w:r>
            <w:r w:rsidRPr="00C1164B">
              <w:rPr>
                <w:rFonts w:ascii="Calibri" w:hAnsi="Calibri" w:cs="Verdana"/>
                <w:lang w:eastAsia="da-DK"/>
              </w:rPr>
              <w:t xml:space="preserve"> Don’t know</w:t>
            </w:r>
          </w:p>
          <w:p w:rsidR="00C1164B" w:rsidRPr="00C1164B" w:rsidRDefault="00C1164B" w:rsidP="00C1164B">
            <w:pPr>
              <w:rPr>
                <w:rFonts w:ascii="Calibri" w:hAnsi="Calibri" w:cs="Verdana"/>
                <w:lang w:eastAsia="da-DK"/>
              </w:rPr>
            </w:pPr>
          </w:p>
          <w:p w:rsidR="00C1164B" w:rsidRPr="00C1164B" w:rsidRDefault="00C1164B" w:rsidP="00C1164B">
            <w:pPr>
              <w:tabs>
                <w:tab w:val="left" w:pos="4677"/>
              </w:tabs>
              <w:rPr>
                <w:rFonts w:ascii="Calibri" w:hAnsi="Calibri" w:cs="Verdana"/>
                <w:lang w:eastAsia="da-DK"/>
              </w:rPr>
            </w:pPr>
            <w:r w:rsidRPr="00C1164B">
              <w:rPr>
                <w:rFonts w:ascii="Calibri" w:hAnsi="Calibri" w:cs="Verdana"/>
                <w:lang w:eastAsia="da-DK"/>
              </w:rPr>
              <w:t>If not, to whom would you refer the case? …..…………………………………………..</w:t>
            </w:r>
          </w:p>
          <w:p w:rsidR="00C1164B" w:rsidRPr="00C1164B" w:rsidRDefault="00C1164B" w:rsidP="00C1164B">
            <w:pPr>
              <w:tabs>
                <w:tab w:val="left" w:pos="4677"/>
              </w:tabs>
              <w:rPr>
                <w:rFonts w:ascii="Calibri" w:hAnsi="Calibri" w:cs="Verdana"/>
                <w:lang w:eastAsia="da-DK"/>
              </w:rPr>
            </w:pPr>
          </w:p>
        </w:tc>
      </w:tr>
      <w:tr w:rsidR="00C1164B" w:rsidRPr="00C1164B" w:rsidTr="00C8613A">
        <w:tc>
          <w:tcPr>
            <w:tcW w:w="468"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11</w:t>
            </w:r>
          </w:p>
        </w:tc>
        <w:tc>
          <w:tcPr>
            <w:tcW w:w="9310" w:type="dxa"/>
          </w:tcPr>
          <w:p w:rsidR="00C1164B" w:rsidRPr="00C1164B" w:rsidRDefault="00C1164B" w:rsidP="00C1164B">
            <w:pPr>
              <w:rPr>
                <w:rFonts w:ascii="Calibri" w:hAnsi="Calibri" w:cs="Verdana"/>
                <w:b/>
                <w:lang w:eastAsia="da-DK"/>
              </w:rPr>
            </w:pPr>
          </w:p>
          <w:p w:rsidR="00C1164B" w:rsidRPr="00C1164B" w:rsidRDefault="00C1164B" w:rsidP="00C1164B">
            <w:pPr>
              <w:rPr>
                <w:rFonts w:ascii="Calibri" w:hAnsi="Calibri" w:cs="Verdana"/>
                <w:b/>
                <w:lang w:eastAsia="da-DK"/>
              </w:rPr>
            </w:pPr>
            <w:r w:rsidRPr="00C1164B">
              <w:rPr>
                <w:rFonts w:ascii="Calibri" w:hAnsi="Calibri" w:cs="Verdana"/>
                <w:b/>
                <w:lang w:eastAsia="da-DK"/>
              </w:rPr>
              <w:t xml:space="preserve">Would you have any suggestions to improve the MC service? </w:t>
            </w: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lang w:eastAsia="da-DK"/>
              </w:rPr>
            </w:pPr>
          </w:p>
          <w:p w:rsidR="00C1164B" w:rsidRPr="00C1164B" w:rsidRDefault="00C1164B" w:rsidP="00C1164B">
            <w:pPr>
              <w:rPr>
                <w:rFonts w:ascii="Calibri" w:hAnsi="Calibri" w:cs="Verdana"/>
                <w:lang w:eastAsia="da-DK"/>
              </w:rPr>
            </w:pPr>
          </w:p>
        </w:tc>
      </w:tr>
    </w:tbl>
    <w:p w:rsidR="00C1164B" w:rsidRPr="00C1164B" w:rsidRDefault="00C1164B" w:rsidP="00C1164B">
      <w:pPr>
        <w:spacing w:after="0" w:line="270" w:lineRule="atLeast"/>
        <w:rPr>
          <w:rFonts w:ascii="Calibri" w:eastAsia="Times New Roman" w:hAnsi="Calibri" w:cs="Verdana"/>
          <w:b/>
          <w:lang w:eastAsia="da-DK"/>
        </w:rPr>
      </w:pPr>
    </w:p>
    <w:p w:rsidR="00C1164B" w:rsidRPr="00C1164B" w:rsidRDefault="00C1164B" w:rsidP="00C1164B">
      <w:pPr>
        <w:spacing w:after="0" w:line="270" w:lineRule="atLeast"/>
        <w:rPr>
          <w:rFonts w:ascii="Calibri" w:eastAsia="Times New Roman" w:hAnsi="Calibri" w:cs="Verdana"/>
          <w:lang w:eastAsia="da-DK"/>
        </w:rPr>
      </w:pPr>
    </w:p>
    <w:p w:rsidR="00C1164B" w:rsidRPr="00C1164B" w:rsidRDefault="00C1164B" w:rsidP="00C1164B">
      <w:pPr>
        <w:spacing w:after="0" w:line="270" w:lineRule="atLeast"/>
        <w:rPr>
          <w:rFonts w:ascii="Calibri" w:eastAsia="Times New Roman" w:hAnsi="Calibri" w:cs="Times New Roman"/>
          <w:b/>
          <w:color w:val="800000"/>
          <w:sz w:val="28"/>
          <w:szCs w:val="28"/>
          <w:u w:val="single"/>
          <w:lang w:val="en-GB" w:eastAsia="da-DK"/>
        </w:rPr>
      </w:pPr>
      <w:r w:rsidRPr="00C1164B">
        <w:rPr>
          <w:rFonts w:ascii="Calibri" w:eastAsia="Times New Roman" w:hAnsi="Calibri" w:cs="Times New Roman"/>
          <w:b/>
          <w:color w:val="800000"/>
          <w:lang w:eastAsia="da-DK"/>
        </w:rPr>
        <w:br w:type="page"/>
      </w:r>
      <w:r w:rsidRPr="00C1164B">
        <w:rPr>
          <w:rFonts w:ascii="Calibri" w:eastAsia="Times New Roman" w:hAnsi="Calibri" w:cs="Times New Roman"/>
          <w:b/>
          <w:color w:val="800000"/>
          <w:sz w:val="28"/>
          <w:szCs w:val="28"/>
          <w:u w:val="single"/>
          <w:lang w:val="en-GB" w:eastAsia="da-DK"/>
        </w:rPr>
        <w:lastRenderedPageBreak/>
        <w:t xml:space="preserve">ANNEX 5: </w:t>
      </w:r>
      <w:r w:rsidRPr="00C1164B">
        <w:rPr>
          <w:rFonts w:ascii="Calibri" w:eastAsia="Times New Roman" w:hAnsi="Calibri" w:cs="Times New Roman"/>
          <w:b/>
          <w:color w:val="800000"/>
          <w:lang w:val="en-GB" w:eastAsia="da-DK"/>
        </w:rPr>
        <w:t xml:space="preserve">Query on </w:t>
      </w:r>
      <w:smartTag w:uri="urn:schemas-microsoft-com:office:smarttags" w:element="Street">
        <w:smartTag w:uri="urn:schemas-microsoft-com:office:smarttags" w:element="address">
          <w:r w:rsidRPr="00C1164B">
            <w:rPr>
              <w:rFonts w:ascii="Calibri" w:eastAsia="Times New Roman" w:hAnsi="Calibri" w:cs="Times New Roman"/>
              <w:b/>
              <w:color w:val="800000"/>
              <w:lang w:val="en-GB" w:eastAsia="da-DK"/>
            </w:rPr>
            <w:t>Mobile Court</w:t>
          </w:r>
        </w:smartTag>
      </w:smartTag>
      <w:r w:rsidRPr="00C1164B">
        <w:rPr>
          <w:rFonts w:ascii="Calibri" w:eastAsia="Times New Roman" w:hAnsi="Calibri" w:cs="Times New Roman"/>
          <w:b/>
          <w:color w:val="800000"/>
          <w:lang w:val="en-GB" w:eastAsia="da-DK"/>
        </w:rPr>
        <w:t xml:space="preserve"> interventions for UNDP knowledge networks (CPRnet and Governance)</w:t>
      </w:r>
    </w:p>
    <w:p w:rsidR="00C1164B" w:rsidRPr="00C1164B" w:rsidRDefault="00C1164B" w:rsidP="00C1164B">
      <w:pPr>
        <w:pBdr>
          <w:bottom w:val="single" w:sz="4" w:space="1" w:color="auto"/>
        </w:pBdr>
        <w:spacing w:after="0" w:line="300" w:lineRule="exact"/>
        <w:jc w:val="both"/>
        <w:rPr>
          <w:rFonts w:ascii="Calibri" w:eastAsia="Times New Roman" w:hAnsi="Calibri" w:cs="Times New Roman"/>
          <w:lang w:val="en-GB" w:eastAsia="da-DK"/>
        </w:rPr>
      </w:pPr>
    </w:p>
    <w:p w:rsidR="00C1164B" w:rsidRPr="00C1164B" w:rsidRDefault="00C1164B" w:rsidP="00C1164B">
      <w:pPr>
        <w:spacing w:after="0" w:line="270" w:lineRule="atLeast"/>
        <w:jc w:val="both"/>
        <w:rPr>
          <w:rFonts w:ascii="Calibri" w:eastAsia="Times New Roman" w:hAnsi="Calibri" w:cs="Times New Roman"/>
          <w:lang w:val="en-GB" w:eastAsia="da-DK"/>
        </w:rPr>
      </w:pPr>
    </w:p>
    <w:p w:rsidR="00C1164B" w:rsidRPr="00C1164B" w:rsidRDefault="00C1164B" w:rsidP="00C1164B">
      <w:pPr>
        <w:spacing w:after="0" w:line="270" w:lineRule="atLeast"/>
        <w:jc w:val="both"/>
        <w:rPr>
          <w:rFonts w:ascii="Calibri" w:eastAsia="Times New Roman" w:hAnsi="Calibri" w:cs="Times New Roman"/>
          <w:i/>
          <w:lang w:eastAsia="da-DK"/>
        </w:rPr>
      </w:pPr>
      <w:r w:rsidRPr="00C1164B">
        <w:rPr>
          <w:rFonts w:ascii="Calibri" w:eastAsia="Times New Roman" w:hAnsi="Calibri" w:cs="Times New Roman"/>
          <w:i/>
          <w:lang w:eastAsia="da-DK"/>
        </w:rPr>
        <w:t xml:space="preserve"> For the purpose of the present query, </w:t>
      </w:r>
      <w:smartTag w:uri="urn:schemas-microsoft-com:office:smarttags" w:element="place">
        <w:r w:rsidRPr="00C1164B">
          <w:rPr>
            <w:rFonts w:ascii="Calibri" w:eastAsia="Times New Roman" w:hAnsi="Calibri" w:cs="Times New Roman"/>
            <w:i/>
            <w:lang w:eastAsia="da-DK"/>
          </w:rPr>
          <w:t>Mobile</w:t>
        </w:r>
      </w:smartTag>
      <w:r w:rsidRPr="00C1164B">
        <w:rPr>
          <w:rFonts w:ascii="Calibri" w:eastAsia="Times New Roman" w:hAnsi="Calibri" w:cs="Times New Roman"/>
          <w:i/>
          <w:lang w:eastAsia="da-DK"/>
        </w:rPr>
        <w:t xml:space="preserve"> Courts are defined as “formal courts that conduct proceedings in locations other than their home courts, usually in remote areas where no justice services are available”. Trials are organized closer to the population by transferring the required justice actors (judge, prosecutor, court clerk, police officer…) to remote locations with the main objective to facilitate access to justice, in particularly for vulnerable groups who would not otherwise have the possibility to bring their cases before a formal court, often located miles away from their villages. </w:t>
      </w:r>
    </w:p>
    <w:p w:rsidR="00C1164B" w:rsidRPr="00C1164B" w:rsidRDefault="00C1164B" w:rsidP="00C1164B">
      <w:pPr>
        <w:spacing w:after="0" w:line="300" w:lineRule="exact"/>
        <w:jc w:val="both"/>
        <w:rPr>
          <w:rFonts w:ascii="Calibri" w:eastAsia="Times New Roman" w:hAnsi="Calibri" w:cs="Times New Roman"/>
          <w:i/>
          <w:lang w:eastAsia="da-DK"/>
        </w:rPr>
      </w:pPr>
    </w:p>
    <w:p w:rsidR="00C1164B" w:rsidRPr="00C1164B" w:rsidRDefault="00C1164B" w:rsidP="00C1164B">
      <w:pPr>
        <w:spacing w:after="0" w:line="270" w:lineRule="atLeast"/>
        <w:jc w:val="both"/>
        <w:rPr>
          <w:rFonts w:ascii="Calibri" w:eastAsia="Times New Roman" w:hAnsi="Calibri" w:cs="Times New Roman"/>
          <w:i/>
          <w:lang w:val="en-GB" w:eastAsia="da-DK"/>
        </w:rPr>
      </w:pPr>
      <w:r w:rsidRPr="00C1164B">
        <w:rPr>
          <w:rFonts w:ascii="Calibri" w:eastAsia="Times New Roman" w:hAnsi="Calibri" w:cs="Times New Roman"/>
          <w:i/>
          <w:lang w:eastAsia="da-DK"/>
        </w:rPr>
        <w:t>The</w:t>
      </w:r>
      <w:r w:rsidRPr="00C1164B">
        <w:rPr>
          <w:rFonts w:ascii="Calibri" w:eastAsia="Times New Roman" w:hAnsi="Calibri" w:cs="Times New Roman"/>
          <w:i/>
          <w:lang w:val="en-GB" w:eastAsia="da-DK"/>
        </w:rPr>
        <w:t xml:space="preserve"> growing number of UNDP Country Offices that are supporting Mobile Courts interventions and the </w:t>
      </w:r>
      <w:r w:rsidRPr="00C1164B">
        <w:rPr>
          <w:rFonts w:ascii="Calibri" w:eastAsia="Times New Roman" w:hAnsi="Calibri" w:cs="Times New Roman"/>
          <w:i/>
          <w:lang w:eastAsia="da-DK"/>
        </w:rPr>
        <w:t>lack of comprehensive studies specifically dedicated to this topic,</w:t>
      </w:r>
      <w:r w:rsidRPr="00C1164B">
        <w:rPr>
          <w:rFonts w:ascii="Calibri" w:eastAsia="Times New Roman" w:hAnsi="Calibri" w:cs="Times New Roman"/>
          <w:i/>
          <w:lang w:val="en-GB" w:eastAsia="da-DK"/>
        </w:rPr>
        <w:t xml:space="preserve"> suggest that</w:t>
      </w:r>
      <w:r w:rsidRPr="00C1164B">
        <w:rPr>
          <w:rFonts w:ascii="Calibri" w:eastAsia="Times New Roman" w:hAnsi="Calibri" w:cs="Times New Roman"/>
          <w:i/>
          <w:lang w:eastAsia="da-DK"/>
        </w:rPr>
        <w:t xml:space="preserve"> further analysis of the functioning and impact of mobile courts interventions and how UNDP supports these initiatives would be needed.</w:t>
      </w:r>
    </w:p>
    <w:p w:rsidR="00C1164B" w:rsidRPr="00C1164B" w:rsidRDefault="00C1164B" w:rsidP="00C1164B">
      <w:pPr>
        <w:spacing w:after="0" w:line="300" w:lineRule="exact"/>
        <w:jc w:val="both"/>
        <w:rPr>
          <w:rFonts w:ascii="Calibri" w:eastAsia="Times New Roman" w:hAnsi="Calibri" w:cs="Times New Roman"/>
          <w:i/>
          <w:lang w:val="en-GB" w:eastAsia="da-DK"/>
        </w:rPr>
      </w:pPr>
    </w:p>
    <w:p w:rsidR="00C1164B" w:rsidRPr="00C1164B" w:rsidRDefault="00C1164B" w:rsidP="00C1164B">
      <w:pPr>
        <w:spacing w:after="0" w:line="300" w:lineRule="exact"/>
        <w:jc w:val="both"/>
        <w:rPr>
          <w:rFonts w:ascii="Calibri" w:eastAsia="Times New Roman" w:hAnsi="Calibri" w:cs="Times New Roman"/>
          <w:i/>
          <w:lang w:val="en-GB" w:eastAsia="da-DK"/>
        </w:rPr>
      </w:pPr>
      <w:r w:rsidRPr="00C1164B">
        <w:rPr>
          <w:rFonts w:ascii="Calibri" w:eastAsia="Times New Roman" w:hAnsi="Calibri" w:cs="Times New Roman"/>
          <w:i/>
          <w:lang w:val="en-GB" w:eastAsia="da-DK"/>
        </w:rPr>
        <w:t xml:space="preserve">Within this framework, BCPR is conducting an evaluation to </w:t>
      </w:r>
      <w:r w:rsidRPr="00C1164B">
        <w:rPr>
          <w:rFonts w:ascii="Calibri" w:eastAsia="Times New Roman" w:hAnsi="Calibri" w:cs="Times New Roman"/>
          <w:i/>
          <w:lang w:eastAsia="da-DK"/>
        </w:rPr>
        <w:t>assess results, identify good practices and lessons learned in supporting mobile courts interventions across UNDP RoL programmes in post-conflict settings. The evaluation includes a field visit of an international consultant in 3 selected Country Offices (</w:t>
      </w:r>
      <w:smartTag w:uri="urn:schemas-microsoft-com:office:smarttags" w:element="country-region">
        <w:r w:rsidRPr="00C1164B">
          <w:rPr>
            <w:rFonts w:ascii="Calibri" w:eastAsia="Times New Roman" w:hAnsi="Calibri" w:cs="Times New Roman"/>
            <w:i/>
            <w:lang w:eastAsia="da-DK"/>
          </w:rPr>
          <w:t>Sierra Leone</w:t>
        </w:r>
      </w:smartTag>
      <w:r w:rsidRPr="00C1164B">
        <w:rPr>
          <w:rFonts w:ascii="Calibri" w:eastAsia="Times New Roman" w:hAnsi="Calibri" w:cs="Times New Roman"/>
          <w:i/>
          <w:lang w:eastAsia="da-DK"/>
        </w:rPr>
        <w:t xml:space="preserve">, Central Africa and </w:t>
      </w:r>
      <w:smartTag w:uri="urn:schemas-microsoft-com:office:smarttags" w:element="country-region">
        <w:r w:rsidRPr="00C1164B">
          <w:rPr>
            <w:rFonts w:ascii="Calibri" w:eastAsia="Times New Roman" w:hAnsi="Calibri" w:cs="Times New Roman"/>
            <w:i/>
            <w:lang w:eastAsia="da-DK"/>
          </w:rPr>
          <w:t>Somalia</w:t>
        </w:r>
      </w:smartTag>
      <w:r w:rsidRPr="00C1164B">
        <w:rPr>
          <w:rFonts w:ascii="Calibri" w:eastAsia="Times New Roman" w:hAnsi="Calibri" w:cs="Times New Roman"/>
          <w:i/>
          <w:lang w:eastAsia="da-DK"/>
        </w:rPr>
        <w:t>) and a</w:t>
      </w:r>
      <w:r w:rsidRPr="00C1164B">
        <w:rPr>
          <w:rFonts w:ascii="Calibri" w:eastAsia="Times New Roman" w:hAnsi="Calibri" w:cs="Times New Roman"/>
          <w:i/>
          <w:lang w:val="en-GB" w:eastAsia="da-DK"/>
        </w:rPr>
        <w:t xml:space="preserve"> desk study on additional Country Offices that are supporting </w:t>
      </w:r>
      <w:smartTag w:uri="urn:schemas-microsoft-com:office:smarttags" w:element="place">
        <w:r w:rsidRPr="00C1164B">
          <w:rPr>
            <w:rFonts w:ascii="Calibri" w:eastAsia="Times New Roman" w:hAnsi="Calibri" w:cs="Times New Roman"/>
            <w:i/>
            <w:lang w:val="en-GB" w:eastAsia="da-DK"/>
          </w:rPr>
          <w:t>Mobile</w:t>
        </w:r>
      </w:smartTag>
      <w:r w:rsidRPr="00C1164B">
        <w:rPr>
          <w:rFonts w:ascii="Calibri" w:eastAsia="Times New Roman" w:hAnsi="Calibri" w:cs="Times New Roman"/>
          <w:i/>
          <w:lang w:val="en-GB" w:eastAsia="da-DK"/>
        </w:rPr>
        <w:t xml:space="preserve"> Courts. </w:t>
      </w:r>
    </w:p>
    <w:p w:rsidR="00C1164B" w:rsidRPr="00C1164B" w:rsidRDefault="00C1164B" w:rsidP="00C1164B">
      <w:pPr>
        <w:spacing w:after="0" w:line="300" w:lineRule="exact"/>
        <w:jc w:val="both"/>
        <w:rPr>
          <w:rFonts w:ascii="Calibri" w:eastAsia="Times New Roman" w:hAnsi="Calibri" w:cs="Times New Roman"/>
          <w:b/>
          <w:i/>
          <w:lang w:val="en-GB" w:eastAsia="da-DK"/>
        </w:rPr>
      </w:pPr>
    </w:p>
    <w:p w:rsidR="00C1164B" w:rsidRPr="00C1164B" w:rsidRDefault="00C1164B" w:rsidP="00C1164B">
      <w:pPr>
        <w:spacing w:after="0" w:line="300" w:lineRule="exact"/>
        <w:jc w:val="both"/>
        <w:rPr>
          <w:rFonts w:ascii="Calibri" w:eastAsia="Times New Roman" w:hAnsi="Calibri" w:cs="Times New Roman"/>
          <w:b/>
          <w:i/>
          <w:lang w:val="en-GB" w:eastAsia="da-DK"/>
        </w:rPr>
      </w:pPr>
      <w:r w:rsidRPr="00C1164B">
        <w:rPr>
          <w:rFonts w:ascii="Calibri" w:eastAsia="Times New Roman" w:hAnsi="Calibri" w:cs="Times New Roman"/>
          <w:b/>
          <w:i/>
          <w:lang w:val="en-GB" w:eastAsia="da-DK"/>
        </w:rPr>
        <w:t>If your Country Office is supporting or planning to support Mobile Courts and you would be available to participate in the Desk Study, we would appreciate if you could share your experience by using one (or both) of the following data collection methods:</w:t>
      </w:r>
    </w:p>
    <w:p w:rsidR="00C1164B" w:rsidRPr="00C1164B" w:rsidRDefault="00C1164B" w:rsidP="00C1164B">
      <w:pPr>
        <w:spacing w:after="0" w:line="300" w:lineRule="exact"/>
        <w:jc w:val="both"/>
        <w:rPr>
          <w:rFonts w:ascii="Calibri" w:eastAsia="Times New Roman" w:hAnsi="Calibri" w:cs="Times New Roman"/>
          <w:b/>
          <w:i/>
          <w:lang w:val="en-GB" w:eastAsia="da-DK"/>
        </w:rPr>
      </w:pPr>
    </w:p>
    <w:p w:rsidR="00C1164B" w:rsidRPr="00C1164B" w:rsidRDefault="00C1164B" w:rsidP="00C1164B">
      <w:pPr>
        <w:numPr>
          <w:ilvl w:val="0"/>
          <w:numId w:val="104"/>
        </w:numPr>
        <w:spacing w:after="0" w:line="240" w:lineRule="auto"/>
        <w:rPr>
          <w:rFonts w:ascii="Calibri" w:eastAsia="Times New Roman" w:hAnsi="Calibri" w:cs="Times New Roman"/>
          <w:i/>
          <w:lang w:val="en-GB" w:eastAsia="da-DK"/>
        </w:rPr>
      </w:pPr>
      <w:r w:rsidRPr="00C1164B">
        <w:rPr>
          <w:rFonts w:ascii="Calibri" w:eastAsia="Times New Roman" w:hAnsi="Calibri" w:cs="Times New Roman"/>
          <w:b/>
          <w:i/>
          <w:lang w:val="en-GB" w:eastAsia="da-DK"/>
        </w:rPr>
        <w:t>Send a general reply to the query</w:t>
      </w:r>
      <w:r w:rsidRPr="00C1164B">
        <w:rPr>
          <w:rFonts w:ascii="Calibri" w:eastAsia="Times New Roman" w:hAnsi="Calibri" w:cs="Times New Roman"/>
          <w:i/>
          <w:lang w:val="en-GB" w:eastAsia="da-DK"/>
        </w:rPr>
        <w:t xml:space="preserve">, addressing the following aspects: 1) brief presentation of the Mobile Court that your CO is supporting 2) Which are the greatest challenges in supporting </w:t>
      </w:r>
      <w:smartTag w:uri="urn:schemas-microsoft-com:office:smarttags" w:element="place">
        <w:r w:rsidRPr="00C1164B">
          <w:rPr>
            <w:rFonts w:ascii="Calibri" w:eastAsia="Times New Roman" w:hAnsi="Calibri" w:cs="Times New Roman"/>
            <w:i/>
            <w:lang w:val="en-GB" w:eastAsia="da-DK"/>
          </w:rPr>
          <w:t>Mobile</w:t>
        </w:r>
      </w:smartTag>
      <w:r w:rsidRPr="00C1164B">
        <w:rPr>
          <w:rFonts w:ascii="Calibri" w:eastAsia="Times New Roman" w:hAnsi="Calibri" w:cs="Times New Roman"/>
          <w:i/>
          <w:lang w:val="en-GB" w:eastAsia="da-DK"/>
        </w:rPr>
        <w:t xml:space="preserve"> Courts? 3) Which are the main lessons learned? 4) Are there any replicable “good practices” developed within the </w:t>
      </w:r>
      <w:smartTag w:uri="urn:schemas-microsoft-com:office:smarttags" w:element="Street">
        <w:smartTag w:uri="urn:schemas-microsoft-com:office:smarttags" w:element="address">
          <w:r w:rsidRPr="00C1164B">
            <w:rPr>
              <w:rFonts w:ascii="Calibri" w:eastAsia="Times New Roman" w:hAnsi="Calibri" w:cs="Times New Roman"/>
              <w:i/>
              <w:lang w:val="en-GB" w:eastAsia="da-DK"/>
            </w:rPr>
            <w:t>Mobile Court</w:t>
          </w:r>
        </w:smartTag>
      </w:smartTag>
      <w:r w:rsidRPr="00C1164B">
        <w:rPr>
          <w:rFonts w:ascii="Calibri" w:eastAsia="Times New Roman" w:hAnsi="Calibri" w:cs="Times New Roman"/>
          <w:i/>
          <w:lang w:val="en-GB" w:eastAsia="da-DK"/>
        </w:rPr>
        <w:t xml:space="preserve"> intervention that you are supporting?</w:t>
      </w:r>
    </w:p>
    <w:p w:rsidR="00C1164B" w:rsidRPr="00C1164B" w:rsidRDefault="00C1164B" w:rsidP="00C1164B">
      <w:pPr>
        <w:numPr>
          <w:ilvl w:val="0"/>
          <w:numId w:val="104"/>
        </w:numPr>
        <w:spacing w:after="0" w:line="300" w:lineRule="exact"/>
        <w:jc w:val="both"/>
        <w:rPr>
          <w:rFonts w:ascii="Calibri" w:eastAsia="Times New Roman" w:hAnsi="Calibri" w:cs="Times New Roman"/>
          <w:i/>
          <w:lang w:val="en-GB" w:eastAsia="da-DK"/>
        </w:rPr>
      </w:pPr>
      <w:r w:rsidRPr="00C1164B">
        <w:rPr>
          <w:rFonts w:ascii="Calibri" w:eastAsia="Times New Roman" w:hAnsi="Calibri" w:cs="Times New Roman"/>
          <w:b/>
          <w:i/>
          <w:lang w:val="en-GB" w:eastAsia="da-DK"/>
        </w:rPr>
        <w:t xml:space="preserve">Fill out the brief survey on </w:t>
      </w:r>
      <w:smartTag w:uri="urn:schemas-microsoft-com:office:smarttags" w:element="Street">
        <w:smartTag w:uri="urn:schemas-microsoft-com:office:smarttags" w:element="address">
          <w:r w:rsidRPr="00C1164B">
            <w:rPr>
              <w:rFonts w:ascii="Calibri" w:eastAsia="Times New Roman" w:hAnsi="Calibri" w:cs="Times New Roman"/>
              <w:b/>
              <w:i/>
              <w:lang w:val="en-GB" w:eastAsia="da-DK"/>
            </w:rPr>
            <w:t>Mobile Court</w:t>
          </w:r>
        </w:smartTag>
      </w:smartTag>
      <w:r w:rsidRPr="00C1164B">
        <w:rPr>
          <w:rFonts w:ascii="Calibri" w:eastAsia="Times New Roman" w:hAnsi="Calibri" w:cs="Times New Roman"/>
          <w:b/>
          <w:i/>
          <w:lang w:val="en-GB" w:eastAsia="da-DK"/>
        </w:rPr>
        <w:t xml:space="preserve"> interventions available on SurveyMonkey. </w:t>
      </w:r>
      <w:r w:rsidRPr="00C1164B">
        <w:rPr>
          <w:rFonts w:ascii="Calibri" w:eastAsia="Times New Roman" w:hAnsi="Calibri" w:cs="Times New Roman"/>
          <w:i/>
          <w:lang w:val="en-GB" w:eastAsia="da-DK"/>
        </w:rPr>
        <w:t>(Add link)</w:t>
      </w:r>
    </w:p>
    <w:p w:rsidR="00C1164B" w:rsidRPr="00C1164B" w:rsidRDefault="00C1164B" w:rsidP="00C1164B">
      <w:pPr>
        <w:spacing w:after="0" w:line="270" w:lineRule="atLeast"/>
        <w:rPr>
          <w:rFonts w:ascii="Calibri" w:eastAsia="Times New Roman" w:hAnsi="Calibri" w:cs="Times New Roman"/>
          <w:b/>
          <w:i/>
          <w:lang w:val="en-GB" w:eastAsia="da-DK"/>
        </w:rPr>
      </w:pPr>
    </w:p>
    <w:p w:rsidR="00C1164B" w:rsidRPr="00C1164B" w:rsidRDefault="00C1164B" w:rsidP="00C1164B">
      <w:pPr>
        <w:spacing w:after="0" w:line="270" w:lineRule="atLeast"/>
        <w:jc w:val="both"/>
        <w:rPr>
          <w:rFonts w:ascii="Calibri" w:eastAsia="Times New Roman" w:hAnsi="Calibri" w:cs="Times New Roman"/>
          <w:i/>
          <w:lang w:val="en-GB" w:eastAsia="da-DK"/>
        </w:rPr>
      </w:pPr>
      <w:r w:rsidRPr="00C1164B">
        <w:rPr>
          <w:rFonts w:ascii="Calibri" w:eastAsia="Times New Roman" w:hAnsi="Calibri" w:cs="Times New Roman"/>
          <w:b/>
          <w:i/>
          <w:lang w:val="en-GB" w:eastAsia="da-DK"/>
        </w:rPr>
        <w:t xml:space="preserve">In addition to the above-mentioned contributions we would very much welcome any documentation related to </w:t>
      </w:r>
      <w:smartTag w:uri="urn:schemas-microsoft-com:office:smarttags" w:element="place">
        <w:r w:rsidRPr="00C1164B">
          <w:rPr>
            <w:rFonts w:ascii="Calibri" w:eastAsia="Times New Roman" w:hAnsi="Calibri" w:cs="Times New Roman"/>
            <w:b/>
            <w:i/>
            <w:lang w:val="en-GB" w:eastAsia="da-DK"/>
          </w:rPr>
          <w:t>Mobile</w:t>
        </w:r>
      </w:smartTag>
      <w:r w:rsidRPr="00C1164B">
        <w:rPr>
          <w:rFonts w:ascii="Calibri" w:eastAsia="Times New Roman" w:hAnsi="Calibri" w:cs="Times New Roman"/>
          <w:b/>
          <w:i/>
          <w:lang w:val="en-GB" w:eastAsia="da-DK"/>
        </w:rPr>
        <w:t xml:space="preserve"> Courts that have been developed by your Country Office. </w:t>
      </w:r>
      <w:r w:rsidRPr="00C1164B">
        <w:rPr>
          <w:rFonts w:ascii="Calibri" w:eastAsia="Times New Roman" w:hAnsi="Calibri" w:cs="Times New Roman"/>
          <w:i/>
          <w:lang w:val="en-GB" w:eastAsia="da-DK"/>
        </w:rPr>
        <w:t xml:space="preserve">(National legislation specific on Mobile Courts, UNDP reports and general research papers related to Mobile Courts , MOU between UNDP and the national judiciary, landmark cases disposed by Mobile Courts…). The objective is to better understand the </w:t>
      </w:r>
      <w:smartTag w:uri="urn:schemas-microsoft-com:office:smarttags" w:element="Street">
        <w:smartTag w:uri="urn:schemas-microsoft-com:office:smarttags" w:element="address">
          <w:r w:rsidRPr="00C1164B">
            <w:rPr>
              <w:rFonts w:ascii="Calibri" w:eastAsia="Times New Roman" w:hAnsi="Calibri" w:cs="Times New Roman"/>
              <w:i/>
              <w:lang w:val="en-GB" w:eastAsia="da-DK"/>
            </w:rPr>
            <w:t>Mobile Court</w:t>
          </w:r>
        </w:smartTag>
      </w:smartTag>
      <w:r w:rsidRPr="00C1164B">
        <w:rPr>
          <w:rFonts w:ascii="Calibri" w:eastAsia="Times New Roman" w:hAnsi="Calibri" w:cs="Times New Roman"/>
          <w:i/>
          <w:lang w:val="en-GB" w:eastAsia="da-DK"/>
        </w:rPr>
        <w:t xml:space="preserve"> intervention that you are supporting, and also to gauge the potential for further use or adaptation throughout UNDP.</w:t>
      </w:r>
    </w:p>
    <w:p w:rsidR="00C1164B" w:rsidRPr="00C1164B" w:rsidRDefault="00C1164B" w:rsidP="00C1164B">
      <w:pPr>
        <w:spacing w:after="0" w:line="300" w:lineRule="exact"/>
        <w:jc w:val="both"/>
        <w:rPr>
          <w:rFonts w:ascii="Calibri" w:eastAsia="Times New Roman" w:hAnsi="Calibri" w:cs="Times New Roman"/>
          <w:i/>
          <w:lang w:val="en-GB" w:eastAsia="da-DK"/>
        </w:rPr>
      </w:pPr>
    </w:p>
    <w:p w:rsidR="00C1164B" w:rsidRPr="00C1164B" w:rsidRDefault="00C1164B" w:rsidP="00C1164B">
      <w:pPr>
        <w:spacing w:after="0" w:line="300" w:lineRule="exact"/>
        <w:jc w:val="both"/>
        <w:rPr>
          <w:rFonts w:ascii="Calibri" w:eastAsia="Times New Roman" w:hAnsi="Calibri" w:cs="Times New Roman"/>
          <w:i/>
          <w:lang w:val="en-GB" w:eastAsia="da-DK"/>
        </w:rPr>
      </w:pPr>
      <w:r w:rsidRPr="00C1164B">
        <w:rPr>
          <w:rFonts w:ascii="Calibri" w:eastAsia="Times New Roman" w:hAnsi="Calibri" w:cs="Times New Roman"/>
          <w:i/>
          <w:lang w:val="en-GB" w:eastAsia="da-DK"/>
        </w:rPr>
        <w:t>The query and survey results will be used to inform the learning component of the evaluation report, which aims at consolidating good practices, lessons learned and identify common methodological approaches across UNDP ROL programmes..</w:t>
      </w:r>
    </w:p>
    <w:p w:rsidR="00C1164B" w:rsidRPr="00C1164B" w:rsidRDefault="00C1164B" w:rsidP="00C1164B">
      <w:pPr>
        <w:spacing w:after="28" w:line="270" w:lineRule="atLeast"/>
        <w:ind w:left="-120"/>
        <w:rPr>
          <w:rFonts w:ascii="Calibri" w:eastAsia="Times New Roman" w:hAnsi="Calibri" w:cs="Times New Roman"/>
          <w:b/>
          <w:i/>
          <w:lang w:val="en-GB" w:eastAsia="da-DK"/>
        </w:rPr>
      </w:pPr>
    </w:p>
    <w:p w:rsidR="00C1164B" w:rsidRPr="00C1164B" w:rsidRDefault="00C1164B" w:rsidP="00C1164B">
      <w:pPr>
        <w:spacing w:after="28" w:line="270" w:lineRule="atLeast"/>
        <w:ind w:left="-120"/>
        <w:rPr>
          <w:rFonts w:ascii="Calibri" w:eastAsia="Times New Roman" w:hAnsi="Calibri" w:cs="Times New Roman"/>
          <w:b/>
          <w:i/>
          <w:lang w:val="en-GB" w:eastAsia="da-DK"/>
        </w:rPr>
      </w:pPr>
      <w:r w:rsidRPr="00C1164B">
        <w:rPr>
          <w:rFonts w:ascii="Calibri" w:eastAsia="Times New Roman" w:hAnsi="Calibri" w:cs="Times New Roman"/>
          <w:b/>
          <w:i/>
          <w:lang w:val="en-GB" w:eastAsia="da-DK"/>
        </w:rPr>
        <w:t>General replies to the query and relevant documentation should be sent to Mr Serdar Bayriyev (</w:t>
      </w:r>
      <w:hyperlink r:id="rId14" w:history="1">
        <w:r w:rsidRPr="00C1164B">
          <w:rPr>
            <w:rFonts w:ascii="Calibri" w:eastAsia="Times New Roman" w:hAnsi="Calibri" w:cs="Times New Roman"/>
            <w:b/>
            <w:i/>
            <w:color w:val="618FAC"/>
            <w:lang w:val="en-GB" w:eastAsia="da-DK"/>
          </w:rPr>
          <w:t>serdar.bayriyev@undp.org</w:t>
        </w:r>
      </w:hyperlink>
      <w:r w:rsidRPr="00C1164B">
        <w:rPr>
          <w:rFonts w:ascii="Calibri" w:eastAsia="Times New Roman" w:hAnsi="Calibri" w:cs="Times New Roman"/>
          <w:b/>
          <w:i/>
          <w:lang w:val="en-GB" w:eastAsia="da-DK"/>
        </w:rPr>
        <w:t>)</w:t>
      </w:r>
    </w:p>
    <w:p w:rsidR="00C1164B" w:rsidRPr="00C1164B" w:rsidRDefault="00C1164B" w:rsidP="00C1164B">
      <w:pPr>
        <w:spacing w:after="28" w:line="270" w:lineRule="atLeast"/>
        <w:ind w:left="-120"/>
        <w:rPr>
          <w:rFonts w:ascii="Calibri" w:eastAsia="Times New Roman" w:hAnsi="Calibri" w:cs="Times New Roman"/>
          <w:b/>
          <w:i/>
          <w:lang w:val="en-GB" w:eastAsia="da-DK"/>
        </w:rPr>
      </w:pPr>
      <w:r w:rsidRPr="00C1164B">
        <w:rPr>
          <w:rFonts w:ascii="Calibri" w:eastAsia="Times New Roman" w:hAnsi="Calibri" w:cs="Times New Roman"/>
          <w:b/>
          <w:i/>
          <w:lang w:val="en-GB" w:eastAsia="da-DK"/>
        </w:rPr>
        <w:t>The deadline to submit your contribution is ……..</w:t>
      </w:r>
    </w:p>
    <w:p w:rsidR="00C1164B" w:rsidRPr="00C1164B" w:rsidRDefault="00C1164B" w:rsidP="00C1164B">
      <w:pPr>
        <w:spacing w:after="28" w:line="270" w:lineRule="atLeast"/>
        <w:ind w:left="-120"/>
        <w:rPr>
          <w:rFonts w:ascii="Calibri" w:eastAsia="Times New Roman" w:hAnsi="Calibri" w:cs="Times New Roman"/>
          <w:b/>
          <w:i/>
          <w:lang w:val="en-GB" w:eastAsia="da-DK"/>
        </w:rPr>
      </w:pPr>
    </w:p>
    <w:p w:rsidR="00C1164B" w:rsidRPr="00C1164B" w:rsidRDefault="00C1164B" w:rsidP="00C1164B">
      <w:pPr>
        <w:spacing w:after="28" w:line="270" w:lineRule="atLeast"/>
        <w:ind w:left="-120"/>
        <w:rPr>
          <w:rFonts w:ascii="Calibri" w:eastAsia="Times New Roman" w:hAnsi="Calibri" w:cs="Times New Roman"/>
          <w:i/>
          <w:lang w:val="en-GB" w:eastAsia="da-DK"/>
        </w:rPr>
      </w:pPr>
      <w:r w:rsidRPr="00C1164B">
        <w:rPr>
          <w:rFonts w:ascii="Calibri" w:eastAsia="Times New Roman" w:hAnsi="Calibri" w:cs="Times New Roman"/>
          <w:i/>
          <w:lang w:val="en-GB" w:eastAsia="da-DK"/>
        </w:rPr>
        <w:t>Thank you in advance for taking the time to share your experience.</w:t>
      </w:r>
    </w:p>
    <w:p w:rsidR="00C1164B" w:rsidRPr="00C1164B" w:rsidRDefault="00C1164B" w:rsidP="00C1164B">
      <w:pPr>
        <w:spacing w:after="0" w:line="300" w:lineRule="exact"/>
        <w:jc w:val="both"/>
        <w:rPr>
          <w:rFonts w:ascii="Calibri" w:eastAsia="Times New Roman" w:hAnsi="Calibri" w:cs="Times New Roman"/>
          <w:i/>
          <w:lang w:val="en-GB" w:eastAsia="da-DK"/>
        </w:rPr>
      </w:pPr>
    </w:p>
    <w:p w:rsidR="00C1164B" w:rsidRPr="00C1164B" w:rsidRDefault="00C1164B" w:rsidP="00C1164B">
      <w:pPr>
        <w:spacing w:after="0" w:line="300" w:lineRule="exact"/>
        <w:jc w:val="both"/>
        <w:rPr>
          <w:rFonts w:ascii="Calibri" w:eastAsia="Times New Roman" w:hAnsi="Calibri" w:cs="Times New Roman"/>
          <w:i/>
          <w:lang w:val="en-GB" w:eastAsia="da-DK"/>
        </w:rPr>
      </w:pPr>
    </w:p>
    <w:p w:rsidR="00C1164B" w:rsidRPr="00C1164B" w:rsidRDefault="00C1164B" w:rsidP="00C1164B">
      <w:pPr>
        <w:spacing w:after="0" w:line="270" w:lineRule="atLeast"/>
        <w:rPr>
          <w:rFonts w:ascii="Times New Roman" w:eastAsia="Times New Roman" w:hAnsi="Times New Roman" w:cs="Times New Roman"/>
          <w:b/>
          <w:sz w:val="23"/>
          <w:szCs w:val="20"/>
          <w:lang w:val="en-GB" w:eastAsia="da-DK"/>
        </w:rPr>
      </w:pPr>
    </w:p>
    <w:tbl>
      <w:tblPr>
        <w:tblStyle w:val="TableGrid3"/>
        <w:tblW w:w="0" w:type="auto"/>
        <w:tblLook w:val="01E0" w:firstRow="1" w:lastRow="1" w:firstColumn="1" w:lastColumn="1" w:noHBand="0" w:noVBand="0"/>
      </w:tblPr>
      <w:tblGrid>
        <w:gridCol w:w="468"/>
        <w:gridCol w:w="9310"/>
      </w:tblGrid>
      <w:tr w:rsidR="00C1164B" w:rsidRPr="00C1164B" w:rsidTr="00C8613A">
        <w:tc>
          <w:tcPr>
            <w:tcW w:w="9778" w:type="dxa"/>
            <w:gridSpan w:val="2"/>
            <w:shd w:val="clear" w:color="auto" w:fill="D9D9D9"/>
          </w:tcPr>
          <w:p w:rsidR="00C1164B" w:rsidRPr="00C1164B" w:rsidRDefault="00C1164B" w:rsidP="00C1164B">
            <w:pPr>
              <w:jc w:val="center"/>
              <w:rPr>
                <w:rFonts w:ascii="Calibri" w:hAnsi="Calibri"/>
                <w:b/>
                <w:lang w:val="en-GB" w:eastAsia="da-DK"/>
              </w:rPr>
            </w:pPr>
            <w:r w:rsidRPr="00C1164B">
              <w:rPr>
                <w:rFonts w:ascii="Calibri" w:hAnsi="Calibri"/>
                <w:b/>
                <w:lang w:val="en-GB" w:eastAsia="da-DK"/>
              </w:rPr>
              <w:t xml:space="preserve">SURVEY ON </w:t>
            </w:r>
            <w:smartTag w:uri="urn:schemas-microsoft-com:office:smarttags" w:element="place">
              <w:r w:rsidRPr="00C1164B">
                <w:rPr>
                  <w:rFonts w:ascii="Calibri" w:hAnsi="Calibri"/>
                  <w:b/>
                  <w:lang w:val="en-GB" w:eastAsia="da-DK"/>
                </w:rPr>
                <w:t>MOBILE</w:t>
              </w:r>
            </w:smartTag>
            <w:r w:rsidRPr="00C1164B">
              <w:rPr>
                <w:rFonts w:ascii="Calibri" w:hAnsi="Calibri"/>
                <w:b/>
                <w:lang w:val="en-GB" w:eastAsia="da-DK"/>
              </w:rPr>
              <w:t xml:space="preserve"> COURTS INTERVENTIONS ACROSS UNDP COUNTRY OFFICES</w:t>
            </w: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1</w:t>
            </w:r>
          </w:p>
        </w:tc>
        <w:tc>
          <w:tcPr>
            <w:tcW w:w="9310"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General information</w:t>
            </w:r>
          </w:p>
          <w:p w:rsidR="00C1164B" w:rsidRPr="00C1164B" w:rsidRDefault="00C1164B" w:rsidP="00C1164B">
            <w:pPr>
              <w:rPr>
                <w:rFonts w:ascii="Calibri" w:hAnsi="Calibri"/>
                <w:lang w:val="en-GB" w:eastAsia="da-DK"/>
              </w:rPr>
            </w:pPr>
            <w:r w:rsidRPr="00C1164B">
              <w:rPr>
                <w:rFonts w:ascii="Calibri" w:hAnsi="Calibri"/>
                <w:lang w:val="en-GB" w:eastAsia="da-DK"/>
              </w:rPr>
              <w:lastRenderedPageBreak/>
              <w:t>Country office: …………………………</w:t>
            </w:r>
          </w:p>
          <w:p w:rsidR="00C1164B" w:rsidRPr="00C1164B" w:rsidRDefault="00C1164B" w:rsidP="00C1164B">
            <w:pPr>
              <w:rPr>
                <w:rFonts w:ascii="Calibri" w:hAnsi="Calibri"/>
                <w:lang w:val="en-GB" w:eastAsia="da-DK"/>
              </w:rPr>
            </w:pPr>
            <w:r w:rsidRPr="00C1164B">
              <w:rPr>
                <w:rFonts w:ascii="Calibri" w:hAnsi="Calibri"/>
                <w:lang w:val="en-GB" w:eastAsia="da-DK"/>
              </w:rPr>
              <w:t>UNDP focal point for Mobile Courts: ……………………………….. (name) ………………………………………….. (email address)</w:t>
            </w:r>
          </w:p>
          <w:p w:rsidR="00C1164B" w:rsidRPr="00C1164B" w:rsidRDefault="00C1164B" w:rsidP="00C1164B">
            <w:pPr>
              <w:rPr>
                <w:rFonts w:ascii="Calibri" w:hAnsi="Calibri"/>
                <w:lang w:val="en-GB" w:eastAsia="da-DK"/>
              </w:rPr>
            </w:pPr>
            <w:r w:rsidRPr="00C1164B">
              <w:rPr>
                <w:rFonts w:ascii="Calibri" w:hAnsi="Calibri"/>
                <w:lang w:val="en-GB" w:eastAsia="da-DK"/>
              </w:rPr>
              <w:t xml:space="preserve">National implementing partner: </w:t>
            </w:r>
            <w:r w:rsidRPr="00C1164B">
              <w:rPr>
                <w:rFonts w:ascii="Calibri" w:hAnsi="Calibri" w:cs="Arial"/>
                <w:lang w:val="en-GB" w:eastAsia="da-DK"/>
              </w:rPr>
              <w:t xml:space="preserve">□ </w:t>
            </w:r>
            <w:r w:rsidRPr="00C1164B">
              <w:rPr>
                <w:rFonts w:ascii="Calibri" w:hAnsi="Calibri"/>
                <w:lang w:val="en-GB" w:eastAsia="da-DK"/>
              </w:rPr>
              <w:t xml:space="preserve">Ministry of Justice </w:t>
            </w:r>
            <w:r w:rsidRPr="00C1164B">
              <w:rPr>
                <w:rFonts w:ascii="Calibri" w:hAnsi="Calibri" w:cs="Arial"/>
                <w:lang w:val="en-GB" w:eastAsia="da-DK"/>
              </w:rPr>
              <w:t>□ Judiciary</w:t>
            </w: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r w:rsidRPr="00C1164B">
              <w:rPr>
                <w:rFonts w:ascii="Calibri" w:hAnsi="Calibri" w:cs="Arial"/>
                <w:b/>
                <w:lang w:val="en-GB" w:eastAsia="da-DK"/>
              </w:rPr>
              <w:t>□</w:t>
            </w:r>
            <w:r w:rsidRPr="00C1164B">
              <w:rPr>
                <w:rFonts w:ascii="Calibri" w:hAnsi="Calibri"/>
                <w:lang w:val="en-GB" w:eastAsia="da-DK"/>
              </w:rPr>
              <w:t xml:space="preserve"> the Country Office started supporting Mobile Courts in  …………………………. (year, month). Please indicate the 2013 programme/project under which Mobile Courts are supported: ……………………………………………</w:t>
            </w:r>
          </w:p>
          <w:p w:rsidR="00C1164B" w:rsidRPr="00C1164B" w:rsidRDefault="00C1164B" w:rsidP="00C1164B">
            <w:pPr>
              <w:rPr>
                <w:rFonts w:ascii="Calibri" w:hAnsi="Calibri"/>
                <w:lang w:val="en-GB" w:eastAsia="da-DK"/>
              </w:rPr>
            </w:pPr>
            <w:r w:rsidRPr="00C1164B">
              <w:rPr>
                <w:rFonts w:ascii="Calibri" w:hAnsi="Calibri" w:cs="Arial"/>
                <w:lang w:val="en-GB" w:eastAsia="da-DK"/>
              </w:rPr>
              <w:t>□ the Country Office is planning</w:t>
            </w:r>
            <w:r w:rsidRPr="00C1164B">
              <w:rPr>
                <w:rFonts w:ascii="Calibri" w:hAnsi="Calibri"/>
                <w:lang w:val="en-GB" w:eastAsia="da-DK"/>
              </w:rPr>
              <w:t xml:space="preserve"> to support Mobile Courts in the future</w:t>
            </w:r>
          </w:p>
          <w:p w:rsidR="00C1164B" w:rsidRPr="00C1164B" w:rsidRDefault="00C1164B" w:rsidP="00C1164B">
            <w:pPr>
              <w:rPr>
                <w:rFonts w:ascii="Calibri" w:hAnsi="Calibri"/>
                <w:b/>
                <w:lang w:val="en-GB"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2</w:t>
            </w:r>
          </w:p>
        </w:tc>
        <w:tc>
          <w:tcPr>
            <w:tcW w:w="9310"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 xml:space="preserve">What is the legal basis for implementing </w:t>
            </w:r>
            <w:smartTag w:uri="urn:schemas-microsoft-com:office:smarttags" w:element="place">
              <w:r w:rsidRPr="00C1164B">
                <w:rPr>
                  <w:rFonts w:ascii="Calibri" w:hAnsi="Calibri"/>
                  <w:b/>
                  <w:lang w:val="en-GB" w:eastAsia="da-DK"/>
                </w:rPr>
                <w:t>Mobile</w:t>
              </w:r>
            </w:smartTag>
            <w:r w:rsidRPr="00C1164B">
              <w:rPr>
                <w:rFonts w:ascii="Calibri" w:hAnsi="Calibri"/>
                <w:b/>
                <w:lang w:val="en-GB" w:eastAsia="da-DK"/>
              </w:rPr>
              <w:t xml:space="preserve"> Courts in your country of intervention?</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specific national legislation on Mobile Courts</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criminal/civil procedure code</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other. Please specify ……………………………………………………………………………………………………………………………………….</w:t>
            </w:r>
          </w:p>
          <w:p w:rsidR="00C1164B" w:rsidRPr="00C1164B" w:rsidRDefault="00C1164B" w:rsidP="00C1164B">
            <w:pPr>
              <w:rPr>
                <w:rFonts w:ascii="Calibri" w:hAnsi="Calibri" w:cs="Arial"/>
                <w:lang w:val="en-GB" w:eastAsia="da-DK"/>
              </w:rPr>
            </w:pPr>
          </w:p>
          <w:p w:rsidR="00C1164B" w:rsidRPr="00C1164B" w:rsidRDefault="00C1164B" w:rsidP="00C1164B">
            <w:pPr>
              <w:rPr>
                <w:rFonts w:ascii="Calibri" w:hAnsi="Calibri" w:cs="Arial"/>
                <w:b/>
                <w:lang w:val="en-GB" w:eastAsia="da-DK"/>
              </w:rPr>
            </w:pPr>
            <w:r w:rsidRPr="00C1164B">
              <w:rPr>
                <w:rFonts w:ascii="Calibri" w:hAnsi="Calibri"/>
                <w:b/>
                <w:lang w:val="en-GB" w:eastAsia="da-DK"/>
              </w:rPr>
              <w:t xml:space="preserve">Is there a national strategy that makes direct reference to </w:t>
            </w:r>
            <w:smartTag w:uri="urn:schemas-microsoft-com:office:smarttags" w:element="place">
              <w:r w:rsidRPr="00C1164B">
                <w:rPr>
                  <w:rFonts w:ascii="Calibri" w:hAnsi="Calibri"/>
                  <w:b/>
                  <w:lang w:val="en-GB" w:eastAsia="da-DK"/>
                </w:rPr>
                <w:t>Mobile</w:t>
              </w:r>
            </w:smartTag>
            <w:r w:rsidRPr="00C1164B">
              <w:rPr>
                <w:rFonts w:ascii="Calibri" w:hAnsi="Calibri"/>
                <w:b/>
                <w:lang w:val="en-GB" w:eastAsia="da-DK"/>
              </w:rPr>
              <w:t xml:space="preserve"> Courts </w:t>
            </w:r>
            <w:r w:rsidRPr="00C1164B">
              <w:rPr>
                <w:rFonts w:ascii="Calibri" w:hAnsi="Calibri"/>
                <w:lang w:val="en-GB" w:eastAsia="da-DK"/>
              </w:rPr>
              <w:t>(e.g. Justice sector strategic plan…)</w:t>
            </w:r>
            <w:r w:rsidRPr="00C1164B">
              <w:rPr>
                <w:rFonts w:ascii="Calibri" w:hAnsi="Calibri"/>
                <w:b/>
                <w:lang w:val="en-GB" w:eastAsia="da-DK"/>
              </w:rPr>
              <w:t>?</w:t>
            </w:r>
            <w:r w:rsidRPr="00C1164B">
              <w:rPr>
                <w:rFonts w:ascii="Calibri" w:hAnsi="Calibri" w:cs="Arial"/>
                <w:b/>
                <w:lang w:val="en-GB" w:eastAsia="da-DK"/>
              </w:rPr>
              <w:t xml:space="preserve"> </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Yes . Please specify ……………………………………………………………………………………………………………………………………….</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No</w:t>
            </w:r>
          </w:p>
          <w:p w:rsidR="00C1164B" w:rsidRPr="00C1164B" w:rsidRDefault="00C1164B" w:rsidP="00C1164B">
            <w:pPr>
              <w:rPr>
                <w:rFonts w:ascii="Calibri" w:hAnsi="Calibri"/>
                <w:lang w:val="en-GB"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3</w:t>
            </w:r>
          </w:p>
        </w:tc>
        <w:tc>
          <w:tcPr>
            <w:tcW w:w="9310" w:type="dxa"/>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What is the jurisdiction of mobile courts with regards to subject matters?</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xml:space="preserve">□ </w:t>
            </w:r>
            <w:r w:rsidRPr="00C1164B">
              <w:rPr>
                <w:rFonts w:ascii="Calibri" w:hAnsi="Calibri"/>
                <w:lang w:eastAsia="da-DK"/>
              </w:rPr>
              <w:t xml:space="preserve">Civil </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xml:space="preserve">□ </w:t>
            </w:r>
            <w:r w:rsidRPr="00C1164B">
              <w:rPr>
                <w:rFonts w:ascii="Calibri" w:hAnsi="Calibri"/>
                <w:lang w:eastAsia="da-DK"/>
              </w:rPr>
              <w:t>Criminal</w:t>
            </w:r>
          </w:p>
          <w:p w:rsidR="00C1164B" w:rsidRPr="00C1164B" w:rsidRDefault="00C1164B" w:rsidP="00C1164B">
            <w:pPr>
              <w:rPr>
                <w:rFonts w:ascii="Calibri" w:hAnsi="Calibri" w:cs="Arial"/>
                <w:lang w:val="en-GB" w:eastAsia="da-DK"/>
              </w:rPr>
            </w:pPr>
            <w:r w:rsidRPr="00C1164B">
              <w:rPr>
                <w:rFonts w:ascii="Calibri" w:hAnsi="Calibri" w:cs="Arial"/>
                <w:lang w:val="en-GB" w:eastAsia="da-DK"/>
              </w:rPr>
              <w:t xml:space="preserve">□ </w:t>
            </w:r>
            <w:r w:rsidRPr="00C1164B">
              <w:rPr>
                <w:rFonts w:ascii="Calibri" w:hAnsi="Calibri"/>
                <w:lang w:eastAsia="da-DK"/>
              </w:rPr>
              <w:t>Only specific matters (e.g. transitional justice, SGBV, civil registration….). Please specify: ………………………………</w:t>
            </w:r>
          </w:p>
          <w:p w:rsidR="00C1164B" w:rsidRPr="00C1164B" w:rsidRDefault="00C1164B" w:rsidP="00C1164B">
            <w:pPr>
              <w:rPr>
                <w:rFonts w:ascii="Calibri" w:hAnsi="Calibri"/>
                <w:lang w:eastAsia="da-DK"/>
              </w:rPr>
            </w:pPr>
          </w:p>
          <w:p w:rsidR="00C1164B" w:rsidRPr="00C1164B" w:rsidRDefault="00C1164B" w:rsidP="00C1164B">
            <w:pPr>
              <w:rPr>
                <w:rFonts w:ascii="Calibri" w:hAnsi="Calibri"/>
                <w:b/>
                <w:lang w:eastAsia="da-DK"/>
              </w:rPr>
            </w:pPr>
            <w:r w:rsidRPr="00C1164B">
              <w:rPr>
                <w:rFonts w:ascii="Calibri" w:hAnsi="Calibri"/>
                <w:b/>
                <w:lang w:eastAsia="da-DK"/>
              </w:rPr>
              <w:t>What is the jurisdiction of mobile courts with regards to litigants?</w:t>
            </w:r>
          </w:p>
          <w:p w:rsidR="00C1164B" w:rsidRPr="00C1164B" w:rsidRDefault="00C1164B" w:rsidP="00C1164B">
            <w:pPr>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All persons living in the area of intervention of the MC</w:t>
            </w:r>
          </w:p>
          <w:p w:rsidR="00C1164B" w:rsidRPr="00C1164B" w:rsidRDefault="00C1164B" w:rsidP="00C1164B">
            <w:pPr>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 xml:space="preserve">Only persons belonging to specific groups ( e.g. indigents, SGBV survivors…). Please specify ………………………. </w:t>
            </w:r>
          </w:p>
          <w:p w:rsidR="00C1164B" w:rsidRPr="00C1164B" w:rsidRDefault="00C1164B" w:rsidP="00C1164B">
            <w:pPr>
              <w:rPr>
                <w:rFonts w:ascii="Calibri" w:hAnsi="Calibri"/>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What type of </w:t>
            </w:r>
            <w:smartTag w:uri="urn:schemas-microsoft-com:office:smarttags" w:element="Street">
              <w:smartTag w:uri="urn:schemas-microsoft-com:office:smarttags" w:element="address">
                <w:r w:rsidRPr="00C1164B">
                  <w:rPr>
                    <w:rFonts w:ascii="Calibri" w:hAnsi="Calibri"/>
                    <w:b/>
                    <w:lang w:eastAsia="da-DK"/>
                  </w:rPr>
                  <w:t>Mobile Court</w:t>
                </w:r>
              </w:smartTag>
            </w:smartTag>
            <w:r w:rsidRPr="00C1164B">
              <w:rPr>
                <w:rFonts w:ascii="Calibri" w:hAnsi="Calibri"/>
                <w:b/>
                <w:lang w:eastAsia="da-DK"/>
              </w:rPr>
              <w:t xml:space="preserve"> do you support:</w:t>
            </w:r>
          </w:p>
          <w:p w:rsidR="00C1164B" w:rsidRPr="00C1164B" w:rsidRDefault="00C1164B" w:rsidP="00C1164B">
            <w:pPr>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 xml:space="preserve">Civil </w:t>
            </w:r>
          </w:p>
          <w:p w:rsidR="00C1164B" w:rsidRPr="00C1164B" w:rsidRDefault="00C1164B" w:rsidP="00C1164B">
            <w:pPr>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Military</w:t>
            </w:r>
          </w:p>
          <w:p w:rsidR="00C1164B" w:rsidRPr="00C1164B" w:rsidRDefault="00C1164B" w:rsidP="00C1164B">
            <w:pPr>
              <w:rPr>
                <w:rFonts w:ascii="Calibri" w:hAnsi="Calibri"/>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What is the composition of the </w:t>
            </w:r>
            <w:smartTag w:uri="urn:schemas-microsoft-com:office:smarttags" w:element="Street">
              <w:smartTag w:uri="urn:schemas-microsoft-com:office:smarttags" w:element="address">
                <w:r w:rsidRPr="00C1164B">
                  <w:rPr>
                    <w:rFonts w:ascii="Calibri" w:hAnsi="Calibri"/>
                    <w:b/>
                    <w:lang w:eastAsia="da-DK"/>
                  </w:rPr>
                  <w:t>Mobile Court</w:t>
                </w:r>
              </w:smartTag>
            </w:smartTag>
            <w:r w:rsidRPr="00C1164B">
              <w:rPr>
                <w:rFonts w:ascii="Calibri" w:hAnsi="Calibri"/>
                <w:b/>
                <w:lang w:eastAsia="da-DK"/>
              </w:rPr>
              <w:t xml:space="preserve"> team? </w:t>
            </w:r>
          </w:p>
          <w:p w:rsidR="00C1164B" w:rsidRPr="00C1164B" w:rsidRDefault="00C1164B" w:rsidP="00C1164B">
            <w:pPr>
              <w:rPr>
                <w:rFonts w:ascii="Calibri" w:hAnsi="Calibri"/>
                <w:b/>
                <w:lang w:eastAsia="da-DK"/>
              </w:rPr>
            </w:pPr>
          </w:p>
          <w:p w:rsidR="00C1164B" w:rsidRPr="00C1164B" w:rsidRDefault="00C1164B" w:rsidP="00C1164B">
            <w:pPr>
              <w:rPr>
                <w:rFonts w:ascii="Calibri" w:hAnsi="Calibri"/>
                <w:lang w:eastAsia="da-DK"/>
              </w:rPr>
            </w:pPr>
            <w:r w:rsidRPr="00C1164B">
              <w:rPr>
                <w:rFonts w:ascii="Calibri" w:hAnsi="Calibri"/>
                <w:u w:val="single"/>
                <w:lang w:eastAsia="da-DK"/>
              </w:rPr>
              <w:t>1. The court</w:t>
            </w:r>
            <w:r w:rsidRPr="00C1164B">
              <w:rPr>
                <w:rFonts w:ascii="Calibri" w:hAnsi="Calibri"/>
                <w:lang w:eastAsia="da-DK"/>
              </w:rPr>
              <w:t xml:space="preserve">: </w:t>
            </w:r>
            <w:r w:rsidRPr="00C1164B">
              <w:rPr>
                <w:rFonts w:ascii="Calibri" w:hAnsi="Calibri" w:cs="Arial"/>
                <w:lang w:eastAsia="da-DK"/>
              </w:rPr>
              <w:t xml:space="preserve">□ </w:t>
            </w:r>
            <w:r w:rsidRPr="00C1164B">
              <w:rPr>
                <w:rFonts w:ascii="Calibri" w:hAnsi="Calibri"/>
                <w:lang w:eastAsia="da-DK"/>
              </w:rPr>
              <w:t xml:space="preserve">Judge </w:t>
            </w:r>
            <w:r w:rsidRPr="00C1164B">
              <w:rPr>
                <w:rFonts w:ascii="Calibri" w:hAnsi="Calibri" w:cs="Arial"/>
                <w:lang w:eastAsia="da-DK"/>
              </w:rPr>
              <w:t>□ Prosecutor □ Registrar □ court clerk</w:t>
            </w:r>
          </w:p>
          <w:p w:rsidR="00C1164B" w:rsidRPr="00C1164B" w:rsidRDefault="00C1164B" w:rsidP="00C1164B">
            <w:pPr>
              <w:rPr>
                <w:rFonts w:ascii="Calibri" w:hAnsi="Calibri"/>
                <w:lang w:eastAsia="da-DK"/>
              </w:rPr>
            </w:pPr>
            <w:r w:rsidRPr="00C1164B">
              <w:rPr>
                <w:rFonts w:ascii="Calibri" w:hAnsi="Calibri"/>
                <w:u w:val="single"/>
                <w:lang w:eastAsia="da-DK"/>
              </w:rPr>
              <w:t>2. Legal aid</w:t>
            </w:r>
            <w:r w:rsidRPr="00C1164B">
              <w:rPr>
                <w:rFonts w:ascii="Calibri" w:hAnsi="Calibri"/>
                <w:lang w:eastAsia="da-DK"/>
              </w:rPr>
              <w:t xml:space="preserve">: </w:t>
            </w:r>
            <w:r w:rsidRPr="00C1164B">
              <w:rPr>
                <w:rFonts w:ascii="Calibri" w:hAnsi="Calibri" w:cs="Arial"/>
                <w:lang w:eastAsia="da-DK"/>
              </w:rPr>
              <w:t>□</w:t>
            </w:r>
            <w:r w:rsidRPr="00C1164B">
              <w:rPr>
                <w:rFonts w:ascii="Calibri" w:hAnsi="Calibri"/>
                <w:lang w:eastAsia="da-DK"/>
              </w:rPr>
              <w:t xml:space="preserve"> Lawyer, </w:t>
            </w:r>
            <w:r w:rsidRPr="00C1164B">
              <w:rPr>
                <w:rFonts w:ascii="Calibri" w:hAnsi="Calibri" w:cs="Arial"/>
                <w:lang w:eastAsia="da-DK"/>
              </w:rPr>
              <w:t xml:space="preserve">□ </w:t>
            </w:r>
            <w:r w:rsidRPr="00C1164B">
              <w:rPr>
                <w:rFonts w:ascii="Calibri" w:hAnsi="Calibri"/>
                <w:lang w:eastAsia="da-DK"/>
              </w:rPr>
              <w:t>Paralegal</w:t>
            </w:r>
          </w:p>
          <w:p w:rsidR="00C1164B" w:rsidRPr="00C1164B" w:rsidRDefault="00C1164B" w:rsidP="00C1164B">
            <w:pPr>
              <w:rPr>
                <w:rFonts w:ascii="Calibri" w:hAnsi="Calibri"/>
                <w:lang w:eastAsia="da-DK"/>
              </w:rPr>
            </w:pPr>
            <w:r w:rsidRPr="00C1164B">
              <w:rPr>
                <w:rFonts w:ascii="Calibri" w:hAnsi="Calibri"/>
                <w:u w:val="single"/>
                <w:lang w:eastAsia="da-DK"/>
              </w:rPr>
              <w:t>3. Security</w:t>
            </w:r>
            <w:r w:rsidRPr="00C1164B">
              <w:rPr>
                <w:rFonts w:ascii="Calibri" w:hAnsi="Calibri"/>
                <w:lang w:eastAsia="da-DK"/>
              </w:rPr>
              <w:t>: □ Police □ private guards</w:t>
            </w:r>
          </w:p>
          <w:p w:rsidR="00C1164B" w:rsidRPr="00C1164B" w:rsidRDefault="00C1164B" w:rsidP="00C1164B">
            <w:pPr>
              <w:rPr>
                <w:rFonts w:ascii="Calibri" w:hAnsi="Calibri"/>
                <w:lang w:eastAsia="da-DK"/>
              </w:rPr>
            </w:pPr>
            <w:r w:rsidRPr="00C1164B">
              <w:rPr>
                <w:rFonts w:ascii="Calibri" w:hAnsi="Calibri"/>
                <w:u w:val="single"/>
                <w:lang w:eastAsia="da-DK"/>
              </w:rPr>
              <w:t xml:space="preserve">4. Other </w:t>
            </w:r>
            <w:r w:rsidRPr="00C1164B">
              <w:rPr>
                <w:rFonts w:ascii="Calibri" w:hAnsi="Calibri"/>
                <w:lang w:eastAsia="da-DK"/>
              </w:rPr>
              <w:t>(e.g. mediator, driver...) : ……………………………………………………………………………………………………………………</w:t>
            </w:r>
          </w:p>
          <w:p w:rsidR="00C1164B" w:rsidRPr="00C1164B" w:rsidRDefault="00C1164B" w:rsidP="00C1164B">
            <w:pPr>
              <w:rPr>
                <w:rFonts w:ascii="Calibri" w:hAnsi="Calibri"/>
                <w:lang w:eastAsia="da-DK"/>
              </w:rPr>
            </w:pPr>
          </w:p>
          <w:p w:rsidR="00C1164B" w:rsidRPr="00C1164B" w:rsidRDefault="00C1164B" w:rsidP="00C1164B">
            <w:pPr>
              <w:rPr>
                <w:rFonts w:ascii="Calibri" w:hAnsi="Calibri"/>
                <w:lang w:eastAsia="da-DK"/>
              </w:rPr>
            </w:pPr>
            <w:r w:rsidRPr="00C1164B">
              <w:rPr>
                <w:rFonts w:ascii="Calibri" w:hAnsi="Calibri"/>
                <w:b/>
                <w:lang w:eastAsia="da-DK"/>
              </w:rPr>
              <w:t xml:space="preserve">How many cases are referred to the </w:t>
            </w:r>
            <w:smartTag w:uri="urn:schemas-microsoft-com:office:smarttags" w:element="Street">
              <w:smartTag w:uri="urn:schemas-microsoft-com:office:smarttags" w:element="address">
                <w:r w:rsidRPr="00C1164B">
                  <w:rPr>
                    <w:rFonts w:ascii="Calibri" w:hAnsi="Calibri"/>
                    <w:b/>
                    <w:lang w:eastAsia="da-DK"/>
                  </w:rPr>
                  <w:t>Mobile Court</w:t>
                </w:r>
              </w:smartTag>
            </w:smartTag>
            <w:r w:rsidRPr="00C1164B">
              <w:rPr>
                <w:rFonts w:ascii="Calibri" w:hAnsi="Calibri"/>
                <w:b/>
                <w:lang w:eastAsia="da-DK"/>
              </w:rPr>
              <w:t xml:space="preserve"> system per year?</w:t>
            </w:r>
            <w:r w:rsidRPr="00C1164B">
              <w:rPr>
                <w:rFonts w:ascii="Calibri" w:hAnsi="Calibri"/>
                <w:lang w:eastAsia="da-DK"/>
              </w:rPr>
              <w:t xml:space="preserve"> ……………………………………………………………….</w:t>
            </w:r>
          </w:p>
          <w:p w:rsidR="00C1164B" w:rsidRPr="00C1164B" w:rsidRDefault="00C1164B" w:rsidP="00C1164B">
            <w:pPr>
              <w:rPr>
                <w:rFonts w:ascii="Calibri" w:hAnsi="Calibri"/>
                <w:lang w:eastAsia="da-DK"/>
              </w:rPr>
            </w:pPr>
          </w:p>
          <w:p w:rsidR="00C1164B" w:rsidRPr="00C1164B" w:rsidRDefault="00C1164B" w:rsidP="00C1164B">
            <w:pPr>
              <w:rPr>
                <w:rFonts w:ascii="Calibri" w:hAnsi="Calibri"/>
                <w:lang w:eastAsia="da-DK"/>
              </w:rPr>
            </w:pPr>
            <w:r w:rsidRPr="00C1164B">
              <w:rPr>
                <w:rFonts w:ascii="Calibri" w:hAnsi="Calibri"/>
                <w:b/>
                <w:lang w:eastAsia="da-DK"/>
              </w:rPr>
              <w:t xml:space="preserve">How many final decisions are issued by the </w:t>
            </w:r>
            <w:smartTag w:uri="urn:schemas-microsoft-com:office:smarttags" w:element="Street">
              <w:smartTag w:uri="urn:schemas-microsoft-com:office:smarttags" w:element="address">
                <w:r w:rsidRPr="00C1164B">
                  <w:rPr>
                    <w:rFonts w:ascii="Calibri" w:hAnsi="Calibri"/>
                    <w:b/>
                    <w:lang w:eastAsia="da-DK"/>
                  </w:rPr>
                  <w:t>Mobile Court</w:t>
                </w:r>
              </w:smartTag>
            </w:smartTag>
            <w:r w:rsidRPr="00C1164B">
              <w:rPr>
                <w:rFonts w:ascii="Calibri" w:hAnsi="Calibri"/>
                <w:b/>
                <w:lang w:eastAsia="da-DK"/>
              </w:rPr>
              <w:t xml:space="preserve"> system per year?</w:t>
            </w:r>
            <w:r w:rsidRPr="00C1164B">
              <w:rPr>
                <w:rFonts w:ascii="Calibri" w:hAnsi="Calibri"/>
                <w:lang w:eastAsia="da-DK"/>
              </w:rPr>
              <w:t xml:space="preserve"> ……………………………………………………</w:t>
            </w:r>
          </w:p>
          <w:p w:rsidR="00C1164B" w:rsidRPr="00C1164B" w:rsidRDefault="00C1164B" w:rsidP="00C1164B">
            <w:pPr>
              <w:rPr>
                <w:rFonts w:ascii="Calibri" w:hAnsi="Calibri"/>
                <w:lang w:eastAsia="da-DK"/>
              </w:rPr>
            </w:pPr>
          </w:p>
          <w:p w:rsidR="00C1164B" w:rsidRPr="00C1164B" w:rsidRDefault="00C1164B" w:rsidP="00C1164B">
            <w:pPr>
              <w:rPr>
                <w:rFonts w:ascii="Calibri" w:hAnsi="Calibri"/>
                <w:lang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4</w:t>
            </w:r>
          </w:p>
        </w:tc>
        <w:tc>
          <w:tcPr>
            <w:tcW w:w="9310" w:type="dxa"/>
          </w:tcPr>
          <w:p w:rsidR="00C1164B" w:rsidRPr="00C1164B" w:rsidRDefault="00C1164B" w:rsidP="00C1164B">
            <w:pPr>
              <w:rPr>
                <w:rFonts w:ascii="Calibri" w:hAnsi="Calibri"/>
                <w:b/>
                <w:lang w:eastAsia="da-DK"/>
              </w:rPr>
            </w:pPr>
            <w:r w:rsidRPr="00C1164B">
              <w:rPr>
                <w:rFonts w:ascii="Calibri" w:hAnsi="Calibri"/>
                <w:b/>
                <w:lang w:eastAsia="da-DK"/>
              </w:rPr>
              <w:t xml:space="preserve">If available, could you specify the annual budget that the UNDP CO will allocate to </w:t>
            </w:r>
            <w:smartTag w:uri="urn:schemas-microsoft-com:office:smarttags" w:element="place">
              <w:r w:rsidRPr="00C1164B">
                <w:rPr>
                  <w:rFonts w:ascii="Calibri" w:hAnsi="Calibri"/>
                  <w:b/>
                  <w:lang w:eastAsia="da-DK"/>
                </w:rPr>
                <w:t>Mobile</w:t>
              </w:r>
            </w:smartTag>
            <w:r w:rsidRPr="00C1164B">
              <w:rPr>
                <w:rFonts w:ascii="Calibri" w:hAnsi="Calibri"/>
                <w:b/>
                <w:lang w:eastAsia="da-DK"/>
              </w:rPr>
              <w:t xml:space="preserve"> Courts in 2013?</w:t>
            </w:r>
            <w:r w:rsidRPr="00C1164B">
              <w:rPr>
                <w:rFonts w:ascii="Calibri" w:hAnsi="Calibri"/>
                <w:lang w:eastAsia="da-DK"/>
              </w:rPr>
              <w:t xml:space="preserve"> ………………..</w:t>
            </w:r>
          </w:p>
          <w:p w:rsidR="00C1164B" w:rsidRPr="00C1164B" w:rsidRDefault="00C1164B" w:rsidP="00C1164B">
            <w:pPr>
              <w:rPr>
                <w:rFonts w:ascii="Calibri" w:hAnsi="Calibri"/>
                <w:b/>
                <w:lang w:eastAsia="da-DK"/>
              </w:rPr>
            </w:pPr>
            <w:r w:rsidRPr="00C1164B">
              <w:rPr>
                <w:rFonts w:ascii="Calibri" w:hAnsi="Calibri"/>
                <w:b/>
                <w:lang w:eastAsia="da-DK"/>
              </w:rPr>
              <w:t xml:space="preserve">Will the national government contribute to the budget? </w:t>
            </w:r>
          </w:p>
          <w:p w:rsidR="00C1164B" w:rsidRPr="00C1164B" w:rsidRDefault="00C1164B" w:rsidP="00C1164B">
            <w:pPr>
              <w:tabs>
                <w:tab w:val="left" w:pos="1613"/>
              </w:tabs>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Yes. If possible, please specify for what amount: ………………………………………………………………………………</w:t>
            </w:r>
            <w:r w:rsidRPr="00C1164B">
              <w:rPr>
                <w:rFonts w:ascii="Calibri" w:hAnsi="Calibri"/>
                <w:lang w:eastAsia="da-DK"/>
              </w:rPr>
              <w:tab/>
            </w:r>
          </w:p>
          <w:p w:rsidR="00C1164B" w:rsidRPr="00C1164B" w:rsidRDefault="00C1164B" w:rsidP="00C1164B">
            <w:pPr>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 xml:space="preserve">No </w:t>
            </w:r>
          </w:p>
          <w:p w:rsidR="00C1164B" w:rsidRPr="00C1164B" w:rsidRDefault="00C1164B" w:rsidP="00C1164B">
            <w:pPr>
              <w:rPr>
                <w:rFonts w:ascii="Calibri" w:hAnsi="Calibri"/>
                <w:lang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5</w:t>
            </w:r>
          </w:p>
        </w:tc>
        <w:tc>
          <w:tcPr>
            <w:tcW w:w="9310" w:type="dxa"/>
          </w:tcPr>
          <w:p w:rsidR="00C1164B" w:rsidRPr="00C1164B" w:rsidRDefault="00C1164B" w:rsidP="00C1164B">
            <w:pPr>
              <w:rPr>
                <w:rFonts w:ascii="Calibri" w:hAnsi="Calibri"/>
                <w:b/>
                <w:lang w:eastAsia="da-DK"/>
              </w:rPr>
            </w:pPr>
          </w:p>
          <w:p w:rsidR="00C1164B" w:rsidRPr="00C1164B" w:rsidRDefault="00C1164B" w:rsidP="00C1164B">
            <w:pPr>
              <w:rPr>
                <w:rFonts w:ascii="Calibri" w:hAnsi="Calibri"/>
                <w:b/>
                <w:lang w:eastAsia="da-DK"/>
              </w:rPr>
            </w:pPr>
            <w:r w:rsidRPr="00C1164B">
              <w:rPr>
                <w:rFonts w:ascii="Calibri" w:hAnsi="Calibri"/>
                <w:b/>
                <w:lang w:eastAsia="da-DK"/>
              </w:rPr>
              <w:t xml:space="preserve">Are </w:t>
            </w:r>
            <w:smartTag w:uri="urn:schemas-microsoft-com:office:smarttags" w:element="place">
              <w:r w:rsidRPr="00C1164B">
                <w:rPr>
                  <w:rFonts w:ascii="Calibri" w:hAnsi="Calibri"/>
                  <w:b/>
                  <w:lang w:eastAsia="da-DK"/>
                </w:rPr>
                <w:t>Mobile</w:t>
              </w:r>
            </w:smartTag>
            <w:r w:rsidRPr="00C1164B">
              <w:rPr>
                <w:rFonts w:ascii="Calibri" w:hAnsi="Calibri"/>
                <w:b/>
                <w:lang w:eastAsia="da-DK"/>
              </w:rPr>
              <w:t xml:space="preserve"> Courts implemented in cooperation with other international partners?</w:t>
            </w:r>
          </w:p>
          <w:p w:rsidR="00C1164B" w:rsidRPr="00C1164B" w:rsidRDefault="00C1164B" w:rsidP="00C1164B">
            <w:pPr>
              <w:rPr>
                <w:rFonts w:ascii="Calibri" w:hAnsi="Calibri"/>
                <w:lang w:eastAsia="da-DK"/>
              </w:rPr>
            </w:pPr>
            <w:r w:rsidRPr="00C1164B">
              <w:rPr>
                <w:rFonts w:ascii="Calibri" w:hAnsi="Calibri" w:cs="Arial"/>
                <w:lang w:val="en-GB" w:eastAsia="da-DK"/>
              </w:rPr>
              <w:lastRenderedPageBreak/>
              <w:t xml:space="preserve">□ </w:t>
            </w:r>
            <w:r w:rsidRPr="00C1164B">
              <w:rPr>
                <w:rFonts w:ascii="Calibri" w:hAnsi="Calibri"/>
                <w:lang w:eastAsia="da-DK"/>
              </w:rPr>
              <w:t>Yes. Please specify: □ INGO □ UN  agency □ DPKO □ other</w:t>
            </w:r>
          </w:p>
          <w:p w:rsidR="00C1164B" w:rsidRPr="00C1164B" w:rsidRDefault="00C1164B" w:rsidP="00C1164B">
            <w:pPr>
              <w:rPr>
                <w:rFonts w:ascii="Calibri" w:hAnsi="Calibri"/>
                <w:lang w:eastAsia="da-DK"/>
              </w:rPr>
            </w:pPr>
            <w:r w:rsidRPr="00C1164B">
              <w:rPr>
                <w:rFonts w:ascii="Calibri" w:hAnsi="Calibri" w:cs="Arial"/>
                <w:lang w:val="en-GB" w:eastAsia="da-DK"/>
              </w:rPr>
              <w:t xml:space="preserve">□ </w:t>
            </w:r>
            <w:r w:rsidRPr="00C1164B">
              <w:rPr>
                <w:rFonts w:ascii="Calibri" w:hAnsi="Calibri"/>
                <w:lang w:eastAsia="da-DK"/>
              </w:rPr>
              <w:t>No</w:t>
            </w:r>
          </w:p>
          <w:p w:rsidR="00C1164B" w:rsidRPr="00C1164B" w:rsidRDefault="00C1164B" w:rsidP="00C1164B">
            <w:pPr>
              <w:rPr>
                <w:rFonts w:ascii="Calibri" w:hAnsi="Calibri"/>
                <w:b/>
                <w:lang w:val="en-GB"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6</w:t>
            </w:r>
          </w:p>
        </w:tc>
        <w:tc>
          <w:tcPr>
            <w:tcW w:w="9310"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lang w:val="en-GB" w:eastAsia="da-DK"/>
              </w:rPr>
            </w:pPr>
            <w:r w:rsidRPr="00C1164B">
              <w:rPr>
                <w:rFonts w:ascii="Calibri" w:hAnsi="Calibri"/>
                <w:b/>
                <w:lang w:val="en-GB" w:eastAsia="da-DK"/>
              </w:rPr>
              <w:t xml:space="preserve">Which are the greatest challenges in supporting </w:t>
            </w:r>
            <w:smartTag w:uri="urn:schemas-microsoft-com:office:smarttags" w:element="place">
              <w:r w:rsidRPr="00C1164B">
                <w:rPr>
                  <w:rFonts w:ascii="Calibri" w:hAnsi="Calibri"/>
                  <w:b/>
                  <w:lang w:val="en-GB" w:eastAsia="da-DK"/>
                </w:rPr>
                <w:t>Mobile</w:t>
              </w:r>
            </w:smartTag>
            <w:r w:rsidRPr="00C1164B">
              <w:rPr>
                <w:rFonts w:ascii="Calibri" w:hAnsi="Calibri"/>
                <w:b/>
                <w:lang w:val="en-GB" w:eastAsia="da-DK"/>
              </w:rPr>
              <w:t xml:space="preserve"> Courts? </w:t>
            </w: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b/>
                <w:lang w:val="en-GB"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7</w:t>
            </w:r>
          </w:p>
        </w:tc>
        <w:tc>
          <w:tcPr>
            <w:tcW w:w="9310"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Could you please share a “good practice”</w:t>
            </w:r>
            <w:r w:rsidRPr="00C1164B">
              <w:rPr>
                <w:rFonts w:ascii="Calibri" w:hAnsi="Calibri"/>
                <w:lang w:val="en-GB" w:eastAsia="da-DK"/>
              </w:rPr>
              <w:t xml:space="preserve"> </w:t>
            </w:r>
            <w:r w:rsidRPr="00C1164B">
              <w:rPr>
                <w:rFonts w:ascii="Calibri" w:hAnsi="Calibri"/>
                <w:b/>
                <w:lang w:val="en-GB" w:eastAsia="da-DK"/>
              </w:rPr>
              <w:t xml:space="preserve">developed within the </w:t>
            </w:r>
            <w:smartTag w:uri="urn:schemas-microsoft-com:office:smarttags" w:element="Street">
              <w:smartTag w:uri="urn:schemas-microsoft-com:office:smarttags" w:element="address">
                <w:r w:rsidRPr="00C1164B">
                  <w:rPr>
                    <w:rFonts w:ascii="Calibri" w:hAnsi="Calibri"/>
                    <w:b/>
                    <w:lang w:val="en-GB" w:eastAsia="da-DK"/>
                  </w:rPr>
                  <w:t>Mobile Court</w:t>
                </w:r>
              </w:smartTag>
            </w:smartTag>
            <w:r w:rsidRPr="00C1164B">
              <w:rPr>
                <w:rFonts w:ascii="Calibri" w:hAnsi="Calibri"/>
                <w:b/>
                <w:lang w:val="en-GB" w:eastAsia="da-DK"/>
              </w:rPr>
              <w:t xml:space="preserve"> intervention that you are supporting?</w:t>
            </w:r>
          </w:p>
          <w:p w:rsidR="00C1164B" w:rsidRPr="00C1164B" w:rsidRDefault="00C1164B" w:rsidP="00C1164B">
            <w:pPr>
              <w:rPr>
                <w:rFonts w:ascii="Calibri" w:hAnsi="Calibri"/>
                <w:i/>
                <w:lang w:val="en-GB" w:eastAsia="da-DK"/>
              </w:rPr>
            </w:pPr>
            <w:r w:rsidRPr="00C1164B">
              <w:rPr>
                <w:rFonts w:ascii="Calibri" w:hAnsi="Calibri"/>
                <w:i/>
                <w:lang w:val="en-GB" w:eastAsia="da-DK"/>
              </w:rPr>
              <w:t xml:space="preserve">(we are particularly interested in initiatives that offer practical solutions to common challenges to </w:t>
            </w:r>
            <w:smartTag w:uri="urn:schemas-microsoft-com:office:smarttags" w:element="place">
              <w:r w:rsidRPr="00C1164B">
                <w:rPr>
                  <w:rFonts w:ascii="Calibri" w:hAnsi="Calibri"/>
                  <w:i/>
                  <w:lang w:val="en-GB" w:eastAsia="da-DK"/>
                </w:rPr>
                <w:t>Mobile</w:t>
              </w:r>
            </w:smartTag>
            <w:r w:rsidRPr="00C1164B">
              <w:rPr>
                <w:rFonts w:ascii="Calibri" w:hAnsi="Calibri"/>
                <w:i/>
                <w:lang w:val="en-GB" w:eastAsia="da-DK"/>
              </w:rPr>
              <w:t xml:space="preserve"> Courts interventions, e.g. improving participation of the local population, enhancing monitoring mechanisms, strengthening investigation procedures, promoting coordination with police/traditional authorities….)</w:t>
            </w: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tc>
      </w:tr>
      <w:tr w:rsidR="00C1164B" w:rsidRPr="00C1164B" w:rsidTr="00C8613A">
        <w:tc>
          <w:tcPr>
            <w:tcW w:w="468"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8</w:t>
            </w:r>
          </w:p>
        </w:tc>
        <w:tc>
          <w:tcPr>
            <w:tcW w:w="9310" w:type="dxa"/>
          </w:tcPr>
          <w:p w:rsidR="00C1164B" w:rsidRPr="00C1164B" w:rsidRDefault="00C1164B" w:rsidP="00C1164B">
            <w:pPr>
              <w:rPr>
                <w:rFonts w:ascii="Calibri" w:hAnsi="Calibri"/>
                <w:b/>
                <w:lang w:val="en-GB" w:eastAsia="da-DK"/>
              </w:rPr>
            </w:pPr>
          </w:p>
          <w:p w:rsidR="00C1164B" w:rsidRPr="00C1164B" w:rsidRDefault="00C1164B" w:rsidP="00C1164B">
            <w:pPr>
              <w:rPr>
                <w:rFonts w:ascii="Calibri" w:hAnsi="Calibri"/>
                <w:b/>
                <w:lang w:val="en-GB" w:eastAsia="da-DK"/>
              </w:rPr>
            </w:pPr>
            <w:r w:rsidRPr="00C1164B">
              <w:rPr>
                <w:rFonts w:ascii="Calibri" w:hAnsi="Calibri"/>
                <w:b/>
                <w:lang w:val="en-GB" w:eastAsia="da-DK"/>
              </w:rPr>
              <w:t>Which are the main lessons learned? What would you do differently in the future?</w:t>
            </w: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p w:rsidR="00C1164B" w:rsidRPr="00C1164B" w:rsidRDefault="00C1164B" w:rsidP="00C1164B">
            <w:pPr>
              <w:rPr>
                <w:rFonts w:ascii="Calibri" w:hAnsi="Calibri"/>
                <w:lang w:val="en-GB" w:eastAsia="da-DK"/>
              </w:rPr>
            </w:pPr>
          </w:p>
        </w:tc>
      </w:tr>
    </w:tbl>
    <w:p w:rsidR="00C1164B" w:rsidRPr="00C1164B" w:rsidRDefault="00C1164B" w:rsidP="00C1164B">
      <w:pPr>
        <w:spacing w:after="0" w:line="270" w:lineRule="atLeast"/>
        <w:rPr>
          <w:rFonts w:ascii="Times New Roman" w:eastAsia="Times New Roman" w:hAnsi="Times New Roman" w:cs="Times New Roman"/>
          <w:b/>
          <w:sz w:val="23"/>
          <w:szCs w:val="20"/>
          <w:lang w:val="en-GB" w:eastAsia="da-DK"/>
        </w:rPr>
      </w:pPr>
    </w:p>
    <w:p w:rsidR="00C1164B" w:rsidRPr="00C1164B" w:rsidRDefault="00C1164B" w:rsidP="00C1164B">
      <w:pPr>
        <w:spacing w:after="0" w:line="270" w:lineRule="atLeast"/>
        <w:rPr>
          <w:rFonts w:ascii="Calibri" w:eastAsia="Times New Roman" w:hAnsi="Calibri" w:cs="Times New Roman"/>
          <w:b/>
          <w:color w:val="800000"/>
          <w:lang w:val="en-GB" w:eastAsia="da-DK"/>
        </w:rPr>
      </w:pPr>
    </w:p>
    <w:p w:rsidR="00C1164B" w:rsidRPr="00C1164B" w:rsidRDefault="00C1164B" w:rsidP="00C1164B">
      <w:pPr>
        <w:spacing w:after="0" w:line="270" w:lineRule="atLeast"/>
        <w:rPr>
          <w:rFonts w:ascii="Calibri" w:eastAsia="Times New Roman" w:hAnsi="Calibri" w:cs="Times New Roman"/>
          <w:b/>
          <w:color w:val="800000"/>
          <w:lang w:val="en-GB" w:eastAsia="da-DK"/>
        </w:rPr>
      </w:pPr>
      <w:r w:rsidRPr="00C1164B">
        <w:rPr>
          <w:rFonts w:ascii="Calibri" w:eastAsia="Times New Roman" w:hAnsi="Calibri" w:cs="Times New Roman"/>
          <w:b/>
          <w:color w:val="800000"/>
          <w:lang w:eastAsia="da-DK"/>
        </w:rPr>
        <w:br w:type="page"/>
      </w:r>
      <w:r w:rsidRPr="00C1164B">
        <w:rPr>
          <w:rFonts w:ascii="Calibri" w:eastAsia="Times New Roman" w:hAnsi="Calibri" w:cs="Times New Roman"/>
          <w:b/>
          <w:color w:val="800000"/>
          <w:sz w:val="28"/>
          <w:szCs w:val="28"/>
          <w:u w:val="single"/>
          <w:lang w:val="en-GB" w:eastAsia="da-DK"/>
        </w:rPr>
        <w:lastRenderedPageBreak/>
        <w:t>ANNEX 6</w:t>
      </w:r>
      <w:r w:rsidRPr="00C1164B">
        <w:rPr>
          <w:rFonts w:ascii="Calibri" w:eastAsia="Times New Roman" w:hAnsi="Calibri" w:cs="Times New Roman"/>
          <w:b/>
          <w:color w:val="800000"/>
          <w:lang w:val="en-GB" w:eastAsia="da-DK"/>
        </w:rPr>
        <w:t xml:space="preserve">: Terms of Reference </w:t>
      </w:r>
    </w:p>
    <w:p w:rsidR="00C1164B" w:rsidRPr="00C1164B" w:rsidRDefault="00C1164B" w:rsidP="00C1164B">
      <w:pPr>
        <w:spacing w:after="0" w:line="270" w:lineRule="atLeast"/>
        <w:rPr>
          <w:rFonts w:ascii="Times New Roman" w:eastAsia="Times New Roman" w:hAnsi="Times New Roman" w:cs="Times New Roman"/>
          <w:sz w:val="23"/>
          <w:szCs w:val="20"/>
          <w:lang w:val="en-GB" w:eastAsia="da-DK"/>
        </w:rPr>
      </w:pPr>
    </w:p>
    <w:tbl>
      <w:tblPr>
        <w:tblW w:w="0" w:type="auto"/>
        <w:tblCellSpacing w:w="30" w:type="dxa"/>
        <w:tblCellMar>
          <w:top w:w="15" w:type="dxa"/>
          <w:left w:w="15" w:type="dxa"/>
          <w:bottom w:w="15" w:type="dxa"/>
          <w:right w:w="15" w:type="dxa"/>
        </w:tblCellMar>
        <w:tblLook w:val="0000" w:firstRow="0" w:lastRow="0" w:firstColumn="0" w:lastColumn="0" w:noHBand="0" w:noVBand="0"/>
      </w:tblPr>
      <w:tblGrid>
        <w:gridCol w:w="6162"/>
        <w:gridCol w:w="5030"/>
      </w:tblGrid>
      <w:tr w:rsidR="00C1164B" w:rsidRPr="00C1164B" w:rsidTr="00C8613A">
        <w:trPr>
          <w:tblCellSpacing w:w="30" w:type="dxa"/>
        </w:trPr>
        <w:tc>
          <w:tcPr>
            <w:tcW w:w="0" w:type="auto"/>
            <w:gridSpan w:val="2"/>
            <w:vAlign w:val="center"/>
          </w:tcPr>
          <w:p w:rsidR="00C1164B" w:rsidRPr="00C1164B" w:rsidRDefault="00C1164B" w:rsidP="00C1164B">
            <w:pPr>
              <w:keepNext/>
              <w:spacing w:before="240" w:after="60" w:line="270" w:lineRule="atLeast"/>
              <w:outlineLvl w:val="2"/>
              <w:rPr>
                <w:rFonts w:ascii="Arial" w:eastAsia="Times New Roman" w:hAnsi="Arial" w:cs="Arial"/>
                <w:b/>
                <w:bCs/>
                <w:sz w:val="26"/>
                <w:szCs w:val="26"/>
                <w:lang w:val="en-GB" w:eastAsia="da-DK"/>
              </w:rPr>
            </w:pPr>
            <w:r w:rsidRPr="00C1164B">
              <w:rPr>
                <w:rFonts w:ascii="Arial" w:eastAsia="Times New Roman" w:hAnsi="Arial" w:cs="Arial"/>
                <w:b/>
                <w:bCs/>
                <w:sz w:val="26"/>
                <w:szCs w:val="26"/>
                <w:lang w:val="en-GB" w:eastAsia="da-DK"/>
              </w:rPr>
              <w:t xml:space="preserve">EVALUATION CONSULTANT: SUPPORT TO </w:t>
            </w:r>
            <w:smartTag w:uri="urn:schemas-microsoft-com:office:smarttags" w:element="Street">
              <w:smartTag w:uri="urn:schemas-microsoft-com:office:smarttags" w:element="address">
                <w:r w:rsidRPr="00C1164B">
                  <w:rPr>
                    <w:rFonts w:ascii="Arial" w:eastAsia="Times New Roman" w:hAnsi="Arial" w:cs="Arial"/>
                    <w:b/>
                    <w:bCs/>
                    <w:sz w:val="26"/>
                    <w:szCs w:val="26"/>
                    <w:lang w:val="en-GB" w:eastAsia="da-DK"/>
                  </w:rPr>
                  <w:t>MOBILE COURT</w:t>
                </w:r>
              </w:smartTag>
            </w:smartTag>
            <w:r w:rsidRPr="00C1164B">
              <w:rPr>
                <w:rFonts w:ascii="Arial" w:eastAsia="Times New Roman" w:hAnsi="Arial" w:cs="Arial"/>
                <w:b/>
                <w:bCs/>
                <w:sz w:val="26"/>
                <w:szCs w:val="26"/>
                <w:lang w:val="en-GB" w:eastAsia="da-DK"/>
              </w:rPr>
              <w:t xml:space="preserve"> ARRANGEMENTS IN POST-CONFLICT SITUATIONS</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b/>
                <w:bCs/>
                <w:color w:val="333333"/>
                <w:sz w:val="10"/>
                <w:szCs w:val="10"/>
                <w:lang w:val="en-GB" w:eastAsia="da-DK"/>
              </w:rPr>
              <w:t>Location :</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Home-based with travel to selected countries</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b/>
                <w:bCs/>
                <w:color w:val="333333"/>
                <w:sz w:val="10"/>
                <w:szCs w:val="10"/>
                <w:lang w:val="en-GB" w:eastAsia="da-DK"/>
              </w:rPr>
              <w:t>Application Deadline :</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22-Aug-12</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b/>
                <w:bCs/>
                <w:color w:val="333333"/>
                <w:sz w:val="10"/>
                <w:szCs w:val="10"/>
                <w:lang w:val="en-GB" w:eastAsia="da-DK"/>
              </w:rPr>
              <w:t>Type of Contract :</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Individual Contract</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b/>
                <w:bCs/>
                <w:color w:val="333333"/>
                <w:sz w:val="10"/>
                <w:szCs w:val="10"/>
                <w:lang w:val="en-GB" w:eastAsia="da-DK"/>
              </w:rPr>
              <w:t>Post Level :</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International Consultant</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b/>
                <w:bCs/>
                <w:color w:val="333333"/>
                <w:sz w:val="10"/>
                <w:szCs w:val="10"/>
                <w:lang w:val="en-GB" w:eastAsia="da-DK"/>
              </w:rPr>
              <w:t>Languages Required :</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 xml:space="preserve">English </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b/>
                <w:bCs/>
                <w:color w:val="333333"/>
                <w:sz w:val="10"/>
                <w:szCs w:val="10"/>
                <w:lang w:val="en-GB" w:eastAsia="da-DK"/>
              </w:rPr>
              <w:t>Starting Date :</w:t>
            </w:r>
            <w:r w:rsidRPr="00C1164B">
              <w:rPr>
                <w:rFonts w:ascii="Verdana" w:eastAsia="Times New Roman" w:hAnsi="Verdana" w:cs="Times New Roman"/>
                <w:color w:val="333333"/>
                <w:sz w:val="10"/>
                <w:szCs w:val="10"/>
                <w:lang w:eastAsia="da-DK"/>
              </w:rPr>
              <w:br/>
              <w:t>(date when the selected candidate is expected to start)</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24-Sep-2012</w:t>
            </w:r>
          </w:p>
        </w:tc>
      </w:tr>
      <w:tr w:rsidR="00C1164B" w:rsidRPr="00C1164B" w:rsidTr="00C8613A">
        <w:trPr>
          <w:tblCellSpacing w:w="30" w:type="dxa"/>
        </w:trPr>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b/>
                <w:bCs/>
                <w:color w:val="333333"/>
                <w:sz w:val="10"/>
                <w:szCs w:val="10"/>
                <w:lang w:val="en-GB" w:eastAsia="da-DK"/>
              </w:rPr>
              <w:t>Expected Duration of Assignment :</w:t>
            </w:r>
          </w:p>
        </w:tc>
        <w:tc>
          <w:tcPr>
            <w:tcW w:w="0" w:type="auto"/>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50 working days spread over 3 months</w:t>
            </w:r>
          </w:p>
        </w:tc>
      </w:tr>
      <w:tr w:rsidR="00C1164B" w:rsidRPr="00C1164B" w:rsidTr="00C8613A">
        <w:trPr>
          <w:tblCellSpacing w:w="30" w:type="dxa"/>
        </w:trPr>
        <w:tc>
          <w:tcPr>
            <w:tcW w:w="0" w:type="auto"/>
            <w:gridSpan w:val="2"/>
            <w:vAlign w:val="center"/>
          </w:tcPr>
          <w:p w:rsidR="00C1164B" w:rsidRPr="00C1164B" w:rsidRDefault="00C1164B" w:rsidP="00C1164B">
            <w:pPr>
              <w:spacing w:after="0" w:line="270" w:lineRule="atLeast"/>
              <w:jc w:val="right"/>
              <w:rPr>
                <w:rFonts w:ascii="Verdana" w:eastAsia="Times New Roman" w:hAnsi="Verdana" w:cs="Times New Roman"/>
                <w:color w:val="333333"/>
                <w:sz w:val="10"/>
                <w:szCs w:val="10"/>
                <w:lang w:eastAsia="da-DK"/>
              </w:rPr>
            </w:pPr>
            <w:hyperlink r:id="rId15" w:history="1">
              <w:r w:rsidRPr="00C1164B">
                <w:rPr>
                  <w:rFonts w:ascii="Trebuchet MS" w:eastAsia="Times New Roman" w:hAnsi="Trebuchet MS" w:cs="Times New Roman"/>
                  <w:caps/>
                  <w:color w:val="618FAC"/>
                  <w:spacing w:val="19"/>
                  <w:sz w:val="8"/>
                  <w:szCs w:val="8"/>
                  <w:bdr w:val="single" w:sz="4" w:space="0" w:color="336699" w:frame="1"/>
                  <w:shd w:val="clear" w:color="auto" w:fill="E9F0F6"/>
                  <w:lang w:eastAsia="da-DK"/>
                </w:rPr>
                <w:t>Refer a Friend</w:t>
              </w:r>
            </w:hyperlink>
            <w:r w:rsidRPr="00C1164B">
              <w:rPr>
                <w:rFonts w:ascii="Verdana" w:eastAsia="Times New Roman" w:hAnsi="Verdana" w:cs="Times New Roman"/>
                <w:color w:val="333333"/>
                <w:sz w:val="10"/>
                <w:szCs w:val="10"/>
                <w:lang w:eastAsia="da-DK"/>
              </w:rPr>
              <w:t xml:space="preserve"> </w:t>
            </w:r>
            <w:hyperlink r:id="rId16" w:history="1">
              <w:r w:rsidRPr="00C1164B">
                <w:rPr>
                  <w:rFonts w:ascii="Trebuchet MS" w:eastAsia="Times New Roman" w:hAnsi="Trebuchet MS" w:cs="Times New Roman"/>
                  <w:caps/>
                  <w:color w:val="618FAC"/>
                  <w:spacing w:val="19"/>
                  <w:sz w:val="8"/>
                  <w:szCs w:val="8"/>
                  <w:bdr w:val="single" w:sz="4" w:space="0" w:color="336699" w:frame="1"/>
                  <w:shd w:val="clear" w:color="auto" w:fill="E9F0F6"/>
                  <w:lang w:eastAsia="da-DK"/>
                </w:rPr>
                <w:t>Apply Now</w:t>
              </w:r>
            </w:hyperlink>
          </w:p>
        </w:tc>
      </w:tr>
      <w:tr w:rsidR="00C1164B" w:rsidRPr="00C1164B" w:rsidTr="00C8613A">
        <w:trPr>
          <w:tblCellSpacing w:w="30" w:type="dxa"/>
        </w:trPr>
        <w:tc>
          <w:tcPr>
            <w:tcW w:w="0" w:type="auto"/>
            <w:gridSpan w:val="2"/>
            <w:vAlign w:val="center"/>
          </w:tcPr>
          <w:p w:rsidR="00C1164B" w:rsidRPr="00C1164B" w:rsidRDefault="00C1164B" w:rsidP="00C1164B">
            <w:pPr>
              <w:keepNext/>
              <w:spacing w:before="240" w:after="60" w:line="270" w:lineRule="atLeast"/>
              <w:outlineLvl w:val="2"/>
              <w:rPr>
                <w:rFonts w:ascii="Arial" w:eastAsia="Times New Roman" w:hAnsi="Arial" w:cs="Arial"/>
                <w:b/>
                <w:bCs/>
                <w:sz w:val="26"/>
                <w:szCs w:val="26"/>
                <w:lang w:val="en-GB" w:eastAsia="da-DK"/>
              </w:rPr>
            </w:pPr>
            <w:r w:rsidRPr="00C1164B">
              <w:rPr>
                <w:rFonts w:ascii="Arial" w:eastAsia="Times New Roman" w:hAnsi="Arial" w:cs="Arial"/>
                <w:b/>
                <w:bCs/>
                <w:sz w:val="26"/>
                <w:szCs w:val="26"/>
                <w:lang w:val="en-GB" w:eastAsia="da-DK"/>
              </w:rPr>
              <w:t>Background</w:t>
            </w:r>
          </w:p>
        </w:tc>
      </w:tr>
      <w:tr w:rsidR="00C1164B" w:rsidRPr="00C1164B" w:rsidTr="00C8613A">
        <w:trPr>
          <w:tblCellSpacing w:w="30" w:type="dxa"/>
        </w:trPr>
        <w:tc>
          <w:tcPr>
            <w:tcW w:w="0" w:type="auto"/>
            <w:gridSpan w:val="2"/>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Background and Context:</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UNDP provides rule of law support to over 100 countries, including 37 crisis-affected and fragile situations. Particular attention is paid to 21 priority countries supported through the Global Rule of Law Programme (2008-2011) which provides support to the implementation justice and security programmes in those countries. Recently, UNDP launched the second phase (2012-2015) of the Global Programme (GP) “Strengthening the rule of law in crisis-affected and fragile situations”.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The rule of law programmes in countries supported by the GP are focusing on enhancing access to justice and improved justice and security service delivery, tackling impunity for sexual and gender-based violence (SGBV), strengthening security sector governance, and supporting transitional justice processes. This assistance responds to urgent needs for justice and security, and simultaneously lays the foundations for recovery and long term development. The GP also provides support to joint programmes with DPKO, UNHCR, UNODC and UN Women which continue to deepen impact on the ground where it is most needed, particularly in UN mission areas such as </w:t>
            </w:r>
            <w:smartTag w:uri="urn:schemas-microsoft-com:office:smarttags" w:element="country-region">
              <w:r w:rsidRPr="00C1164B">
                <w:rPr>
                  <w:rFonts w:ascii="Verdana" w:eastAsia="Times New Roman" w:hAnsi="Verdana" w:cs="Times New Roman"/>
                  <w:color w:val="333333"/>
                  <w:sz w:val="10"/>
                  <w:szCs w:val="10"/>
                  <w:lang w:eastAsia="da-DK"/>
                </w:rPr>
                <w:t>Haiti</w:t>
              </w:r>
            </w:smartTag>
            <w:r w:rsidRPr="00C1164B">
              <w:rPr>
                <w:rFonts w:ascii="Verdana" w:eastAsia="Times New Roman" w:hAnsi="Verdana" w:cs="Times New Roman"/>
                <w:color w:val="333333"/>
                <w:sz w:val="10"/>
                <w:szCs w:val="10"/>
                <w:lang w:eastAsia="da-DK"/>
              </w:rPr>
              <w:t xml:space="preserve">, </w:t>
            </w:r>
            <w:smartTag w:uri="urn:schemas-microsoft-com:office:smarttags" w:element="country-region">
              <w:r w:rsidRPr="00C1164B">
                <w:rPr>
                  <w:rFonts w:ascii="Verdana" w:eastAsia="Times New Roman" w:hAnsi="Verdana" w:cs="Times New Roman"/>
                  <w:color w:val="333333"/>
                  <w:sz w:val="10"/>
                  <w:szCs w:val="10"/>
                  <w:lang w:eastAsia="da-DK"/>
                </w:rPr>
                <w:t>Liberia</w:t>
              </w:r>
            </w:smartTag>
            <w:r w:rsidRPr="00C1164B">
              <w:rPr>
                <w:rFonts w:ascii="Verdana" w:eastAsia="Times New Roman" w:hAnsi="Verdana" w:cs="Times New Roman"/>
                <w:color w:val="333333"/>
                <w:sz w:val="10"/>
                <w:szCs w:val="10"/>
                <w:lang w:eastAsia="da-DK"/>
              </w:rPr>
              <w:t xml:space="preserve">, </w:t>
            </w:r>
            <w:smartTag w:uri="urn:schemas-microsoft-com:office:smarttags" w:element="place">
              <w:r w:rsidRPr="00C1164B">
                <w:rPr>
                  <w:rFonts w:ascii="Verdana" w:eastAsia="Times New Roman" w:hAnsi="Verdana" w:cs="Times New Roman"/>
                  <w:color w:val="333333"/>
                  <w:sz w:val="10"/>
                  <w:szCs w:val="10"/>
                  <w:lang w:eastAsia="da-DK"/>
                </w:rPr>
                <w:t>South Sudan</w:t>
              </w:r>
            </w:smartTag>
            <w:r w:rsidRPr="00C1164B">
              <w:rPr>
                <w:rFonts w:ascii="Verdana" w:eastAsia="Times New Roman" w:hAnsi="Verdana" w:cs="Times New Roman"/>
                <w:color w:val="333333"/>
                <w:sz w:val="10"/>
                <w:szCs w:val="10"/>
                <w:lang w:eastAsia="da-DK"/>
              </w:rPr>
              <w:t xml:space="preserve"> and Timor-Leste.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Barriers to access justice exist in many societies but they are especially pervasive in conflict and post-conflict contexts. The administration of justice system might have been disrupted and the population displaced as a consequence of the conflict. Consequently, for many people the formal justice system is too far away. UNDP programmes assist people to find their through the justice system by supporting legal aid and by bringing justice closer to conflict-affected populations through the establishment of mobile courts.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Support to mobile courts is provided in the aftermath of conflict to provide population to access to justice and seek redress for their grievances. In some countries, support to mobile courts arrangements is provided in the context of the UN’s support to transitional justice processes.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UNDP provided support to mobile courts in several countries, including in DRC, </w:t>
            </w:r>
            <w:smartTag w:uri="urn:schemas-microsoft-com:office:smarttags" w:element="country-region">
              <w:r w:rsidRPr="00C1164B">
                <w:rPr>
                  <w:rFonts w:ascii="Verdana" w:eastAsia="Times New Roman" w:hAnsi="Verdana" w:cs="Times New Roman"/>
                  <w:color w:val="333333"/>
                  <w:sz w:val="10"/>
                  <w:szCs w:val="10"/>
                  <w:lang w:eastAsia="da-DK"/>
                </w:rPr>
                <w:t>Central African Republic</w:t>
              </w:r>
            </w:smartTag>
            <w:r w:rsidRPr="00C1164B">
              <w:rPr>
                <w:rFonts w:ascii="Verdana" w:eastAsia="Times New Roman" w:hAnsi="Verdana" w:cs="Times New Roman"/>
                <w:color w:val="333333"/>
                <w:sz w:val="10"/>
                <w:szCs w:val="10"/>
                <w:lang w:eastAsia="da-DK"/>
              </w:rPr>
              <w:t xml:space="preserve">, </w:t>
            </w:r>
            <w:smartTag w:uri="urn:schemas-microsoft-com:office:smarttags" w:element="country-region">
              <w:r w:rsidRPr="00C1164B">
                <w:rPr>
                  <w:rFonts w:ascii="Verdana" w:eastAsia="Times New Roman" w:hAnsi="Verdana" w:cs="Times New Roman"/>
                  <w:color w:val="333333"/>
                  <w:sz w:val="10"/>
                  <w:szCs w:val="10"/>
                  <w:lang w:eastAsia="da-DK"/>
                </w:rPr>
                <w:t>Sierra Leone</w:t>
              </w:r>
            </w:smartTag>
            <w:r w:rsidRPr="00C1164B">
              <w:rPr>
                <w:rFonts w:ascii="Verdana" w:eastAsia="Times New Roman" w:hAnsi="Verdana" w:cs="Times New Roman"/>
                <w:color w:val="333333"/>
                <w:sz w:val="10"/>
                <w:szCs w:val="10"/>
                <w:lang w:eastAsia="da-DK"/>
              </w:rPr>
              <w:t xml:space="preserve">, </w:t>
            </w:r>
            <w:smartTag w:uri="urn:schemas-microsoft-com:office:smarttags" w:element="place">
              <w:smartTag w:uri="urn:schemas-microsoft-com:office:smarttags" w:element="country-region">
                <w:r w:rsidRPr="00C1164B">
                  <w:rPr>
                    <w:rFonts w:ascii="Verdana" w:eastAsia="Times New Roman" w:hAnsi="Verdana" w:cs="Times New Roman"/>
                    <w:color w:val="333333"/>
                    <w:sz w:val="10"/>
                    <w:szCs w:val="10"/>
                    <w:lang w:eastAsia="da-DK"/>
                  </w:rPr>
                  <w:t>Guinea-Bissau</w:t>
                </w:r>
              </w:smartTag>
            </w:smartTag>
            <w:r w:rsidRPr="00C1164B">
              <w:rPr>
                <w:rFonts w:ascii="Verdana" w:eastAsia="Times New Roman" w:hAnsi="Verdana" w:cs="Times New Roman"/>
                <w:color w:val="333333"/>
                <w:sz w:val="10"/>
                <w:szCs w:val="10"/>
                <w:lang w:eastAsia="da-DK"/>
              </w:rPr>
              <w:t xml:space="preserve"> and Timor-Leste. In some countries this support was provided jointly with DPKO, OHCHR as well as civil society organizations. UNDP is now conducting a study to evaluate the impact of the UNDP support provided to mobile court arrangements in countries supported by the Global Programme.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Evaluation Purpose:</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The purpose of this evaluation is to assess the progress, achievements and lessons learned, including challenges faced with regard to the support to mobile courts’ systems in the framework of UNDP RoL programmes. The evaluation will review the impact of such activities and interventions at the sub-regional and national levels within the wider context of the technical and financial assistance provided by UNDP and its partners on RoL. In particular, the evaluation will measure the impact UNDP’s support regarding the facilitation of mobile court sessions and capacity development to bring justice closer to conflict-affected population and increase the access to justice of vulnerable people. In a second step, the evaluation will assess the impact of UNDP supported mobile court system for conflict-affected population to seek redress for their grievances and the consequences this might have for transitional justice and peace building and reconciliation efforts.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findings and conclusions of this evaluation will help generate lessons learned and identify best practices and strategies for UNDP’s (and its partners) RoL programming in post conflict-countries and for the continued engagement of UNDP in supporting development of mobile court’s systems and their relevance for legal/justice programming post conflict transitions..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Evaluation Scope and Objectives: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The evaluation will review components of RoL programmes supporting mobile courts project components in DRC, </w:t>
            </w:r>
            <w:smartTag w:uri="urn:schemas-microsoft-com:office:smarttags" w:element="country-region">
              <w:r w:rsidRPr="00C1164B">
                <w:rPr>
                  <w:rFonts w:ascii="Verdana" w:eastAsia="Times New Roman" w:hAnsi="Verdana" w:cs="Times New Roman"/>
                  <w:color w:val="333333"/>
                  <w:sz w:val="10"/>
                  <w:szCs w:val="10"/>
                  <w:lang w:eastAsia="da-DK"/>
                </w:rPr>
                <w:t>Central African Republic</w:t>
              </w:r>
            </w:smartTag>
            <w:r w:rsidRPr="00C1164B">
              <w:rPr>
                <w:rFonts w:ascii="Verdana" w:eastAsia="Times New Roman" w:hAnsi="Verdana" w:cs="Times New Roman"/>
                <w:color w:val="333333"/>
                <w:sz w:val="10"/>
                <w:szCs w:val="10"/>
                <w:lang w:eastAsia="da-DK"/>
              </w:rPr>
              <w:t xml:space="preserve">, </w:t>
            </w:r>
            <w:smartTag w:uri="urn:schemas-microsoft-com:office:smarttags" w:element="country-region">
              <w:r w:rsidRPr="00C1164B">
                <w:rPr>
                  <w:rFonts w:ascii="Verdana" w:eastAsia="Times New Roman" w:hAnsi="Verdana" w:cs="Times New Roman"/>
                  <w:color w:val="333333"/>
                  <w:sz w:val="10"/>
                  <w:szCs w:val="10"/>
                  <w:lang w:eastAsia="da-DK"/>
                </w:rPr>
                <w:t>Sierra Leone</w:t>
              </w:r>
            </w:smartTag>
            <w:r w:rsidRPr="00C1164B">
              <w:rPr>
                <w:rFonts w:ascii="Verdana" w:eastAsia="Times New Roman" w:hAnsi="Verdana" w:cs="Times New Roman"/>
                <w:color w:val="333333"/>
                <w:sz w:val="10"/>
                <w:szCs w:val="10"/>
                <w:lang w:eastAsia="da-DK"/>
              </w:rPr>
              <w:t xml:space="preserve">, </w:t>
            </w:r>
            <w:smartTag w:uri="urn:schemas-microsoft-com:office:smarttags" w:element="place">
              <w:smartTag w:uri="urn:schemas-microsoft-com:office:smarttags" w:element="country-region">
                <w:r w:rsidRPr="00C1164B">
                  <w:rPr>
                    <w:rFonts w:ascii="Verdana" w:eastAsia="Times New Roman" w:hAnsi="Verdana" w:cs="Times New Roman"/>
                    <w:color w:val="333333"/>
                    <w:sz w:val="10"/>
                    <w:szCs w:val="10"/>
                    <w:lang w:eastAsia="da-DK"/>
                  </w:rPr>
                  <w:t>Guinea-Bissau</w:t>
                </w:r>
              </w:smartTag>
            </w:smartTag>
            <w:r w:rsidRPr="00C1164B">
              <w:rPr>
                <w:rFonts w:ascii="Verdana" w:eastAsia="Times New Roman" w:hAnsi="Verdana" w:cs="Times New Roman"/>
                <w:color w:val="333333"/>
                <w:sz w:val="10"/>
                <w:szCs w:val="10"/>
                <w:lang w:eastAsia="da-DK"/>
              </w:rPr>
              <w:t xml:space="preserve"> and Timor-Leste in terms of their contributions to improve access to justice for the conflict-affected population and increased justice service delivery at the sub-regional and national level in these countries. The evaluation will specifically focus on the mobile courts’ impact for the population i) to seek redress for their grievances and ii) the consequences this might have for transitional justice processes and iii) for peace building and reconciliation efforts. The evaluation will examine the relevance of mobile courts project components in the context of their contributions towards improved justice service delivery and capacity development of justice institutions.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Specific objectives of the evaluation are as follows:</w:t>
            </w:r>
          </w:p>
          <w:p w:rsidR="00C1164B" w:rsidRPr="00C1164B" w:rsidRDefault="00C1164B" w:rsidP="00C1164B">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To assess the extent to which the mobile courts’ assistance interventions met their intended objectives and contributed to the achievement of outcomes/outputs;</w:t>
            </w:r>
          </w:p>
          <w:p w:rsidR="00C1164B" w:rsidRPr="00C1164B" w:rsidRDefault="00C1164B" w:rsidP="00C1164B">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To systematically review the implementation modalities, capacity development efforts, knowledge management and considerations for access to justice for vulnerable groups including women and in particular survivors of sexual violence;</w:t>
            </w:r>
          </w:p>
          <w:p w:rsidR="00C1164B" w:rsidRPr="00C1164B" w:rsidRDefault="00C1164B" w:rsidP="00C1164B">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lastRenderedPageBreak/>
              <w:t>To determine the extent to which support to mobile courts has contributed to increasing access to or decentralizing provision of justice services;</w:t>
            </w:r>
          </w:p>
          <w:p w:rsidR="00C1164B" w:rsidRPr="00C1164B" w:rsidRDefault="00C1164B" w:rsidP="00C1164B">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extent to which mobile courts contribute towards developing and strengthening long term national capacities and strategies;</w:t>
            </w:r>
          </w:p>
          <w:p w:rsidR="00C1164B" w:rsidRPr="00C1164B" w:rsidRDefault="00C1164B" w:rsidP="00C1164B">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Assess the exit strategy for UNDP’s support to the mobile courts given their temporary nature;</w:t>
            </w:r>
          </w:p>
          <w:p w:rsidR="00C1164B" w:rsidRPr="00C1164B" w:rsidRDefault="00C1164B" w:rsidP="00C1164B">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To present key findings, generate lessons learned, and provide a set of clear and forward-looking recommendations for enhancing the quality of future engagement of UNDP and its partners in supporting mobile courts’ arrangements.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evaluation will assess programme performance against the following criteria: relevance, effectiveness, efficiency and sustainability.</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Evaluation Questions: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This paragraph includes suggested evaluation questions against the 5 criteria listed below:</w:t>
            </w:r>
          </w:p>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Relevance</w:t>
            </w:r>
          </w:p>
          <w:p w:rsidR="00C1164B" w:rsidRPr="00C1164B" w:rsidRDefault="00C1164B" w:rsidP="00C1164B">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To what extent do the mobile courts’ support interventions respond to the priorities outlined in the national development strategies (or similar plans/strategies)? </w:t>
            </w:r>
          </w:p>
          <w:p w:rsidR="00C1164B" w:rsidRPr="00C1164B" w:rsidRDefault="00C1164B" w:rsidP="00C1164B">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How does the support for mobile courts’ arrangements contribute to the longer term development results in terms of approaches, capacities, policies and strategies in the Rule of Law/Justice provision.</w:t>
            </w:r>
          </w:p>
          <w:p w:rsidR="00C1164B" w:rsidRPr="00C1164B" w:rsidRDefault="00C1164B" w:rsidP="00C1164B">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How well do programming mix and support modalities match the needs of the population and national partners?</w:t>
            </w:r>
          </w:p>
          <w:p w:rsidR="00C1164B" w:rsidRPr="00C1164B" w:rsidRDefault="00C1164B" w:rsidP="00C1164B">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What has influenced UNDP’s decisions on where, how and to what extent to engage in supporting decentralization of justice service delivery through mobile courts assistance?</w:t>
            </w:r>
          </w:p>
          <w:p w:rsidR="00C1164B" w:rsidRPr="00C1164B" w:rsidRDefault="00C1164B" w:rsidP="00C1164B">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What was the relevance of and possible synergies between mobile courts assistance and other priorities identified in the Rule of Law programmes and the cross-cutting areas of gender equality, capacity building and national ownership? </w:t>
            </w:r>
          </w:p>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 xml:space="preserve">Efficiency </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Has the programme been implemented within its deadline and cost estimates?</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Did the mobile courts’ support interventions focus on the set of activities that were expected to produce significant results?</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Was there any identified synergy between UNDP-funded mobile courts’ support interventions and other similar interventions that contributed to reducing costs while supporting results?</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Has there been over expenditure or under expenditure of the mobile courts’ support interventions?</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eastAsia="da-DK"/>
              </w:rPr>
              <w:t xml:space="preserve">Were there any unanticipated events, opportunities or constraints? Were the anticipated policy influences achieved? Did alternative ones emerge? </w:t>
            </w:r>
            <w:r w:rsidRPr="00C1164B">
              <w:rPr>
                <w:rFonts w:ascii="Verdana" w:eastAsia="Times New Roman" w:hAnsi="Verdana" w:cs="Times New Roman"/>
                <w:color w:val="333333"/>
                <w:sz w:val="10"/>
                <w:szCs w:val="10"/>
                <w:lang w:val="en-GB" w:eastAsia="da-DK"/>
              </w:rPr>
              <w:t xml:space="preserve">What could be done differently in the future? </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Were there sufficient resources allocated towards achievement of the objectives of the mobile courts’ support interventions? How well did the mobile courts’ support interventions leverage non-core resources towards achievement of results? </w:t>
            </w:r>
          </w:p>
          <w:p w:rsidR="00C1164B" w:rsidRPr="00C1164B" w:rsidRDefault="00C1164B" w:rsidP="00C1164B">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What effect did management and institutional arrangements have on the quality of mobile courts’ support interventions in terms of programming, delivery and monitoring for results? What measures were taken to assure the quality of development results and management practices, both in relation to process and products, and to partnership strategies? What monitoring and evaluation procedures were applied by UNDP and partners to ensure greater accountability?</w:t>
            </w:r>
          </w:p>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Effectiveness</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Have the expected development (quantitative and qualitative) results been achieved and what were the supporting or impeding factors? </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Were the approaches, resources, models and conceptual frameworks relevant to achieve intended outcomes and outputs?</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What are the main lessons learned from the partnership strategies and what are the possibilities of replication?</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Were UNDP’s comparative advantages perceived/interpreted and were these reflected in the division of responsibilities?</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To what extent have interventions addressed transitional justice process and impunity of international crimes?</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Which aspects of the interventions had the greatest achievements? What have been the supporting factors? How can UNDP build upon or replicate these achievements? </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In which areas does the project component have the least achievements? What have been the constraining factors and why? How can they be overcome? </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Were the approaches, resources, models and conceptual frameworks used for mobile courts support relevant to the achievement of planned outcomes/outputs?</w:t>
            </w:r>
          </w:p>
          <w:p w:rsidR="00C1164B" w:rsidRPr="00C1164B" w:rsidRDefault="00C1164B" w:rsidP="00C1164B">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What were the unintended results (positive/negative) of mobile courts assistance interventions?</w:t>
            </w:r>
          </w:p>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 xml:space="preserve">Sustainability </w:t>
            </w:r>
          </w:p>
          <w:p w:rsidR="00C1164B" w:rsidRPr="00C1164B" w:rsidRDefault="00C1164B" w:rsidP="00C1164B">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To what extent was the timeframe/timeline of support to mobile courts as an immediate measure to improve access to justice of the conflict-affected population taken into account? </w:t>
            </w:r>
          </w:p>
          <w:p w:rsidR="00C1164B" w:rsidRPr="00C1164B" w:rsidRDefault="00C1164B" w:rsidP="00C1164B">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To what extent were sustainability considerations were taken into account in the design and implementation of interventions? How was this concern reflected in the design of the project component, in the implementation of activities at different levels, in the delivery of outputs and the achievement of outcomes? </w:t>
            </w:r>
          </w:p>
          <w:p w:rsidR="00C1164B" w:rsidRPr="00C1164B" w:rsidRDefault="00C1164B" w:rsidP="00C1164B">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Were exit strategies for mobile courts’ support interventions appropriately defined and implemented, and what steps have been taken to ensure sustainability of results?</w:t>
            </w:r>
          </w:p>
          <w:p w:rsidR="00C1164B" w:rsidRPr="00C1164B" w:rsidRDefault="00C1164B" w:rsidP="00C1164B">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How the development of partnerships at the global, regional and national level contributed to sustainability of the results?</w:t>
            </w:r>
          </w:p>
          <w:p w:rsidR="00C1164B" w:rsidRPr="00C1164B" w:rsidRDefault="00C1164B" w:rsidP="00C1164B">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How different stakeholders been engaged in the design and implementation of mobile courts’ support interventions? Have interventions been implemented with appropriate and effective inter-agency and partnership strategies? What has been the nature and added value of these partnerships? </w:t>
            </w:r>
          </w:p>
        </w:tc>
      </w:tr>
      <w:tr w:rsidR="00C1164B" w:rsidRPr="00C1164B" w:rsidTr="00C8613A">
        <w:trPr>
          <w:tblCellSpacing w:w="30" w:type="dxa"/>
        </w:trPr>
        <w:tc>
          <w:tcPr>
            <w:tcW w:w="0" w:type="auto"/>
            <w:gridSpan w:val="2"/>
            <w:vAlign w:val="center"/>
          </w:tcPr>
          <w:p w:rsidR="00C1164B" w:rsidRPr="00C1164B" w:rsidRDefault="00C1164B" w:rsidP="00C1164B">
            <w:pPr>
              <w:keepNext/>
              <w:spacing w:before="240" w:after="60" w:line="270" w:lineRule="atLeast"/>
              <w:outlineLvl w:val="2"/>
              <w:rPr>
                <w:rFonts w:ascii="Arial" w:eastAsia="Times New Roman" w:hAnsi="Arial" w:cs="Arial"/>
                <w:b/>
                <w:bCs/>
                <w:sz w:val="26"/>
                <w:szCs w:val="26"/>
                <w:lang w:val="en-GB" w:eastAsia="da-DK"/>
              </w:rPr>
            </w:pPr>
            <w:r w:rsidRPr="00C1164B">
              <w:rPr>
                <w:rFonts w:ascii="Arial" w:eastAsia="Times New Roman" w:hAnsi="Arial" w:cs="Arial"/>
                <w:b/>
                <w:bCs/>
                <w:sz w:val="26"/>
                <w:szCs w:val="26"/>
                <w:lang w:val="en-GB" w:eastAsia="da-DK"/>
              </w:rPr>
              <w:lastRenderedPageBreak/>
              <w:t>Duties and Responsibilities</w:t>
            </w:r>
          </w:p>
        </w:tc>
      </w:tr>
      <w:tr w:rsidR="00C1164B" w:rsidRPr="00C1164B" w:rsidTr="00C8613A">
        <w:trPr>
          <w:tblCellSpacing w:w="30" w:type="dxa"/>
        </w:trPr>
        <w:tc>
          <w:tcPr>
            <w:tcW w:w="0" w:type="auto"/>
            <w:gridSpan w:val="2"/>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Inception: Based on the indicative questions listed in the above section, project component and content specific questions will be elaborated further by the evaluation consultant in the inception report. The inception report should contain an evaluation matrix that displays for each of the evaluation criteria the questions and sub-questions that the evaluation will answer, and for each question, the primary and secondary data that will be collected.</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Data collection: In view of the complexity of the evaluation, the consultant will seek to obtain data from a range of sources, including desk reviews and document analyses, surveys and questionnaires, stakeholder consultations, interviews and focus group discussions at UNDP Headquarters and in a range of programme countries, UN agencies, international organizations, and other relevant institutions. The rationale for using a range of data sources (data, perceptions, evidence) is to triangulate findings in a situation where much of the data, due to the very complex nature of interventions, is qualitative, and its interpretation thus critically dependent on the evaluators’ judgment. Triangulation provides an important tool in filtering evidence by using different data sources to inform the analysis of specific issues. The evaluators will provide empirical evidence to support all conclusions and recommendations, and the evidence will be validated from multiple sources. Where possible and appropriate, the evaluation should seek to obtain evidence as to what might or might not have occurred in the absence of these interventions. A three-phased approach will be adopted in conducting the evaluation: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First phase (Initial briefings/ meetings in </w:t>
            </w:r>
            <w:smartTag w:uri="urn:schemas-microsoft-com:office:smarttags" w:element="State">
              <w:smartTag w:uri="urn:schemas-microsoft-com:office:smarttags" w:element="place">
                <w:r w:rsidRPr="00C1164B">
                  <w:rPr>
                    <w:rFonts w:ascii="Verdana" w:eastAsia="Times New Roman" w:hAnsi="Verdana" w:cs="Times New Roman"/>
                    <w:color w:val="333333"/>
                    <w:sz w:val="10"/>
                    <w:szCs w:val="10"/>
                    <w:lang w:eastAsia="da-DK"/>
                  </w:rPr>
                  <w:t>New York</w:t>
                </w:r>
              </w:smartTag>
            </w:smartTag>
            <w:r w:rsidRPr="00C1164B">
              <w:rPr>
                <w:rFonts w:ascii="Verdana" w:eastAsia="Times New Roman" w:hAnsi="Verdana" w:cs="Times New Roman"/>
                <w:color w:val="333333"/>
                <w:sz w:val="10"/>
                <w:szCs w:val="10"/>
                <w:lang w:eastAsia="da-DK"/>
              </w:rPr>
              <w:t xml:space="preserve"> and desk reviews):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lastRenderedPageBreak/>
              <w:t xml:space="preserve">During this phase, the Evaluation consultant will conduct a desk review of relevant project documents and related documentation such as routine monitoring reports, project progress reports, and relevant review and evaluation reports, other analytical studies. The desk review will enable the consultant to: i) examine the quality of results baselines and indicators established for the projects; ii) assess the adequacy of the response strategies as reflected in the results framework; iii) review the quality of project baselines and indicators as well as existing monitoring mechanisms and resources (financial and human), and iv) conduct an initial assessment of progress towards results and/or impact as reflected in available progress reports. During the first two weeks of this phase the Evaluation Consultant will participate in briefings and meetings in UNDP and other UN agencies based in </w:t>
            </w:r>
            <w:smartTag w:uri="urn:schemas-microsoft-com:office:smarttags" w:element="State">
              <w:smartTag w:uri="urn:schemas-microsoft-com:office:smarttags" w:element="place">
                <w:r w:rsidRPr="00C1164B">
                  <w:rPr>
                    <w:rFonts w:ascii="Verdana" w:eastAsia="Times New Roman" w:hAnsi="Verdana" w:cs="Times New Roman"/>
                    <w:color w:val="333333"/>
                    <w:sz w:val="10"/>
                    <w:szCs w:val="10"/>
                    <w:lang w:eastAsia="da-DK"/>
                  </w:rPr>
                  <w:t>New York</w:t>
                </w:r>
              </w:smartTag>
            </w:smartTag>
            <w:r w:rsidRPr="00C1164B">
              <w:rPr>
                <w:rFonts w:ascii="Verdana" w:eastAsia="Times New Roman" w:hAnsi="Verdana" w:cs="Times New Roman"/>
                <w:color w:val="333333"/>
                <w:sz w:val="10"/>
                <w:szCs w:val="10"/>
                <w:lang w:eastAsia="da-DK"/>
              </w:rPr>
              <w:t xml:space="preserve"> and interviews with the members of the Evaluation Reference Group. Within the first two weeks of the assignment the Evaluation Consultant will submit the inception report, describing the methodological/analytical framework for the evaluation and overall timeframe.</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second phase (country visits):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in-country evaluations will require extensive review of existing documentation with particular attention to evaluations and studies, consultations with senior and operational managers and field staff, as well as consultations/interviews with a sample of beneficiaries. This will also include review of existing UNDP programme evaluations and assessments, studies, research and evaluations conducted by other development partners, and other relevant documentation. The Evaluation Consultant will conduct individual country visits to validate the documentary data against actual results on the ground. The focus will be to triangulate information from documents and interviews by gathering objective data on key achievements and areas for improvement. At the end of each country visit, the Evaluation Consultant is expected to present initial findings to the concerned country offices for validation of factual information and findings.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third phase (finalizing reports):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third phase of the evaluation will include finalization of the evaluation report, presentation of its findings to the Evaluation Reference Group and dissemination of lessons learned through existing UNDP mechanisms. The report should specifically highlight key lessons learned and good practices that could be replicated in future programs.</w:t>
            </w:r>
          </w:p>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Evaluation Products / Deliverables:</w:t>
            </w:r>
          </w:p>
          <w:p w:rsidR="00C1164B" w:rsidRPr="00C1164B" w:rsidRDefault="00C1164B" w:rsidP="00C1164B">
            <w:pPr>
              <w:numPr>
                <w:ilvl w:val="0"/>
                <w:numId w:val="33"/>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Inception report— detailing the evaluators’ understanding of what is being evaluated and why, showing how each evaluation question will be answered by way of: proposed methods, proposed sources of data and data collection procedures. The inception report will also include a proposed schedule of tasks, activities and deliverables, designating a team member with the lead responsibility for each task or product;</w:t>
            </w:r>
          </w:p>
          <w:p w:rsidR="00C1164B" w:rsidRPr="00C1164B" w:rsidRDefault="00C1164B" w:rsidP="00C1164B">
            <w:pPr>
              <w:numPr>
                <w:ilvl w:val="0"/>
                <w:numId w:val="33"/>
              </w:numPr>
              <w:spacing w:before="100" w:beforeAutospacing="1" w:after="100" w:afterAutospacing="1" w:line="240" w:lineRule="auto"/>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Draft evaluation report; and</w:t>
            </w:r>
          </w:p>
          <w:p w:rsidR="00C1164B" w:rsidRPr="00C1164B" w:rsidRDefault="00C1164B" w:rsidP="00C1164B">
            <w:pPr>
              <w:numPr>
                <w:ilvl w:val="0"/>
                <w:numId w:val="33"/>
              </w:numPr>
              <w:spacing w:before="100" w:beforeAutospacing="1" w:after="100" w:afterAutospacing="1" w:line="240" w:lineRule="auto"/>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 xml:space="preserve">Final evaluation report. </w:t>
            </w:r>
          </w:p>
          <w:p w:rsidR="00C1164B" w:rsidRPr="00C1164B" w:rsidRDefault="00C1164B" w:rsidP="00C1164B">
            <w:pPr>
              <w:spacing w:after="0" w:line="270" w:lineRule="atLeast"/>
              <w:rPr>
                <w:rFonts w:ascii="Verdana" w:eastAsia="Times New Roman" w:hAnsi="Verdana" w:cs="Times New Roman"/>
                <w:color w:val="333333"/>
                <w:sz w:val="10"/>
                <w:szCs w:val="10"/>
                <w:lang w:val="en-GB" w:eastAsia="da-DK"/>
              </w:rPr>
            </w:pPr>
            <w:r w:rsidRPr="00C1164B">
              <w:rPr>
                <w:rFonts w:ascii="Verdana" w:eastAsia="Times New Roman" w:hAnsi="Verdana" w:cs="Times New Roman"/>
                <w:color w:val="333333"/>
                <w:sz w:val="10"/>
                <w:szCs w:val="10"/>
                <w:lang w:val="en-GB" w:eastAsia="da-DK"/>
              </w:rPr>
              <w:t>Evaluatiuon Ethics: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evaluation will be conducted in accordance with the principles outlined in the UNEG “Ethical Guidelines for Evaluation” and evaluators must address, in the design and implementation of the evaluation critical issues, critical issues including evaluation ethics and procedures to safeguard the rights and confidentiality of information providers, such for example: measures to ensure compliance with legal codes governing areas such as provisions to collect and report data, particularly permissions needed to interview or obtain information about children and young people; provisions to store and maintain security of collected information; and protocols to ensure anonymity and confidentiality.</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Implementation Arrangements:</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The ROL Team and the Monitoring and Evaluation team (M&amp;E) of the Bureau for Crisis Prevention and Recovery (BCPR) will jointly manage the evaluation process and ensure the coordination and liaison with concerned agencies at the headquarter level as well as the country level. An Evaluation Reference Group will be established at the outset of the evaluation, consisting of key stakeholders and partners, i.e. focal points/representative from UN agencies, multilateral development banks (the World Bank), academia, as well as client countries’ representatives and implementing partners. The Reference Group will play an important role in providing strategic, methodological and substantive inputs into the evaluation process, as well as feedback on the inception and final evaluation report. In addition, the reference group will ensure that the evaluation results are appropriately disseminated and discussed within their respective organizations.</w:t>
            </w:r>
          </w:p>
        </w:tc>
      </w:tr>
      <w:tr w:rsidR="00C1164B" w:rsidRPr="00C1164B" w:rsidTr="00C8613A">
        <w:trPr>
          <w:tblCellSpacing w:w="30" w:type="dxa"/>
        </w:trPr>
        <w:tc>
          <w:tcPr>
            <w:tcW w:w="0" w:type="auto"/>
            <w:gridSpan w:val="2"/>
            <w:vAlign w:val="center"/>
          </w:tcPr>
          <w:p w:rsidR="00C1164B" w:rsidRPr="00C1164B" w:rsidRDefault="00C1164B" w:rsidP="00C1164B">
            <w:pPr>
              <w:keepNext/>
              <w:spacing w:before="240" w:after="60" w:line="270" w:lineRule="atLeast"/>
              <w:outlineLvl w:val="2"/>
              <w:rPr>
                <w:rFonts w:ascii="Arial" w:eastAsia="Times New Roman" w:hAnsi="Arial" w:cs="Arial"/>
                <w:b/>
                <w:bCs/>
                <w:sz w:val="26"/>
                <w:szCs w:val="26"/>
                <w:lang w:val="en-GB" w:eastAsia="da-DK"/>
              </w:rPr>
            </w:pPr>
            <w:r w:rsidRPr="00C1164B">
              <w:rPr>
                <w:rFonts w:ascii="Arial" w:eastAsia="Times New Roman" w:hAnsi="Arial" w:cs="Arial"/>
                <w:b/>
                <w:bCs/>
                <w:sz w:val="26"/>
                <w:szCs w:val="26"/>
                <w:lang w:val="en-GB" w:eastAsia="da-DK"/>
              </w:rPr>
              <w:lastRenderedPageBreak/>
              <w:t>Competencies</w:t>
            </w:r>
          </w:p>
        </w:tc>
      </w:tr>
      <w:tr w:rsidR="00C1164B" w:rsidRPr="00C1164B" w:rsidTr="00C8613A">
        <w:trPr>
          <w:tblCellSpacing w:w="30" w:type="dxa"/>
        </w:trPr>
        <w:tc>
          <w:tcPr>
            <w:tcW w:w="0" w:type="auto"/>
            <w:gridSpan w:val="2"/>
            <w:vAlign w:val="center"/>
          </w:tcPr>
          <w:p w:rsidR="00C1164B" w:rsidRPr="00C1164B" w:rsidRDefault="00C1164B" w:rsidP="00C1164B">
            <w:pPr>
              <w:numPr>
                <w:ilvl w:val="0"/>
                <w:numId w:val="34"/>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Superior leadership and strategic management skills with an excellent understanding of international development issues and knowledge of the UN system;</w:t>
            </w:r>
          </w:p>
          <w:p w:rsidR="00C1164B" w:rsidRPr="00C1164B" w:rsidRDefault="00C1164B" w:rsidP="00C1164B">
            <w:pPr>
              <w:numPr>
                <w:ilvl w:val="0"/>
                <w:numId w:val="34"/>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Strong written and verbal communication skills, in a multi-cultural setting; ability to conduct results-based management and reporting, objectivity and ability to analyze large multi-country data sets in short period;</w:t>
            </w:r>
          </w:p>
          <w:p w:rsidR="00C1164B" w:rsidRPr="00C1164B" w:rsidRDefault="00C1164B" w:rsidP="00C1164B">
            <w:pPr>
              <w:numPr>
                <w:ilvl w:val="0"/>
                <w:numId w:val="34"/>
              </w:numPr>
              <w:spacing w:before="100" w:beforeAutospacing="1" w:after="100" w:afterAutospacing="1"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Experience working collaboratively in small teams with tight deadlines. </w:t>
            </w:r>
          </w:p>
        </w:tc>
      </w:tr>
      <w:tr w:rsidR="00C1164B" w:rsidRPr="00C1164B" w:rsidTr="00C8613A">
        <w:trPr>
          <w:tblCellSpacing w:w="30" w:type="dxa"/>
        </w:trPr>
        <w:tc>
          <w:tcPr>
            <w:tcW w:w="0" w:type="auto"/>
            <w:gridSpan w:val="2"/>
            <w:vAlign w:val="center"/>
          </w:tcPr>
          <w:p w:rsidR="00C1164B" w:rsidRPr="00C1164B" w:rsidRDefault="00C1164B" w:rsidP="00C1164B">
            <w:pPr>
              <w:keepNext/>
              <w:spacing w:before="240" w:after="60" w:line="270" w:lineRule="atLeast"/>
              <w:outlineLvl w:val="2"/>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Required Skills and Experience</w:t>
            </w:r>
          </w:p>
        </w:tc>
      </w:tr>
      <w:tr w:rsidR="00C1164B" w:rsidRPr="00C1164B" w:rsidTr="00C8613A">
        <w:trPr>
          <w:tblCellSpacing w:w="30" w:type="dxa"/>
        </w:trPr>
        <w:tc>
          <w:tcPr>
            <w:tcW w:w="0" w:type="auto"/>
            <w:gridSpan w:val="2"/>
            <w:vAlign w:val="center"/>
          </w:tcPr>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Education: </w:t>
            </w:r>
          </w:p>
          <w:p w:rsidR="00C1164B" w:rsidRPr="00C1164B" w:rsidRDefault="00C1164B" w:rsidP="00C1164B">
            <w:pPr>
              <w:numPr>
                <w:ilvl w:val="0"/>
                <w:numId w:val="35"/>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Masters or PhD in law or other relevant fields. </w:t>
            </w:r>
          </w:p>
          <w:p w:rsidR="00C1164B" w:rsidRPr="00C1164B" w:rsidRDefault="00C1164B" w:rsidP="00C1164B">
            <w:pPr>
              <w:spacing w:after="0"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Experience:</w:t>
            </w:r>
          </w:p>
          <w:p w:rsidR="00C1164B" w:rsidRPr="00C1164B" w:rsidRDefault="00C1164B" w:rsidP="00C1164B">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At least 7 years of international development experience or well established and well-functioning organization with at least 5 years of experience in project/programme design and implementation; </w:t>
            </w:r>
          </w:p>
          <w:p w:rsidR="00C1164B" w:rsidRPr="00C1164B" w:rsidRDefault="00C1164B" w:rsidP="00C1164B">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Relevant professional experience in evaluation of rule of law or other relevant programmes – at national, regional, and global levels; </w:t>
            </w:r>
          </w:p>
          <w:p w:rsidR="00C1164B" w:rsidRPr="00C1164B" w:rsidRDefault="00C1164B" w:rsidP="00C1164B">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Strong monitoring and evaluation background, sound methodological skills and knowledge of evaluation methods and techniques; </w:t>
            </w:r>
          </w:p>
          <w:p w:rsidR="00C1164B" w:rsidRPr="00C1164B" w:rsidRDefault="00C1164B" w:rsidP="00C1164B">
            <w:pPr>
              <w:numPr>
                <w:ilvl w:val="0"/>
                <w:numId w:val="36"/>
              </w:numPr>
              <w:spacing w:before="100" w:beforeAutospacing="1" w:after="100" w:afterAutospacing="1" w:line="270" w:lineRule="atLeast"/>
              <w:rPr>
                <w:rFonts w:ascii="Verdana" w:eastAsia="Times New Roman" w:hAnsi="Verdana" w:cs="Times New Roman"/>
                <w:color w:val="333333"/>
                <w:sz w:val="10"/>
                <w:szCs w:val="10"/>
                <w:lang w:eastAsia="da-DK"/>
              </w:rPr>
            </w:pPr>
            <w:r w:rsidRPr="00C1164B">
              <w:rPr>
                <w:rFonts w:ascii="Verdana" w:eastAsia="Times New Roman" w:hAnsi="Verdana" w:cs="Times New Roman"/>
                <w:color w:val="333333"/>
                <w:sz w:val="10"/>
                <w:szCs w:val="10"/>
                <w:lang w:eastAsia="da-DK"/>
              </w:rPr>
              <w:t xml:space="preserve">Extensive experience in working with the UN/multilateral development agencies, UNDP country offices and/or regional centres is an asset. </w:t>
            </w:r>
          </w:p>
        </w:tc>
      </w:tr>
    </w:tbl>
    <w:p w:rsidR="00C1164B" w:rsidRPr="00C1164B" w:rsidRDefault="00C1164B" w:rsidP="00C1164B">
      <w:pPr>
        <w:spacing w:after="0" w:line="270" w:lineRule="atLeast"/>
        <w:rPr>
          <w:rFonts w:ascii="Times New Roman" w:eastAsia="Times New Roman" w:hAnsi="Times New Roman" w:cs="Times New Roman"/>
          <w:sz w:val="23"/>
          <w:szCs w:val="20"/>
          <w:lang w:eastAsia="da-DK"/>
        </w:rPr>
      </w:pPr>
    </w:p>
    <w:p w:rsidR="00C1164B" w:rsidRPr="00C1164B" w:rsidRDefault="00C1164B" w:rsidP="00C1164B">
      <w:pPr>
        <w:spacing w:after="0" w:line="270" w:lineRule="atLeast"/>
        <w:rPr>
          <w:rFonts w:ascii="Calibri" w:eastAsia="Times New Roman" w:hAnsi="Calibri" w:cs="Times New Roman"/>
          <w:b/>
          <w:lang w:eastAsia="da-DK"/>
        </w:rPr>
      </w:pPr>
      <w:bookmarkStart w:id="0" w:name="_GoBack"/>
      <w:bookmarkEnd w:id="0"/>
    </w:p>
    <w:p w:rsidR="00C1164B" w:rsidRDefault="00C1164B">
      <w:pPr>
        <w:rPr>
          <w:rFonts w:ascii="Constantia" w:eastAsia="Times New Roman" w:hAnsi="Constantia" w:cs="Kalinga"/>
          <w:b/>
          <w:sz w:val="44"/>
          <w:szCs w:val="44"/>
          <w:lang w:val="en-GB" w:eastAsia="da-DK"/>
        </w:rPr>
      </w:pPr>
    </w:p>
    <w:p w:rsidR="00C1164B" w:rsidRPr="006E6AAA" w:rsidRDefault="00C1164B" w:rsidP="006E6AAA">
      <w:pPr>
        <w:spacing w:after="0" w:line="270" w:lineRule="atLeast"/>
        <w:ind w:left="720"/>
        <w:rPr>
          <w:rFonts w:ascii="Constantia" w:eastAsia="Times New Roman" w:hAnsi="Constantia" w:cs="Kalinga"/>
          <w:b/>
          <w:sz w:val="44"/>
          <w:szCs w:val="44"/>
          <w:lang w:val="en-GB" w:eastAsia="da-DK"/>
        </w:rPr>
      </w:pPr>
    </w:p>
    <w:p w:rsidR="006E6AAA" w:rsidRPr="006E6AAA" w:rsidRDefault="006E6AAA" w:rsidP="006E6AAA">
      <w:pPr>
        <w:spacing w:after="0" w:line="270" w:lineRule="atLeast"/>
        <w:ind w:left="720"/>
        <w:rPr>
          <w:rFonts w:ascii="Constantia" w:eastAsia="Times New Roman" w:hAnsi="Constantia" w:cs="Kalinga"/>
          <w:b/>
          <w:sz w:val="44"/>
          <w:szCs w:val="44"/>
          <w:lang w:val="en-GB" w:eastAsia="da-DK"/>
        </w:rPr>
      </w:pPr>
      <w:r w:rsidRPr="006E6AAA">
        <w:rPr>
          <w:rFonts w:ascii="Constantia" w:eastAsia="Times New Roman" w:hAnsi="Constantia" w:cs="Kalinga"/>
          <w:b/>
          <w:sz w:val="44"/>
          <w:szCs w:val="44"/>
          <w:lang w:val="en-GB" w:eastAsia="da-DK"/>
        </w:rPr>
        <w:t xml:space="preserve">UNDP supported mobile courts interventions </w:t>
      </w:r>
    </w:p>
    <w:p w:rsidR="006E6AAA" w:rsidRPr="006E6AAA" w:rsidRDefault="006E6AAA" w:rsidP="006E6AAA">
      <w:pPr>
        <w:spacing w:after="0" w:line="270" w:lineRule="atLeast"/>
        <w:ind w:left="720" w:right="-442"/>
        <w:rPr>
          <w:rFonts w:ascii="Constantia" w:eastAsia="Times New Roman" w:hAnsi="Constantia" w:cs="Kalinga"/>
          <w:sz w:val="44"/>
          <w:szCs w:val="44"/>
          <w:lang w:val="en-GB" w:eastAsia="da-DK"/>
        </w:rPr>
      </w:pPr>
    </w:p>
    <w:p w:rsidR="006E6AAA" w:rsidRPr="006E6AAA" w:rsidRDefault="006E6AAA" w:rsidP="006E6AAA">
      <w:pPr>
        <w:spacing w:after="0" w:line="270" w:lineRule="atLeast"/>
        <w:ind w:left="720"/>
        <w:rPr>
          <w:rFonts w:ascii="Constantia" w:eastAsia="Times New Roman" w:hAnsi="Constantia" w:cs="Kalinga"/>
          <w:smallCaps/>
          <w:spacing w:val="60"/>
          <w:sz w:val="48"/>
          <w:szCs w:val="48"/>
          <w:lang w:val="en-GB" w:eastAsia="da-DK"/>
        </w:rPr>
      </w:pPr>
      <w:r w:rsidRPr="006E6AAA">
        <w:rPr>
          <w:rFonts w:ascii="Constantia" w:eastAsia="Times New Roman" w:hAnsi="Constantia" w:cs="Kalinga"/>
          <w:smallCaps/>
          <w:spacing w:val="60"/>
          <w:sz w:val="48"/>
          <w:szCs w:val="48"/>
          <w:lang w:val="en-GB" w:eastAsia="da-DK"/>
        </w:rPr>
        <w:t>evaluation report</w:t>
      </w:r>
    </w:p>
    <w:p w:rsidR="006E6AAA" w:rsidRPr="006E6AAA" w:rsidRDefault="006E6AAA" w:rsidP="006E6AAA">
      <w:pPr>
        <w:spacing w:after="0" w:line="270" w:lineRule="atLeast"/>
        <w:ind w:left="720"/>
        <w:rPr>
          <w:rFonts w:ascii="Constantia" w:eastAsia="Times New Roman" w:hAnsi="Constantia" w:cs="Kalinga"/>
          <w:smallCaps/>
          <w:spacing w:val="60"/>
          <w:sz w:val="48"/>
          <w:szCs w:val="48"/>
          <w:lang w:val="en-GB" w:eastAsia="da-DK"/>
        </w:rPr>
      </w:pPr>
    </w:p>
    <w:p w:rsidR="006E6AAA" w:rsidRPr="006E6AAA" w:rsidRDefault="006E6AAA" w:rsidP="006E6AAA">
      <w:pPr>
        <w:spacing w:after="0" w:line="270" w:lineRule="atLeast"/>
        <w:jc w:val="right"/>
        <w:rPr>
          <w:rFonts w:ascii="Calibri" w:eastAsia="Times New Roman" w:hAnsi="Calibri" w:cs="Times New Roman"/>
          <w:sz w:val="28"/>
          <w:szCs w:val="28"/>
          <w:lang w:val="en-GB" w:eastAsia="da-DK"/>
        </w:rPr>
      </w:pPr>
    </w:p>
    <w:p w:rsidR="006E6AAA" w:rsidRPr="006E6AAA" w:rsidRDefault="006E6AAA" w:rsidP="006E6AAA">
      <w:pPr>
        <w:spacing w:after="0" w:line="270" w:lineRule="atLeast"/>
        <w:ind w:left="-1080"/>
        <w:jc w:val="right"/>
        <w:rPr>
          <w:rFonts w:ascii="Calibri" w:eastAsia="Times New Roman" w:hAnsi="Calibri" w:cs="Times New Roman"/>
          <w:sz w:val="28"/>
          <w:szCs w:val="28"/>
          <w:lang w:val="en-GB" w:eastAsia="da-DK"/>
        </w:rPr>
      </w:pPr>
      <w:r>
        <w:rPr>
          <w:rFonts w:ascii="Times New Roman" w:eastAsia="Times New Roman" w:hAnsi="Times New Roman" w:cs="Times New Roman"/>
          <w:noProof/>
          <w:sz w:val="23"/>
          <w:szCs w:val="20"/>
        </w:rPr>
        <w:drawing>
          <wp:inline distT="0" distB="0" distL="0" distR="0">
            <wp:extent cx="6900545" cy="3190240"/>
            <wp:effectExtent l="0" t="0" r="0" b="0"/>
            <wp:docPr id="3" name="Picture 3" descr="prova per copertina f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per copertina fin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0545" cy="3190240"/>
                    </a:xfrm>
                    <a:prstGeom prst="rect">
                      <a:avLst/>
                    </a:prstGeom>
                    <a:noFill/>
                    <a:ln>
                      <a:noFill/>
                    </a:ln>
                  </pic:spPr>
                </pic:pic>
              </a:graphicData>
            </a:graphic>
          </wp:inline>
        </w:drawing>
      </w:r>
    </w:p>
    <w:p w:rsidR="006E6AAA" w:rsidRPr="006E6AAA" w:rsidRDefault="006E6AAA" w:rsidP="006E6AAA">
      <w:pPr>
        <w:spacing w:after="0" w:line="270" w:lineRule="atLeast"/>
        <w:ind w:left="-360" w:right="62" w:firstLine="1080"/>
        <w:jc w:val="right"/>
        <w:rPr>
          <w:rFonts w:ascii="Calibri" w:eastAsia="Times New Roman" w:hAnsi="Calibri" w:cs="Times New Roman"/>
          <w:i/>
          <w:sz w:val="16"/>
          <w:szCs w:val="16"/>
          <w:lang w:val="en-GB" w:eastAsia="da-DK"/>
        </w:rPr>
      </w:pPr>
      <w:r w:rsidRPr="006E6AAA">
        <w:rPr>
          <w:rFonts w:ascii="Calibri" w:eastAsia="Times New Roman" w:hAnsi="Calibri" w:cs="Times New Roman"/>
          <w:i/>
          <w:sz w:val="16"/>
          <w:szCs w:val="16"/>
          <w:lang w:val="en-GB" w:eastAsia="da-DK"/>
        </w:rPr>
        <w:t xml:space="preserve">      Local Court police officers in Moyamba</w:t>
      </w:r>
    </w:p>
    <w:p w:rsidR="006E6AAA" w:rsidRPr="006E6AAA" w:rsidRDefault="006E6AAA" w:rsidP="006E6AAA">
      <w:pPr>
        <w:spacing w:after="0" w:line="270" w:lineRule="atLeast"/>
        <w:jc w:val="right"/>
        <w:rPr>
          <w:rFonts w:ascii="Calibri" w:eastAsia="Times New Roman" w:hAnsi="Calibri" w:cs="Times New Roman"/>
          <w:sz w:val="28"/>
          <w:szCs w:val="28"/>
          <w:lang w:val="en-GB" w:eastAsia="da-DK"/>
        </w:rPr>
      </w:pPr>
    </w:p>
    <w:p w:rsidR="006E6AAA" w:rsidRPr="006E6AAA" w:rsidRDefault="006E6AAA" w:rsidP="006E6AAA">
      <w:pPr>
        <w:spacing w:after="0" w:line="270" w:lineRule="atLeast"/>
        <w:rPr>
          <w:rFonts w:ascii="Calibri" w:eastAsia="Times New Roman" w:hAnsi="Calibri" w:cs="Times New Roman"/>
          <w:sz w:val="28"/>
          <w:szCs w:val="28"/>
          <w:lang w:val="en-GB" w:eastAsia="da-DK"/>
        </w:rPr>
      </w:pPr>
    </w:p>
    <w:p w:rsidR="006E6AAA" w:rsidRPr="006E6AAA" w:rsidRDefault="006E6AAA" w:rsidP="006E6AAA">
      <w:pPr>
        <w:spacing w:after="0" w:line="270" w:lineRule="atLeast"/>
        <w:rPr>
          <w:rFonts w:ascii="Calibri" w:eastAsia="Times New Roman" w:hAnsi="Calibri" w:cs="Times New Roman"/>
          <w:sz w:val="28"/>
          <w:szCs w:val="28"/>
          <w:lang w:val="en-GB" w:eastAsia="da-DK"/>
        </w:rPr>
      </w:pPr>
    </w:p>
    <w:p w:rsidR="006E6AAA" w:rsidRPr="006E6AAA" w:rsidRDefault="006E6AAA" w:rsidP="006E6AAA">
      <w:pPr>
        <w:spacing w:after="0" w:line="270" w:lineRule="atLeast"/>
        <w:ind w:left="720"/>
        <w:rPr>
          <w:rFonts w:ascii="Constantia" w:eastAsia="Times New Roman" w:hAnsi="Constantia" w:cs="Kalinga"/>
          <w:sz w:val="36"/>
          <w:szCs w:val="36"/>
          <w:u w:val="single"/>
          <w:lang w:val="en-GB" w:eastAsia="da-DK"/>
        </w:rPr>
      </w:pPr>
      <w:r w:rsidRPr="006E6AAA">
        <w:rPr>
          <w:rFonts w:ascii="Constantia" w:eastAsia="Times New Roman" w:hAnsi="Constantia" w:cs="Kalinga"/>
          <w:sz w:val="36"/>
          <w:szCs w:val="36"/>
          <w:u w:val="single"/>
          <w:lang w:val="en-GB" w:eastAsia="da-DK"/>
        </w:rPr>
        <w:t>Country report n.1</w:t>
      </w:r>
    </w:p>
    <w:p w:rsidR="006E6AAA" w:rsidRPr="006E6AAA" w:rsidRDefault="006E6AAA" w:rsidP="006E6AAA">
      <w:pPr>
        <w:spacing w:after="0" w:line="270" w:lineRule="atLeast"/>
        <w:ind w:left="720"/>
        <w:rPr>
          <w:rFonts w:ascii="Constantia" w:eastAsia="Times New Roman" w:hAnsi="Constantia" w:cs="Kalinga"/>
          <w:sz w:val="36"/>
          <w:szCs w:val="36"/>
          <w:u w:val="single"/>
          <w:lang w:val="en-GB" w:eastAsia="da-DK"/>
        </w:rPr>
      </w:pPr>
    </w:p>
    <w:p w:rsidR="006E6AAA" w:rsidRPr="006E6AAA" w:rsidRDefault="006E6AAA" w:rsidP="006E6AAA">
      <w:pPr>
        <w:spacing w:after="0" w:line="270" w:lineRule="atLeast"/>
        <w:ind w:left="720"/>
        <w:rPr>
          <w:rFonts w:ascii="Constantia" w:eastAsia="Times New Roman" w:hAnsi="Constantia" w:cs="Kalinga"/>
          <w:b/>
          <w:i/>
          <w:sz w:val="44"/>
          <w:szCs w:val="44"/>
          <w:lang w:val="en-GB" w:eastAsia="da-DK"/>
        </w:rPr>
      </w:pPr>
      <w:r w:rsidRPr="006E6AAA">
        <w:rPr>
          <w:rFonts w:ascii="Constantia" w:eastAsia="Times New Roman" w:hAnsi="Constantia" w:cs="Kalinga"/>
          <w:b/>
          <w:i/>
          <w:sz w:val="44"/>
          <w:szCs w:val="44"/>
          <w:lang w:val="en-GB" w:eastAsia="da-DK"/>
        </w:rPr>
        <w:t>The circuit courts of Sierra Leone</w:t>
      </w:r>
    </w:p>
    <w:p w:rsidR="006E6AAA" w:rsidRPr="006E6AAA" w:rsidRDefault="006E6AAA" w:rsidP="006E6AAA">
      <w:pPr>
        <w:spacing w:after="0" w:line="270" w:lineRule="atLeast"/>
        <w:ind w:left="720"/>
        <w:rPr>
          <w:rFonts w:ascii="Constantia" w:eastAsia="Times New Roman" w:hAnsi="Constantia" w:cs="Kalinga"/>
          <w:b/>
          <w:i/>
          <w:sz w:val="44"/>
          <w:szCs w:val="44"/>
          <w:lang w:val="en-GB" w:eastAsia="da-DK"/>
        </w:rPr>
      </w:pPr>
    </w:p>
    <w:p w:rsidR="006E6AAA" w:rsidRPr="006E6AAA" w:rsidRDefault="006E6AAA" w:rsidP="006E6AAA">
      <w:pPr>
        <w:spacing w:after="0" w:line="270" w:lineRule="atLeast"/>
        <w:ind w:left="720"/>
        <w:rPr>
          <w:rFonts w:ascii="Calibri" w:eastAsia="Times New Roman" w:hAnsi="Calibri" w:cs="Times New Roman"/>
          <w:sz w:val="28"/>
          <w:szCs w:val="28"/>
          <w:lang w:val="en-GB" w:eastAsia="da-DK"/>
        </w:rPr>
      </w:pPr>
    </w:p>
    <w:p w:rsidR="006E6AAA" w:rsidRPr="006E6AAA" w:rsidRDefault="006E6AAA" w:rsidP="006E6AAA">
      <w:pPr>
        <w:spacing w:after="0" w:line="270" w:lineRule="atLeast"/>
        <w:ind w:left="720"/>
        <w:rPr>
          <w:rFonts w:ascii="Calibri" w:eastAsia="Times New Roman" w:hAnsi="Calibri" w:cs="Times New Roman"/>
          <w:sz w:val="28"/>
          <w:szCs w:val="28"/>
          <w:lang w:val="en-GB" w:eastAsia="da-DK"/>
        </w:rPr>
      </w:pPr>
    </w:p>
    <w:p w:rsidR="006E6AAA" w:rsidRPr="006E6AAA" w:rsidRDefault="006E6AAA" w:rsidP="006E6AAA">
      <w:pPr>
        <w:spacing w:after="0" w:line="300" w:lineRule="exact"/>
        <w:ind w:left="720"/>
        <w:rPr>
          <w:rFonts w:ascii="Constantia" w:eastAsia="Times New Roman" w:hAnsi="Constantia" w:cs="Kalinga"/>
          <w:sz w:val="23"/>
          <w:szCs w:val="20"/>
          <w:lang w:val="en-GB" w:eastAsia="da-DK"/>
        </w:rPr>
      </w:pPr>
      <w:r w:rsidRPr="006E6AAA">
        <w:rPr>
          <w:rFonts w:ascii="Constantia" w:eastAsia="Times New Roman" w:hAnsi="Constantia" w:cs="Kalinga"/>
          <w:b/>
          <w:sz w:val="23"/>
          <w:szCs w:val="20"/>
          <w:lang w:val="en-GB" w:eastAsia="da-DK"/>
        </w:rPr>
        <w:t>Commissioned by:</w:t>
      </w:r>
      <w:r w:rsidRPr="006E6AAA">
        <w:rPr>
          <w:rFonts w:ascii="Constantia" w:eastAsia="Times New Roman" w:hAnsi="Constantia" w:cs="Kalinga"/>
          <w:sz w:val="23"/>
          <w:szCs w:val="20"/>
          <w:lang w:val="en-GB" w:eastAsia="da-DK"/>
        </w:rPr>
        <w:t xml:space="preserve"> </w:t>
      </w:r>
      <w:r w:rsidRPr="006E6AAA">
        <w:rPr>
          <w:rFonts w:ascii="Constantia" w:eastAsia="Times New Roman" w:hAnsi="Constantia" w:cs="Kalinga"/>
          <w:sz w:val="24"/>
          <w:szCs w:val="24"/>
          <w:lang w:val="en-GB" w:eastAsia="da-DK"/>
        </w:rPr>
        <w:t>UNDP/Bureau for Crisis Prevention and Recovery (BCPR)</w:t>
      </w:r>
    </w:p>
    <w:p w:rsidR="006E6AAA" w:rsidRPr="006E6AAA" w:rsidRDefault="006E6AAA" w:rsidP="006E6AAA">
      <w:pPr>
        <w:spacing w:after="0" w:line="300" w:lineRule="exact"/>
        <w:ind w:left="720"/>
        <w:rPr>
          <w:rFonts w:ascii="Constantia" w:eastAsia="Times New Roman" w:hAnsi="Constantia" w:cs="Kalinga"/>
          <w:sz w:val="23"/>
          <w:szCs w:val="20"/>
          <w:lang w:val="en-GB" w:eastAsia="da-DK"/>
        </w:rPr>
      </w:pPr>
      <w:r w:rsidRPr="006E6AAA">
        <w:rPr>
          <w:rFonts w:ascii="Constantia" w:eastAsia="Times New Roman" w:hAnsi="Constantia" w:cs="Kalinga"/>
          <w:b/>
          <w:sz w:val="23"/>
          <w:szCs w:val="20"/>
          <w:lang w:val="en-GB" w:eastAsia="da-DK"/>
        </w:rPr>
        <w:t>Conducted by:</w:t>
      </w:r>
      <w:r w:rsidRPr="006E6AAA">
        <w:rPr>
          <w:rFonts w:ascii="Constantia" w:eastAsia="Times New Roman" w:hAnsi="Constantia" w:cs="Kalinga"/>
          <w:sz w:val="23"/>
          <w:szCs w:val="20"/>
          <w:lang w:val="en-GB" w:eastAsia="da-DK"/>
        </w:rPr>
        <w:t xml:space="preserve"> Monica Rispo </w:t>
      </w:r>
    </w:p>
    <w:p w:rsidR="006E6AAA" w:rsidRPr="006E6AAA" w:rsidRDefault="006E6AAA" w:rsidP="006E6AAA">
      <w:pPr>
        <w:spacing w:after="0" w:line="280" w:lineRule="exact"/>
        <w:ind w:left="720"/>
        <w:rPr>
          <w:rFonts w:ascii="Constantia" w:eastAsia="Times New Roman" w:hAnsi="Constantia" w:cs="Kalinga"/>
          <w:sz w:val="23"/>
          <w:szCs w:val="20"/>
          <w:lang w:val="en-GB" w:eastAsia="da-DK"/>
        </w:rPr>
      </w:pPr>
    </w:p>
    <w:p w:rsidR="006E6AAA" w:rsidRPr="006E6AAA" w:rsidRDefault="006E6AAA" w:rsidP="006E6AAA">
      <w:pPr>
        <w:spacing w:after="0" w:line="270" w:lineRule="atLeast"/>
        <w:rPr>
          <w:rFonts w:ascii="Constantia" w:eastAsia="Times New Roman" w:hAnsi="Constantia" w:cs="Kalinga"/>
          <w:sz w:val="23"/>
          <w:szCs w:val="20"/>
          <w:lang w:val="en-GB" w:eastAsia="da-DK"/>
        </w:rPr>
      </w:pPr>
    </w:p>
    <w:p w:rsidR="006E6AAA" w:rsidRPr="006E6AAA" w:rsidRDefault="006E6AAA" w:rsidP="006E6AAA">
      <w:pPr>
        <w:spacing w:after="0" w:line="270" w:lineRule="atLeast"/>
        <w:ind w:left="5664" w:firstLine="708"/>
        <w:jc w:val="center"/>
        <w:rPr>
          <w:rFonts w:ascii="Constantia" w:eastAsia="Times New Roman" w:hAnsi="Constantia" w:cs="Kalinga"/>
          <w:sz w:val="32"/>
          <w:szCs w:val="32"/>
          <w:lang w:val="en-GB" w:eastAsia="da-DK"/>
        </w:rPr>
      </w:pPr>
      <w:r w:rsidRPr="006E6AAA">
        <w:rPr>
          <w:rFonts w:ascii="Constantia" w:eastAsia="Times New Roman" w:hAnsi="Constantia" w:cs="Kalinga"/>
          <w:sz w:val="32"/>
          <w:szCs w:val="32"/>
          <w:lang w:val="en-GB" w:eastAsia="da-DK"/>
        </w:rPr>
        <w:t>February 2013</w:t>
      </w:r>
    </w:p>
    <w:p w:rsidR="006E6AAA" w:rsidRPr="006E6AAA" w:rsidRDefault="006E6AAA" w:rsidP="006E6AAA">
      <w:pPr>
        <w:spacing w:after="0" w:line="270" w:lineRule="atLeast"/>
        <w:rPr>
          <w:rFonts w:ascii="Constantia" w:eastAsia="Times New Roman" w:hAnsi="Constantia" w:cs="Kalinga"/>
          <w:b/>
          <w:sz w:val="44"/>
          <w:szCs w:val="44"/>
          <w:lang w:val="en-GB" w:eastAsia="da-DK"/>
        </w:rPr>
      </w:pP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sectPr w:rsidR="006E6AAA" w:rsidRPr="006E6AAA" w:rsidSect="008F6C9A">
          <w:headerReference w:type="even" r:id="rId18"/>
          <w:headerReference w:type="default" r:id="rId19"/>
          <w:footerReference w:type="even" r:id="rId20"/>
          <w:footerReference w:type="default" r:id="rId21"/>
          <w:headerReference w:type="first" r:id="rId22"/>
          <w:pgSz w:w="11906" w:h="16838"/>
          <w:pgMar w:top="1411" w:right="432" w:bottom="1138" w:left="432" w:header="720" w:footer="720" w:gutter="0"/>
          <w:cols w:space="720"/>
          <w:titlePg/>
          <w:docGrid w:linePitch="360"/>
        </w:sectPr>
      </w:pPr>
    </w:p>
    <w:p w:rsidR="006E6AAA" w:rsidRPr="006E6AAA" w:rsidRDefault="006E6AAA" w:rsidP="006E6AAA">
      <w:pPr>
        <w:spacing w:after="0" w:line="270" w:lineRule="atLeast"/>
        <w:rPr>
          <w:rFonts w:ascii="Calibri" w:eastAsia="Times New Roman" w:hAnsi="Calibri" w:cs="Times New Roman"/>
          <w:b/>
          <w:i/>
          <w:sz w:val="32"/>
          <w:szCs w:val="32"/>
          <w:lang w:val="en-GB" w:eastAsia="da-DK"/>
        </w:rPr>
      </w:pPr>
      <w:r w:rsidRPr="006E6AAA">
        <w:rPr>
          <w:rFonts w:ascii="Calibri" w:eastAsia="Times New Roman" w:hAnsi="Calibri" w:cs="Times New Roman"/>
          <w:b/>
          <w:i/>
          <w:sz w:val="32"/>
          <w:szCs w:val="32"/>
          <w:lang w:val="en-GB" w:eastAsia="da-DK"/>
        </w:rPr>
        <w:lastRenderedPageBreak/>
        <w:t>Contents</w:t>
      </w: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tabs>
          <w:tab w:val="left" w:pos="8100"/>
        </w:tabs>
        <w:spacing w:after="0" w:line="270"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Acronyms and abbreviations …………………………………………………………………………………………..</w:t>
      </w:r>
      <w:r w:rsidRPr="006E6AAA">
        <w:rPr>
          <w:rFonts w:ascii="Calibri" w:eastAsia="Times New Roman" w:hAnsi="Calibri" w:cs="Times New Roman"/>
          <w:lang w:val="en-GB" w:eastAsia="da-DK"/>
        </w:rPr>
        <w:tab/>
        <w:t>p. 4</w:t>
      </w:r>
    </w:p>
    <w:p w:rsidR="006E6AAA" w:rsidRPr="006E6AAA" w:rsidRDefault="006E6AAA" w:rsidP="006E6AAA">
      <w:pPr>
        <w:tabs>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i/>
          <w:lang w:eastAsia="da-DK"/>
        </w:rPr>
        <w:t>Executive Summary</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p. 5</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70" w:lineRule="atLeast"/>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PART I: INTRODUCTION</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1</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Introduction …………………………………………………………………………………………………………</w:t>
      </w:r>
      <w:r w:rsidRPr="006E6AAA">
        <w:rPr>
          <w:rFonts w:ascii="Calibri" w:eastAsia="Times New Roman" w:hAnsi="Calibri" w:cs="Times New Roman"/>
          <w:lang w:eastAsia="da-DK"/>
        </w:rPr>
        <w:tab/>
        <w:t>p. 8</w:t>
      </w:r>
      <w:r w:rsidRPr="006E6AAA">
        <w:rPr>
          <w:rFonts w:ascii="Calibri" w:eastAsia="Times New Roman" w:hAnsi="Calibri" w:cs="Times New Roman"/>
          <w:lang w:eastAsia="da-DK"/>
        </w:rPr>
        <w:tab/>
      </w: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2.</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Purpose and scope of work …………………………………………………………………………………..</w:t>
      </w:r>
      <w:r w:rsidRPr="006E6AAA">
        <w:rPr>
          <w:rFonts w:ascii="Calibri" w:eastAsia="Times New Roman" w:hAnsi="Calibri" w:cs="Times New Roman"/>
          <w:lang w:eastAsia="da-DK"/>
        </w:rPr>
        <w:tab/>
        <w:t>p. 8</w:t>
      </w: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3.</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 xml:space="preserve">Methodology and limitations ……………………………………………………………………………….  </w:t>
      </w:r>
      <w:r w:rsidRPr="006E6AAA">
        <w:rPr>
          <w:rFonts w:ascii="Calibri" w:eastAsia="Times New Roman" w:hAnsi="Calibri" w:cs="Times New Roman"/>
          <w:lang w:eastAsia="da-DK"/>
        </w:rPr>
        <w:tab/>
        <w:t>p. 9</w:t>
      </w: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4.</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Description of the evaluated intervention...…………………………………………………………..</w:t>
      </w:r>
      <w:r w:rsidRPr="006E6AAA">
        <w:rPr>
          <w:rFonts w:ascii="Calibri" w:eastAsia="Times New Roman" w:hAnsi="Calibri" w:cs="Times New Roman"/>
          <w:lang w:eastAsia="da-DK"/>
        </w:rPr>
        <w:tab/>
        <w:t>p. 9</w:t>
      </w: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5.</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Overview of the judicial system in Sierra Leone ……………………………………………………</w:t>
      </w:r>
      <w:r w:rsidRPr="006E6AAA">
        <w:rPr>
          <w:rFonts w:ascii="Calibri" w:eastAsia="Times New Roman" w:hAnsi="Calibri" w:cs="Times New Roman"/>
          <w:lang w:eastAsia="da-DK"/>
        </w:rPr>
        <w:tab/>
        <w:t>p. 10</w:t>
      </w: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 xml:space="preserve">6. </w:t>
      </w:r>
      <w:r w:rsidRPr="006E6AAA">
        <w:rPr>
          <w:rFonts w:ascii="Calibri" w:eastAsia="Times New Roman" w:hAnsi="Calibri" w:cs="Times New Roman"/>
          <w:b/>
          <w:color w:val="000080"/>
          <w:lang w:eastAsia="da-DK"/>
        </w:rPr>
        <w:tab/>
      </w:r>
      <w:r w:rsidRPr="006E6AAA">
        <w:rPr>
          <w:rFonts w:ascii="Calibri" w:eastAsia="Times New Roman" w:hAnsi="Calibri" w:cs="Times New Roman"/>
          <w:lang w:eastAsia="da-DK"/>
        </w:rPr>
        <w:t>Critical background factors ……………………………………………………………………………………</w:t>
      </w:r>
      <w:r w:rsidRPr="006E6AAA">
        <w:rPr>
          <w:rFonts w:ascii="Calibri" w:eastAsia="Times New Roman" w:hAnsi="Calibri" w:cs="Times New Roman"/>
          <w:lang w:eastAsia="da-DK"/>
        </w:rPr>
        <w:tab/>
        <w:t>p. 10</w:t>
      </w: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spacing w:after="0" w:line="270" w:lineRule="atLeast"/>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PART II: EVALUATION FINDINGS</w:t>
      </w:r>
    </w:p>
    <w:p w:rsidR="006E6AAA" w:rsidRPr="006E6AAA" w:rsidRDefault="006E6AAA" w:rsidP="006E6AAA">
      <w:pPr>
        <w:tabs>
          <w:tab w:val="left" w:pos="540"/>
          <w:tab w:val="left" w:pos="720"/>
        </w:tabs>
        <w:spacing w:after="0" w:line="270" w:lineRule="atLeast"/>
        <w:outlineLvl w:val="0"/>
        <w:rPr>
          <w:rFonts w:ascii="Calibri" w:eastAsia="Times New Roman" w:hAnsi="Calibri" w:cs="Times New Roman"/>
          <w:lang w:eastAsia="da-DK"/>
        </w:rPr>
      </w:pPr>
    </w:p>
    <w:p w:rsidR="006E6AAA" w:rsidRPr="006E6AAA" w:rsidRDefault="006E6AAA" w:rsidP="006E6AAA">
      <w:pPr>
        <w:tabs>
          <w:tab w:val="left" w:pos="540"/>
          <w:tab w:val="left" w:pos="72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1</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relevance</w:t>
      </w:r>
    </w:p>
    <w:p w:rsidR="006E6AAA" w:rsidRPr="006E6AAA" w:rsidRDefault="006E6AAA" w:rsidP="006E6AAA">
      <w:pPr>
        <w:tabs>
          <w:tab w:val="left" w:pos="540"/>
          <w:tab w:val="left" w:pos="720"/>
          <w:tab w:val="left" w:pos="8100"/>
        </w:tabs>
        <w:spacing w:after="0" w:line="270" w:lineRule="atLeast"/>
        <w:ind w:left="540"/>
        <w:rPr>
          <w:rFonts w:ascii="Calibri" w:eastAsia="Times New Roman" w:hAnsi="Calibri" w:cs="Times New Roman"/>
          <w:b/>
          <w:color w:val="000080"/>
          <w:lang w:val="it-IT" w:eastAsia="da-DK"/>
        </w:rPr>
      </w:pPr>
      <w:r w:rsidRPr="006E6AAA">
        <w:rPr>
          <w:rFonts w:ascii="Calibri" w:eastAsia="Times New Roman" w:hAnsi="Calibri" w:cs="Times New Roman"/>
          <w:b/>
          <w:color w:val="000080"/>
          <w:lang w:val="it-IT" w:eastAsia="da-DK"/>
        </w:rPr>
        <w:t xml:space="preserve">1.1. </w:t>
      </w:r>
      <w:r w:rsidRPr="006E6AAA">
        <w:rPr>
          <w:rFonts w:ascii="Calibri" w:eastAsia="Times New Roman" w:hAnsi="Calibri" w:cs="Times New Roman"/>
          <w:lang w:val="it-IT" w:eastAsia="da-DK"/>
        </w:rPr>
        <w:t>The Sierra Leonean mobile court model …………………………………………………........</w:t>
      </w:r>
      <w:r w:rsidRPr="006E6AAA">
        <w:rPr>
          <w:rFonts w:ascii="Calibri" w:eastAsia="Times New Roman" w:hAnsi="Calibri" w:cs="Times New Roman"/>
          <w:lang w:val="it-IT" w:eastAsia="da-DK"/>
        </w:rPr>
        <w:tab/>
        <w:t>p. 12</w:t>
      </w:r>
    </w:p>
    <w:p w:rsidR="006E6AAA" w:rsidRPr="006E6AAA" w:rsidRDefault="006E6AAA" w:rsidP="006E6AAA">
      <w:pPr>
        <w:tabs>
          <w:tab w:val="left" w:pos="540"/>
          <w:tab w:val="left" w:pos="720"/>
          <w:tab w:val="left" w:pos="8100"/>
        </w:tabs>
        <w:spacing w:after="0" w:line="270" w:lineRule="atLeast"/>
        <w:ind w:left="540"/>
        <w:rPr>
          <w:rFonts w:ascii="Calibri" w:eastAsia="Times New Roman" w:hAnsi="Calibri" w:cs="Times New Roman"/>
          <w:lang w:eastAsia="da-DK"/>
        </w:rPr>
      </w:pPr>
      <w:r w:rsidRPr="006E6AAA">
        <w:rPr>
          <w:rFonts w:ascii="Calibri" w:eastAsia="Times New Roman" w:hAnsi="Calibri" w:cs="Times New Roman"/>
          <w:b/>
          <w:color w:val="000080"/>
          <w:lang w:eastAsia="da-DK"/>
        </w:rPr>
        <w:t xml:space="preserve">1.2. </w:t>
      </w:r>
      <w:r w:rsidRPr="006E6AAA">
        <w:rPr>
          <w:rFonts w:ascii="Calibri" w:eastAsia="Times New Roman" w:hAnsi="Calibri" w:cs="Times New Roman"/>
          <w:lang w:eastAsia="da-DK"/>
        </w:rPr>
        <w:t>Relevance to national justice sector strategies ………………………………………………</w:t>
      </w:r>
      <w:r w:rsidRPr="006E6AAA">
        <w:rPr>
          <w:rFonts w:ascii="Calibri" w:eastAsia="Times New Roman" w:hAnsi="Calibri" w:cs="Times New Roman"/>
          <w:lang w:eastAsia="da-DK"/>
        </w:rPr>
        <w:tab/>
        <w:t>p. 13</w:t>
      </w:r>
    </w:p>
    <w:p w:rsidR="006E6AAA" w:rsidRPr="006E6AAA" w:rsidRDefault="006E6AAA" w:rsidP="006E6AAA">
      <w:pPr>
        <w:tabs>
          <w:tab w:val="left" w:pos="540"/>
          <w:tab w:val="left" w:pos="720"/>
          <w:tab w:val="left" w:pos="8100"/>
        </w:tabs>
        <w:spacing w:after="0" w:line="270" w:lineRule="atLeast"/>
        <w:ind w:left="540"/>
        <w:rPr>
          <w:rFonts w:ascii="Calibri" w:eastAsia="Times New Roman" w:hAnsi="Calibri" w:cs="Times New Roman"/>
          <w:lang w:eastAsia="da-DK"/>
        </w:rPr>
      </w:pPr>
      <w:r w:rsidRPr="006E6AAA">
        <w:rPr>
          <w:rFonts w:ascii="Calibri" w:eastAsia="Times New Roman" w:hAnsi="Calibri" w:cs="Times New Roman"/>
          <w:b/>
          <w:color w:val="000080"/>
          <w:lang w:eastAsia="da-DK"/>
        </w:rPr>
        <w:t>1.3</w:t>
      </w:r>
      <w:r w:rsidRPr="006E6AAA">
        <w:rPr>
          <w:rFonts w:ascii="Calibri" w:eastAsia="Times New Roman" w:hAnsi="Calibri" w:cs="Times New Roman"/>
          <w:lang w:eastAsia="da-DK"/>
        </w:rPr>
        <w:t>. Relevance to the needs of the population ……………………………………………………….</w:t>
      </w:r>
      <w:r w:rsidRPr="006E6AAA">
        <w:rPr>
          <w:rFonts w:ascii="Calibri" w:eastAsia="Times New Roman" w:hAnsi="Calibri" w:cs="Times New Roman"/>
          <w:lang w:eastAsia="da-DK"/>
        </w:rPr>
        <w:tab/>
        <w:t>p. 15</w:t>
      </w:r>
    </w:p>
    <w:p w:rsidR="006E6AAA" w:rsidRPr="006E6AAA" w:rsidRDefault="006E6AAA" w:rsidP="006E6AAA">
      <w:pPr>
        <w:tabs>
          <w:tab w:val="left" w:pos="540"/>
          <w:tab w:val="left" w:pos="720"/>
          <w:tab w:val="left" w:pos="8100"/>
        </w:tabs>
        <w:spacing w:after="0" w:line="270" w:lineRule="atLeast"/>
        <w:ind w:left="540"/>
        <w:rPr>
          <w:rFonts w:ascii="Calibri" w:eastAsia="Times New Roman" w:hAnsi="Calibri" w:cs="Times New Roman"/>
          <w:lang w:eastAsia="da-DK"/>
        </w:rPr>
      </w:pPr>
      <w:r w:rsidRPr="006E6AAA">
        <w:rPr>
          <w:rFonts w:ascii="Calibri" w:eastAsia="Times New Roman" w:hAnsi="Calibri" w:cs="Times New Roman"/>
          <w:b/>
          <w:color w:val="000080"/>
          <w:lang w:eastAsia="da-DK"/>
        </w:rPr>
        <w:t>1.4</w:t>
      </w:r>
      <w:r w:rsidRPr="006E6AAA">
        <w:rPr>
          <w:rFonts w:ascii="Calibri" w:eastAsia="Times New Roman" w:hAnsi="Calibri" w:cs="Times New Roman"/>
          <w:lang w:eastAsia="da-DK"/>
        </w:rPr>
        <w:t>. Relevance to gender and national ownership …………………………………………………</w:t>
      </w:r>
      <w:r w:rsidRPr="006E6AAA">
        <w:rPr>
          <w:rFonts w:ascii="Calibri" w:eastAsia="Times New Roman" w:hAnsi="Calibri" w:cs="Times New Roman"/>
          <w:lang w:eastAsia="da-DK"/>
        </w:rPr>
        <w:tab/>
        <w:t>p. 16</w:t>
      </w:r>
    </w:p>
    <w:p w:rsidR="006E6AAA" w:rsidRPr="006E6AAA" w:rsidRDefault="006E6AAA" w:rsidP="006E6AAA">
      <w:pPr>
        <w:spacing w:after="0" w:line="270" w:lineRule="atLeast"/>
        <w:ind w:left="360"/>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2</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effectiveness</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2.1. </w:t>
      </w:r>
      <w:r w:rsidRPr="006E6AAA">
        <w:rPr>
          <w:rFonts w:ascii="Calibri" w:eastAsia="Times New Roman" w:hAnsi="Calibri" w:cs="Times New Roman"/>
          <w:lang w:eastAsia="da-DK"/>
        </w:rPr>
        <w:t>Planning and monitoring …………………………………………………………………………………</w:t>
      </w:r>
      <w:r w:rsidRPr="006E6AAA">
        <w:rPr>
          <w:rFonts w:ascii="Calibri" w:eastAsia="Times New Roman" w:hAnsi="Calibri" w:cs="Times New Roman"/>
          <w:lang w:eastAsia="da-DK"/>
        </w:rPr>
        <w:tab/>
        <w:t>p. 17</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2.2. </w:t>
      </w:r>
      <w:r w:rsidRPr="006E6AAA">
        <w:rPr>
          <w:rFonts w:ascii="Calibri" w:eastAsia="Times New Roman" w:hAnsi="Calibri" w:cs="Times New Roman"/>
          <w:lang w:eastAsia="da-DK"/>
        </w:rPr>
        <w:t>The achieved results ……………………………………………………………………………………….</w:t>
      </w:r>
      <w:r w:rsidRPr="006E6AAA">
        <w:rPr>
          <w:rFonts w:ascii="Calibri" w:eastAsia="Times New Roman" w:hAnsi="Calibri" w:cs="Times New Roman"/>
          <w:lang w:eastAsia="da-DK"/>
        </w:rPr>
        <w:tab/>
        <w:t>p. 19</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2.3</w:t>
      </w:r>
      <w:r w:rsidRPr="006E6AAA">
        <w:rPr>
          <w:rFonts w:ascii="Calibri" w:eastAsia="Times New Roman" w:hAnsi="Calibri" w:cs="Times New Roman"/>
          <w:lang w:eastAsia="da-DK"/>
        </w:rPr>
        <w:t xml:space="preserve">. The quality of the achieved results …………………………………………………………………. </w:t>
      </w:r>
      <w:r w:rsidRPr="006E6AAA">
        <w:rPr>
          <w:rFonts w:ascii="Calibri" w:eastAsia="Times New Roman" w:hAnsi="Calibri" w:cs="Times New Roman"/>
          <w:lang w:eastAsia="da-DK"/>
        </w:rPr>
        <w:tab/>
        <w:t>p. 21</w:t>
      </w:r>
      <w:r w:rsidRPr="006E6AAA">
        <w:rPr>
          <w:rFonts w:ascii="Calibri" w:eastAsia="Times New Roman" w:hAnsi="Calibri" w:cs="Times New Roman"/>
          <w:lang w:eastAsia="da-DK"/>
        </w:rPr>
        <w:tab/>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2.4</w:t>
      </w:r>
      <w:r w:rsidRPr="006E6AAA">
        <w:rPr>
          <w:rFonts w:ascii="Calibri" w:eastAsia="Times New Roman" w:hAnsi="Calibri" w:cs="Times New Roman"/>
          <w:lang w:eastAsia="da-DK"/>
        </w:rPr>
        <w:t>. Observation of mobile court sessions ……………………………………………………………..</w:t>
      </w:r>
      <w:r w:rsidRPr="006E6AAA">
        <w:rPr>
          <w:rFonts w:ascii="Calibri" w:eastAsia="Times New Roman" w:hAnsi="Calibri" w:cs="Times New Roman"/>
          <w:lang w:eastAsia="da-DK"/>
        </w:rPr>
        <w:tab/>
        <w:t>p. 31</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3</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efficiency</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3.1. </w:t>
      </w:r>
      <w:r w:rsidRPr="006E6AAA">
        <w:rPr>
          <w:rFonts w:ascii="Calibri" w:eastAsia="Times New Roman" w:hAnsi="Calibri" w:cs="Times New Roman"/>
          <w:lang w:eastAsia="da-DK"/>
        </w:rPr>
        <w:t>Cost-effectiveness …………………………………………………………………………………………..</w:t>
      </w:r>
      <w:r w:rsidRPr="006E6AAA">
        <w:rPr>
          <w:rFonts w:ascii="Calibri" w:eastAsia="Times New Roman" w:hAnsi="Calibri" w:cs="Times New Roman"/>
          <w:lang w:eastAsia="da-DK"/>
        </w:rPr>
        <w:tab/>
        <w:t>p. 32</w:t>
      </w:r>
      <w:r w:rsidRPr="006E6AAA">
        <w:rPr>
          <w:rFonts w:ascii="Calibri" w:eastAsia="Times New Roman" w:hAnsi="Calibri" w:cs="Times New Roman"/>
          <w:lang w:eastAsia="da-DK"/>
        </w:rPr>
        <w:tab/>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3.2. </w:t>
      </w:r>
      <w:r w:rsidRPr="006E6AAA">
        <w:rPr>
          <w:rFonts w:ascii="Calibri" w:eastAsia="Times New Roman" w:hAnsi="Calibri" w:cs="Times New Roman"/>
          <w:lang w:eastAsia="da-DK"/>
        </w:rPr>
        <w:t>Coordination with international partners ……………………………………………………….</w:t>
      </w:r>
      <w:r w:rsidRPr="006E6AAA">
        <w:rPr>
          <w:rFonts w:ascii="Calibri" w:eastAsia="Times New Roman" w:hAnsi="Calibri" w:cs="Times New Roman"/>
          <w:lang w:eastAsia="da-DK"/>
        </w:rPr>
        <w:tab/>
        <w:t>p. 34</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3.3</w:t>
      </w:r>
      <w:r w:rsidRPr="006E6AAA">
        <w:rPr>
          <w:rFonts w:ascii="Calibri" w:eastAsia="Times New Roman" w:hAnsi="Calibri" w:cs="Times New Roman"/>
          <w:lang w:eastAsia="da-DK"/>
        </w:rPr>
        <w:t>. Coordination between national justice and security institutions ……………………</w:t>
      </w:r>
      <w:r w:rsidRPr="006E6AAA">
        <w:rPr>
          <w:rFonts w:ascii="Calibri" w:eastAsia="Times New Roman" w:hAnsi="Calibri" w:cs="Times New Roman"/>
          <w:lang w:eastAsia="da-DK"/>
        </w:rPr>
        <w:tab/>
        <w:t>p. 35</w:t>
      </w:r>
      <w:r w:rsidRPr="006E6AAA">
        <w:rPr>
          <w:rFonts w:ascii="Calibri" w:eastAsia="Times New Roman" w:hAnsi="Calibri" w:cs="Times New Roman"/>
          <w:lang w:eastAsia="da-DK"/>
        </w:rPr>
        <w:tab/>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3.4</w:t>
      </w:r>
      <w:r w:rsidRPr="006E6AAA">
        <w:rPr>
          <w:rFonts w:ascii="Calibri" w:eastAsia="Times New Roman" w:hAnsi="Calibri" w:cs="Times New Roman"/>
          <w:lang w:eastAsia="da-DK"/>
        </w:rPr>
        <w:t>. Challenges ……………………………………………………………………………………………………..</w:t>
      </w:r>
      <w:r w:rsidRPr="006E6AAA">
        <w:rPr>
          <w:rFonts w:ascii="Calibri" w:eastAsia="Times New Roman" w:hAnsi="Calibri" w:cs="Times New Roman"/>
          <w:lang w:eastAsia="da-DK"/>
        </w:rPr>
        <w:tab/>
        <w:t>p. 37</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3.5.</w:t>
      </w:r>
      <w:r w:rsidRPr="006E6AAA">
        <w:rPr>
          <w:rFonts w:ascii="Calibri" w:eastAsia="Times New Roman" w:hAnsi="Calibri" w:cs="Times New Roman"/>
          <w:lang w:eastAsia="da-DK"/>
        </w:rPr>
        <w:t xml:space="preserve"> Good practices ……………………………………………………………………………………………….</w:t>
      </w:r>
      <w:r w:rsidRPr="006E6AAA">
        <w:rPr>
          <w:rFonts w:ascii="Calibri" w:eastAsia="Times New Roman" w:hAnsi="Calibri" w:cs="Times New Roman"/>
          <w:lang w:eastAsia="da-DK"/>
        </w:rPr>
        <w:tab/>
        <w:t>p. 38</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3.6</w:t>
      </w:r>
      <w:r w:rsidRPr="006E6AAA">
        <w:rPr>
          <w:rFonts w:ascii="Calibri" w:eastAsia="Times New Roman" w:hAnsi="Calibri" w:cs="Times New Roman"/>
          <w:lang w:eastAsia="da-DK"/>
        </w:rPr>
        <w:t>. Lessons learned ……………………………………………………………………………………………..</w:t>
      </w:r>
      <w:r w:rsidRPr="006E6AAA">
        <w:rPr>
          <w:rFonts w:ascii="Calibri" w:eastAsia="Times New Roman" w:hAnsi="Calibri" w:cs="Times New Roman"/>
          <w:lang w:eastAsia="da-DK"/>
        </w:rPr>
        <w:tab/>
        <w:t>p. 39</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p>
    <w:p w:rsidR="006E6AAA" w:rsidRPr="006E6AAA" w:rsidRDefault="006E6AAA" w:rsidP="006E6AAA">
      <w:pPr>
        <w:tabs>
          <w:tab w:val="left" w:pos="540"/>
          <w:tab w:val="left" w:pos="810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4</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 xml:space="preserve">sustainability </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p. 39</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5</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impact</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5.1. </w:t>
      </w:r>
      <w:r w:rsidRPr="006E6AAA">
        <w:rPr>
          <w:rFonts w:ascii="Calibri" w:eastAsia="Times New Roman" w:hAnsi="Calibri" w:cs="Times New Roman"/>
          <w:lang w:eastAsia="da-DK"/>
        </w:rPr>
        <w:t>Changes for the population and the justice actors ……………………………………………</w:t>
      </w:r>
      <w:r w:rsidRPr="006E6AAA">
        <w:rPr>
          <w:rFonts w:ascii="Calibri" w:eastAsia="Times New Roman" w:hAnsi="Calibri" w:cs="Times New Roman"/>
          <w:lang w:eastAsia="da-DK"/>
        </w:rPr>
        <w:tab/>
        <w:t>p. 40</w:t>
      </w:r>
    </w:p>
    <w:p w:rsidR="006E6AAA" w:rsidRPr="006E6AAA" w:rsidRDefault="006E6AAA" w:rsidP="006E6AAA">
      <w:pPr>
        <w:tabs>
          <w:tab w:val="left" w:pos="54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5.2. </w:t>
      </w:r>
      <w:r w:rsidRPr="006E6AAA">
        <w:rPr>
          <w:rFonts w:ascii="Calibri" w:eastAsia="Times New Roman" w:hAnsi="Calibri" w:cs="Times New Roman"/>
          <w:lang w:eastAsia="da-DK"/>
        </w:rPr>
        <w:t>The impact of mobile courts on the prosecution of international crimes  …………</w:t>
      </w:r>
      <w:r w:rsidRPr="006E6AAA">
        <w:rPr>
          <w:rFonts w:ascii="Calibri" w:eastAsia="Times New Roman" w:hAnsi="Calibri" w:cs="Times New Roman"/>
          <w:lang w:eastAsia="da-DK"/>
        </w:rPr>
        <w:tab/>
        <w:t>p. 41</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p>
    <w:p w:rsidR="006E6AAA" w:rsidRPr="006E6AAA" w:rsidRDefault="006E6AAA" w:rsidP="006E6AAA">
      <w:pPr>
        <w:spacing w:after="0" w:line="270" w:lineRule="atLeast"/>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PART II: CONCLUSIONS AND RECCOMANDATIONS</w:t>
      </w: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tabs>
          <w:tab w:val="left" w:pos="720"/>
          <w:tab w:val="left" w:pos="810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 xml:space="preserve">6. </w:t>
      </w:r>
      <w:r w:rsidRPr="006E6AAA">
        <w:rPr>
          <w:rFonts w:ascii="Calibri" w:eastAsia="Times New Roman" w:hAnsi="Calibri" w:cs="Times New Roman"/>
          <w:b/>
          <w:color w:val="000080"/>
          <w:lang w:eastAsia="da-DK"/>
        </w:rPr>
        <w:tab/>
      </w:r>
      <w:r w:rsidRPr="006E6AAA">
        <w:rPr>
          <w:rFonts w:ascii="Calibri" w:eastAsia="Times New Roman" w:hAnsi="Calibri" w:cs="Times New Roman"/>
          <w:b/>
          <w:smallCaps/>
          <w:color w:val="000080"/>
          <w:lang w:eastAsia="da-DK"/>
        </w:rPr>
        <w:t xml:space="preserve">conclusions </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p. 42</w:t>
      </w:r>
    </w:p>
    <w:p w:rsidR="006E6AAA" w:rsidRPr="006E6AAA" w:rsidRDefault="006E6AAA" w:rsidP="006E6AAA">
      <w:pPr>
        <w:tabs>
          <w:tab w:val="left" w:pos="720"/>
          <w:tab w:val="left" w:pos="8100"/>
        </w:tabs>
        <w:spacing w:after="0" w:line="270" w:lineRule="atLeast"/>
        <w:rPr>
          <w:rFonts w:ascii="Calibri" w:eastAsia="Times New Roman" w:hAnsi="Calibri" w:cs="Times New Roman"/>
          <w:b/>
          <w:smallCaps/>
          <w:color w:val="000080"/>
          <w:lang w:eastAsia="da-DK"/>
        </w:rPr>
      </w:pPr>
      <w:r w:rsidRPr="006E6AAA">
        <w:rPr>
          <w:rFonts w:ascii="Calibri" w:eastAsia="Times New Roman" w:hAnsi="Calibri" w:cs="Times New Roman"/>
          <w:b/>
          <w:color w:val="000080"/>
          <w:lang w:eastAsia="da-DK"/>
        </w:rPr>
        <w:t xml:space="preserve">7. </w:t>
      </w:r>
      <w:r w:rsidRPr="006E6AAA">
        <w:rPr>
          <w:rFonts w:ascii="Calibri" w:eastAsia="Times New Roman" w:hAnsi="Calibri" w:cs="Times New Roman"/>
          <w:b/>
          <w:color w:val="000080"/>
          <w:lang w:eastAsia="da-DK"/>
        </w:rPr>
        <w:tab/>
      </w:r>
      <w:r w:rsidRPr="006E6AAA">
        <w:rPr>
          <w:rFonts w:ascii="Calibri" w:eastAsia="Times New Roman" w:hAnsi="Calibri" w:cs="Times New Roman"/>
          <w:b/>
          <w:smallCaps/>
          <w:color w:val="000080"/>
          <w:lang w:eastAsia="da-DK"/>
        </w:rPr>
        <w:t xml:space="preserve">reccomandations </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p. 43</w:t>
      </w: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spacing w:after="0" w:line="270" w:lineRule="atLeast"/>
        <w:rPr>
          <w:rFonts w:ascii="Calibri" w:eastAsia="Times New Roman" w:hAnsi="Calibri" w:cs="Times New Roman"/>
          <w:b/>
          <w:color w:val="000080"/>
          <w:u w:val="single"/>
          <w:lang w:eastAsia="da-DK"/>
        </w:rPr>
      </w:pPr>
      <w:r w:rsidRPr="006E6AAA">
        <w:rPr>
          <w:rFonts w:ascii="Calibri" w:eastAsia="Times New Roman" w:hAnsi="Calibri" w:cs="Times New Roman"/>
          <w:b/>
          <w:color w:val="000080"/>
          <w:u w:val="single"/>
          <w:lang w:eastAsia="da-DK"/>
        </w:rPr>
        <w:t>ANNEXES</w:t>
      </w:r>
    </w:p>
    <w:p w:rsidR="006E6AAA" w:rsidRPr="006E6AAA" w:rsidRDefault="006E6AAA" w:rsidP="006E6AAA">
      <w:pPr>
        <w:spacing w:after="0" w:line="270" w:lineRule="atLeast"/>
        <w:rPr>
          <w:rFonts w:ascii="Calibri" w:eastAsia="Times New Roman" w:hAnsi="Calibri" w:cs="Times New Roman"/>
          <w:b/>
          <w:color w:val="000080"/>
          <w:u w:val="single"/>
          <w:lang w:eastAsia="da-DK"/>
        </w:rPr>
      </w:pPr>
    </w:p>
    <w:p w:rsidR="006E6AAA" w:rsidRPr="006E6AAA" w:rsidRDefault="006E6AAA" w:rsidP="006E6AAA">
      <w:pPr>
        <w:numPr>
          <w:ilvl w:val="0"/>
          <w:numId w:val="22"/>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 List of reviewed literature</w:t>
      </w:r>
    </w:p>
    <w:p w:rsidR="006E6AAA" w:rsidRPr="006E6AAA" w:rsidRDefault="006E6AAA" w:rsidP="006E6AAA">
      <w:pPr>
        <w:numPr>
          <w:ilvl w:val="0"/>
          <w:numId w:val="22"/>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2. List of interviewed persons </w:t>
      </w:r>
    </w:p>
    <w:p w:rsidR="006E6AAA" w:rsidRPr="006E6AAA" w:rsidRDefault="006E6AAA" w:rsidP="006E6AAA">
      <w:pPr>
        <w:numPr>
          <w:ilvl w:val="0"/>
          <w:numId w:val="22"/>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3. Map of circuit courts </w:t>
      </w:r>
    </w:p>
    <w:p w:rsidR="006E6AAA" w:rsidRPr="006E6AAA" w:rsidRDefault="006E6AAA" w:rsidP="006E6AAA">
      <w:pPr>
        <w:numPr>
          <w:ilvl w:val="0"/>
          <w:numId w:val="22"/>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 Chief Justice Order for the appointment of High Court circuit sessions, 2011</w:t>
      </w:r>
    </w:p>
    <w:p w:rsidR="006E6AAA" w:rsidRPr="006E6AAA" w:rsidRDefault="006E6AAA" w:rsidP="006E6AAA">
      <w:pPr>
        <w:numPr>
          <w:ilvl w:val="0"/>
          <w:numId w:val="22"/>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5. Evaluation matrix </w:t>
      </w:r>
    </w:p>
    <w:p w:rsidR="006E6AAA" w:rsidRPr="006E6AAA" w:rsidRDefault="006E6AAA" w:rsidP="006E6AAA">
      <w:pPr>
        <w:numPr>
          <w:ilvl w:val="0"/>
          <w:numId w:val="22"/>
        </w:numPr>
        <w:spacing w:after="0" w:line="240" w:lineRule="auto"/>
        <w:rPr>
          <w:rFonts w:ascii="Calibri" w:eastAsia="Times New Roman" w:hAnsi="Calibri" w:cs="Times New Roman"/>
          <w:sz w:val="20"/>
          <w:szCs w:val="20"/>
          <w:lang w:eastAsia="da-DK"/>
        </w:rPr>
        <w:sectPr w:rsidR="006E6AAA" w:rsidRPr="006E6AAA" w:rsidSect="0058424D">
          <w:pgSz w:w="11906" w:h="16838"/>
          <w:pgMar w:top="1008" w:right="1296" w:bottom="1008" w:left="1296" w:header="720" w:footer="720" w:gutter="0"/>
          <w:cols w:space="720"/>
          <w:titlePg/>
          <w:docGrid w:linePitch="360"/>
        </w:sectPr>
      </w:pPr>
      <w:r w:rsidRPr="006E6AAA">
        <w:rPr>
          <w:rFonts w:ascii="Calibri" w:eastAsia="Times New Roman" w:hAnsi="Calibri" w:cs="Times New Roman"/>
          <w:sz w:val="20"/>
          <w:szCs w:val="20"/>
          <w:lang w:eastAsia="da-DK"/>
        </w:rPr>
        <w:t>6. TOR</w:t>
      </w:r>
    </w:p>
    <w:p w:rsidR="006E6AAA" w:rsidRPr="006E6AAA" w:rsidRDefault="006E6AAA" w:rsidP="006E6AAA">
      <w:pPr>
        <w:spacing w:after="0" w:line="240" w:lineRule="auto"/>
        <w:rPr>
          <w:rFonts w:ascii="Calibri" w:eastAsia="Times New Roman" w:hAnsi="Calibri" w:cs="Times New Roman"/>
          <w:sz w:val="20"/>
          <w:szCs w:val="20"/>
          <w:lang w:eastAsia="da-DK"/>
        </w:rPr>
      </w:pPr>
    </w:p>
    <w:p w:rsidR="006E6AAA" w:rsidRPr="006E6AAA" w:rsidRDefault="006E6AAA" w:rsidP="006E6AAA">
      <w:pPr>
        <w:autoSpaceDE w:val="0"/>
        <w:autoSpaceDN w:val="0"/>
        <w:adjustRightInd w:val="0"/>
        <w:spacing w:after="0" w:line="240" w:lineRule="auto"/>
        <w:rPr>
          <w:rFonts w:ascii="Calibri" w:eastAsia="Times New Roman" w:hAnsi="Calibri" w:cs="Times New Roman"/>
          <w:b/>
          <w:i/>
          <w:sz w:val="28"/>
          <w:szCs w:val="28"/>
          <w:u w:val="single"/>
          <w:lang w:val="en-GB" w:eastAsia="da-DK"/>
        </w:rPr>
      </w:pPr>
      <w:r w:rsidRPr="006E6AAA">
        <w:rPr>
          <w:rFonts w:ascii="Calibri" w:eastAsia="Times New Roman" w:hAnsi="Calibri" w:cs="Times New Roman"/>
          <w:b/>
          <w:i/>
          <w:sz w:val="28"/>
          <w:szCs w:val="28"/>
          <w:u w:val="single"/>
          <w:lang w:val="en-GB" w:eastAsia="da-DK"/>
        </w:rPr>
        <w:t xml:space="preserve">Acronyms and abbreviations </w:t>
      </w:r>
    </w:p>
    <w:p w:rsidR="006E6AAA" w:rsidRPr="006E6AAA" w:rsidRDefault="006E6AAA" w:rsidP="006E6AAA">
      <w:pPr>
        <w:autoSpaceDE w:val="0"/>
        <w:autoSpaceDN w:val="0"/>
        <w:adjustRightInd w:val="0"/>
        <w:spacing w:after="0" w:line="240" w:lineRule="auto"/>
        <w:rPr>
          <w:rFonts w:ascii="Calibri" w:eastAsia="Times New Roman" w:hAnsi="Calibri" w:cs="Times New Roman"/>
          <w:b/>
          <w:sz w:val="24"/>
          <w:szCs w:val="24"/>
          <w:u w:val="single"/>
          <w:lang w:val="en-GB" w:eastAsia="da-DK"/>
        </w:rPr>
      </w:pP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A2J:</w:t>
      </w:r>
      <w:r w:rsidRPr="006E6AAA">
        <w:rPr>
          <w:rFonts w:ascii="Calibri" w:eastAsia="Times New Roman" w:hAnsi="Calibri" w:cs="Times New Roman"/>
          <w:lang w:eastAsia="da-DK"/>
        </w:rPr>
        <w:t xml:space="preserve"> Access to justice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ASJP:</w:t>
      </w:r>
      <w:r w:rsidRPr="006E6AAA">
        <w:rPr>
          <w:rFonts w:ascii="Calibri" w:eastAsia="Times New Roman" w:hAnsi="Calibri" w:cs="Times New Roman"/>
          <w:lang w:eastAsia="da-DK"/>
        </w:rPr>
        <w:t xml:space="preserve"> Access to security and justice programme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AWP:</w:t>
      </w:r>
      <w:r w:rsidRPr="006E6AAA">
        <w:rPr>
          <w:rFonts w:ascii="Calibri" w:eastAsia="Times New Roman" w:hAnsi="Calibri" w:cs="Times New Roman"/>
          <w:lang w:eastAsia="da-DK"/>
        </w:rPr>
        <w:t xml:space="preserve"> Annual work-plan</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BCPR:</w:t>
      </w:r>
      <w:r w:rsidRPr="006E6AAA">
        <w:rPr>
          <w:rFonts w:ascii="Calibri" w:eastAsia="Times New Roman" w:hAnsi="Calibri" w:cs="Times New Roman"/>
          <w:lang w:eastAsia="da-DK"/>
        </w:rPr>
        <w:t xml:space="preserve"> Bureau for crisis prevention and recovery</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CARL:</w:t>
      </w:r>
      <w:r w:rsidRPr="006E6AAA">
        <w:rPr>
          <w:rFonts w:ascii="Calibri" w:eastAsia="Times New Roman" w:hAnsi="Calibri" w:cs="Times New Roman"/>
          <w:lang w:eastAsia="da-DK"/>
        </w:rPr>
        <w:t xml:space="preserve"> Center for accountability and rule of law</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CO:</w:t>
      </w:r>
      <w:r w:rsidRPr="006E6AAA">
        <w:rPr>
          <w:rFonts w:ascii="Calibri" w:eastAsia="Times New Roman" w:hAnsi="Calibri" w:cs="Times New Roman"/>
          <w:lang w:eastAsia="da-DK"/>
        </w:rPr>
        <w:t xml:space="preserve"> Country office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CPA:</w:t>
      </w:r>
      <w:r w:rsidRPr="006E6AAA">
        <w:rPr>
          <w:rFonts w:ascii="Calibri" w:eastAsia="Times New Roman" w:hAnsi="Calibri" w:cs="Times New Roman"/>
          <w:lang w:eastAsia="da-DK"/>
        </w:rPr>
        <w:t xml:space="preserve"> Criminal procedure act</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CSO:</w:t>
      </w:r>
      <w:r w:rsidRPr="006E6AAA">
        <w:rPr>
          <w:rFonts w:ascii="Calibri" w:eastAsia="Times New Roman" w:hAnsi="Calibri" w:cs="Times New Roman"/>
          <w:lang w:eastAsia="da-DK"/>
        </w:rPr>
        <w:t xml:space="preserve"> Civil society organization</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DFID:</w:t>
      </w:r>
      <w:r w:rsidRPr="006E6AAA">
        <w:rPr>
          <w:rFonts w:ascii="Calibri" w:eastAsia="Times New Roman" w:hAnsi="Calibri" w:cs="Times New Roman"/>
          <w:lang w:eastAsia="da-DK"/>
        </w:rPr>
        <w:t xml:space="preserve"> United Kingdom Department for International Development</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FGM:</w:t>
      </w:r>
      <w:r w:rsidRPr="006E6AAA">
        <w:rPr>
          <w:rFonts w:ascii="Calibri" w:eastAsia="Times New Roman" w:hAnsi="Calibri" w:cs="Times New Roman"/>
          <w:lang w:eastAsia="da-DK"/>
        </w:rPr>
        <w:t xml:space="preserve"> Female genital mutilation</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FSU:</w:t>
      </w:r>
      <w:r w:rsidRPr="006E6AAA">
        <w:rPr>
          <w:rFonts w:ascii="Calibri" w:eastAsia="Times New Roman" w:hAnsi="Calibri" w:cs="Times New Roman"/>
          <w:lang w:eastAsia="da-DK"/>
        </w:rPr>
        <w:t xml:space="preserve"> Family support unit</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GBV:</w:t>
      </w:r>
      <w:r w:rsidRPr="006E6AAA">
        <w:rPr>
          <w:rFonts w:ascii="Calibri" w:eastAsia="Times New Roman" w:hAnsi="Calibri" w:cs="Times New Roman"/>
          <w:lang w:eastAsia="da-DK"/>
        </w:rPr>
        <w:t xml:space="preserve"> Gender based violence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GIZ:</w:t>
      </w:r>
      <w:r w:rsidRPr="006E6AAA">
        <w:rPr>
          <w:rFonts w:ascii="Calibri" w:eastAsia="Times New Roman" w:hAnsi="Calibri" w:cs="Times New Roman"/>
          <w:lang w:eastAsia="da-DK"/>
        </w:rPr>
        <w:t xml:space="preserve"> Deutsche Gesellschaft für Internationale Zusammenarbeit</w:t>
      </w:r>
    </w:p>
    <w:p w:rsidR="006E6AAA" w:rsidRPr="006E6AAA" w:rsidRDefault="006E6AAA" w:rsidP="006E6AAA">
      <w:pPr>
        <w:spacing w:after="215" w:line="240" w:lineRule="auto"/>
        <w:ind w:left="-360" w:firstLine="360"/>
        <w:rPr>
          <w:rFonts w:ascii="Calibri" w:eastAsia="Times New Roman" w:hAnsi="Calibri" w:cs="Times New Roman"/>
          <w:lang w:eastAsia="da-DK"/>
        </w:rPr>
      </w:pPr>
      <w:r w:rsidRPr="006E6AAA">
        <w:rPr>
          <w:rFonts w:ascii="Calibri" w:eastAsia="Times New Roman" w:hAnsi="Calibri" w:cs="Times New Roman"/>
          <w:b/>
          <w:lang w:eastAsia="da-DK"/>
        </w:rPr>
        <w:t>IRC:</w:t>
      </w:r>
      <w:r w:rsidRPr="006E6AAA">
        <w:rPr>
          <w:rFonts w:ascii="Calibri" w:eastAsia="Times New Roman" w:hAnsi="Calibri" w:cs="Times New Roman"/>
          <w:lang w:eastAsia="da-DK"/>
        </w:rPr>
        <w:t xml:space="preserve"> </w:t>
      </w:r>
      <w:hyperlink r:id="rId23" w:anchor="#" w:history="1"/>
      <w:r w:rsidRPr="006E6AAA">
        <w:rPr>
          <w:rFonts w:ascii="Calibri" w:eastAsia="Times New Roman" w:hAnsi="Calibri" w:cs="Times New Roman"/>
          <w:lang w:eastAsia="da-DK"/>
        </w:rPr>
        <w:t>The International Rescue Committee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JP:</w:t>
      </w:r>
      <w:r w:rsidRPr="006E6AAA">
        <w:rPr>
          <w:rFonts w:ascii="Calibri" w:eastAsia="Times New Roman" w:hAnsi="Calibri" w:cs="Times New Roman"/>
          <w:lang w:eastAsia="da-DK"/>
        </w:rPr>
        <w:t xml:space="preserve"> Justices of the peace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JSDP:</w:t>
      </w:r>
      <w:r w:rsidRPr="006E6AAA">
        <w:rPr>
          <w:rFonts w:ascii="Calibri" w:eastAsia="Times New Roman" w:hAnsi="Calibri" w:cs="Times New Roman"/>
          <w:lang w:eastAsia="da-DK"/>
        </w:rPr>
        <w:t xml:space="preserve"> Justice sector development programme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LOA:</w:t>
      </w:r>
      <w:r w:rsidRPr="006E6AAA">
        <w:rPr>
          <w:rFonts w:ascii="Calibri" w:eastAsia="Times New Roman" w:hAnsi="Calibri" w:cs="Times New Roman"/>
          <w:lang w:eastAsia="da-DK"/>
        </w:rPr>
        <w:t xml:space="preserve"> Letter of agreement</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MOU:</w:t>
      </w:r>
      <w:r w:rsidRPr="006E6AAA">
        <w:rPr>
          <w:rFonts w:ascii="Calibri" w:eastAsia="Times New Roman" w:hAnsi="Calibri" w:cs="Times New Roman"/>
          <w:lang w:eastAsia="da-DK"/>
        </w:rPr>
        <w:t xml:space="preserve"> Memorandum of understanding</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NHRC:</w:t>
      </w:r>
      <w:r w:rsidRPr="006E6AAA">
        <w:rPr>
          <w:rFonts w:ascii="Calibri" w:eastAsia="Times New Roman" w:hAnsi="Calibri" w:cs="Times New Roman"/>
          <w:lang w:eastAsia="da-DK"/>
        </w:rPr>
        <w:t xml:space="preserve"> national human rights commission</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PBF:</w:t>
      </w:r>
      <w:r w:rsidRPr="006E6AAA">
        <w:rPr>
          <w:rFonts w:ascii="Calibri" w:eastAsia="Times New Roman" w:hAnsi="Calibri" w:cs="Times New Roman"/>
          <w:lang w:eastAsia="da-DK"/>
        </w:rPr>
        <w:t xml:space="preserve"> peace building fund</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PI:</w:t>
      </w:r>
      <w:r w:rsidRPr="006E6AAA">
        <w:rPr>
          <w:rFonts w:ascii="Calibri" w:eastAsia="Times New Roman" w:hAnsi="Calibri" w:cs="Times New Roman"/>
          <w:lang w:eastAsia="da-DK"/>
        </w:rPr>
        <w:t xml:space="preserve"> preliminary investigation</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SGBV:</w:t>
      </w:r>
      <w:r w:rsidRPr="006E6AAA">
        <w:rPr>
          <w:rFonts w:ascii="Calibri" w:eastAsia="Times New Roman" w:hAnsi="Calibri" w:cs="Times New Roman"/>
          <w:lang w:eastAsia="da-DK"/>
        </w:rPr>
        <w:t xml:space="preserve"> sexual and gender violence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SMART:</w:t>
      </w:r>
      <w:r w:rsidRPr="006E6AAA">
        <w:rPr>
          <w:rFonts w:ascii="Calibri" w:eastAsia="Times New Roman" w:hAnsi="Calibri" w:cs="Times New Roman"/>
          <w:lang w:eastAsia="da-DK"/>
        </w:rPr>
        <w:t xml:space="preserve"> Specific, Measurable, Achievable, Relevant, Time-bound</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UNDP:</w:t>
      </w:r>
      <w:r w:rsidRPr="006E6AAA">
        <w:rPr>
          <w:rFonts w:ascii="Calibri" w:eastAsia="Times New Roman" w:hAnsi="Calibri" w:cs="Times New Roman"/>
          <w:lang w:eastAsia="da-DK"/>
        </w:rPr>
        <w:t xml:space="preserve"> United Nations development programme</w:t>
      </w:r>
    </w:p>
    <w:p w:rsidR="006E6AAA" w:rsidRPr="006E6AAA" w:rsidRDefault="006E6AAA" w:rsidP="006E6AAA">
      <w:p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eastAsia="da-DK"/>
        </w:rPr>
        <w:t>UNIPSIL:</w:t>
      </w:r>
      <w:r w:rsidRPr="006E6AAA">
        <w:rPr>
          <w:rFonts w:ascii="Arial" w:eastAsia="Times New Roman" w:hAnsi="Arial" w:cs="Arial"/>
          <w:color w:val="222222"/>
          <w:sz w:val="23"/>
          <w:szCs w:val="20"/>
          <w:lang w:eastAsia="da-DK"/>
        </w:rPr>
        <w:t xml:space="preserve"> </w:t>
      </w:r>
      <w:r w:rsidRPr="006E6AAA">
        <w:rPr>
          <w:rFonts w:ascii="Calibri" w:eastAsia="Times New Roman" w:hAnsi="Calibri" w:cs="Times New Roman"/>
          <w:lang w:eastAsia="da-DK"/>
        </w:rPr>
        <w:t>United Nations Integrated Peacebuilding Office in Sierra Leone</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UNSCR:</w:t>
      </w:r>
      <w:r w:rsidRPr="006E6AAA">
        <w:rPr>
          <w:rFonts w:ascii="Calibri" w:eastAsia="Times New Roman" w:hAnsi="Calibri" w:cs="Times New Roman"/>
          <w:lang w:eastAsia="da-DK"/>
        </w:rPr>
        <w:t xml:space="preserve"> United Nations Security Council resolution</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UPR:</w:t>
      </w:r>
      <w:r w:rsidRPr="006E6AAA">
        <w:rPr>
          <w:rFonts w:ascii="Calibri" w:eastAsia="Times New Roman" w:hAnsi="Calibri" w:cs="Times New Roman"/>
          <w:lang w:eastAsia="da-DK"/>
        </w:rPr>
        <w:t xml:space="preserve"> Universal periodic review</w:t>
      </w: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p>
    <w:p w:rsidR="006E6AAA" w:rsidRPr="006E6AAA" w:rsidRDefault="006E6AAA" w:rsidP="006E6AAA">
      <w:pPr>
        <w:autoSpaceDE w:val="0"/>
        <w:autoSpaceDN w:val="0"/>
        <w:adjustRightInd w:val="0"/>
        <w:spacing w:after="0" w:line="360" w:lineRule="auto"/>
        <w:rPr>
          <w:rFonts w:ascii="Calibri" w:eastAsia="Times New Roman" w:hAnsi="Calibri" w:cs="Times New Roman"/>
          <w:lang w:eastAsia="da-DK"/>
        </w:rPr>
      </w:pPr>
      <w:r w:rsidRPr="006E6AAA">
        <w:rPr>
          <w:rFonts w:ascii="Calibri" w:eastAsia="Times New Roman" w:hAnsi="Calibri" w:cs="Times New Roman"/>
          <w:b/>
          <w:i/>
          <w:u w:val="single"/>
          <w:lang w:val="en-GB" w:eastAsia="da-DK"/>
        </w:rPr>
        <w:t>Acknowledgments</w:t>
      </w: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jc w:val="both"/>
        <w:rPr>
          <w:rFonts w:ascii="Times New Roman" w:eastAsia="Times New Roman" w:hAnsi="Times New Roman" w:cs="Times New Roman"/>
          <w:i/>
          <w:sz w:val="23"/>
          <w:szCs w:val="23"/>
          <w:lang w:eastAsia="da-DK"/>
        </w:rPr>
        <w:sectPr w:rsidR="006E6AAA" w:rsidRPr="006E6AAA" w:rsidSect="008431D0">
          <w:pgSz w:w="11906" w:h="16838"/>
          <w:pgMar w:top="1440" w:right="1296" w:bottom="1008" w:left="1296" w:header="720" w:footer="720" w:gutter="0"/>
          <w:cols w:space="720"/>
          <w:titlePg/>
          <w:docGrid w:linePitch="360"/>
        </w:sectPr>
      </w:pPr>
      <w:r w:rsidRPr="006E6AAA">
        <w:rPr>
          <w:rFonts w:ascii="Times New Roman" w:eastAsia="Times New Roman" w:hAnsi="Times New Roman" w:cs="Times New Roman"/>
          <w:i/>
          <w:lang w:eastAsia="da-DK"/>
        </w:rPr>
        <w:t xml:space="preserve">It is with sincere gratitude that the consultant acknowledges the contributions of all the persons met during the evaluation process. Thanks are due to the UNDP staff in Sierra Leone and in BCPR for their </w:t>
      </w:r>
      <w:r w:rsidRPr="006E6AAA">
        <w:rPr>
          <w:rFonts w:ascii="Times New Roman" w:eastAsia="Times New Roman" w:hAnsi="Times New Roman" w:cs="Times New Roman"/>
          <w:i/>
          <w:sz w:val="23"/>
          <w:szCs w:val="23"/>
          <w:lang w:eastAsia="da-DK"/>
        </w:rPr>
        <w:t xml:space="preserve">support and the valuable comments and clarifications provided; most grateful appreciation is extended to the Sierra Leonean partners and interviewees for their hospitality and for sharing their experiences. </w:t>
      </w:r>
    </w:p>
    <w:p w:rsidR="006E6AAA" w:rsidRPr="006E6AAA" w:rsidRDefault="006E6AAA" w:rsidP="006E6AAA">
      <w:pPr>
        <w:autoSpaceDE w:val="0"/>
        <w:autoSpaceDN w:val="0"/>
        <w:adjustRightInd w:val="0"/>
        <w:spacing w:after="0" w:line="360" w:lineRule="auto"/>
        <w:rPr>
          <w:rFonts w:ascii="Calibri" w:eastAsia="Times New Roman" w:hAnsi="Calibri" w:cs="Times New Roman"/>
          <w:b/>
          <w:color w:val="000080"/>
          <w:sz w:val="28"/>
          <w:szCs w:val="28"/>
          <w:u w:val="single"/>
          <w:lang w:eastAsia="da-DK"/>
        </w:rPr>
      </w:pPr>
      <w:r w:rsidRPr="006E6AAA">
        <w:rPr>
          <w:rFonts w:ascii="Calibri" w:eastAsia="Times New Roman" w:hAnsi="Calibri" w:cs="Times New Roman"/>
          <w:b/>
          <w:color w:val="000080"/>
          <w:sz w:val="28"/>
          <w:szCs w:val="28"/>
          <w:u w:val="single"/>
          <w:lang w:eastAsia="da-DK"/>
        </w:rPr>
        <w:lastRenderedPageBreak/>
        <w:t>Executive Summary</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The present report is part of a broader evaluation commissioned by UNDP/BCPR to assess results, identify good practices and lessons learned in supporting mobile courts interventions across UNDP RoL programmes in post-conflict settings. In this framework mobile courts are defined as “formal courts that conduct proceedings in locations other than their home offices, usually in remote areas where no justice services are available”.</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 xml:space="preserve">As set forth in the </w:t>
      </w:r>
      <w:r w:rsidRPr="006E6AAA">
        <w:rPr>
          <w:rFonts w:ascii="Calibri" w:eastAsia="Times New Roman" w:hAnsi="Calibri" w:cs="ACaslon-Regular"/>
          <w:i/>
          <w:lang w:eastAsia="it-IT"/>
        </w:rPr>
        <w:t>TOR and further detailed in the Inception Report</w:t>
      </w:r>
      <w:r w:rsidRPr="006E6AAA">
        <w:rPr>
          <w:rFonts w:ascii="Calibri" w:eastAsia="Times New Roman" w:hAnsi="Calibri" w:cs="Times New Roman"/>
          <w:i/>
          <w:lang w:eastAsia="da-DK"/>
        </w:rPr>
        <w:t>, the evaluation includes a field visit of an international consultant to 3 selected COs (Sierra Leone, DRC and Somalia) and a</w:t>
      </w:r>
      <w:r w:rsidRPr="006E6AAA">
        <w:rPr>
          <w:rFonts w:ascii="Calibri" w:eastAsia="Times New Roman" w:hAnsi="Calibri" w:cs="Times New Roman"/>
          <w:i/>
          <w:lang w:val="en-GB" w:eastAsia="da-DK"/>
        </w:rPr>
        <w:t xml:space="preserve"> desk study on additional COs that are supporting Mobile Courts (Timor Leste and Central Africa).  </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b/>
          <w:i/>
          <w:lang w:eastAsia="da-DK"/>
        </w:rPr>
        <w:t>The present report presents the findings of the field visit to Sierra Leone</w:t>
      </w:r>
      <w:r w:rsidRPr="006E6AAA">
        <w:rPr>
          <w:rFonts w:ascii="Calibri" w:eastAsia="Times New Roman" w:hAnsi="Calibri" w:cs="Times New Roman"/>
          <w:i/>
          <w:lang w:eastAsia="da-DK"/>
        </w:rPr>
        <w:t>.</w:t>
      </w: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w:t>
      </w:r>
      <w:r w:rsidRPr="006E6AAA">
        <w:rPr>
          <w:rFonts w:ascii="Calibri" w:eastAsia="Times New Roman" w:hAnsi="Calibri" w:cs="Times New Roman"/>
          <w:b/>
          <w:i/>
          <w:u w:val="single"/>
          <w:lang w:eastAsia="da-DK"/>
        </w:rPr>
        <w:t>legal background</w:t>
      </w:r>
      <w:r w:rsidRPr="006E6AAA">
        <w:rPr>
          <w:rFonts w:ascii="Calibri" w:eastAsia="Times New Roman" w:hAnsi="Calibri" w:cs="Times New Roman"/>
          <w:i/>
          <w:lang w:eastAsia="da-DK"/>
        </w:rPr>
        <w:t xml:space="preserve"> for Sierra Leonean circuit courts is article 7 of the 1963 Courts Act stating that “courts should be held at such places as the chief justice may direct”; the principle is reaffirmed in article 131.3 of the Constitution and further specified by a yearly Chief Justice order. </w:t>
      </w:r>
    </w:p>
    <w:p w:rsidR="006E6AAA" w:rsidRPr="006E6AAA" w:rsidRDefault="006E6AAA" w:rsidP="006E6AAA">
      <w:pPr>
        <w:spacing w:after="0" w:line="270" w:lineRule="atLeast"/>
        <w:jc w:val="both"/>
        <w:rPr>
          <w:rFonts w:ascii="Calibri" w:eastAsia="Times New Roman" w:hAnsi="Calibri" w:cs="Times New Roman"/>
          <w:i/>
          <w:lang w:eastAsia="da-DK"/>
        </w:rPr>
      </w:pPr>
    </w:p>
    <w:p w:rsidR="006E6AAA" w:rsidRPr="006E6AAA" w:rsidRDefault="006E6AAA" w:rsidP="006E6AAA">
      <w:pPr>
        <w:spacing w:after="0" w:line="270" w:lineRule="atLeast"/>
        <w:jc w:val="both"/>
        <w:rPr>
          <w:rFonts w:ascii="Times New Roman" w:eastAsia="Times New Roman" w:hAnsi="Times New Roman" w:cs="Times New Roman"/>
          <w:i/>
          <w:lang w:eastAsia="da-DK"/>
        </w:rPr>
      </w:pPr>
      <w:r w:rsidRPr="006E6AAA">
        <w:rPr>
          <w:rFonts w:ascii="Calibri" w:eastAsia="Times New Roman" w:hAnsi="Calibri" w:cs="Times New Roman"/>
          <w:i/>
          <w:lang w:eastAsia="da-DK"/>
        </w:rPr>
        <w:t>The mobile court system in Sierra Leone is jointly supported by 3 international partners, under a framework that covers the whole territory of the country by geographically dividing the respective area of intervention: UNDP supports the Southern province; GIZ the Eastern and DFID the Northern province.</w:t>
      </w:r>
      <w:r w:rsidRPr="006E6AAA">
        <w:rPr>
          <w:rFonts w:ascii="Times New Roman" w:eastAsia="Times New Roman" w:hAnsi="Times New Roman" w:cs="Times New Roman"/>
          <w:i/>
          <w:lang w:eastAsia="da-DK"/>
        </w:rPr>
        <w:t xml:space="preserve"> </w:t>
      </w:r>
      <w:r w:rsidRPr="006E6AAA">
        <w:rPr>
          <w:rFonts w:ascii="Calibri" w:eastAsia="Times New Roman" w:hAnsi="Calibri" w:cs="Times New Roman"/>
          <w:i/>
          <w:lang w:eastAsia="da-DK"/>
        </w:rPr>
        <w:t>Similar models of intervention are applied, mainly consisting in providing financial support to the Judiciary to implement the circuit courts, in complementarity with other activities.</w:t>
      </w:r>
    </w:p>
    <w:p w:rsidR="006E6AAA" w:rsidRPr="006E6AAA" w:rsidRDefault="006E6AAA" w:rsidP="006E6AAA">
      <w:pPr>
        <w:spacing w:after="0" w:line="270" w:lineRule="atLeast"/>
        <w:jc w:val="both"/>
        <w:rPr>
          <w:rFonts w:ascii="Calibri" w:eastAsia="Times New Roman" w:hAnsi="Calibri" w:cs="Times New Roman"/>
          <w:i/>
          <w:lang w:eastAsia="da-DK"/>
        </w:rPr>
      </w:pPr>
    </w:p>
    <w:p w:rsidR="006E6AAA" w:rsidRPr="006E6AAA" w:rsidRDefault="006E6AAA" w:rsidP="006E6AAA">
      <w:pPr>
        <w:spacing w:after="0" w:line="270" w:lineRule="atLeas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UNDP is supporting circuit courts in the Southern province since 2010; 2 Letters of Agreement have been signed between UNDP and the Judiciary for a total amount of 45.496 USD. </w:t>
      </w:r>
    </w:p>
    <w:p w:rsidR="006E6AAA" w:rsidRPr="006E6AAA" w:rsidRDefault="006E6AAA" w:rsidP="006E6AAA">
      <w:pPr>
        <w:spacing w:after="0" w:line="270" w:lineRule="atLeast"/>
        <w:jc w:val="both"/>
        <w:rPr>
          <w:rFonts w:ascii="Calibri" w:eastAsia="Times New Roman" w:hAnsi="Calibri" w:cs="Times New Roman"/>
          <w:i/>
          <w:lang w:eastAsia="da-DK"/>
        </w:rPr>
      </w:pPr>
      <w:r w:rsidRPr="006E6AAA">
        <w:rPr>
          <w:rFonts w:ascii="Calibri" w:eastAsia="Times New Roman" w:hAnsi="Calibri" w:cs="Times New Roman"/>
          <w:i/>
          <w:lang w:eastAsia="da-DK"/>
        </w:rPr>
        <w:t>2 typologies of courts are travelling on circuit: Magistrate courts and High Courts. While on circuit the jurisdiction of the latter is limited to criminal cases, whereas Magistrates can also hear civil cases.</w:t>
      </w:r>
    </w:p>
    <w:p w:rsidR="006E6AAA" w:rsidRPr="006E6AAA" w:rsidRDefault="006E6AAA" w:rsidP="006E6AAA">
      <w:pPr>
        <w:spacing w:after="0" w:line="270" w:lineRule="atLeast"/>
        <w:jc w:val="both"/>
        <w:rPr>
          <w:rFonts w:ascii="Calibri" w:eastAsia="Times New Roman" w:hAnsi="Calibri" w:cs="KPDDDN+TimesNewRoman"/>
          <w:i/>
          <w:lang w:eastAsia="da-DK"/>
        </w:rPr>
      </w:pPr>
      <w:r w:rsidRPr="006E6AAA">
        <w:rPr>
          <w:rFonts w:ascii="Calibri" w:eastAsia="Times New Roman" w:hAnsi="Calibri" w:cs="Times New Roman"/>
          <w:i/>
          <w:lang w:eastAsia="da-DK"/>
        </w:rPr>
        <w:t xml:space="preserve">In the Southern province UNDP supports 2 resident Magistrates to cover 8 stations and 1 resident High Court judge to travel </w:t>
      </w:r>
      <w:r w:rsidRPr="006E6AAA">
        <w:rPr>
          <w:rFonts w:ascii="Calibri" w:eastAsia="Times New Roman" w:hAnsi="Calibri" w:cs="KPDDDN+TimesNewRoman"/>
          <w:i/>
          <w:lang w:eastAsia="da-DK"/>
        </w:rPr>
        <w:t>on circuit 4 times per year, in the locations identified by the Chief Justice order.</w:t>
      </w:r>
    </w:p>
    <w:p w:rsidR="006E6AAA" w:rsidRPr="006E6AAA" w:rsidRDefault="006E6AAA" w:rsidP="006E6AAA">
      <w:pPr>
        <w:spacing w:after="0" w:line="270" w:lineRule="atLeast"/>
        <w:jc w:val="both"/>
        <w:rPr>
          <w:rFonts w:ascii="Calibri" w:eastAsia="Times New Roman" w:hAnsi="Calibri" w:cs="KPDDDN+TimesNew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initiative has developed some </w:t>
      </w:r>
      <w:r w:rsidRPr="006E6AAA">
        <w:rPr>
          <w:rFonts w:ascii="Calibri" w:eastAsia="Times New Roman" w:hAnsi="Calibri" w:cs="Times New Roman"/>
          <w:b/>
          <w:i/>
          <w:u w:val="single"/>
          <w:lang w:eastAsia="da-DK"/>
        </w:rPr>
        <w:t>good practices</w:t>
      </w:r>
      <w:r w:rsidRPr="006E6AAA">
        <w:rPr>
          <w:rFonts w:ascii="Calibri" w:eastAsia="Times New Roman" w:hAnsi="Calibri" w:cs="Times New Roman"/>
          <w:i/>
          <w:lang w:eastAsia="da-DK"/>
        </w:rPr>
        <w:t xml:space="preserve">; to be noted the growing network of community-based court monitors, the adequate and commonsensical budget and the effective use of courtrooms.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most cited </w:t>
      </w:r>
      <w:r w:rsidRPr="006E6AAA">
        <w:rPr>
          <w:rFonts w:ascii="Calibri" w:eastAsia="Times New Roman" w:hAnsi="Calibri" w:cs="Times New Roman"/>
          <w:b/>
          <w:i/>
          <w:u w:val="single"/>
          <w:lang w:eastAsia="da-DK"/>
        </w:rPr>
        <w:t>challenge</w:t>
      </w:r>
      <w:r w:rsidRPr="006E6AAA">
        <w:rPr>
          <w:rFonts w:ascii="Calibri" w:eastAsia="Times New Roman" w:hAnsi="Calibri" w:cs="Times New Roman"/>
          <w:i/>
          <w:lang w:eastAsia="da-DK"/>
        </w:rPr>
        <w:t xml:space="preserve"> was the absence of witnesses in court and the related issue of high adjournment rates, followed by the difficulties that court users have in understanding the procedures due to language barriers and lack of rights awareness.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u w:val="single"/>
          <w:lang w:eastAsia="da-DK"/>
        </w:rPr>
        <w:t>Key</w:t>
      </w:r>
      <w:r w:rsidRPr="006E6AAA">
        <w:rPr>
          <w:rFonts w:ascii="Calibri" w:eastAsia="Times New Roman" w:hAnsi="Calibri" w:cs="Times New Roman"/>
          <w:b/>
          <w:i/>
          <w:u w:val="single"/>
          <w:lang w:eastAsia="da-DK"/>
        </w:rPr>
        <w:t xml:space="preserve"> lessons learned</w:t>
      </w:r>
      <w:r w:rsidRPr="006E6AAA">
        <w:rPr>
          <w:rFonts w:ascii="Calibri" w:eastAsia="Times New Roman" w:hAnsi="Calibri" w:cs="Times New Roman"/>
          <w:i/>
          <w:lang w:eastAsia="da-DK"/>
        </w:rPr>
        <w:t xml:space="preserve"> include: </w:t>
      </w:r>
      <w:r w:rsidRPr="006E6AAA">
        <w:rPr>
          <w:rFonts w:ascii="Calibri" w:eastAsia="Times New Roman" w:hAnsi="Calibri" w:cs="Times New Roman"/>
          <w:b/>
          <w:i/>
          <w:lang w:eastAsia="da-DK"/>
        </w:rPr>
        <w:t>1)</w:t>
      </w:r>
      <w:r w:rsidRPr="006E6AAA">
        <w:rPr>
          <w:rFonts w:ascii="Calibri" w:eastAsia="Times New Roman" w:hAnsi="Calibri" w:cs="Times New Roman"/>
          <w:i/>
          <w:lang w:eastAsia="da-DK"/>
        </w:rPr>
        <w:t xml:space="preserve"> mobile courts have been an efficient stop-gap mechanism to assist the government in reestablishing the formal justice system after the civil war and temporarily respond to the chronic shortage of magistrates</w:t>
      </w:r>
      <w:r w:rsidRPr="006E6AAA">
        <w:rPr>
          <w:rFonts w:ascii="Calibri" w:eastAsia="Times New Roman" w:hAnsi="Calibri" w:cs="Times New Roman"/>
          <w:b/>
          <w:i/>
          <w:lang w:eastAsia="da-DK"/>
        </w:rPr>
        <w:t xml:space="preserve"> 2)</w:t>
      </w:r>
      <w:r w:rsidRPr="006E6AAA">
        <w:rPr>
          <w:rFonts w:ascii="Calibri" w:eastAsia="Times New Roman" w:hAnsi="Calibri" w:cs="Times New Roman"/>
          <w:i/>
          <w:lang w:eastAsia="da-DK"/>
        </w:rPr>
        <w:t xml:space="preserve"> some of the challenges faced by mobile courts are a reflection of those affecting more generally the justice system, so eventual solutions would require a more comprehensive justice sector reform intervention </w:t>
      </w:r>
      <w:r w:rsidRPr="006E6AAA">
        <w:rPr>
          <w:rFonts w:ascii="Calibri" w:eastAsia="Times New Roman" w:hAnsi="Calibri" w:cs="Times New Roman"/>
          <w:b/>
          <w:i/>
          <w:lang w:eastAsia="da-DK"/>
        </w:rPr>
        <w:t>3)</w:t>
      </w:r>
      <w:r w:rsidRPr="006E6AAA">
        <w:rPr>
          <w:rFonts w:ascii="Calibri" w:eastAsia="Times New Roman" w:hAnsi="Calibri" w:cs="Times New Roman"/>
          <w:i/>
          <w:lang w:eastAsia="da-DK"/>
        </w:rPr>
        <w:t xml:space="preserve"> supporting mobile courts should not be limited to the supply side of justice (allowances, fuel and stationary for circuit courts) but should also target the demand side of justice (raising awareness among the population about the role and objectives of a mobile court and establish mechanisms to assist vulnerable groups to claim their rights  and understand the legal procedures).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Acknowledging the difficulties of intervening in a country where the traditional legal system is strongly prevalent, the evaluation concludes that UNDP’s support to mobile courts in Sierra Leone is achieving results that are progressively improving.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lastRenderedPageBreak/>
        <w:t xml:space="preserve">The </w:t>
      </w:r>
      <w:r w:rsidRPr="006E6AAA">
        <w:rPr>
          <w:rFonts w:ascii="Calibri" w:eastAsia="Times New Roman" w:hAnsi="Calibri" w:cs="Times New Roman"/>
          <w:b/>
          <w:i/>
          <w:u w:val="single"/>
          <w:lang w:eastAsia="da-DK"/>
        </w:rPr>
        <w:t>main findings</w:t>
      </w:r>
      <w:r w:rsidRPr="006E6AAA">
        <w:rPr>
          <w:rFonts w:ascii="Calibri" w:eastAsia="Times New Roman" w:hAnsi="Calibri" w:cs="Times New Roman"/>
          <w:i/>
          <w:lang w:eastAsia="da-DK"/>
        </w:rPr>
        <w:t xml:space="preserve"> for each evaluation criteria are summarized below. </w:t>
      </w:r>
    </w:p>
    <w:p w:rsidR="006E6AAA" w:rsidRPr="006E6AAA" w:rsidRDefault="006E6AAA" w:rsidP="006E6AAA">
      <w:pPr>
        <w:spacing w:after="0" w:line="280" w:lineRule="exact"/>
        <w:jc w:val="both"/>
        <w:rPr>
          <w:rFonts w:ascii="Calibri" w:eastAsia="Times New Roman" w:hAnsi="Calibri" w:cs="Times New Roman"/>
          <w:b/>
          <w:i/>
          <w:smallCaps/>
          <w:lang w:eastAsia="da-DK"/>
        </w:rPr>
      </w:pPr>
    </w:p>
    <w:p w:rsidR="006E6AAA" w:rsidRPr="006E6AAA" w:rsidRDefault="006E6AAA" w:rsidP="006E6AAA">
      <w:pPr>
        <w:spacing w:after="0" w:line="280" w:lineRule="exact"/>
        <w:jc w:val="both"/>
        <w:rPr>
          <w:rFonts w:ascii="Calibri" w:eastAsia="Times New Roman" w:hAnsi="Calibri" w:cs="Times New Roman"/>
          <w:i/>
          <w:u w:val="single"/>
          <w:lang w:eastAsia="da-DK"/>
        </w:rPr>
      </w:pPr>
      <w:r w:rsidRPr="006E6AAA">
        <w:rPr>
          <w:rFonts w:ascii="Calibri" w:eastAsia="Times New Roman" w:hAnsi="Calibri" w:cs="Times New Roman"/>
          <w:b/>
          <w:i/>
          <w:smallCaps/>
          <w:u w:val="single"/>
          <w:lang w:eastAsia="da-DK"/>
        </w:rPr>
        <w:t>relevance</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 Mobile courts are aligned with national justice sector strategies; they have been supported in full respect of the principle of national ownership and were found to be relevant by partners and other key stakeholders.  Circuit courts should be more responsive to the needs of the population, inter alia by ensuring that language is not a barrier to the adequate participation of litigants in the proceedings and that people receive timely information about the arrival of the mobile court in their village. Mobile courts are gradually contributing to translate into practice the recently adopted laws on the protection of SGBV victims, although these procedures still need to be improved.</w:t>
      </w:r>
    </w:p>
    <w:p w:rsidR="006E6AAA" w:rsidRPr="006E6AAA" w:rsidRDefault="006E6AAA" w:rsidP="006E6AAA">
      <w:pPr>
        <w:spacing w:after="0" w:line="280" w:lineRule="exact"/>
        <w:jc w:val="both"/>
        <w:rPr>
          <w:rFonts w:ascii="Times New Roman" w:eastAsia="Times New Roman" w:hAnsi="Times New Roman" w:cs="Times New Roman"/>
          <w:b/>
          <w:i/>
          <w:sz w:val="23"/>
          <w:szCs w:val="23"/>
          <w:lang w:eastAsia="da-DK"/>
        </w:rPr>
      </w:pPr>
    </w:p>
    <w:p w:rsidR="006E6AAA" w:rsidRPr="006E6AAA" w:rsidRDefault="006E6AAA" w:rsidP="006E6AAA">
      <w:pPr>
        <w:spacing w:after="0" w:line="280" w:lineRule="exact"/>
        <w:jc w:val="both"/>
        <w:rPr>
          <w:rFonts w:ascii="Calibri" w:eastAsia="Times New Roman" w:hAnsi="Calibri" w:cs="Times New Roman"/>
          <w:b/>
          <w:i/>
          <w:smallCaps/>
          <w:u w:val="single"/>
          <w:lang w:eastAsia="da-DK"/>
        </w:rPr>
      </w:pPr>
      <w:r w:rsidRPr="006E6AAA">
        <w:rPr>
          <w:rFonts w:ascii="Calibri" w:eastAsia="Times New Roman" w:hAnsi="Calibri" w:cs="Times New Roman"/>
          <w:b/>
          <w:i/>
          <w:smallCaps/>
          <w:u w:val="single"/>
          <w:lang w:eastAsia="da-DK"/>
        </w:rPr>
        <w:t>effectiveness</w:t>
      </w:r>
    </w:p>
    <w:p w:rsidR="006E6AAA" w:rsidRPr="006E6AAA" w:rsidRDefault="006E6AAA" w:rsidP="006E6AAA">
      <w:pPr>
        <w:spacing w:after="0" w:line="280" w:lineRule="exact"/>
        <w:jc w:val="both"/>
        <w:rPr>
          <w:rFonts w:ascii="Calibri" w:eastAsia="Times New Roman" w:hAnsi="Calibri" w:cs="Times New Roman"/>
          <w:b/>
          <w:i/>
          <w:smallCaps/>
          <w:u w:val="single"/>
          <w:lang w:eastAsia="da-DK"/>
        </w:rPr>
      </w:pPr>
      <w:r w:rsidRPr="006E6AAA">
        <w:rPr>
          <w:rFonts w:ascii="Calibri" w:eastAsia="Times New Roman" w:hAnsi="Calibri" w:cs="Times New Roman"/>
          <w:b/>
          <w:i/>
          <w:smallCaps/>
          <w:lang w:eastAsia="da-DK"/>
        </w:rPr>
        <w:t xml:space="preserve"> </w:t>
      </w:r>
      <w:r w:rsidRPr="006E6AAA">
        <w:rPr>
          <w:rFonts w:ascii="Calibri" w:eastAsia="Times New Roman" w:hAnsi="Calibri" w:cs="Times New Roman"/>
          <w:i/>
          <w:lang w:eastAsia="da-DK"/>
        </w:rPr>
        <w:t xml:space="preserve">There is clear evidence of improvement in the planning of the initiative, but monitoring remains a major concern, mainly due to the lack of court statistics and a shared vision on monitoring approaches between donors and the Judiciary. There is however a definite commitment from the Judiciary to define jointly with the 3 international partners a common monitoring framework.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Magistrate Courts on circuit record an approximate number of </w:t>
      </w:r>
      <w:r w:rsidRPr="006E6AAA">
        <w:rPr>
          <w:rFonts w:ascii="Calibri" w:eastAsia="Times New Roman" w:hAnsi="Calibri" w:cs="Times New Roman"/>
          <w:b/>
          <w:i/>
          <w:lang w:eastAsia="da-DK"/>
        </w:rPr>
        <w:t xml:space="preserve">972 </w:t>
      </w:r>
      <w:r w:rsidRPr="006E6AAA">
        <w:rPr>
          <w:rFonts w:ascii="Calibri" w:eastAsia="Times New Roman" w:hAnsi="Calibri" w:cs="Times New Roman"/>
          <w:i/>
          <w:lang w:eastAsia="da-DK"/>
        </w:rPr>
        <w:t>received and</w:t>
      </w:r>
      <w:r w:rsidRPr="006E6AAA">
        <w:rPr>
          <w:rFonts w:ascii="Calibri" w:eastAsia="Times New Roman" w:hAnsi="Calibri" w:cs="Times New Roman"/>
          <w:b/>
          <w:i/>
          <w:lang w:eastAsia="da-DK"/>
        </w:rPr>
        <w:t xml:space="preserve"> 568 </w:t>
      </w:r>
      <w:r w:rsidRPr="006E6AAA">
        <w:rPr>
          <w:rFonts w:ascii="Calibri" w:eastAsia="Times New Roman" w:hAnsi="Calibri" w:cs="Times New Roman"/>
          <w:i/>
          <w:lang w:eastAsia="da-DK"/>
        </w:rPr>
        <w:t xml:space="preserve">disposed cases under the support of UNDP, which indicates an acceptable 58% rate of case disposal and a successful 12% increase in the number of cases received during the reporting period. The High Court on circuit achieved a disposal rate of 52% with </w:t>
      </w:r>
      <w:r w:rsidRPr="006E6AAA">
        <w:rPr>
          <w:rFonts w:ascii="Calibri" w:eastAsia="Times New Roman" w:hAnsi="Calibri" w:cs="Times New Roman"/>
          <w:b/>
          <w:i/>
          <w:lang w:eastAsia="da-DK"/>
        </w:rPr>
        <w:t xml:space="preserve">375 </w:t>
      </w:r>
      <w:r w:rsidRPr="006E6AAA">
        <w:rPr>
          <w:rFonts w:ascii="Calibri" w:eastAsia="Times New Roman" w:hAnsi="Calibri" w:cs="Times New Roman"/>
          <w:i/>
          <w:lang w:eastAsia="da-DK"/>
        </w:rPr>
        <w:t xml:space="preserve">received cases and </w:t>
      </w:r>
      <w:r w:rsidRPr="006E6AAA">
        <w:rPr>
          <w:rFonts w:ascii="Calibri" w:eastAsia="Times New Roman" w:hAnsi="Calibri" w:cs="Times New Roman"/>
          <w:b/>
          <w:i/>
          <w:lang w:eastAsia="da-DK"/>
        </w:rPr>
        <w:t xml:space="preserve">198 </w:t>
      </w:r>
      <w:r w:rsidRPr="006E6AAA">
        <w:rPr>
          <w:rFonts w:ascii="Calibri" w:eastAsia="Times New Roman" w:hAnsi="Calibri" w:cs="Times New Roman"/>
          <w:i/>
          <w:lang w:eastAsia="da-DK"/>
        </w:rPr>
        <w:t>disposed cases.</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The quantitative results appear satisfactory in a context where traditional system is strongly prevalent, but the quality of the mobile court services could be improved, in particular with regards to the following aspects:1) illegal pre-trial detention for remandees waiting for circuit courts to arrive; 2) lack of lawyers and interpreters to assist court users; 3) high adjournment rates due to the absence of witnesses in court; 4) special measures to protect SGBV survivors in court proceedings; and 5) logistical improvements, such as the prompt communication of the arrival of circuit courts and the regularity of its schedule, transportation for the mobile court team.</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b/>
          <w:i/>
          <w:smallCaps/>
          <w:u w:val="single"/>
          <w:lang w:eastAsia="da-DK"/>
        </w:rPr>
      </w:pPr>
      <w:r w:rsidRPr="006E6AAA">
        <w:rPr>
          <w:rFonts w:ascii="Calibri" w:eastAsia="Times New Roman" w:hAnsi="Calibri" w:cs="Times New Roman"/>
          <w:b/>
          <w:i/>
          <w:smallCaps/>
          <w:u w:val="single"/>
          <w:lang w:eastAsia="da-DK"/>
        </w:rPr>
        <w:t>efficiency</w:t>
      </w:r>
    </w:p>
    <w:p w:rsidR="006E6AAA" w:rsidRPr="006E6AAA" w:rsidRDefault="006E6AAA" w:rsidP="006E6AAA">
      <w:pPr>
        <w:spacing w:after="0" w:line="280" w:lineRule="exact"/>
        <w:jc w:val="both"/>
        <w:rPr>
          <w:rFonts w:ascii="Calibri" w:eastAsia="Times New Roman" w:hAnsi="Calibri" w:cs="Times New Roman"/>
          <w:b/>
          <w:i/>
          <w:smallCaps/>
          <w:lang w:eastAsia="da-DK"/>
        </w:rPr>
      </w:pPr>
      <w:r w:rsidRPr="006E6AAA">
        <w:rPr>
          <w:rFonts w:ascii="Calibri" w:eastAsia="Times New Roman" w:hAnsi="Calibri" w:cs="Times New Roman"/>
          <w:b/>
          <w:i/>
          <w:smallCaps/>
          <w:lang w:eastAsia="da-DK"/>
        </w:rPr>
        <w:t xml:space="preserve"> </w:t>
      </w:r>
      <w:r w:rsidRPr="006E6AAA">
        <w:rPr>
          <w:rFonts w:ascii="Calibri" w:eastAsia="Times New Roman" w:hAnsi="Calibri" w:cs="Times New Roman"/>
          <w:i/>
          <w:lang w:eastAsia="da-DK"/>
        </w:rPr>
        <w:t xml:space="preserve">The mobile court system is dependent on international donors for 80% of its budget, the remaining 20% being an in kind contribution from the Judiciary. Allowances (the highest budget line), are aligned with the local marked and perceived as fair.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coordination with other international partners has achieved the exemplary result of ensuring circuit courts on the whole territory of Sierra Leone. The coordination is being strengthened with the development of common monitoring tools and a harmonized allowance policy.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Conversely coordination among justice and security actors appear weak and no formal mechanism to promote linkages seems in place.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b/>
          <w:i/>
          <w:smallCaps/>
          <w:u w:val="single"/>
          <w:lang w:eastAsia="da-DK"/>
        </w:rPr>
      </w:pPr>
      <w:r w:rsidRPr="006E6AAA">
        <w:rPr>
          <w:rFonts w:ascii="Calibri" w:eastAsia="Times New Roman" w:hAnsi="Calibri" w:cs="Times New Roman"/>
          <w:b/>
          <w:i/>
          <w:smallCaps/>
          <w:u w:val="single"/>
          <w:lang w:eastAsia="da-DK"/>
        </w:rPr>
        <w:t>sustainabilty</w:t>
      </w:r>
    </w:p>
    <w:p w:rsidR="006E6AAA" w:rsidRPr="006E6AAA" w:rsidRDefault="006E6AAA" w:rsidP="006E6AAA">
      <w:pPr>
        <w:spacing w:after="0" w:line="280" w:lineRule="exact"/>
        <w:jc w:val="both"/>
        <w:rPr>
          <w:rFonts w:ascii="Calibri" w:eastAsia="Times New Roman" w:hAnsi="Calibri" w:cs="Times New Roman"/>
          <w:b/>
          <w:i/>
          <w:smallCaps/>
          <w:lang w:eastAsia="da-DK"/>
        </w:rPr>
      </w:pPr>
      <w:r w:rsidRPr="006E6AAA">
        <w:rPr>
          <w:rFonts w:ascii="Calibri" w:eastAsia="Times New Roman" w:hAnsi="Calibri" w:cs="Times New Roman"/>
          <w:b/>
          <w:i/>
          <w:smallCaps/>
          <w:lang w:eastAsia="da-DK"/>
        </w:rPr>
        <w:t xml:space="preserve"> </w:t>
      </w:r>
      <w:r w:rsidRPr="006E6AAA">
        <w:rPr>
          <w:rFonts w:ascii="Calibri" w:eastAsia="Times New Roman" w:hAnsi="Calibri" w:cs="Times New Roman"/>
          <w:i/>
          <w:lang w:eastAsia="da-DK"/>
        </w:rPr>
        <w:t xml:space="preserve">Some of the preconditions for the MC to continue without international support are in place: they are implemented independently under the lead of the Judiciary and having recourse to only local capacities.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lack of financial and human resources remains a strong obstacle and allows concluding that the Judiciary’s reliance on donor support will continue for some time. An exit strategy should be defined in cooperation with the Judiciary. Meanwhile the Judiciary should advocate for additional funds in the national budget and UNDP should provide assistance to improve key aspects of the intervention, with a particular focus on monitoring activities.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b/>
          <w:i/>
          <w:smallCaps/>
          <w:u w:val="single"/>
          <w:lang w:eastAsia="da-DK"/>
        </w:rPr>
      </w:pPr>
      <w:r w:rsidRPr="006E6AAA">
        <w:rPr>
          <w:rFonts w:ascii="Calibri" w:eastAsia="Times New Roman" w:hAnsi="Calibri" w:cs="Times New Roman"/>
          <w:b/>
          <w:i/>
          <w:smallCaps/>
          <w:u w:val="single"/>
          <w:lang w:eastAsia="da-DK"/>
        </w:rPr>
        <w:t>impact</w:t>
      </w:r>
    </w:p>
    <w:p w:rsidR="006E6AAA" w:rsidRPr="006E6AAA" w:rsidRDefault="006E6AAA" w:rsidP="006E6AAA">
      <w:pPr>
        <w:spacing w:after="0" w:line="280" w:lineRule="exact"/>
        <w:jc w:val="both"/>
        <w:rPr>
          <w:rFonts w:ascii="Calibri" w:eastAsia="Times New Roman" w:hAnsi="Calibri" w:cs="Times New Roman"/>
          <w:b/>
          <w:i/>
          <w:smallCaps/>
          <w:u w:val="single"/>
          <w:lang w:eastAsia="da-DK"/>
        </w:rPr>
      </w:pPr>
      <w:r w:rsidRPr="006E6AAA">
        <w:rPr>
          <w:rFonts w:ascii="Calibri" w:eastAsia="Times New Roman" w:hAnsi="Calibri" w:cs="Times New Roman"/>
          <w:b/>
          <w:i/>
          <w:smallCaps/>
          <w:lang w:eastAsia="da-DK"/>
        </w:rPr>
        <w:t xml:space="preserve"> </w:t>
      </w:r>
      <w:r w:rsidRPr="006E6AAA">
        <w:rPr>
          <w:rFonts w:ascii="Calibri" w:eastAsia="Times New Roman" w:hAnsi="Calibri" w:cs="Times New Roman"/>
          <w:i/>
          <w:lang w:eastAsia="da-DK"/>
        </w:rPr>
        <w:t xml:space="preserve">Key informants reported reduced crime rates in the villages where circuit courts travel and pointed out that litigants and their families are relieved from the economic burden of travelling to courts. Due to </w:t>
      </w:r>
      <w:r w:rsidRPr="006E6AAA">
        <w:rPr>
          <w:rFonts w:ascii="Calibri" w:eastAsia="Times New Roman" w:hAnsi="Calibri" w:cs="Times New Roman"/>
          <w:i/>
          <w:lang w:eastAsia="da-DK"/>
        </w:rPr>
        <w:lastRenderedPageBreak/>
        <w:t xml:space="preserve">the lack of specific measures to assist court users in claiming their rights (legal aid, interpretation), the impact of mobile courts on the population has not been as significant as it could have been. Mobile courts have yet had a limited, although growing, impact on increasing legal awareness among the rural population.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impact of mobile courts has been positive for the Judiciary.  The role of the formal justice system in remote areas has been strengthened, in particular by making the courts known to the population, which is a successful achievement in a country where traditional justice is strongly prevalent. Circuit courts have indirectly addressed the issue of the chronic shortage of Magistrates and backlogs in the districts have been cleared.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Due to legal and political obstacles, no war-related prosecutions were initiated by the national justice system, so circuit courts did not have the opportunity to impact on transitional justice.</w:t>
      </w: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Key </w:t>
      </w:r>
      <w:r w:rsidRPr="006E6AAA">
        <w:rPr>
          <w:rFonts w:ascii="Calibri" w:eastAsia="Times New Roman" w:hAnsi="Calibri" w:cs="Times New Roman"/>
          <w:b/>
          <w:i/>
          <w:u w:val="single"/>
          <w:lang w:eastAsia="da-DK"/>
        </w:rPr>
        <w:t>recommendations</w:t>
      </w:r>
      <w:r w:rsidRPr="006E6AAA">
        <w:rPr>
          <w:rFonts w:ascii="Calibri" w:eastAsia="Times New Roman" w:hAnsi="Calibri" w:cs="Times New Roman"/>
          <w:i/>
          <w:lang w:eastAsia="da-DK"/>
        </w:rPr>
        <w:t xml:space="preserve"> directed at UNDP and the Judiciary are detailed in the body of the report and include:</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Strengthen gender and SGBV mainstreaming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Improve monitoring aspects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Ensure the accountability of mobile courts for illegal pre-trial detentions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Promote complementary activities targeting the demand side of justice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Continue to promote international partnerships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Improve communication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Reduce adjournment rates and promote the presence of witnesses in court </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Continue to support court monitors</w:t>
      </w:r>
    </w:p>
    <w:p w:rsidR="006E6AAA" w:rsidRPr="006E6AAA" w:rsidRDefault="006E6AAA" w:rsidP="006E6AAA">
      <w:pPr>
        <w:numPr>
          <w:ilvl w:val="0"/>
          <w:numId w:val="8"/>
        </w:num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Support the Judiciary’s strategy to complete the institutionalization of circuit courts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sz w:val="24"/>
          <w:szCs w:val="24"/>
          <w:u w:val="single"/>
          <w:lang w:eastAsia="it-IT"/>
        </w:rPr>
      </w:pPr>
      <w:r w:rsidRPr="006E6AAA">
        <w:rPr>
          <w:rFonts w:ascii="Calibri" w:eastAsia="Times New Roman" w:hAnsi="Calibri" w:cs="Utopia-Regular"/>
          <w:b/>
          <w:i/>
          <w:sz w:val="24"/>
          <w:szCs w:val="24"/>
          <w:u w:val="single"/>
          <w:lang w:eastAsia="it-IT"/>
        </w:rPr>
        <w:br w:type="page"/>
      </w:r>
    </w:p>
    <w:p w:rsidR="006E6AAA" w:rsidRPr="006E6AAA" w:rsidRDefault="006E6AAA" w:rsidP="006E6AAA">
      <w:pPr>
        <w:shd w:val="clear" w:color="auto" w:fill="E0E0E0"/>
        <w:spacing w:after="0" w:line="280" w:lineRule="exact"/>
        <w:jc w:val="center"/>
        <w:rPr>
          <w:rFonts w:ascii="Calibri" w:eastAsia="Times New Roman" w:hAnsi="Calibri" w:cs="Times New Roman"/>
          <w:b/>
          <w:lang w:eastAsia="da-DK"/>
        </w:rPr>
      </w:pPr>
    </w:p>
    <w:p w:rsidR="006E6AAA" w:rsidRPr="006E6AAA" w:rsidRDefault="006E6AAA" w:rsidP="006E6AAA">
      <w:pPr>
        <w:shd w:val="clear" w:color="auto" w:fill="E0E0E0"/>
        <w:spacing w:after="0" w:line="280" w:lineRule="exact"/>
        <w:jc w:val="center"/>
        <w:rPr>
          <w:rFonts w:ascii="Calibri" w:eastAsia="Times New Roman" w:hAnsi="Calibri" w:cs="Times New Roman"/>
          <w:b/>
          <w:lang w:eastAsia="da-DK"/>
        </w:rPr>
      </w:pPr>
      <w:r w:rsidRPr="006E6AAA">
        <w:rPr>
          <w:rFonts w:ascii="Calibri" w:eastAsia="Times New Roman" w:hAnsi="Calibri" w:cs="Times New Roman"/>
          <w:b/>
          <w:lang w:eastAsia="da-DK"/>
        </w:rPr>
        <w:t>PART I: INTRODUCTION</w:t>
      </w:r>
    </w:p>
    <w:p w:rsidR="006E6AAA" w:rsidRPr="006E6AAA" w:rsidRDefault="006E6AAA" w:rsidP="006E6AAA">
      <w:pPr>
        <w:shd w:val="clear" w:color="auto" w:fill="E0E0E0"/>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xml:space="preserve">§ 1. Background and rationale for the evaluation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lang w:val="en-GB" w:eastAsia="da-DK"/>
        </w:rPr>
      </w:pPr>
      <w:r w:rsidRPr="006E6AAA">
        <w:rPr>
          <w:rFonts w:ascii="Calibri" w:eastAsia="Times New Roman" w:hAnsi="Calibri" w:cs="Times New Roman"/>
          <w:lang w:eastAsia="da-DK"/>
        </w:rPr>
        <w:t xml:space="preserve">The present report is part of a wider evaluation exercise titled </w:t>
      </w:r>
      <w:r w:rsidRPr="006E6AAA">
        <w:rPr>
          <w:rFonts w:ascii="Calibri" w:eastAsia="Times New Roman" w:hAnsi="Calibri" w:cs="Times New Roman"/>
          <w:b/>
          <w:lang w:eastAsia="da-DK"/>
        </w:rPr>
        <w:t>“</w:t>
      </w:r>
      <w:r w:rsidRPr="006E6AAA">
        <w:rPr>
          <w:rFonts w:ascii="Calibri" w:eastAsia="Times New Roman" w:hAnsi="Calibri" w:cs="Times New Roman"/>
          <w:b/>
          <w:i/>
          <w:lang w:val="en-GB" w:eastAsia="da-DK"/>
        </w:rPr>
        <w:t>UNDP’s support to mobile courts arrangements in post-conflict situations</w:t>
      </w:r>
      <w:r w:rsidRPr="006E6AAA">
        <w:rPr>
          <w:rFonts w:ascii="Calibri" w:eastAsia="Times New Roman" w:hAnsi="Calibri" w:cs="Times New Roman"/>
          <w:b/>
          <w:lang w:val="en-GB" w:eastAsia="da-DK"/>
        </w:rPr>
        <w: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F</w:t>
      </w:r>
      <w:r w:rsidRPr="006E6AAA">
        <w:rPr>
          <w:rFonts w:ascii="Calibri" w:eastAsia="Times New Roman" w:hAnsi="Calibri" w:cs="Times New Roman"/>
          <w:lang w:eastAsia="da-DK"/>
        </w:rPr>
        <w:t>or the purpose of the evaluation Mobile Courts are defined as “</w:t>
      </w:r>
      <w:r w:rsidRPr="006E6AAA">
        <w:rPr>
          <w:rFonts w:ascii="Calibri" w:eastAsia="Times New Roman" w:hAnsi="Calibri" w:cs="Times New Roman"/>
          <w:i/>
          <w:lang w:eastAsia="da-DK"/>
        </w:rPr>
        <w:t>formal courts that conduct proceedings in locations other than their home courts, usually in remote areas where no justice services are available</w:t>
      </w:r>
      <w:r w:rsidRPr="006E6AAA">
        <w:rPr>
          <w:rFonts w:ascii="Calibri" w:eastAsia="Times New Roman" w:hAnsi="Calibri" w:cs="Times New Roman"/>
          <w:lang w:eastAsia="da-DK"/>
        </w:rPr>
        <w:t xml:space="preserve">”. Trials are organized closer to the population by transferring the required justice actors (judge, prosecutor, court clerk, police officer…) to remote locations with the main objective to facilitate access to justice, in particularly for vulnerable groups who would not otherwise have the possibility to bring their cases before a formal court, often located miles away from their villages.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w:t>
      </w:r>
      <w:r w:rsidRPr="006E6AAA">
        <w:rPr>
          <w:rFonts w:ascii="Calibri" w:eastAsia="Times New Roman" w:hAnsi="Calibri" w:cs="Times New Roman"/>
          <w:lang w:val="en-GB" w:eastAsia="da-DK"/>
        </w:rPr>
        <w:t xml:space="preserve"> growing number of UNDP Country Offices (COs) that are supporting Mobile Courts interventions and the </w:t>
      </w:r>
      <w:r w:rsidRPr="006E6AAA">
        <w:rPr>
          <w:rFonts w:ascii="Calibri" w:eastAsia="Times New Roman" w:hAnsi="Calibri" w:cs="Times New Roman"/>
          <w:lang w:eastAsia="da-DK"/>
        </w:rPr>
        <w:t>lack of comprehensive studies specifically dedicated to this topic,</w:t>
      </w:r>
      <w:r w:rsidRPr="006E6AAA">
        <w:rPr>
          <w:rFonts w:ascii="Calibri" w:eastAsia="Times New Roman" w:hAnsi="Calibri" w:cs="Times New Roman"/>
          <w:lang w:val="en-GB" w:eastAsia="da-DK"/>
        </w:rPr>
        <w:t xml:space="preserve"> suggest that</w:t>
      </w:r>
      <w:r w:rsidRPr="006E6AAA">
        <w:rPr>
          <w:rFonts w:ascii="Calibri" w:eastAsia="Times New Roman" w:hAnsi="Calibri" w:cs="Times New Roman"/>
          <w:lang w:eastAsia="da-DK"/>
        </w:rPr>
        <w:t xml:space="preserve"> further analysis of the functioning and impact of mobile courts interventions and how UNDP supports these initiatives would be needed.</w:t>
      </w:r>
      <w:r w:rsidRPr="006E6AAA">
        <w:rPr>
          <w:rFonts w:ascii="Calibri" w:eastAsia="Times New Roman" w:hAnsi="Calibri" w:cs="Times New Roman"/>
          <w:lang w:val="en-GB" w:eastAsia="da-DK"/>
        </w:rPr>
        <w:t xml:space="preserve"> Within this framework, BCPR is conducting an evaluation to </w:t>
      </w:r>
      <w:r w:rsidRPr="006E6AAA">
        <w:rPr>
          <w:rFonts w:ascii="Calibri" w:eastAsia="Times New Roman" w:hAnsi="Calibri" w:cs="Times New Roman"/>
          <w:lang w:eastAsia="da-DK"/>
        </w:rPr>
        <w:t xml:space="preserve">assess results, identify good practices and lessons learned in supporting mobile courts interventions across UNDP RoL programmes in post-conflict settings.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As set forth in the </w:t>
      </w:r>
      <w:r w:rsidRPr="006E6AAA">
        <w:rPr>
          <w:rFonts w:ascii="Calibri" w:eastAsia="Times New Roman" w:hAnsi="Calibri" w:cs="ACaslon-Regular"/>
          <w:lang w:eastAsia="it-IT"/>
        </w:rPr>
        <w:t>TOR</w:t>
      </w:r>
      <w:r w:rsidRPr="006E6AAA">
        <w:rPr>
          <w:rFonts w:ascii="Calibri" w:eastAsia="Times New Roman" w:hAnsi="Calibri" w:cs="ACaslon-Regular"/>
          <w:vertAlign w:val="superscript"/>
          <w:lang w:eastAsia="it-IT"/>
        </w:rPr>
        <w:footnoteReference w:id="9"/>
      </w:r>
      <w:r w:rsidRPr="006E6AAA">
        <w:rPr>
          <w:rFonts w:ascii="Calibri" w:eastAsia="Times New Roman" w:hAnsi="Calibri" w:cs="ACaslon-Regular"/>
          <w:lang w:eastAsia="it-IT"/>
        </w:rPr>
        <w:t xml:space="preserve"> and further detailed in the Inception Report</w:t>
      </w:r>
      <w:r w:rsidRPr="006E6AAA">
        <w:rPr>
          <w:rFonts w:ascii="Calibri" w:eastAsia="Times New Roman" w:hAnsi="Calibri" w:cs="Times New Roman"/>
          <w:vertAlign w:val="superscript"/>
          <w:lang w:eastAsia="da-DK"/>
        </w:rPr>
        <w:footnoteReference w:id="10"/>
      </w:r>
      <w:r w:rsidRPr="006E6AAA">
        <w:rPr>
          <w:rFonts w:ascii="Calibri" w:eastAsia="Times New Roman" w:hAnsi="Calibri" w:cs="Times New Roman"/>
          <w:lang w:eastAsia="da-DK"/>
        </w:rPr>
        <w:t>, the evaluation includes a field visit of an international consultant to 3 selected COs (Sierra Leone, DRC and Somalia) and a comprehensive</w:t>
      </w:r>
      <w:r w:rsidRPr="006E6AAA">
        <w:rPr>
          <w:rFonts w:ascii="Calibri" w:eastAsia="Times New Roman" w:hAnsi="Calibri" w:cs="Times New Roman"/>
          <w:lang w:val="en-GB" w:eastAsia="da-DK"/>
        </w:rPr>
        <w:t xml:space="preserve"> desk study on additional COs that are supporting Mobile Courts.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 present report presents the findings of the field visit to Sierra Leone.</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terms “Mobile Court”, “Itinerant Court” and “Circuit court” are interchangeable; the latter is commonly used by Sierra Leoneans legal practitioners.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2. Purpose and scope of work</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present report is directed to UNDP/BCPR staff, the Judiciary, international partners and donors (DFID, GIZ and Irish aid) and has two overarching objectives:</w:t>
      </w:r>
    </w:p>
    <w:p w:rsidR="006E6AAA" w:rsidRPr="006E6AAA" w:rsidRDefault="006E6AAA" w:rsidP="006E6AAA">
      <w:pPr>
        <w:numPr>
          <w:ilvl w:val="0"/>
          <w:numId w:val="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Promoting joint accountability of the UNDP Country Office and the Sierra Leonean government, respectively in supporting and implementing mobile courts interventions. </w:t>
      </w:r>
    </w:p>
    <w:p w:rsidR="006E6AAA" w:rsidRPr="006E6AAA" w:rsidRDefault="006E6AAA" w:rsidP="006E6AAA">
      <w:pPr>
        <w:numPr>
          <w:ilvl w:val="0"/>
          <w:numId w:val="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Building knowledge to improve mobile courts interventions across BCPR’s Global ROL programme.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report is structured in 3 parts: the</w:t>
      </w:r>
      <w:r w:rsidRPr="006E6AAA">
        <w:rPr>
          <w:rFonts w:ascii="Calibri" w:eastAsia="Times New Roman" w:hAnsi="Calibri" w:cs="Times New Roman"/>
          <w:b/>
          <w:lang w:eastAsia="da-DK"/>
        </w:rPr>
        <w:t xml:space="preserve"> first part</w:t>
      </w:r>
      <w:r w:rsidRPr="006E6AAA">
        <w:rPr>
          <w:rFonts w:ascii="Calibri" w:eastAsia="Times New Roman" w:hAnsi="Calibri" w:cs="Times New Roman"/>
          <w:lang w:eastAsia="da-DK"/>
        </w:rPr>
        <w:t xml:space="preserve"> presents a description of the methodology and a brief overview of the context; the </w:t>
      </w:r>
      <w:r w:rsidRPr="006E6AAA">
        <w:rPr>
          <w:rFonts w:ascii="Calibri" w:eastAsia="Times New Roman" w:hAnsi="Calibri" w:cs="Times New Roman"/>
          <w:b/>
          <w:lang w:eastAsia="da-DK"/>
        </w:rPr>
        <w:t>second part</w:t>
      </w:r>
      <w:r w:rsidRPr="006E6AAA">
        <w:rPr>
          <w:rFonts w:ascii="Calibri" w:eastAsia="Times New Roman" w:hAnsi="Calibri" w:cs="Times New Roman"/>
          <w:lang w:eastAsia="da-DK"/>
        </w:rPr>
        <w:t xml:space="preserve"> assesses the interventions against the criteria of relevance, effectiveness, efficiency, sustainability and impact; the </w:t>
      </w:r>
      <w:r w:rsidRPr="006E6AAA">
        <w:rPr>
          <w:rFonts w:ascii="Calibri" w:eastAsia="Times New Roman" w:hAnsi="Calibri" w:cs="Times New Roman"/>
          <w:b/>
          <w:lang w:eastAsia="da-DK"/>
        </w:rPr>
        <w:t>third</w:t>
      </w:r>
      <w:r w:rsidRPr="006E6AAA">
        <w:rPr>
          <w:rFonts w:ascii="Calibri" w:eastAsia="Times New Roman" w:hAnsi="Calibri" w:cs="Times New Roman"/>
          <w:lang w:eastAsia="da-DK"/>
        </w:rPr>
        <w:t xml:space="preserve"> part presents the conclusions and the recommendations.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lastRenderedPageBreak/>
        <w:t>§ 3. Methodology and limitations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lang w:eastAsia="da-DK"/>
        </w:rPr>
        <w:t xml:space="preserve">The evaluation was conducted by an international consultant and consisted in </w:t>
      </w:r>
      <w:r w:rsidRPr="006E6AAA">
        <w:rPr>
          <w:rFonts w:ascii="Calibri" w:eastAsia="Times New Roman" w:hAnsi="Calibri" w:cs="Times New Roman"/>
          <w:b/>
          <w:lang w:eastAsia="da-DK"/>
        </w:rPr>
        <w:t>a desk review phase followed by a mission to Sierra Leone from 30/01/2013 to 10/02/2013.</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desk review included an analysis of relevant documentation and discussions with the UNDP Project Manager to define the evaluation tools. (see list of consulted literature in Annex 1)</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During the country visit, the consultant conducted interviews with about 40 key informants, including representatives of the Judiciary, police and prison system, civil society organizations, international partners, mobile court users and UNDP staff. (see list of consulted persons in Annex 2)</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mission included a 3 days visit to Moyamba and Gbangbatok to observe 2 circuit courts sessions.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 draft report was submitted to the CO and BCPR for comments.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w:t>
      </w:r>
      <w:r w:rsidRPr="006E6AAA">
        <w:rPr>
          <w:rFonts w:ascii="Calibri" w:eastAsia="Times New Roman" w:hAnsi="Calibri" w:cs="Times New Roman"/>
          <w:b/>
          <w:lang w:eastAsia="da-DK"/>
        </w:rPr>
        <w:t>methodology</w:t>
      </w:r>
      <w:r w:rsidRPr="006E6AAA">
        <w:rPr>
          <w:rFonts w:ascii="Calibri" w:eastAsia="Times New Roman" w:hAnsi="Calibri" w:cs="Times New Roman"/>
          <w:lang w:eastAsia="da-DK"/>
        </w:rPr>
        <w:t xml:space="preserve"> of the evaluation was set out in the Inception Report and consisted in a mixture of qualitative and quantitative research methods.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evaluation questions and sub-questions are defined in the Evaluation Matrix (see Annex 5) on the basis of the TOR and reflect the 5 criteria of relevance, effectiveness, efficiency, sustainability and impact.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Some </w:t>
      </w:r>
      <w:r w:rsidRPr="006E6AAA">
        <w:rPr>
          <w:rFonts w:ascii="Calibri" w:eastAsia="Times New Roman" w:hAnsi="Calibri" w:cs="Times New Roman"/>
          <w:b/>
          <w:lang w:eastAsia="da-DK"/>
        </w:rPr>
        <w:t>constraints</w:t>
      </w:r>
      <w:r w:rsidRPr="006E6AAA">
        <w:rPr>
          <w:rFonts w:ascii="Calibri" w:eastAsia="Times New Roman" w:hAnsi="Calibri" w:cs="Times New Roman"/>
          <w:lang w:eastAsia="da-DK"/>
        </w:rPr>
        <w:t>, mainly related to the planning and monitoring aspects of the intervention, have prevented a detailed analysis of the project results. In particular court statistics provided by the Judiciary were not detailed enough to allow a comprehensive analysis of the results and the reporting was not continuous throughout the duration of the agreement with UNDP.</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xml:space="preserve">§ 4. Description of the evaluated intervention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 is supporting circuit courts in Sierra Leone since 2010. The intervention was developed on the basis of the 2005-2008 “JSDP </w:t>
      </w:r>
      <w:r w:rsidRPr="006E6AAA">
        <w:rPr>
          <w:rFonts w:ascii="Calibri" w:eastAsia="Times New Roman" w:hAnsi="Calibri" w:cs="Times New Roman"/>
          <w:i/>
          <w:lang w:eastAsia="da-DK"/>
        </w:rPr>
        <w:t>pilot project in Mombaya</w:t>
      </w:r>
      <w:r w:rsidRPr="006E6AAA">
        <w:rPr>
          <w:rFonts w:ascii="Calibri" w:eastAsia="Times New Roman" w:hAnsi="Calibri" w:cs="Times New Roman"/>
          <w:lang w:eastAsia="da-DK"/>
        </w:rPr>
        <w:t xml:space="preserve">”, a sector wide Justice and Security programme funded by DFID, which included a mobile court component.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support to mobile courts is part of the broader UNDP “</w:t>
      </w:r>
      <w:r w:rsidRPr="006E6AAA">
        <w:rPr>
          <w:rFonts w:ascii="Calibri" w:eastAsia="Times New Roman" w:hAnsi="Calibri" w:cs="Times New Roman"/>
          <w:i/>
          <w:lang w:eastAsia="da-DK"/>
        </w:rPr>
        <w:t>A2J in Sierra Leone programme</w:t>
      </w:r>
      <w:r w:rsidRPr="006E6AAA">
        <w:rPr>
          <w:rFonts w:ascii="Calibri" w:eastAsia="Times New Roman" w:hAnsi="Calibri" w:cs="Times New Roman"/>
          <w:lang w:eastAsia="da-DK"/>
        </w:rPr>
        <w:t>”, and falls under Output 1 (</w:t>
      </w:r>
      <w:r w:rsidRPr="006E6AAA">
        <w:rPr>
          <w:rFonts w:ascii="Calibri" w:eastAsia="Times New Roman" w:hAnsi="Calibri" w:cs="Times New Roman"/>
          <w:i/>
          <w:lang w:eastAsia="da-DK"/>
        </w:rPr>
        <w:t>strengthen state capacity for efficient justice service delivery</w:t>
      </w:r>
      <w:r w:rsidRPr="006E6AAA">
        <w:rPr>
          <w:rFonts w:ascii="Calibri" w:eastAsia="Times New Roman" w:hAnsi="Calibri" w:cs="Times New Roman"/>
          <w:lang w:eastAsia="da-DK"/>
        </w:rPr>
        <w:t>) and activity result 5 (</w:t>
      </w:r>
      <w:r w:rsidRPr="006E6AAA">
        <w:rPr>
          <w:rFonts w:ascii="Calibri" w:eastAsia="Times New Roman" w:hAnsi="Calibri" w:cs="Times New Roman"/>
          <w:i/>
          <w:lang w:eastAsia="da-DK"/>
        </w:rPr>
        <w:t>formal justice services extended to deprived rural areas</w:t>
      </w:r>
      <w:r w:rsidRPr="006E6AAA">
        <w:rPr>
          <w:rFonts w:ascii="Calibri" w:eastAsia="Times New Roman" w:hAnsi="Calibri" w:cs="Times New Roman"/>
          <w:lang w:eastAsia="da-DK"/>
        </w:rPr>
        <w:t>) for the 2012 UNDP AWP.</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intervention is further described in 2 Letters of Agreement (LoA) signed between UNDP and the Judiciary, respectively in 2010 and 2012, for a total amount of </w:t>
      </w:r>
      <w:r w:rsidRPr="006E6AAA">
        <w:rPr>
          <w:rFonts w:ascii="Calibri" w:eastAsia="Times New Roman" w:hAnsi="Calibri" w:cs="Times New Roman"/>
          <w:b/>
          <w:lang w:eastAsia="da-DK"/>
        </w:rPr>
        <w:t>45.496 USD</w:t>
      </w:r>
      <w:r w:rsidRPr="006E6AAA">
        <w:rPr>
          <w:rFonts w:ascii="Calibri" w:eastAsia="Times New Roman" w:hAnsi="Calibri" w:cs="Times New Roman"/>
          <w:lang w:eastAsia="da-DK"/>
        </w:rPr>
        <w:t>. The 2012 LoA has been extended to April 2013.</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70" w:lineRule="atLeast"/>
        <w:rPr>
          <w:rFonts w:ascii="Times New Roman" w:eastAsia="Times New Roman" w:hAnsi="Times New Roman" w:cs="Times New Roman"/>
          <w:sz w:val="20"/>
          <w:szCs w:val="20"/>
          <w:lang w:val="en-GB" w:eastAsia="da-DK"/>
        </w:rPr>
      </w:pPr>
      <w:r w:rsidRPr="006E6AAA">
        <w:rPr>
          <w:rFonts w:ascii="Calibri" w:eastAsia="Times New Roman" w:hAnsi="Calibri" w:cs="Times New Roman"/>
          <w:lang w:eastAsia="da-DK"/>
        </w:rPr>
        <w:t>The scope of the present evaluation focuses on the specific activities identified under the 2 LoAs and summarized as follows:</w:t>
      </w:r>
      <w:r w:rsidRPr="006E6AAA">
        <w:rPr>
          <w:rFonts w:ascii="Times New Roman" w:eastAsia="Times New Roman" w:hAnsi="Times New Roman" w:cs="Times New Roman"/>
          <w:sz w:val="20"/>
          <w:szCs w:val="20"/>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 will deliver the funds required to implement circuit courts in the Southern province.  </w:t>
      </w: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Judiciary will ensure the implementation of circuit courts as follows:</w:t>
      </w:r>
    </w:p>
    <w:p w:rsidR="006E6AAA" w:rsidRPr="006E6AAA" w:rsidRDefault="006E6AAA" w:rsidP="006E6AAA">
      <w:pPr>
        <w:spacing w:after="0" w:line="280" w:lineRule="exact"/>
        <w:ind w:left="288"/>
        <w:jc w:val="both"/>
        <w:rPr>
          <w:rFonts w:ascii="Calibri" w:eastAsia="Times New Roman" w:hAnsi="Calibri" w:cs="Times New Roman"/>
          <w:i/>
          <w:lang w:eastAsia="da-DK"/>
        </w:rPr>
      </w:pPr>
      <w:r w:rsidRPr="006E6AAA">
        <w:rPr>
          <w:rFonts w:ascii="Calibri" w:eastAsia="Times New Roman" w:hAnsi="Calibri" w:cs="Times New Roman"/>
          <w:lang w:eastAsia="da-DK"/>
        </w:rPr>
        <w:t>-  The Magistrate court based in Bo will cover monthly/bi-monthly circuits</w:t>
      </w:r>
      <w:r w:rsidRPr="006E6AAA">
        <w:rPr>
          <w:rFonts w:ascii="Calibri" w:eastAsia="Times New Roman" w:hAnsi="Calibri" w:cs="Times New Roman"/>
          <w:i/>
          <w:lang w:eastAsia="da-DK"/>
        </w:rPr>
        <w:t xml:space="preserve"> </w:t>
      </w:r>
      <w:r w:rsidRPr="006E6AAA">
        <w:rPr>
          <w:rFonts w:ascii="Calibri" w:eastAsia="Times New Roman" w:hAnsi="Calibri" w:cs="Times New Roman"/>
          <w:lang w:eastAsia="da-DK"/>
        </w:rPr>
        <w:t>to 3 stations (</w:t>
      </w:r>
      <w:r w:rsidRPr="006E6AAA">
        <w:rPr>
          <w:rFonts w:ascii="Calibri" w:eastAsia="Times New Roman" w:hAnsi="Calibri" w:cs="Times New Roman"/>
          <w:i/>
          <w:lang w:eastAsia="da-DK"/>
        </w:rPr>
        <w:t xml:space="preserve">Pujehun,  </w:t>
      </w: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i/>
          <w:lang w:eastAsia="da-DK"/>
        </w:rPr>
        <w:t xml:space="preserve">    Zimmi, Mongere)</w:t>
      </w: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lang w:eastAsia="da-DK"/>
        </w:rPr>
        <w:t>-  The Magistrate court based in Moyamba will cover monthly/bi-monthly circuits</w:t>
      </w:r>
      <w:r w:rsidRPr="006E6AAA">
        <w:rPr>
          <w:rFonts w:ascii="Calibri" w:eastAsia="Times New Roman" w:hAnsi="Calibri" w:cs="Times New Roman"/>
          <w:i/>
          <w:lang w:eastAsia="da-DK"/>
        </w:rPr>
        <w:t xml:space="preserve"> </w:t>
      </w:r>
      <w:r w:rsidRPr="006E6AAA">
        <w:rPr>
          <w:rFonts w:ascii="Calibri" w:eastAsia="Times New Roman" w:hAnsi="Calibri" w:cs="Times New Roman"/>
          <w:lang w:eastAsia="da-DK"/>
        </w:rPr>
        <w:t xml:space="preserve">to 5 stations </w:t>
      </w: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lang w:eastAsia="da-DK"/>
        </w:rPr>
        <w:t xml:space="preserve">    (</w:t>
      </w:r>
      <w:r w:rsidRPr="006E6AAA">
        <w:rPr>
          <w:rFonts w:ascii="Calibri" w:eastAsia="Times New Roman" w:hAnsi="Calibri" w:cs="Times New Roman"/>
          <w:i/>
          <w:lang w:eastAsia="da-DK"/>
        </w:rPr>
        <w:t xml:space="preserve">Mattru-Jong, Rotifunk, Taiama, Bonthe Island, Gbangatok). </w:t>
      </w:r>
      <w:r w:rsidRPr="006E6AAA">
        <w:rPr>
          <w:rFonts w:ascii="Calibri" w:eastAsia="Times New Roman" w:hAnsi="Calibri" w:cs="Times New Roman"/>
          <w:lang w:eastAsia="da-DK"/>
        </w:rPr>
        <w:t xml:space="preserve">The four lasts stations were added in    </w:t>
      </w: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lang w:eastAsia="da-DK"/>
        </w:rPr>
        <w:t xml:space="preserve">    the 2012 LoA.</w:t>
      </w: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lang w:eastAsia="da-DK"/>
        </w:rPr>
        <w:t>-  The High Court based in Bo will ensure circuits to Moyamba 4 times per year.</w:t>
      </w: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Judiciary will provide UNDP with financial and narrative reporting</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map in Annex 3 provides an overview of the locations served by mobile courts.</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val="en-GB" w:eastAsia="da-DK"/>
        </w:rPr>
      </w:pPr>
      <w:r w:rsidRPr="006E6AAA">
        <w:rPr>
          <w:rFonts w:ascii="Calibri" w:eastAsia="Times New Roman" w:hAnsi="Calibri" w:cs="Times New Roman"/>
          <w:b/>
          <w:lang w:eastAsia="da-DK"/>
        </w:rPr>
        <w:t>§ 5. Overview</w:t>
      </w:r>
      <w:r w:rsidRPr="006E6AAA">
        <w:rPr>
          <w:rFonts w:ascii="Calibri" w:eastAsia="Times New Roman" w:hAnsi="Calibri" w:cs="Times New Roman"/>
          <w:b/>
          <w:lang w:val="en-GB" w:eastAsia="da-DK"/>
        </w:rPr>
        <w:t xml:space="preserve"> of the judicial system in Sierra Leone</w:t>
      </w:r>
    </w:p>
    <w:p w:rsidR="006E6AAA" w:rsidRPr="006E6AAA" w:rsidRDefault="006E6AAA" w:rsidP="006E6AAA">
      <w:pPr>
        <w:spacing w:after="0" w:line="280" w:lineRule="exact"/>
        <w:jc w:val="both"/>
        <w:rPr>
          <w:rFonts w:ascii="Calibri" w:eastAsia="Times New Roman" w:hAnsi="Calibri" w:cs="Times New Roman"/>
          <w:b/>
          <w:lang w:val="en-GB" w:eastAsia="da-DK"/>
        </w:rPr>
      </w:pPr>
    </w:p>
    <w:p w:rsidR="006E6AAA" w:rsidRPr="006E6AAA" w:rsidRDefault="006E6AAA" w:rsidP="006E6AAA">
      <w:pPr>
        <w:spacing w:after="0" w:line="280" w:lineRule="exact"/>
        <w:jc w:val="both"/>
        <w:rPr>
          <w:rFonts w:ascii="Calibri" w:eastAsia="Times New Roman" w:hAnsi="Calibri" w:cs="KPDDDN+TimesNewRoman"/>
          <w:color w:val="000000"/>
          <w:lang w:val="en-GB" w:eastAsia="da-DK"/>
        </w:rPr>
      </w:pPr>
      <w:r w:rsidRPr="006E6AAA">
        <w:rPr>
          <w:rFonts w:ascii="Calibri" w:eastAsia="Times New Roman" w:hAnsi="Calibri" w:cs="KPDDDN+TimesNewRoman"/>
          <w:color w:val="000000"/>
          <w:lang w:val="en-GB" w:eastAsia="da-DK"/>
        </w:rPr>
        <w:t>Below is a brief overview of the structure of the Judiciary and the hierarchy of courts in Sierra Leone, with a special focus on the Magistrate Courts and the High Courts in the provinces, which are the ones that travel on circuit and fall under the scope of the present report.</w:t>
      </w:r>
    </w:p>
    <w:p w:rsidR="006E6AAA" w:rsidRPr="006E6AAA" w:rsidRDefault="006E6AAA" w:rsidP="006E6AAA">
      <w:pPr>
        <w:spacing w:after="0" w:line="280" w:lineRule="exact"/>
        <w:jc w:val="both"/>
        <w:rPr>
          <w:rFonts w:ascii="Calibri" w:eastAsia="Times New Roman" w:hAnsi="Calibri" w:cs="KPDDDN+TimesNewRoman"/>
          <w:color w:val="000000"/>
          <w:lang w:val="en-GB" w:eastAsia="da-DK"/>
        </w:rPr>
      </w:pPr>
    </w:p>
    <w:p w:rsidR="006E6AAA" w:rsidRPr="006E6AAA" w:rsidRDefault="006E6AAA" w:rsidP="006E6AAA">
      <w:pPr>
        <w:numPr>
          <w:ilvl w:val="0"/>
          <w:numId w:val="7"/>
        </w:numPr>
        <w:autoSpaceDE w:val="0"/>
        <w:autoSpaceDN w:val="0"/>
        <w:adjustRightInd w:val="0"/>
        <w:spacing w:after="0" w:line="280" w:lineRule="exact"/>
        <w:jc w:val="both"/>
        <w:rPr>
          <w:rFonts w:ascii="Calibri" w:eastAsia="Times New Roman" w:hAnsi="Calibri" w:cs="KPDDDN+TimesNewRoman"/>
          <w:color w:val="000000"/>
          <w:lang w:val="en-GB" w:eastAsia="da-DK"/>
        </w:rPr>
      </w:pPr>
      <w:r w:rsidRPr="006E6AAA">
        <w:rPr>
          <w:rFonts w:ascii="Calibri" w:eastAsia="Times New Roman" w:hAnsi="Calibri" w:cs="KPDDDN+TimesNewRoman"/>
          <w:b/>
          <w:color w:val="000080"/>
          <w:u w:val="single"/>
          <w:lang w:val="en-GB" w:eastAsia="da-DK"/>
        </w:rPr>
        <w:t>Local Courts</w:t>
      </w:r>
      <w:r w:rsidRPr="006E6AAA">
        <w:rPr>
          <w:rFonts w:ascii="Calibri" w:eastAsia="Times New Roman" w:hAnsi="Calibri" w:cs="KPDDDN+TimesNewRoman"/>
          <w:color w:val="000000"/>
          <w:lang w:val="en-GB" w:eastAsia="da-DK"/>
        </w:rPr>
        <w:t xml:space="preserve"> </w:t>
      </w:r>
      <w:r w:rsidRPr="006E6AAA">
        <w:rPr>
          <w:rFonts w:ascii="Calibri" w:eastAsia="Times New Roman" w:hAnsi="Calibri" w:cs="BellGothic-Light"/>
          <w:color w:val="000000"/>
          <w:lang w:eastAsia="it-IT"/>
        </w:rPr>
        <w:t>are part of the Judiciary only since August 2011, when the revision of the</w:t>
      </w:r>
      <w:r w:rsidRPr="006E6AAA">
        <w:rPr>
          <w:rFonts w:ascii="Calibri" w:eastAsia="Times New Roman" w:hAnsi="Calibri" w:cs="KPDDDN+TimesNewRoman"/>
          <w:color w:val="000000"/>
          <w:lang w:val="en-GB" w:eastAsia="da-DK"/>
        </w:rPr>
        <w:t xml:space="preserve"> Local Courts Act established that they no longer reported to the </w:t>
      </w:r>
      <w:r w:rsidRPr="006E6AAA">
        <w:rPr>
          <w:rFonts w:ascii="Calibri" w:eastAsia="Times New Roman" w:hAnsi="Calibri" w:cs="Times New Roman"/>
          <w:lang w:val="en-GB" w:eastAsia="da-DK"/>
        </w:rPr>
        <w:t>executive branch of the government (Ministry of Internal affairs).</w:t>
      </w:r>
      <w:r w:rsidRPr="006E6AAA">
        <w:rPr>
          <w:rFonts w:ascii="Calibri" w:eastAsia="Times New Roman" w:hAnsi="Calibri" w:cs="KPDDDN+TimesNewRoman"/>
          <w:color w:val="000000"/>
          <w:lang w:val="en-GB" w:eastAsia="da-DK"/>
        </w:rPr>
        <w:t xml:space="preserve">  </w:t>
      </w:r>
    </w:p>
    <w:p w:rsidR="006E6AAA" w:rsidRPr="006E6AAA" w:rsidRDefault="006E6AAA" w:rsidP="006E6AAA">
      <w:pPr>
        <w:autoSpaceDE w:val="0"/>
        <w:autoSpaceDN w:val="0"/>
        <w:adjustRightInd w:val="0"/>
        <w:spacing w:after="0" w:line="280" w:lineRule="exact"/>
        <w:ind w:left="576"/>
        <w:jc w:val="both"/>
        <w:rPr>
          <w:rFonts w:ascii="Calibri" w:eastAsia="Times New Roman" w:hAnsi="Calibri" w:cs="Trebuchet MS"/>
          <w:lang w:eastAsia="it-IT"/>
        </w:rPr>
      </w:pPr>
      <w:r w:rsidRPr="006E6AAA">
        <w:rPr>
          <w:rFonts w:ascii="Calibri" w:eastAsia="Times New Roman" w:hAnsi="Calibri" w:cs="BellGothic-Light"/>
          <w:color w:val="000000"/>
          <w:lang w:eastAsia="it-IT"/>
        </w:rPr>
        <w:t xml:space="preserve">Local courts are hybrid in the sense that they apply traditional laws but are officially part of the formal judicial system. </w:t>
      </w:r>
      <w:r w:rsidRPr="006E6AAA">
        <w:rPr>
          <w:rFonts w:ascii="Calibri" w:eastAsia="Times New Roman" w:hAnsi="Calibri" w:cs="BellGothic-Light"/>
          <w:lang w:eastAsia="it-IT"/>
        </w:rPr>
        <w:t>The 292</w:t>
      </w:r>
      <w:r w:rsidRPr="006E6AAA">
        <w:rPr>
          <w:rFonts w:ascii="Calibri" w:eastAsia="Times New Roman" w:hAnsi="Calibri" w:cs="BellGothic-Light"/>
          <w:color w:val="000000"/>
          <w:lang w:eastAsia="it-IT"/>
        </w:rPr>
        <w:t xml:space="preserve"> local courts of Sierra Leone have jurisdiction over </w:t>
      </w:r>
      <w:r w:rsidRPr="006E6AAA">
        <w:rPr>
          <w:rFonts w:ascii="Calibri" w:eastAsia="Times New Roman" w:hAnsi="Calibri" w:cs="Trebuchet MS"/>
          <w:lang w:eastAsia="it-IT"/>
        </w:rPr>
        <w:t>community and domestic issues, including land, inheritance, divorce, maintenance, and minor debt disputes</w:t>
      </w:r>
      <w:r w:rsidRPr="006E6AAA">
        <w:rPr>
          <w:rFonts w:ascii="Calibri" w:eastAsia="Times New Roman" w:hAnsi="Calibri" w:cs="BellGothic-Light"/>
          <w:color w:val="000000"/>
          <w:lang w:eastAsia="it-IT"/>
        </w:rPr>
        <w:t xml:space="preserve"> as well as “</w:t>
      </w:r>
      <w:r w:rsidRPr="006E6AAA">
        <w:rPr>
          <w:rFonts w:ascii="Calibri" w:eastAsia="Times New Roman" w:hAnsi="Calibri" w:cs="BellGothic-Light"/>
          <w:i/>
          <w:color w:val="000000"/>
          <w:lang w:eastAsia="it-IT"/>
        </w:rPr>
        <w:t>criminal offenses punishable by a fine not exceeding 50.000 Leones or a term of imprisonment not exceeding 6 months</w:t>
      </w:r>
      <w:r w:rsidRPr="006E6AAA">
        <w:rPr>
          <w:rFonts w:ascii="Calibri" w:eastAsia="Times New Roman" w:hAnsi="Calibri" w:cs="BellGothic-Light"/>
          <w:color w:val="000000"/>
          <w:lang w:eastAsia="it-IT"/>
        </w:rPr>
        <w:t>”</w:t>
      </w:r>
      <w:r w:rsidRPr="006E6AAA">
        <w:rPr>
          <w:rFonts w:ascii="Calibri" w:eastAsia="Times New Roman" w:hAnsi="Calibri" w:cs="BellGothic-Light"/>
          <w:color w:val="000000"/>
          <w:vertAlign w:val="superscript"/>
          <w:lang w:eastAsia="it-IT"/>
        </w:rPr>
        <w:footnoteReference w:id="11"/>
      </w:r>
    </w:p>
    <w:p w:rsidR="006E6AAA" w:rsidRPr="006E6AAA" w:rsidRDefault="006E6AAA" w:rsidP="006E6AAA">
      <w:pPr>
        <w:autoSpaceDE w:val="0"/>
        <w:autoSpaceDN w:val="0"/>
        <w:adjustRightInd w:val="0"/>
        <w:spacing w:after="0" w:line="280" w:lineRule="exact"/>
        <w:ind w:left="576"/>
        <w:jc w:val="both"/>
        <w:rPr>
          <w:rFonts w:ascii="Calibri" w:eastAsia="Times New Roman" w:hAnsi="Calibri" w:cs="BellGothic-Light"/>
          <w:color w:val="000000"/>
          <w:lang w:eastAsia="it-IT"/>
        </w:rPr>
      </w:pPr>
      <w:r w:rsidRPr="006E6AAA">
        <w:rPr>
          <w:rFonts w:ascii="Calibri" w:eastAsia="Times New Roman" w:hAnsi="Calibri" w:cs="BellGothic-Light"/>
          <w:color w:val="000000"/>
          <w:lang w:eastAsia="it-IT"/>
        </w:rPr>
        <w:t xml:space="preserve">In addition to these formally recognized traditional courts, there are a range of unlawful informal structures at community level that are run by Paramount chiefs and secret societies. </w:t>
      </w:r>
    </w:p>
    <w:p w:rsidR="006E6AAA" w:rsidRPr="006E6AAA" w:rsidRDefault="006E6AAA" w:rsidP="006E6AAA">
      <w:pPr>
        <w:numPr>
          <w:ilvl w:val="0"/>
          <w:numId w:val="7"/>
        </w:numPr>
        <w:spacing w:after="0" w:line="280" w:lineRule="exact"/>
        <w:jc w:val="both"/>
        <w:rPr>
          <w:rFonts w:ascii="Calibri" w:eastAsia="Times New Roman" w:hAnsi="Calibri" w:cs="Times New Roman"/>
          <w:lang w:val="en-GB" w:eastAsia="da-DK"/>
        </w:rPr>
      </w:pPr>
      <w:r w:rsidRPr="006E6AAA">
        <w:rPr>
          <w:rFonts w:ascii="Calibri" w:eastAsia="Times New Roman" w:hAnsi="Calibri" w:cs="KPDDDN+TimesNewRoman"/>
          <w:b/>
          <w:color w:val="000080"/>
          <w:u w:val="single"/>
          <w:lang w:val="en-GB" w:eastAsia="da-DK"/>
        </w:rPr>
        <w:t>Magistrate Courts</w:t>
      </w:r>
      <w:r w:rsidRPr="006E6AAA">
        <w:rPr>
          <w:rFonts w:ascii="Calibri" w:eastAsia="Times New Roman" w:hAnsi="Calibri" w:cs="KPDDDN+TimesNewRoman"/>
          <w:b/>
          <w:color w:val="000000"/>
          <w:lang w:val="en-GB" w:eastAsia="da-DK"/>
        </w:rPr>
        <w:t xml:space="preserve"> </w:t>
      </w:r>
      <w:r w:rsidRPr="006E6AAA">
        <w:rPr>
          <w:rFonts w:ascii="Calibri" w:eastAsia="Times New Roman" w:hAnsi="Calibri" w:cs="Arial"/>
          <w:lang w:eastAsia="it-IT"/>
        </w:rPr>
        <w:t>have original jurisdiction to try minor criminal and civil cases and appellate jurisdiction over Local Courts within each judicial district.</w:t>
      </w:r>
      <w:r w:rsidRPr="006E6AAA">
        <w:rPr>
          <w:rFonts w:ascii="Calibri" w:eastAsia="Times New Roman" w:hAnsi="Calibri" w:cs="Times New Roman"/>
          <w:lang w:val="en-GB" w:eastAsia="da-DK"/>
        </w:rPr>
        <w:t xml:space="preserve"> Magistrate courts do not have jurisdiction over more serious offences such as murder and rape, but they hear these cases on preliminary investigation to determine whether there is sufficient evidence to warrant a committal to the High Court.</w:t>
      </w:r>
    </w:p>
    <w:p w:rsidR="006E6AAA" w:rsidRPr="006E6AAA" w:rsidRDefault="006E6AAA" w:rsidP="006E6AAA">
      <w:pPr>
        <w:autoSpaceDE w:val="0"/>
        <w:autoSpaceDN w:val="0"/>
        <w:adjustRightInd w:val="0"/>
        <w:spacing w:after="0" w:line="280" w:lineRule="exact"/>
        <w:ind w:firstLine="576"/>
        <w:jc w:val="both"/>
        <w:rPr>
          <w:rFonts w:ascii="Calibri" w:eastAsia="Times New Roman" w:hAnsi="Calibri" w:cs="Arial"/>
          <w:lang w:eastAsia="it-IT"/>
        </w:rPr>
      </w:pPr>
      <w:r w:rsidRPr="006E6AAA">
        <w:rPr>
          <w:rFonts w:ascii="Calibri" w:eastAsia="Times New Roman" w:hAnsi="Calibri" w:cs="ArialNarrow"/>
          <w:lang w:val="en-GB" w:eastAsia="it-IT"/>
        </w:rPr>
        <w:t>T</w:t>
      </w:r>
      <w:r w:rsidRPr="006E6AAA">
        <w:rPr>
          <w:rFonts w:ascii="Calibri" w:eastAsia="Times New Roman" w:hAnsi="Calibri" w:cs="ArialNarrow"/>
          <w:lang w:eastAsia="it-IT"/>
        </w:rPr>
        <w:t xml:space="preserve">he Magistrates are assisted by two </w:t>
      </w:r>
      <w:r w:rsidRPr="006E6AAA">
        <w:rPr>
          <w:rFonts w:ascii="Calibri" w:eastAsia="Times New Roman" w:hAnsi="Calibri" w:cs="ArialNarrow"/>
          <w:b/>
          <w:color w:val="000080"/>
          <w:u w:val="single"/>
          <w:lang w:eastAsia="it-IT"/>
        </w:rPr>
        <w:t>Justices of the Peace (JP)</w:t>
      </w:r>
      <w:r w:rsidRPr="006E6AAA">
        <w:rPr>
          <w:rFonts w:ascii="Calibri" w:eastAsia="Times New Roman" w:hAnsi="Calibri" w:cs="ArialNarrow"/>
          <w:b/>
          <w:lang w:eastAsia="it-IT"/>
        </w:rPr>
        <w:t xml:space="preserve">, </w:t>
      </w:r>
      <w:r w:rsidRPr="006E6AAA">
        <w:rPr>
          <w:rFonts w:ascii="Calibri" w:eastAsia="Times New Roman" w:hAnsi="Calibri" w:cs="ArialNarrow"/>
          <w:lang w:eastAsia="it-IT"/>
        </w:rPr>
        <w:t xml:space="preserve">usually retired civil servants. </w:t>
      </w:r>
    </w:p>
    <w:p w:rsidR="006E6AAA" w:rsidRPr="006E6AAA" w:rsidRDefault="006E6AAA" w:rsidP="006E6AAA">
      <w:pPr>
        <w:numPr>
          <w:ilvl w:val="0"/>
          <w:numId w:val="7"/>
        </w:numPr>
        <w:autoSpaceDE w:val="0"/>
        <w:autoSpaceDN w:val="0"/>
        <w:adjustRightInd w:val="0"/>
        <w:spacing w:after="0" w:line="280" w:lineRule="exact"/>
        <w:jc w:val="both"/>
        <w:rPr>
          <w:rFonts w:ascii="Calibri" w:eastAsia="Times New Roman" w:hAnsi="Calibri" w:cs="KPDDDN+TimesNewRoman"/>
          <w:color w:val="000000"/>
          <w:lang w:val="en-GB" w:eastAsia="da-DK"/>
        </w:rPr>
      </w:pPr>
      <w:r w:rsidRPr="006E6AAA">
        <w:rPr>
          <w:rFonts w:ascii="Calibri" w:eastAsia="Times New Roman" w:hAnsi="Calibri" w:cs="KPDDDN+TimesNewRoman"/>
          <w:b/>
          <w:color w:val="000080"/>
          <w:u w:val="single"/>
          <w:lang w:val="en-GB" w:eastAsia="da-DK"/>
        </w:rPr>
        <w:t>High Courts</w:t>
      </w:r>
      <w:r w:rsidRPr="006E6AAA">
        <w:rPr>
          <w:rFonts w:ascii="Calibri" w:eastAsia="Times New Roman" w:hAnsi="Calibri" w:cs="KPDDDN+TimesNewRoman"/>
          <w:color w:val="000000"/>
          <w:lang w:val="en-GB" w:eastAsia="da-DK"/>
        </w:rPr>
        <w:t xml:space="preserve"> have </w:t>
      </w:r>
      <w:r w:rsidRPr="006E6AAA">
        <w:rPr>
          <w:rFonts w:ascii="Calibri" w:eastAsia="Times New Roman" w:hAnsi="Calibri" w:cs="Arial"/>
          <w:lang w:eastAsia="it-IT"/>
        </w:rPr>
        <w:t>original jurisdiction over all criminal and civil matters and exercise appellate and supervisory jurisdiction over all inferior courts.</w:t>
      </w:r>
      <w:r w:rsidRPr="006E6AAA">
        <w:rPr>
          <w:rFonts w:ascii="Calibri" w:eastAsia="Times New Roman" w:hAnsi="Calibri" w:cs="KPDDDN+TimesNewRoman"/>
          <w:color w:val="000000"/>
          <w:lang w:val="en-GB" w:eastAsia="da-DK"/>
        </w:rPr>
        <w:t xml:space="preserve"> In the provinces there are 3 High Courts based in the each provincial headquarters (Bo, Makeni and Kenema). </w:t>
      </w:r>
    </w:p>
    <w:p w:rsidR="006E6AAA" w:rsidRPr="006E6AAA" w:rsidRDefault="006E6AAA" w:rsidP="006E6AAA">
      <w:pPr>
        <w:numPr>
          <w:ilvl w:val="0"/>
          <w:numId w:val="7"/>
        </w:numPr>
        <w:autoSpaceDE w:val="0"/>
        <w:autoSpaceDN w:val="0"/>
        <w:adjustRightInd w:val="0"/>
        <w:spacing w:after="0" w:line="280" w:lineRule="exact"/>
        <w:jc w:val="both"/>
        <w:rPr>
          <w:rFonts w:ascii="Calibri" w:eastAsia="Times New Roman" w:hAnsi="Calibri" w:cs="KPDDDN+TimesNewRoman"/>
          <w:color w:val="000000"/>
          <w:lang w:val="en-GB" w:eastAsia="da-DK"/>
        </w:rPr>
      </w:pPr>
      <w:r w:rsidRPr="006E6AAA">
        <w:rPr>
          <w:rFonts w:ascii="Calibri" w:eastAsia="Times New Roman" w:hAnsi="Calibri" w:cs="KPDDDN+TimesNewRoman"/>
          <w:color w:val="000000"/>
          <w:lang w:val="en-GB" w:eastAsia="da-DK"/>
        </w:rPr>
        <w:t xml:space="preserve">A </w:t>
      </w:r>
      <w:r w:rsidRPr="006E6AAA">
        <w:rPr>
          <w:rFonts w:ascii="Calibri" w:eastAsia="Times New Roman" w:hAnsi="Calibri" w:cs="KPDDDN+TimesNewRoman"/>
          <w:b/>
          <w:color w:val="000080"/>
          <w:u w:val="single"/>
          <w:lang w:val="en-GB" w:eastAsia="da-DK"/>
        </w:rPr>
        <w:t>Court of Appeal</w:t>
      </w:r>
      <w:r w:rsidRPr="006E6AAA">
        <w:rPr>
          <w:rFonts w:ascii="Calibri" w:eastAsia="Times New Roman" w:hAnsi="Calibri" w:cs="KPDDDN+TimesNewRoman"/>
          <w:color w:val="000000"/>
          <w:lang w:val="en-GB" w:eastAsia="da-DK"/>
        </w:rPr>
        <w:t xml:space="preserve"> sits in Freetown and the </w:t>
      </w:r>
      <w:r w:rsidRPr="006E6AAA">
        <w:rPr>
          <w:rFonts w:ascii="Calibri" w:eastAsia="Times New Roman" w:hAnsi="Calibri" w:cs="KPDDDN+TimesNewRoman"/>
          <w:b/>
          <w:color w:val="000080"/>
          <w:u w:val="single"/>
          <w:lang w:val="en-GB" w:eastAsia="da-DK"/>
        </w:rPr>
        <w:t>Supreme Court</w:t>
      </w:r>
      <w:r w:rsidRPr="006E6AAA">
        <w:rPr>
          <w:rFonts w:ascii="Calibri" w:eastAsia="Times New Roman" w:hAnsi="Calibri" w:cs="KPDDDN+TimesNewRoman"/>
          <w:color w:val="000000"/>
          <w:lang w:val="en-GB" w:eastAsia="da-DK"/>
        </w:rPr>
        <w:t xml:space="preserve"> is at the highest level of the court hierarchy.</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spacing w:after="0" w:line="280" w:lineRule="exact"/>
        <w:jc w:val="both"/>
        <w:rPr>
          <w:rFonts w:ascii="Times New Roman" w:eastAsia="Times New Roman" w:hAnsi="Times New Roman" w:cs="Times New Roman"/>
          <w:sz w:val="23"/>
          <w:szCs w:val="20"/>
          <w:lang w:val="en-GB" w:eastAsia="da-DK"/>
        </w:rPr>
      </w:pPr>
      <w:r w:rsidRPr="006E6AAA">
        <w:rPr>
          <w:rFonts w:ascii="Calibri" w:eastAsia="Times New Roman" w:hAnsi="Calibri" w:cs="Times New Roman"/>
          <w:b/>
          <w:lang w:eastAsia="da-DK"/>
        </w:rPr>
        <w:t xml:space="preserve">§ 6. Critical background factors </w:t>
      </w:r>
    </w:p>
    <w:p w:rsidR="006E6AAA" w:rsidRPr="006E6AAA" w:rsidRDefault="006E6AAA" w:rsidP="006E6AAA">
      <w:pPr>
        <w:spacing w:after="0" w:line="280" w:lineRule="exact"/>
        <w:jc w:val="both"/>
        <w:rPr>
          <w:rFonts w:ascii="Times New Roman" w:eastAsia="Times New Roman" w:hAnsi="Times New Roman" w:cs="Times New Roman"/>
          <w:color w:val="FF0000"/>
          <w:sz w:val="23"/>
          <w:szCs w:val="20"/>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judicial system of Sierra Leone has been described and assessed in several reports, to which reference is made for further information</w:t>
      </w:r>
      <w:r w:rsidRPr="006E6AAA">
        <w:rPr>
          <w:rFonts w:ascii="Calibri" w:eastAsia="Times New Roman" w:hAnsi="Calibri" w:cs="Times New Roman"/>
          <w:vertAlign w:val="superscript"/>
          <w:lang w:val="en-GB" w:eastAsia="da-DK"/>
        </w:rPr>
        <w:footnoteReference w:id="12"/>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color w:val="000080"/>
          <w:lang w:val="en-GB" w:eastAsia="da-DK"/>
        </w:rPr>
      </w:pPr>
      <w:r w:rsidRPr="006E6AAA">
        <w:rPr>
          <w:rFonts w:ascii="Calibri" w:eastAsia="Times New Roman" w:hAnsi="Calibri" w:cs="Times New Roman"/>
          <w:lang w:val="en-GB" w:eastAsia="da-DK"/>
        </w:rPr>
        <w:t>The box at the end of the paragraph provides a situational analysis and the points listed below present a</w:t>
      </w:r>
      <w:r w:rsidRPr="006E6AAA">
        <w:rPr>
          <w:rFonts w:ascii="Calibri" w:eastAsia="Times New Roman" w:hAnsi="Calibri" w:cs="Times New Roman"/>
          <w:color w:val="000080"/>
          <w:lang w:val="en-GB" w:eastAsia="da-DK"/>
        </w:rPr>
        <w:t xml:space="preserve"> </w:t>
      </w:r>
      <w:r w:rsidRPr="006E6AAA">
        <w:rPr>
          <w:rFonts w:ascii="Calibri" w:eastAsia="Times New Roman" w:hAnsi="Calibri" w:cs="Times New Roman"/>
          <w:lang w:val="en-GB" w:eastAsia="da-DK"/>
        </w:rPr>
        <w:t xml:space="preserve">summary of key contextual issues that are affecting the mobile court system and should therefore be taken into consideration while reading the present report.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6"/>
        </w:numPr>
        <w:autoSpaceDE w:val="0"/>
        <w:autoSpaceDN w:val="0"/>
        <w:adjustRightInd w:val="0"/>
        <w:spacing w:after="0" w:line="280" w:lineRule="exact"/>
        <w:jc w:val="both"/>
        <w:rPr>
          <w:rFonts w:ascii="Calibri" w:eastAsia="Times New Roman" w:hAnsi="Calibri" w:cs="Utopia-Regular"/>
          <w:lang w:eastAsia="it-IT"/>
        </w:rPr>
      </w:pPr>
      <w:r w:rsidRPr="006E6AAA">
        <w:rPr>
          <w:rFonts w:ascii="Calibri" w:eastAsia="Times New Roman" w:hAnsi="Calibri" w:cs="Utopia-Regular"/>
          <w:lang w:eastAsia="it-IT"/>
        </w:rPr>
        <w:t xml:space="preserve">Sierra Leone has a dual legal system, incorporating both a formal system rooted in British common law and a customary system based on traditional law. </w:t>
      </w:r>
      <w:r w:rsidRPr="006E6AAA">
        <w:rPr>
          <w:rFonts w:ascii="Calibri" w:eastAsia="Times New Roman" w:hAnsi="Calibri" w:cs="BellGothic-Light"/>
          <w:color w:val="000000"/>
          <w:lang w:eastAsia="it-IT"/>
        </w:rPr>
        <w:t xml:space="preserve">Numerous reports refer that 70% of the disputes in Sierra Leone are handled by the traditional legal system: it remains unclear if this percentage is referred to the illegal courts or the Local Courts, however it indicates that a </w:t>
      </w:r>
      <w:r w:rsidRPr="006E6AAA">
        <w:rPr>
          <w:rFonts w:ascii="Calibri" w:eastAsia="Times New Roman" w:hAnsi="Calibri" w:cs="BellGothic-Light"/>
          <w:b/>
          <w:color w:val="000000"/>
          <w:lang w:eastAsia="it-IT"/>
        </w:rPr>
        <w:t>very low number of cases reach the Magistrate and High Court level</w:t>
      </w:r>
      <w:r w:rsidRPr="006E6AAA">
        <w:rPr>
          <w:rFonts w:ascii="Calibri" w:eastAsia="Times New Roman" w:hAnsi="Calibri" w:cs="BellGothic-Light"/>
          <w:color w:val="000000"/>
          <w:lang w:eastAsia="it-IT"/>
        </w:rPr>
        <w:t xml:space="preserve">.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Utopia-Regular"/>
          <w:lang w:eastAsia="it-IT"/>
        </w:rPr>
      </w:pPr>
      <w:r w:rsidRPr="006E6AAA">
        <w:rPr>
          <w:rFonts w:ascii="Calibri" w:eastAsia="Times New Roman" w:hAnsi="Calibri" w:cs="BellGothic-Light"/>
          <w:color w:val="000000"/>
          <w:lang w:eastAsia="it-IT"/>
        </w:rPr>
        <w:lastRenderedPageBreak/>
        <w:t>According to the JSDP “</w:t>
      </w:r>
      <w:r w:rsidRPr="006E6AAA">
        <w:rPr>
          <w:rFonts w:ascii="Calibri" w:eastAsia="Times New Roman" w:hAnsi="Calibri" w:cs="BellGothic-Light"/>
          <w:i/>
          <w:color w:val="000000"/>
          <w:lang w:eastAsia="it-IT"/>
        </w:rPr>
        <w:t>Justice sector survey</w:t>
      </w:r>
      <w:r w:rsidRPr="006E6AAA">
        <w:rPr>
          <w:rFonts w:ascii="Calibri" w:eastAsia="Times New Roman" w:hAnsi="Calibri" w:cs="BellGothic-Light"/>
          <w:color w:val="000000"/>
          <w:lang w:eastAsia="it-IT"/>
        </w:rPr>
        <w:t xml:space="preserve">” in 2007 the total caseload for Magistrate Courts in Sierra Leone was 7,500 (4000 criminal cases and 3,500 civil cases) and the total caseload for High Courts was 1,308 (75 criminal cases and 1233 civil cases). </w:t>
      </w:r>
    </w:p>
    <w:p w:rsidR="006E6AAA" w:rsidRPr="006E6AAA" w:rsidRDefault="006E6AAA" w:rsidP="006E6AAA">
      <w:pPr>
        <w:numPr>
          <w:ilvl w:val="0"/>
          <w:numId w:val="6"/>
        </w:numPr>
        <w:autoSpaceDE w:val="0"/>
        <w:autoSpaceDN w:val="0"/>
        <w:adjustRightInd w:val="0"/>
        <w:spacing w:after="0" w:line="280" w:lineRule="exact"/>
        <w:jc w:val="both"/>
        <w:rPr>
          <w:rFonts w:ascii="Calibri" w:eastAsia="Times New Roman" w:hAnsi="Calibri" w:cs="Utopia-Regular"/>
          <w:lang w:eastAsia="it-IT"/>
        </w:rPr>
      </w:pPr>
      <w:r w:rsidRPr="006E6AAA">
        <w:rPr>
          <w:rFonts w:ascii="Calibri" w:eastAsia="Times New Roman" w:hAnsi="Calibri" w:cs="Utopia-Regular"/>
          <w:lang w:eastAsia="it-IT"/>
        </w:rPr>
        <w:t xml:space="preserve">The Sierra Leonean </w:t>
      </w:r>
      <w:r w:rsidRPr="006E6AAA">
        <w:rPr>
          <w:rFonts w:ascii="Calibri" w:eastAsia="Times New Roman" w:hAnsi="Calibri" w:cs="Utopia-Regular"/>
          <w:b/>
          <w:lang w:eastAsia="it-IT"/>
        </w:rPr>
        <w:t>legal framework is outdated</w:t>
      </w:r>
      <w:r w:rsidRPr="006E6AAA">
        <w:rPr>
          <w:rFonts w:ascii="Calibri" w:eastAsia="Times New Roman" w:hAnsi="Calibri" w:cs="Utopia-Regular"/>
          <w:lang w:eastAsia="it-IT"/>
        </w:rPr>
        <w:t xml:space="preserve">, for example both the Criminal Procedure Act and the Courts Act date back to the 60’s and reflect the strong formalism of court proceedings in the colonial era.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Utopia-Regular"/>
          <w:lang w:eastAsia="it-IT"/>
        </w:rPr>
      </w:pPr>
      <w:r w:rsidRPr="006E6AAA">
        <w:rPr>
          <w:rFonts w:ascii="Calibri" w:eastAsia="Times New Roman" w:hAnsi="Calibri" w:cs="Utopia-Regular"/>
          <w:lang w:eastAsia="it-IT"/>
        </w:rPr>
        <w:t xml:space="preserve">It is however to be recognized that in the past few years some innovative laws were passed (e.g. the Legal Aid Act, the Sexual Offenses Act and the ‘3 Gender Acts’  </w:t>
      </w:r>
      <w:r w:rsidRPr="006E6AAA">
        <w:rPr>
          <w:rFonts w:ascii="Calibri" w:eastAsia="Times New Roman" w:hAnsi="Calibri" w:cs="Utopia-Regular"/>
          <w:vertAlign w:val="superscript"/>
          <w:lang w:eastAsia="it-IT"/>
        </w:rPr>
        <w:footnoteReference w:id="13"/>
      </w:r>
      <w:r w:rsidRPr="006E6AAA">
        <w:rPr>
          <w:rFonts w:ascii="Calibri" w:eastAsia="Times New Roman" w:hAnsi="Calibri" w:cs="Utopia-Regular"/>
          <w:lang w:eastAsia="it-IT"/>
        </w:rPr>
        <w:t xml:space="preserve">) and some key laws were revised (e.g. the Local Courts Act).  These legislative changes represent an important opportunity for the Mobile Court system as they can play a key role in implementing the new laws and ensuring that the rural population is granted the new rights that have been recognized. </w:t>
      </w:r>
    </w:p>
    <w:p w:rsidR="006E6AAA" w:rsidRPr="006E6AAA" w:rsidRDefault="006E6AAA" w:rsidP="006E6AAA">
      <w:pPr>
        <w:numPr>
          <w:ilvl w:val="0"/>
          <w:numId w:val="6"/>
        </w:numPr>
        <w:autoSpaceDE w:val="0"/>
        <w:autoSpaceDN w:val="0"/>
        <w:adjustRightInd w:val="0"/>
        <w:spacing w:after="0" w:line="280" w:lineRule="exact"/>
        <w:jc w:val="both"/>
        <w:rPr>
          <w:rFonts w:ascii="Calibri" w:eastAsia="Times New Roman" w:hAnsi="Calibri" w:cs="Utopia-Regular"/>
          <w:lang w:eastAsia="it-IT"/>
        </w:rPr>
      </w:pPr>
      <w:r w:rsidRPr="006E6AAA">
        <w:rPr>
          <w:rFonts w:ascii="Calibri" w:eastAsia="Times New Roman" w:hAnsi="Calibri" w:cs="Utopia-Regular"/>
          <w:lang w:eastAsia="it-IT"/>
        </w:rPr>
        <w:t xml:space="preserve">Courtrooms have been rehabilitated after the war with the support of the international community, but there is still a serious </w:t>
      </w:r>
      <w:r w:rsidRPr="006E6AAA">
        <w:rPr>
          <w:rFonts w:ascii="Calibri" w:eastAsia="Times New Roman" w:hAnsi="Calibri" w:cs="Utopia-Regular"/>
          <w:b/>
          <w:lang w:eastAsia="it-IT"/>
        </w:rPr>
        <w:t>shortage of legal practitioners</w:t>
      </w:r>
      <w:r w:rsidRPr="006E6AAA">
        <w:rPr>
          <w:rFonts w:ascii="Calibri" w:eastAsia="Times New Roman" w:hAnsi="Calibri" w:cs="Utopia-Regular"/>
          <w:lang w:eastAsia="it-IT"/>
        </w:rPr>
        <w:t xml:space="preserve"> in Sierra Leone. According to the draft “Agenda for Prosperity” the country has 21 Judges, 20 Magistrates, along with 23 Prosecutors. The number of lawyers was estimated to about one hundred in 2011</w:t>
      </w:r>
      <w:r w:rsidRPr="006E6AAA">
        <w:rPr>
          <w:rFonts w:ascii="Calibri" w:eastAsia="Times New Roman" w:hAnsi="Calibri" w:cs="Times New Roman"/>
          <w:lang w:eastAsia="it-IT"/>
        </w:rPr>
        <w:t>.</w:t>
      </w:r>
      <w:r w:rsidRPr="006E6AAA">
        <w:rPr>
          <w:rFonts w:ascii="Calibri" w:eastAsia="Times New Roman" w:hAnsi="Calibri" w:cs="Times New Roman"/>
          <w:vertAlign w:val="superscript"/>
          <w:lang w:eastAsia="it-IT"/>
        </w:rPr>
        <w:footnoteReference w:id="14"/>
      </w:r>
      <w:r w:rsidRPr="006E6AAA">
        <w:rPr>
          <w:rFonts w:ascii="Calibri" w:eastAsia="Times New Roman" w:hAnsi="Calibri" w:cs="Utopia-Regular"/>
          <w:lang w:eastAsia="it-IT"/>
        </w:rPr>
        <w:t xml:space="preserve"> </w:t>
      </w:r>
    </w:p>
    <w:p w:rsidR="006E6AAA" w:rsidRPr="006E6AAA" w:rsidRDefault="006E6AAA" w:rsidP="006E6AAA">
      <w:pPr>
        <w:numPr>
          <w:ilvl w:val="0"/>
          <w:numId w:val="6"/>
        </w:num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Utopia-Regular"/>
          <w:lang w:eastAsia="it-IT"/>
        </w:rPr>
        <w:t>The country is addressing urgent gaps in other sectors, so there is limited funding available for the Judiciary to improve the justice services:  “</w:t>
      </w:r>
      <w:r w:rsidRPr="006E6AAA">
        <w:rPr>
          <w:rFonts w:ascii="Calibri" w:eastAsia="Times New Roman" w:hAnsi="Calibri" w:cs="Utopia-Regular"/>
          <w:i/>
          <w:lang w:eastAsia="it-IT"/>
        </w:rPr>
        <w:t>In 2011 the Ministry of Finance awards the justice sector – including police, prisons, and courts –well below 1% of its annual budget</w:t>
      </w:r>
      <w:r w:rsidRPr="006E6AAA">
        <w:rPr>
          <w:rFonts w:ascii="Calibri" w:eastAsia="Times New Roman" w:hAnsi="Calibri" w:cs="Utopia-Regular"/>
          <w:lang w:eastAsia="it-IT"/>
        </w:rPr>
        <w:t>”</w:t>
      </w:r>
      <w:r w:rsidRPr="006E6AAA">
        <w:rPr>
          <w:rFonts w:ascii="Calibri" w:eastAsia="Times New Roman" w:hAnsi="Calibri" w:cs="Utopia-Regular"/>
          <w:vertAlign w:val="superscript"/>
          <w:lang w:eastAsia="it-IT"/>
        </w:rPr>
        <w:footnoteReference w:id="15"/>
      </w:r>
      <w:r w:rsidRPr="006E6AAA">
        <w:rPr>
          <w:rFonts w:ascii="Calibri" w:eastAsia="Times New Roman" w:hAnsi="Calibri" w:cs="Utopia-Regular"/>
          <w:lang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lang w:val="en-GB"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lang w:val="en-GB" w:eastAsia="it-IT"/>
        </w:rPr>
      </w:pP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spacing w:after="0" w:line="280" w:lineRule="exact"/>
        <w:jc w:val="both"/>
        <w:rPr>
          <w:rFonts w:ascii="Calibri" w:eastAsia="Times New Roman" w:hAnsi="Calibri" w:cs="Times New Roman"/>
          <w:b/>
          <w:color w:val="000080"/>
          <w:lang w:val="en-GB" w:eastAsia="da-DK"/>
        </w:rPr>
      </w:pPr>
      <w:r w:rsidRPr="006E6AAA">
        <w:rPr>
          <w:rFonts w:ascii="Calibri" w:eastAsia="Times New Roman" w:hAnsi="Calibri" w:cs="Times New Roman"/>
          <w:b/>
          <w:color w:val="000080"/>
          <w:lang w:val="en-GB" w:eastAsia="da-DK"/>
        </w:rPr>
        <w:t>SITUATIONAL ANALYSIS</w:t>
      </w: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spacing w:after="0" w:line="280" w:lineRule="exact"/>
        <w:jc w:val="both"/>
        <w:rPr>
          <w:rFonts w:ascii="Calibri" w:eastAsia="Times New Roman" w:hAnsi="Calibri" w:cs="Times New Roman"/>
          <w:i/>
          <w:color w:val="000080"/>
          <w:sz w:val="20"/>
          <w:szCs w:val="20"/>
          <w:lang w:val="en-GB" w:eastAsia="da-DK"/>
        </w:rPr>
      </w:pPr>
      <w:r w:rsidRPr="006E6AAA">
        <w:rPr>
          <w:rFonts w:ascii="Calibri" w:eastAsia="Times New Roman" w:hAnsi="Calibri" w:cs="Times New Roman"/>
          <w:i/>
          <w:color w:val="000080"/>
          <w:sz w:val="20"/>
          <w:szCs w:val="20"/>
          <w:lang w:val="en-GB" w:eastAsia="da-DK"/>
        </w:rPr>
        <w:t>(Abstract from the UNDP access to justice project document – 2013/2014)</w:t>
      </w: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tabs>
          <w:tab w:val="left" w:pos="180"/>
        </w:tabs>
        <w:autoSpaceDE w:val="0"/>
        <w:autoSpaceDN w:val="0"/>
        <w:adjustRightInd w:val="0"/>
        <w:spacing w:after="0" w:line="270" w:lineRule="atLeast"/>
        <w:jc w:val="both"/>
        <w:rPr>
          <w:rFonts w:ascii="Calibri" w:eastAsia="Times New Roman" w:hAnsi="Calibri" w:cs="Utopia-Regular"/>
          <w:color w:val="000080"/>
          <w:lang w:val="en-GB" w:eastAsia="it-IT"/>
        </w:rPr>
      </w:pP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tabs>
          <w:tab w:val="left" w:pos="180"/>
        </w:tabs>
        <w:autoSpaceDE w:val="0"/>
        <w:autoSpaceDN w:val="0"/>
        <w:adjustRightInd w:val="0"/>
        <w:spacing w:after="0" w:line="270" w:lineRule="atLeast"/>
        <w:jc w:val="both"/>
        <w:rPr>
          <w:rFonts w:ascii="Calibri" w:eastAsia="Times New Roman" w:hAnsi="Calibri" w:cs="CG Omega"/>
          <w:i/>
          <w:iCs/>
          <w:color w:val="000000"/>
          <w:sz w:val="20"/>
          <w:szCs w:val="20"/>
          <w:lang w:eastAsia="it-IT"/>
        </w:rPr>
      </w:pPr>
      <w:r w:rsidRPr="006E6AAA">
        <w:rPr>
          <w:rFonts w:ascii="Calibri" w:eastAsia="KlavikaLight-Plain" w:hAnsi="Calibri" w:cs="CG Omega"/>
          <w:color w:val="000000"/>
          <w:sz w:val="20"/>
          <w:szCs w:val="20"/>
          <w:lang w:eastAsia="it-IT"/>
        </w:rPr>
        <w:t>“</w:t>
      </w:r>
      <w:r w:rsidRPr="006E6AAA">
        <w:rPr>
          <w:rFonts w:ascii="Calibri" w:eastAsia="KlavikaLight-Plain" w:hAnsi="Calibri" w:cs="CG Omega"/>
          <w:i/>
          <w:color w:val="000000"/>
          <w:sz w:val="20"/>
          <w:szCs w:val="20"/>
          <w:lang w:eastAsia="it-IT"/>
        </w:rPr>
        <w:t>Sierra Leone has made significant progress in building stability after more than a decade of civil war, which ended in 2002. During the immediate years following the end of the conflict the government prioritized rebuilding state institutions as well as basic infrastructure as part of the peace consolidation effort. Peaceful elections were held in 2002, 2007 and most recently in November 2012. Nevertheless, despite progress Sierra Leone is ranked 180 out of 187 countries in the 2011 Human Development Index; 60% of the population lives below the poverty line and a</w:t>
      </w:r>
      <w:r w:rsidRPr="006E6AAA">
        <w:rPr>
          <w:rFonts w:ascii="Calibri" w:eastAsia="Times New Roman" w:hAnsi="Calibri" w:cs="CG Omega"/>
          <w:i/>
          <w:color w:val="000000"/>
          <w:sz w:val="20"/>
          <w:szCs w:val="20"/>
          <w:lang w:eastAsia="it-IT"/>
        </w:rPr>
        <w:t xml:space="preserve"> gender inequality index value of 0.662 ranks the country at 137 out of 146 countries in 2011</w:t>
      </w:r>
      <w:r w:rsidRPr="006E6AAA">
        <w:rPr>
          <w:rFonts w:ascii="Calibri" w:eastAsia="Times New Roman" w:hAnsi="Calibri" w:cs="CG Omega"/>
          <w:i/>
          <w:color w:val="000000"/>
          <w:sz w:val="20"/>
          <w:szCs w:val="20"/>
          <w:vertAlign w:val="superscript"/>
          <w:lang w:eastAsia="it-IT"/>
        </w:rPr>
        <w:footnoteReference w:id="16"/>
      </w:r>
      <w:r w:rsidRPr="006E6AAA">
        <w:rPr>
          <w:rFonts w:ascii="Calibri" w:eastAsia="Times New Roman" w:hAnsi="Calibri" w:cs="CG Omega"/>
          <w:i/>
          <w:iCs/>
          <w:color w:val="000000"/>
          <w:sz w:val="20"/>
          <w:szCs w:val="20"/>
          <w:lang w:eastAsia="it-IT"/>
        </w:rPr>
        <w:t>.[...]</w:t>
      </w: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tabs>
          <w:tab w:val="left" w:pos="180"/>
        </w:tabs>
        <w:autoSpaceDE w:val="0"/>
        <w:autoSpaceDN w:val="0"/>
        <w:adjustRightInd w:val="0"/>
        <w:spacing w:after="0" w:line="240" w:lineRule="auto"/>
        <w:jc w:val="both"/>
        <w:rPr>
          <w:rFonts w:ascii="Calibri" w:eastAsia="Times New Roman" w:hAnsi="Calibri" w:cs="CG Omega"/>
          <w:i/>
          <w:color w:val="000000"/>
          <w:sz w:val="20"/>
          <w:szCs w:val="20"/>
          <w:lang w:eastAsia="it-IT"/>
        </w:rPr>
      </w:pPr>
      <w:r w:rsidRPr="006E6AAA">
        <w:rPr>
          <w:rFonts w:ascii="Calibri" w:eastAsia="Times New Roman" w:hAnsi="Calibri" w:cs="CG Omega"/>
          <w:i/>
          <w:color w:val="000000"/>
          <w:sz w:val="20"/>
          <w:szCs w:val="20"/>
          <w:lang w:eastAsia="it-IT"/>
        </w:rPr>
        <w:t xml:space="preserve"> </w:t>
      </w: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tabs>
          <w:tab w:val="left" w:pos="180"/>
        </w:tabs>
        <w:spacing w:after="120" w:line="270" w:lineRule="atLeast"/>
        <w:jc w:val="both"/>
        <w:rPr>
          <w:rFonts w:ascii="Calibri" w:eastAsia="KlavikaLight-Plain" w:hAnsi="Calibri" w:cs="CG Omega"/>
          <w:i/>
          <w:color w:val="000000"/>
          <w:sz w:val="20"/>
          <w:szCs w:val="20"/>
          <w:lang w:eastAsia="it-IT"/>
        </w:rPr>
      </w:pPr>
      <w:r w:rsidRPr="006E6AAA">
        <w:rPr>
          <w:rFonts w:ascii="Calibri" w:eastAsia="KlavikaLight-Plain" w:hAnsi="Calibri" w:cs="CG Omega"/>
          <w:i/>
          <w:color w:val="000000"/>
          <w:sz w:val="20"/>
          <w:szCs w:val="20"/>
          <w:lang w:eastAsia="it-IT"/>
        </w:rPr>
        <w:t xml:space="preserve">The lack of access to justice was identified by the Sierra Leonean Truth and Reconciliation Commission (TRC) in 2004 as a key cause of Sierra Leone’s 11-year civil war. In the aftermath of the conflict, lack of trained staff and damaged infrastructure hampered the administration of justice and threatened the consolidation of peace.  In the recovery phase therefore, donors provided logistical and infrastructure support to restore justice sector institutions severely destroyed or degraded during the war. The TRC findings led to a national consensus that reform of the justice sector is central to peace consolidation, and ultimately a vital ingredient for sustainable development in post-conflict Sierra Leone.  </w:t>
      </w: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tabs>
          <w:tab w:val="left" w:pos="180"/>
        </w:tabs>
        <w:autoSpaceDE w:val="0"/>
        <w:autoSpaceDN w:val="0"/>
        <w:adjustRightInd w:val="0"/>
        <w:spacing w:after="0" w:line="280" w:lineRule="exact"/>
        <w:jc w:val="both"/>
        <w:rPr>
          <w:rFonts w:ascii="Calibri" w:eastAsia="Times New Roman" w:hAnsi="Calibri" w:cs="Times New Roman"/>
          <w:i/>
          <w:sz w:val="20"/>
          <w:szCs w:val="20"/>
          <w:lang w:val="en-GB" w:eastAsia="da-DK"/>
        </w:rPr>
      </w:pPr>
      <w:r w:rsidRPr="006E6AAA">
        <w:rPr>
          <w:rFonts w:ascii="Calibri" w:eastAsia="Times New Roman" w:hAnsi="Calibri" w:cs="Times New Roman"/>
          <w:i/>
          <w:sz w:val="20"/>
          <w:szCs w:val="20"/>
          <w:lang w:val="en-GB" w:eastAsia="da-DK"/>
        </w:rPr>
        <w:t>Despite 10 years of development assistance, the Government recognizes the problems that continue to confront the justice sector as a whole</w:t>
      </w:r>
      <w:r w:rsidRPr="006E6AAA">
        <w:rPr>
          <w:rFonts w:ascii="Calibri" w:eastAsia="Times New Roman" w:hAnsi="Calibri" w:cs="Times New Roman"/>
          <w:i/>
          <w:sz w:val="20"/>
          <w:szCs w:val="20"/>
          <w:vertAlign w:val="superscript"/>
          <w:lang w:val="en-GB" w:eastAsia="da-DK"/>
        </w:rPr>
        <w:footnoteReference w:id="17"/>
      </w:r>
      <w:r w:rsidRPr="006E6AAA">
        <w:rPr>
          <w:rFonts w:ascii="Calibri" w:eastAsia="Times New Roman" w:hAnsi="Calibri" w:cs="Times New Roman"/>
          <w:i/>
          <w:sz w:val="20"/>
          <w:szCs w:val="20"/>
          <w:lang w:val="en-GB" w:eastAsia="da-DK"/>
        </w:rPr>
        <w:t>. Only 21 Judges and 20 Magistrates, along with 23 Ministry of Justice Prosecutors</w:t>
      </w:r>
      <w:r w:rsidRPr="006E6AAA">
        <w:rPr>
          <w:rFonts w:ascii="Calibri" w:eastAsia="Times New Roman" w:hAnsi="Calibri" w:cs="Times New Roman"/>
          <w:i/>
          <w:sz w:val="20"/>
          <w:szCs w:val="20"/>
          <w:vertAlign w:val="superscript"/>
          <w:lang w:val="en-GB" w:eastAsia="da-DK"/>
        </w:rPr>
        <w:footnoteReference w:id="18"/>
      </w:r>
      <w:r w:rsidRPr="006E6AAA">
        <w:rPr>
          <w:rFonts w:ascii="Calibri" w:eastAsia="Times New Roman" w:hAnsi="Calibri" w:cs="Times New Roman"/>
          <w:i/>
          <w:sz w:val="20"/>
          <w:szCs w:val="20"/>
          <w:lang w:val="en-GB" w:eastAsia="da-DK"/>
        </w:rPr>
        <w:t xml:space="preserve"> serve the entire country with a population of more than 6 million. Magistrates Courts are present in </w:t>
      </w:r>
      <w:r w:rsidRPr="006E6AAA">
        <w:rPr>
          <w:rFonts w:ascii="Calibri" w:eastAsia="Times New Roman" w:hAnsi="Calibri" w:cs="Times New Roman"/>
          <w:i/>
          <w:sz w:val="20"/>
          <w:szCs w:val="20"/>
          <w:lang w:val="en-GB" w:eastAsia="da-DK"/>
        </w:rPr>
        <w:lastRenderedPageBreak/>
        <w:t>all Districts- 5 serviced only through donor supported mobile courts- however most criminal cases are prosecuted by untrained Police Prosecutors and long delays in both criminal and civil cases are common. Prisons are reported as overpopulated and arbitrary detention, due to delays in case processing, is the norm</w:t>
      </w:r>
      <w:r w:rsidRPr="006E6AAA">
        <w:rPr>
          <w:rFonts w:ascii="Calibri" w:eastAsia="Times New Roman" w:hAnsi="Calibri" w:cs="Times New Roman"/>
          <w:i/>
          <w:sz w:val="20"/>
          <w:szCs w:val="20"/>
          <w:vertAlign w:val="superscript"/>
          <w:lang w:val="en-GB" w:eastAsia="da-DK"/>
        </w:rPr>
        <w:footnoteReference w:id="19"/>
      </w:r>
      <w:r w:rsidRPr="006E6AAA">
        <w:rPr>
          <w:rFonts w:ascii="Calibri" w:eastAsia="Times New Roman" w:hAnsi="Calibri" w:cs="Times New Roman"/>
          <w:i/>
          <w:sz w:val="20"/>
          <w:szCs w:val="20"/>
          <w:lang w:val="en-GB" w:eastAsia="da-DK"/>
        </w:rPr>
        <w:t xml:space="preserve">; </w:t>
      </w:r>
    </w:p>
    <w:p w:rsidR="006E6AAA" w:rsidRPr="006E6AAA" w:rsidRDefault="006E6AAA" w:rsidP="006E6AAA">
      <w:pPr>
        <w:pBdr>
          <w:top w:val="single" w:sz="12" w:space="1" w:color="000080"/>
          <w:left w:val="single" w:sz="12" w:space="4" w:color="000080"/>
          <w:bottom w:val="single" w:sz="12" w:space="1" w:color="000080"/>
          <w:right w:val="single" w:sz="12" w:space="4" w:color="000080"/>
        </w:pBdr>
        <w:shd w:val="clear" w:color="auto" w:fill="F3F3F3"/>
        <w:tabs>
          <w:tab w:val="left" w:pos="180"/>
        </w:tabs>
        <w:autoSpaceDE w:val="0"/>
        <w:autoSpaceDN w:val="0"/>
        <w:adjustRightInd w:val="0"/>
        <w:spacing w:after="0" w:line="280" w:lineRule="exact"/>
        <w:jc w:val="both"/>
        <w:rPr>
          <w:rFonts w:ascii="Calibri" w:eastAsia="Times New Roman" w:hAnsi="Calibri" w:cs="Times New Roman"/>
          <w:iCs/>
          <w:sz w:val="20"/>
          <w:szCs w:val="20"/>
          <w:lang w:val="en-GB" w:eastAsia="da-DK"/>
        </w:rPr>
      </w:pPr>
    </w:p>
    <w:p w:rsidR="006E6AAA" w:rsidRPr="006E6AAA" w:rsidRDefault="006E6AAA" w:rsidP="006E6AAA">
      <w:pPr>
        <w:spacing w:after="0" w:line="280" w:lineRule="exact"/>
        <w:rPr>
          <w:rFonts w:ascii="Calibri" w:eastAsia="Times New Roman" w:hAnsi="Calibri" w:cs="Calibri"/>
          <w:i/>
          <w:color w:val="0000FF"/>
          <w:lang w:eastAsia="it-IT"/>
        </w:rPr>
      </w:pPr>
      <w:r w:rsidRPr="006E6AAA">
        <w:rPr>
          <w:rFonts w:ascii="Calibri" w:eastAsia="Times New Roman" w:hAnsi="Calibri" w:cs="Calibri"/>
          <w:i/>
          <w:color w:val="0000FF"/>
          <w:lang w:eastAsia="it-IT"/>
        </w:rPr>
        <w:br w:type="page"/>
      </w:r>
    </w:p>
    <w:p w:rsidR="006E6AAA" w:rsidRPr="006E6AAA" w:rsidRDefault="006E6AAA" w:rsidP="006E6AAA">
      <w:pPr>
        <w:shd w:val="clear" w:color="auto" w:fill="E0E0E0"/>
        <w:spacing w:after="0" w:line="280" w:lineRule="exact"/>
        <w:rPr>
          <w:rFonts w:ascii="Calibri" w:eastAsia="Times New Roman" w:hAnsi="Calibri" w:cs="Calibri"/>
          <w:b/>
          <w:lang w:eastAsia="it-IT"/>
        </w:rPr>
      </w:pPr>
    </w:p>
    <w:p w:rsidR="006E6AAA" w:rsidRPr="006E6AAA" w:rsidRDefault="006E6AAA" w:rsidP="006E6AAA">
      <w:pPr>
        <w:shd w:val="clear" w:color="auto" w:fill="E0E0E0"/>
        <w:spacing w:after="0" w:line="280" w:lineRule="exact"/>
        <w:jc w:val="center"/>
        <w:rPr>
          <w:rFonts w:ascii="Calibri" w:eastAsia="Times New Roman" w:hAnsi="Calibri" w:cs="Calibri"/>
          <w:b/>
          <w:lang w:eastAsia="it-IT"/>
        </w:rPr>
      </w:pPr>
      <w:r w:rsidRPr="006E6AAA">
        <w:rPr>
          <w:rFonts w:ascii="Calibri" w:eastAsia="Times New Roman" w:hAnsi="Calibri" w:cs="Calibri"/>
          <w:b/>
          <w:lang w:eastAsia="it-IT"/>
        </w:rPr>
        <w:t>PART II: EVALUATION FINDINGS</w:t>
      </w:r>
    </w:p>
    <w:p w:rsidR="006E6AAA" w:rsidRPr="006E6AAA" w:rsidRDefault="006E6AAA" w:rsidP="006E6AAA">
      <w:pPr>
        <w:shd w:val="clear" w:color="auto" w:fill="E0E0E0"/>
        <w:spacing w:after="0" w:line="280" w:lineRule="exact"/>
        <w:jc w:val="center"/>
        <w:rPr>
          <w:rFonts w:ascii="Calibri" w:eastAsia="Times New Roman" w:hAnsi="Calibri" w:cs="Calibri"/>
          <w:b/>
          <w:lang w:eastAsia="it-IT"/>
        </w:rPr>
      </w:pPr>
    </w:p>
    <w:p w:rsidR="006E6AAA" w:rsidRPr="006E6AAA" w:rsidRDefault="006E6AAA" w:rsidP="006E6AAA">
      <w:pPr>
        <w:spacing w:after="0" w:line="280" w:lineRule="exact"/>
        <w:jc w:val="both"/>
        <w:rPr>
          <w:rFonts w:ascii="Calibri" w:eastAsia="Times New Roman" w:hAnsi="Calibri" w:cs="ACaslon-Regular"/>
          <w:lang w:eastAsia="it-IT"/>
        </w:rPr>
      </w:pPr>
      <w:r w:rsidRPr="006E6AAA">
        <w:rPr>
          <w:rFonts w:ascii="Calibri" w:eastAsia="Times New Roman" w:hAnsi="Calibri" w:cs="Calibri"/>
          <w:i/>
          <w:lang w:eastAsia="it-IT"/>
        </w:rPr>
        <w:br/>
      </w:r>
      <w:r w:rsidRPr="006E6AAA">
        <w:rPr>
          <w:rFonts w:ascii="Calibri" w:eastAsia="Times New Roman" w:hAnsi="Calibri" w:cs="Calibri"/>
          <w:lang w:eastAsia="it-IT"/>
        </w:rPr>
        <w:t>In accordance with UNEG standards</w:t>
      </w:r>
      <w:r w:rsidRPr="006E6AAA">
        <w:rPr>
          <w:rFonts w:ascii="Calibri" w:eastAsia="Times New Roman" w:hAnsi="Calibri" w:cs="Times New Roman"/>
          <w:lang w:eastAsia="da-DK"/>
        </w:rPr>
        <w:t xml:space="preserve"> and as detailed in the TOR and the Inception Report</w:t>
      </w:r>
      <w:r w:rsidRPr="006E6AAA">
        <w:rPr>
          <w:rFonts w:ascii="Calibri" w:eastAsia="Times New Roman" w:hAnsi="Calibri" w:cs="Calibri"/>
          <w:lang w:eastAsia="it-IT"/>
        </w:rPr>
        <w:t xml:space="preserve">, the evaluation findings are structured around the </w:t>
      </w:r>
      <w:r w:rsidRPr="006E6AAA">
        <w:rPr>
          <w:rFonts w:ascii="Calibri" w:eastAsia="Times New Roman" w:hAnsi="Calibri" w:cs="ACaslon-Regular"/>
          <w:lang w:eastAsia="it-IT"/>
        </w:rPr>
        <w:t>criteria of “relevance, effectiveness, efficiency, sustainability and impact”</w:t>
      </w:r>
      <w:r w:rsidRPr="006E6AAA">
        <w:rPr>
          <w:rFonts w:ascii="Calibri" w:eastAsia="Times New Roman" w:hAnsi="Calibri" w:cs="ACaslon-Regular"/>
          <w:vertAlign w:val="superscript"/>
          <w:lang w:eastAsia="it-IT"/>
        </w:rPr>
        <w:footnoteReference w:id="20"/>
      </w:r>
      <w:r w:rsidRPr="006E6AAA">
        <w:rPr>
          <w:rFonts w:ascii="Calibri" w:eastAsia="Times New Roman" w:hAnsi="Calibri" w:cs="ACaslon-Regular"/>
          <w:lang w:eastAsia="it-IT"/>
        </w:rPr>
        <w:t>, as illustrated in the following paragraphs.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color w:val="000080"/>
          <w:sz w:val="28"/>
          <w:szCs w:val="28"/>
          <w:lang w:eastAsia="da-DK"/>
        </w:rPr>
      </w:pPr>
      <w:r w:rsidRPr="006E6AAA">
        <w:rPr>
          <w:rFonts w:ascii="Calibri" w:eastAsia="Times New Roman" w:hAnsi="Calibri" w:cs="Times New Roman"/>
          <w:b/>
          <w:color w:val="000080"/>
          <w:sz w:val="28"/>
          <w:szCs w:val="28"/>
          <w:lang w:eastAsia="da-DK"/>
        </w:rPr>
        <w:t>RELEVANCE</w:t>
      </w: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i/>
          <w:color w:val="333333"/>
          <w:sz w:val="20"/>
          <w:szCs w:val="20"/>
          <w:lang w:eastAsia="da-DK"/>
        </w:rPr>
      </w:pPr>
      <w:r w:rsidRPr="006E6AAA">
        <w:rPr>
          <w:rFonts w:ascii="Calibri" w:eastAsia="Times New Roman" w:hAnsi="Calibri" w:cs="Times New Roman"/>
          <w:i/>
          <w:color w:val="333333"/>
          <w:sz w:val="20"/>
          <w:szCs w:val="20"/>
          <w:lang w:eastAsia="da-DK"/>
        </w:rPr>
        <w:t>Relevance concerns the extent to which a development initiative and its intended outputs or outcomes are consistent with national and local policies and priorities and the needs of intended beneficiaries.</w:t>
      </w: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val="it-IT" w:eastAsia="da-DK"/>
        </w:rPr>
      </w:pPr>
      <w:r w:rsidRPr="006E6AAA">
        <w:rPr>
          <w:rFonts w:ascii="Calibri" w:eastAsia="Times New Roman" w:hAnsi="Calibri" w:cs="Times New Roman"/>
          <w:b/>
          <w:lang w:val="it-IT" w:eastAsia="da-DK"/>
        </w:rPr>
        <w:t xml:space="preserve">§ 1.1. The Sierra Leonean mobile court model </w:t>
      </w:r>
    </w:p>
    <w:p w:rsidR="006E6AAA" w:rsidRPr="006E6AAA" w:rsidRDefault="006E6AAA" w:rsidP="006E6AAA">
      <w:pPr>
        <w:spacing w:after="0" w:line="280" w:lineRule="exact"/>
        <w:jc w:val="both"/>
        <w:rPr>
          <w:rFonts w:ascii="Calibri" w:eastAsia="Times New Roman" w:hAnsi="Calibri" w:cs="Times New Roman"/>
          <w:color w:val="333399"/>
          <w:lang w:val="it-IT"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The notion of mobile justice is rooted in the Sierra Leonean judicial system: </w:t>
      </w:r>
      <w:r w:rsidRPr="006E6AAA">
        <w:rPr>
          <w:rFonts w:ascii="Calibri" w:eastAsia="Times New Roman" w:hAnsi="Calibri" w:cs="Times New Roman"/>
          <w:b/>
          <w:lang w:val="en-GB" w:eastAsia="da-DK"/>
        </w:rPr>
        <w:t xml:space="preserve">circuit courts are established in article 7 of the 1963 Courts Act </w:t>
      </w:r>
      <w:r w:rsidRPr="006E6AAA">
        <w:rPr>
          <w:rFonts w:ascii="Calibri" w:eastAsia="Times New Roman" w:hAnsi="Calibri" w:cs="Times New Roman"/>
          <w:lang w:val="en-GB" w:eastAsia="da-DK"/>
        </w:rPr>
        <w:t>stating that “</w:t>
      </w:r>
      <w:r w:rsidRPr="006E6AAA">
        <w:rPr>
          <w:rFonts w:ascii="Calibri" w:eastAsia="Times New Roman" w:hAnsi="Calibri" w:cs="Times New Roman"/>
          <w:i/>
          <w:lang w:val="en-GB" w:eastAsia="da-DK"/>
        </w:rPr>
        <w:t>magistrate courts should be held at such places as the chief justice may direct”</w:t>
      </w:r>
      <w:r w:rsidRPr="006E6AAA">
        <w:rPr>
          <w:rFonts w:ascii="Calibri" w:eastAsia="Times New Roman" w:hAnsi="Calibri" w:cs="Times New Roman"/>
          <w:lang w:val="en-GB" w:eastAsia="da-DK"/>
        </w:rPr>
        <w:t xml:space="preserve"> and the principle is reaffirmed in article 131.3 of the Constitution.</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Several key informants confirmed that circuit courts were organized in the provinces before the civil war, but specific material on this experience was not available. It’s only in 2008 that circuit courts were revamped with the support of the international community.</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Holding circuit hearings in remote underserved areas is considered part of the duties of the magistrates and judges resident in the provinces. Therefore the issue of the selection of the mobile court team, which can be problematic in other countries, does not arise in Sierra Leone as the judges and magistrates appointed in the provinces will be the ones to travel on circuit. The areas and schedule for the High Court judges are identified every year by the Chief Justice, whereas Magistrate Courts have more flexibility in identifying their areas of intervention.</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There are 2 typologies of mobile courts, with distinct jurisdictions and procedural rules. </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a) Magistrate court circuit hearings</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Court Act establishes that a resident Magistrate should be present in each of the 12 districts of Sierra Leone, however as of February 2013, only 6 magistrates are operational in the provinces (2 in each of the three provinces)</w:t>
      </w:r>
      <w:r w:rsidRPr="006E6AAA">
        <w:rPr>
          <w:rFonts w:ascii="Calibri" w:eastAsia="Times New Roman" w:hAnsi="Calibri" w:cs="Times New Roman"/>
          <w:vertAlign w:val="superscript"/>
          <w:lang w:eastAsia="da-DK"/>
        </w:rPr>
        <w:footnoteReference w:id="21"/>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recruitment of 2 additional Magistrates is ongoing and the Master and Registrar clarified that they will be based respectively in the Northern and Eastern province.  In total the 6 magistrates are ensuring circuit hearings in 21 stations (8 in the South, 10 in the North and 3 in the East) with the support of the international community.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jurisdiction of the Magistrate Court on circuit is the same as for permanent sittings. To be noted that in 1981 an amendment of the CPA extended the criminal jurisdiction of the Magistrate to “</w:t>
      </w:r>
      <w:r w:rsidRPr="006E6AAA">
        <w:rPr>
          <w:rFonts w:ascii="Calibri" w:eastAsia="Times New Roman" w:hAnsi="Calibri" w:cs="Times New Roman"/>
          <w:i/>
          <w:lang w:eastAsia="da-DK"/>
        </w:rPr>
        <w:t>try summarily any offence punishable by sentence of imprisonment for a term not exceeding 5 years”</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lastRenderedPageBreak/>
        <w:t>(previously 3 years). In specific cases and “</w:t>
      </w:r>
      <w:r w:rsidRPr="006E6AAA">
        <w:rPr>
          <w:rFonts w:ascii="Calibri" w:eastAsia="Times New Roman" w:hAnsi="Calibri" w:cs="Times New Roman"/>
          <w:i/>
          <w:lang w:eastAsia="da-DK"/>
        </w:rPr>
        <w:t>with the consent of the accused but not otherwise</w:t>
      </w:r>
      <w:r w:rsidRPr="006E6AAA">
        <w:rPr>
          <w:rFonts w:ascii="Calibri" w:eastAsia="Times New Roman" w:hAnsi="Calibri" w:cs="Times New Roman"/>
          <w:lang w:eastAsia="da-DK"/>
        </w:rPr>
        <w:t>” the jurisdiction is increased to 7 years</w:t>
      </w:r>
      <w:r w:rsidRPr="006E6AAA">
        <w:rPr>
          <w:rFonts w:ascii="Calibri" w:eastAsia="Times New Roman" w:hAnsi="Calibri" w:cs="Times New Roman"/>
          <w:vertAlign w:val="superscript"/>
          <w:lang w:eastAsia="da-DK"/>
        </w:rPr>
        <w:footnoteReference w:id="22"/>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Concerning the UNDP supported Mobile Courts in the Southern province, it was referred that the Moyamba Magistrate sits in his home court every Friday and Saturday and the rest of the week he travels on circuit to 5 stations located in 3 judicial districts.</w:t>
      </w:r>
      <w:r w:rsidRPr="006E6AAA">
        <w:rPr>
          <w:rFonts w:ascii="Calibri" w:eastAsia="Times New Roman" w:hAnsi="Calibri" w:cs="Times New Roman"/>
          <w:lang w:val="en-GB" w:eastAsia="da-DK"/>
        </w:rPr>
        <w:t xml:space="preserve"> Two Justices of Peace are supposed to ensure the ordinary activities of the home-court when the Magistrate is on circuit, but they are currently not operational in Moyamba.</w:t>
      </w:r>
      <w:r w:rsidRPr="006E6AAA">
        <w:rPr>
          <w:rFonts w:ascii="Calibri" w:eastAsia="Times New Roman" w:hAnsi="Calibri" w:cs="Times New Roman"/>
          <w:vertAlign w:val="superscript"/>
          <w:lang w:val="en-GB" w:eastAsia="da-DK"/>
        </w:rPr>
        <w:footnoteReference w:id="23"/>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Moyamba magistrate court on circuit is indicatively composed of the following 7 team members: the magistrate, 1 court clerk/registrar, 3 police prosecutors, 2 prison officers, 1 driver. The court clerk also serves as interpreter. Police prosecutors ensure the prosecutorial function in all Magistrate Courts due to the shortage of State Counsels and prison officers are in charge of transferring prisoners on remand and the sentenced persons.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Magistrate Court on circuit uses the Local Courts’ courtrooms and locks-up, which in the Southern provinces have all been recently rehabilitated,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with the support of UNDP/PBF.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t>b) High Court circuit hearings</w:t>
      </w:r>
      <w:r w:rsidRPr="006E6AAA">
        <w:rPr>
          <w:rFonts w:ascii="Calibri" w:eastAsia="Times New Roman" w:hAnsi="Calibri" w:cs="Times New Roman"/>
          <w:lang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KPDDDN+TimesNew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KPDDDN+TimesNewRoman"/>
          <w:lang w:val="en-GB" w:eastAsia="da-DK"/>
        </w:rPr>
        <w:t xml:space="preserve">In the provinces there are 3 High Courts based in the each provincial headquarters (Bo, Makeni and Kenema). In accordance with the Courts Act, they must travel on circuit 4 times per year (although for a variety of reasons the courts do not seem to have achieved this target for a long time, anywhere in the country). </w:t>
      </w:r>
      <w:r w:rsidRPr="006E6AAA">
        <w:rPr>
          <w:rFonts w:ascii="Calibri" w:eastAsia="Times New Roman" w:hAnsi="Calibri" w:cs="Times New Roman"/>
          <w:lang w:eastAsia="da-DK"/>
        </w:rPr>
        <w:t>Their schedule is established every year by a Chief Justice order published on the Gazette</w:t>
      </w:r>
      <w:r w:rsidRPr="006E6AAA">
        <w:rPr>
          <w:rFonts w:ascii="Calibri" w:eastAsia="Times New Roman" w:hAnsi="Calibri" w:cs="Times New Roman"/>
          <w:vertAlign w:val="superscript"/>
          <w:lang w:eastAsia="da-DK"/>
        </w:rPr>
        <w:footnoteReference w:id="24"/>
      </w:r>
      <w:r w:rsidRPr="006E6AAA">
        <w:rPr>
          <w:rFonts w:ascii="Calibri" w:eastAsia="Times New Roman" w:hAnsi="Calibri" w:cs="Times New Roman"/>
          <w:lang w:eastAsia="da-DK"/>
        </w:rPr>
        <w:t>.</w:t>
      </w:r>
    </w:p>
    <w:p w:rsidR="006E6AAA" w:rsidRPr="006E6AAA" w:rsidRDefault="006E6AAA" w:rsidP="006E6AAA">
      <w:pPr>
        <w:autoSpaceDE w:val="0"/>
        <w:autoSpaceDN w:val="0"/>
        <w:adjustRightInd w:val="0"/>
        <w:spacing w:after="0" w:line="280" w:lineRule="exact"/>
        <w:jc w:val="both"/>
        <w:rPr>
          <w:rFonts w:ascii="Calibri" w:eastAsia="Times New Roman" w:hAnsi="Calibri" w:cs="KPDDDN+TimesNewRoman"/>
          <w:lang w:val="en-GB" w:eastAsia="da-DK"/>
        </w:rPr>
      </w:pPr>
      <w:r w:rsidRPr="006E6AAA">
        <w:rPr>
          <w:rFonts w:ascii="Calibri" w:eastAsia="Times New Roman" w:hAnsi="Calibri" w:cs="Times New Roman"/>
          <w:lang w:eastAsia="da-DK"/>
        </w:rPr>
        <w:t xml:space="preserve">In the Southern province the High Court sessions are held in Moyamba, a station that according to the Consultant Master and Registrar was chosen because of the high number of cases and the availability of facilities, such as the presence of a prison and availability of accommodation for the judge.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w:t>
      </w:r>
      <w:r w:rsidRPr="006E6AAA">
        <w:rPr>
          <w:rFonts w:ascii="Calibri" w:eastAsia="Times New Roman" w:hAnsi="Calibri" w:cs="Times New Roman"/>
          <w:lang w:eastAsia="da-DK"/>
        </w:rPr>
        <w:t xml:space="preserve">he 2012 Chief Justice order limits the jurisdiction of the High Court on circuit to criminal cases. To be noted that for most serious cases as rape and murder, the High Court intervenes only after the magistrate has conducted the preliminary investigation.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High Court on circuit is composed of a judge and the support staff and convenes a jury of 12 persons; the prosecution is always ensured by a State Counsel.</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Finally it is worth mentioning that across the 3 provinces, UNDP is supporting, since 2011, a network of CSOs that provide court monitoring services for mobile courts and local courts.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1.2. Relevance to national justice sector strategies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70" w:lineRule="atLeast"/>
        <w:jc w:val="both"/>
        <w:rPr>
          <w:rFonts w:ascii="Times New Roman" w:eastAsia="Times New Roman" w:hAnsi="Times New Roman" w:cs="Times New Roman"/>
          <w:sz w:val="20"/>
          <w:szCs w:val="20"/>
          <w:lang w:val="en-GB" w:eastAsia="da-DK"/>
        </w:rPr>
      </w:pPr>
      <w:r w:rsidRPr="006E6AAA">
        <w:rPr>
          <w:rFonts w:ascii="Calibri" w:eastAsia="Times New Roman" w:hAnsi="Calibri" w:cs="Times New Roman"/>
          <w:lang w:eastAsia="da-DK"/>
        </w:rPr>
        <w:t>Circuit courts are mentioned in the “</w:t>
      </w:r>
      <w:r w:rsidRPr="006E6AAA">
        <w:rPr>
          <w:rFonts w:ascii="Calibri" w:eastAsia="Times New Roman" w:hAnsi="Calibri" w:cs="Times New Roman"/>
          <w:i/>
          <w:lang w:eastAsia="da-DK"/>
        </w:rPr>
        <w:t>Justice Sector Reform Strategy and Investment Plan I (2008-2010)</w:t>
      </w:r>
      <w:r w:rsidRPr="006E6AAA">
        <w:rPr>
          <w:rFonts w:ascii="Calibri" w:eastAsia="Times New Roman" w:hAnsi="Calibri" w:cs="Times New Roman"/>
          <w:lang w:eastAsia="da-DK"/>
        </w:rPr>
        <w:t>” and</w:t>
      </w:r>
      <w:r w:rsidRPr="006E6AAA">
        <w:rPr>
          <w:rFonts w:ascii="Times New Roman" w:eastAsia="Times New Roman" w:hAnsi="Times New Roman" w:cs="Times New Roman"/>
          <w:sz w:val="20"/>
          <w:szCs w:val="20"/>
          <w:lang w:val="en-GB" w:eastAsia="da-DK"/>
        </w:rPr>
        <w:t xml:space="preserve"> </w:t>
      </w:r>
      <w:r w:rsidRPr="006E6AAA">
        <w:rPr>
          <w:rFonts w:ascii="Calibri" w:eastAsia="Times New Roman" w:hAnsi="Calibri" w:cs="Times New Roman"/>
          <w:lang w:eastAsia="da-DK"/>
        </w:rPr>
        <w:t xml:space="preserve">bringing justice closer to the population is recognized as a priority in subsequent national justice sector strategies.  </w:t>
      </w:r>
    </w:p>
    <w:p w:rsidR="006E6AAA" w:rsidRPr="006E6AAA" w:rsidRDefault="006E6AAA" w:rsidP="006E6AAA">
      <w:pPr>
        <w:spacing w:after="0" w:line="280" w:lineRule="exact"/>
        <w:jc w:val="both"/>
        <w:rPr>
          <w:rFonts w:ascii="Calibri" w:eastAsia="Times New Roman" w:hAnsi="Calibri" w:cs="Times New Roman"/>
          <w:bCs/>
          <w:iCs/>
          <w:lang w:val="en-GB" w:eastAsia="da-DK"/>
        </w:rPr>
      </w:pPr>
      <w:r w:rsidRPr="006E6AAA">
        <w:rPr>
          <w:rFonts w:ascii="Calibri" w:eastAsia="Times New Roman" w:hAnsi="Calibri" w:cs="Times New Roman"/>
          <w:lang w:eastAsia="da-DK"/>
        </w:rPr>
        <w:t>In particular Outcome 1 of the “</w:t>
      </w:r>
      <w:r w:rsidRPr="006E6AAA">
        <w:rPr>
          <w:rFonts w:ascii="Calibri" w:eastAsia="Times New Roman" w:hAnsi="Calibri" w:cs="Times New Roman"/>
          <w:i/>
          <w:lang w:eastAsia="da-DK"/>
        </w:rPr>
        <w:t>Justice sector reform strategy and implement plan II / 2011-2014</w:t>
      </w:r>
      <w:r w:rsidRPr="006E6AAA">
        <w:rPr>
          <w:rFonts w:ascii="Calibri" w:eastAsia="Times New Roman" w:hAnsi="Calibri" w:cs="Times New Roman"/>
          <w:lang w:eastAsia="da-DK"/>
        </w:rPr>
        <w:t>” aims at ensuring that</w:t>
      </w:r>
      <w:r w:rsidRPr="006E6AAA">
        <w:rPr>
          <w:rFonts w:ascii="Calibri" w:eastAsia="Times New Roman" w:hAnsi="Calibri" w:cs="Times New Roman"/>
          <w:b/>
          <w:bCs/>
          <w:i/>
          <w:iCs/>
          <w:lang w:val="en-GB" w:eastAsia="da-DK"/>
        </w:rPr>
        <w:t xml:space="preserve"> </w:t>
      </w:r>
      <w:r w:rsidRPr="006E6AAA">
        <w:rPr>
          <w:rFonts w:ascii="Calibri" w:eastAsia="Times New Roman" w:hAnsi="Calibri" w:cs="Times New Roman"/>
          <w:bCs/>
          <w:iCs/>
          <w:lang w:val="en-GB" w:eastAsia="da-DK"/>
        </w:rPr>
        <w:t>“</w:t>
      </w:r>
      <w:r w:rsidRPr="006E6AAA">
        <w:rPr>
          <w:rFonts w:ascii="Calibri" w:eastAsia="Times New Roman" w:hAnsi="Calibri" w:cs="Times New Roman"/>
          <w:bCs/>
          <w:i/>
          <w:iCs/>
          <w:lang w:val="en-GB" w:eastAsia="da-DK"/>
        </w:rPr>
        <w:t>Justice is easily accessible locally</w:t>
      </w:r>
      <w:r w:rsidRPr="006E6AAA">
        <w:rPr>
          <w:rFonts w:ascii="Calibri" w:eastAsia="Times New Roman" w:hAnsi="Calibri" w:cs="Times New Roman"/>
          <w:bCs/>
          <w:iCs/>
          <w:lang w:val="en-GB" w:eastAsia="da-DK"/>
        </w:rPr>
        <w:t>” by</w:t>
      </w:r>
      <w:r w:rsidRPr="006E6AAA">
        <w:rPr>
          <w:rFonts w:ascii="Calibri" w:eastAsia="Times New Roman" w:hAnsi="Calibri" w:cs="Times New Roman"/>
          <w:b/>
          <w:bCs/>
          <w:i/>
          <w:iCs/>
          <w:lang w:val="en-GB" w:eastAsia="da-DK"/>
        </w:rPr>
        <w:t xml:space="preserve"> </w:t>
      </w:r>
      <w:r w:rsidRPr="006E6AAA">
        <w:rPr>
          <w:rFonts w:ascii="Calibri" w:eastAsia="Times New Roman" w:hAnsi="Calibri" w:cs="Times New Roman"/>
          <w:bCs/>
          <w:iCs/>
          <w:lang w:val="en-GB" w:eastAsia="da-DK"/>
        </w:rPr>
        <w:t xml:space="preserve">building additional courtrooms and promoting ADR and paralegalism to unclog courts.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lastRenderedPageBreak/>
        <w:t>Similarly the “</w:t>
      </w:r>
      <w:r w:rsidRPr="006E6AAA">
        <w:rPr>
          <w:rFonts w:ascii="Calibri" w:eastAsia="Times New Roman" w:hAnsi="Calibri" w:cs="Times New Roman"/>
          <w:i/>
          <w:lang w:val="en-GB" w:eastAsia="da-DK"/>
        </w:rPr>
        <w:t>Poverty Reduction strategy 2013-2016</w:t>
      </w:r>
      <w:r w:rsidRPr="006E6AAA">
        <w:rPr>
          <w:rFonts w:ascii="Calibri" w:eastAsia="Times New Roman" w:hAnsi="Calibri" w:cs="Times New Roman"/>
          <w:lang w:val="en-GB" w:eastAsia="da-DK"/>
        </w:rPr>
        <w:t xml:space="preserve">” (Agenda for prosperity) plans to improve the conditions of service for the judges and to build additional courtrooms.  </w:t>
      </w:r>
    </w:p>
    <w:p w:rsidR="006E6AAA" w:rsidRPr="006E6AAA" w:rsidRDefault="006E6AAA" w:rsidP="006E6AAA">
      <w:pPr>
        <w:spacing w:after="0" w:line="280" w:lineRule="exact"/>
        <w:jc w:val="both"/>
        <w:rPr>
          <w:rFonts w:ascii="Calibri" w:eastAsia="Times New Roman" w:hAnsi="Calibri" w:cs="Times New Roman"/>
          <w:bCs/>
          <w:iCs/>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The Judiciary recognises that circuit courts have been a cost-efficient solution to the problem of the shortage of magistrates in Sierra Leone as the system has allowed the few resident magistrates posted in the provinces to covers additional judicial districts.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The main reason mentioned for the chronic shortage of magistrates in Sierra Leone is the fact that the salary of a Magistrate is significantly lower than the fees a lawyer can earn in Freetown, particularly in the commercial or mining sector</w:t>
      </w:r>
      <w:r w:rsidRPr="006E6AAA">
        <w:rPr>
          <w:rFonts w:ascii="Calibri" w:eastAsia="Times New Roman" w:hAnsi="Calibri" w:cs="Times New Roman"/>
          <w:vertAlign w:val="superscript"/>
          <w:lang w:val="en-GB" w:eastAsia="da-DK"/>
        </w:rPr>
        <w:footnoteReference w:id="25"/>
      </w:r>
      <w:r w:rsidRPr="006E6AAA">
        <w:rPr>
          <w:rFonts w:ascii="Calibri" w:eastAsia="Times New Roman" w:hAnsi="Calibri" w:cs="Times New Roman"/>
          <w:lang w:val="en-GB" w:eastAsia="da-DK"/>
        </w:rPr>
        <w:t>.</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bCs/>
          <w:iCs/>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Cs/>
          <w:iCs/>
          <w:lang w:eastAsia="da-DK"/>
        </w:rPr>
        <w:t xml:space="preserve">The Consultant Master and Registrar summarized the current position of the Judiciary on mobile courts by defining them as </w:t>
      </w:r>
      <w:r w:rsidRPr="006E6AAA">
        <w:rPr>
          <w:rFonts w:ascii="Calibri" w:eastAsia="Times New Roman" w:hAnsi="Calibri" w:cs="Times New Roman"/>
          <w:lang w:val="en-GB" w:eastAsia="da-DK"/>
        </w:rPr>
        <w:t>“</w:t>
      </w:r>
      <w:r w:rsidRPr="006E6AAA">
        <w:rPr>
          <w:rFonts w:ascii="Calibri" w:eastAsia="Times New Roman" w:hAnsi="Calibri" w:cs="Times New Roman"/>
          <w:i/>
          <w:lang w:val="en-GB" w:eastAsia="da-DK"/>
        </w:rPr>
        <w:t>a permanent measure, but not to the scale as it is today</w:t>
      </w:r>
      <w:r w:rsidRPr="006E6AAA">
        <w:rPr>
          <w:rFonts w:ascii="Calibri" w:eastAsia="Times New Roman" w:hAnsi="Calibri" w:cs="Times New Roman"/>
          <w:lang w:val="en-GB" w:eastAsia="da-DK"/>
        </w:rPr>
        <w:t xml:space="preserve">”. The Judiciary is aiming at reducing the number of circuit sessions per Magistrate by ensuring the presence of one Magistrate per district who will continue to travel on circuit, but only within the judicial district of his or her competence.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Numerous key informants shared this position and viewed circuit courts as “</w:t>
      </w:r>
      <w:r w:rsidRPr="006E6AAA">
        <w:rPr>
          <w:rFonts w:ascii="Calibri" w:eastAsia="Times New Roman" w:hAnsi="Calibri" w:cs="Times New Roman"/>
          <w:lang w:eastAsia="da-DK"/>
        </w:rPr>
        <w:t>temporary” or “stop-gap”</w:t>
      </w:r>
      <w:r w:rsidRPr="006E6AAA">
        <w:rPr>
          <w:rFonts w:ascii="Calibri" w:eastAsia="Times New Roman" w:hAnsi="Calibri" w:cs="Times New Roman"/>
          <w:lang w:val="en-GB" w:eastAsia="da-DK"/>
        </w:rPr>
        <w:t xml:space="preserve">  or “interim measure”; it was strongly advised to continue supporting the mobile court system but with the objective to develop them into a more permanent framework, which should be reflected in a clear engagement of the Judiciary to </w:t>
      </w:r>
      <w:r w:rsidRPr="006E6AAA">
        <w:rPr>
          <w:rFonts w:ascii="Calibri" w:eastAsia="Times New Roman" w:hAnsi="Calibri" w:cs="Times New Roman"/>
          <w:lang w:eastAsia="da-DK"/>
        </w:rPr>
        <w:t>build new courtrooms and recruit additional resident magistrates</w:t>
      </w:r>
      <w:r w:rsidRPr="006E6AAA">
        <w:rPr>
          <w:rFonts w:ascii="Calibri" w:eastAsia="Times New Roman" w:hAnsi="Calibri" w:cs="Times New Roman"/>
          <w:vertAlign w:val="superscript"/>
          <w:lang w:eastAsia="da-DK"/>
        </w:rPr>
        <w:footnoteReference w:id="26"/>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More lawyers are expected to enter the profession in the coming years, and new Magistrates are in the process of being recruited. These changes in the justice sector should be seen as an opportunity for UNDP to support the strategy of the Judiciary to transform mobile courts into a permanent institution, with more resident magistrates covering a reduced number of circuit stations. To this end UNDP should extend its support to develop the legal profession and continue to assist the Judiciary in improving the conditions of service for magistrates and recruit additional ones</w:t>
      </w:r>
      <w:r w:rsidRPr="006E6AAA">
        <w:rPr>
          <w:rFonts w:ascii="Calibri" w:eastAsia="Times New Roman" w:hAnsi="Calibri" w:cs="Times New Roman"/>
          <w:vertAlign w:val="superscript"/>
          <w:lang w:eastAsia="da-DK"/>
        </w:rPr>
        <w:footnoteReference w:id="27"/>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Some of interviewed persons expressed the opinion that in some judicial districts the caseload would not be sufficient to justify a resident magistrate (indicatively 30 cases per year), and other suggested that in some cases a district court should have 2 magistrates so than one would be able to follow the cases of the home court while the other is on circuit. In this light it might be useful to conduct an analysis aimed at mapping justice services and needs to establish where additional magistrates would be needed.</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Concerning the </w:t>
      </w:r>
      <w:r w:rsidRPr="006E6AAA">
        <w:rPr>
          <w:rFonts w:ascii="Calibri" w:eastAsia="Times New Roman" w:hAnsi="Calibri" w:cs="Times New Roman"/>
          <w:lang w:val="en-GB" w:eastAsia="da-DK"/>
        </w:rPr>
        <w:t xml:space="preserve">High Court circuit sessions, the Judiciary has a different vision for the coming years, which is mainly related to the fact the these courts are more costly in terms of allowances and salaries and their caseload is less compared to magistrate courts.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The interviewed High Court judge and the Master and Registrar believe that </w:t>
      </w:r>
      <w:r w:rsidRPr="006E6AAA">
        <w:rPr>
          <w:rFonts w:ascii="Calibri" w:eastAsia="Times New Roman" w:hAnsi="Calibri" w:cs="Times New Roman"/>
          <w:lang w:eastAsia="da-DK"/>
        </w:rPr>
        <w:t xml:space="preserve">High Court circuit sessions should be considered as a permanent institution as there are currently not enough cases to justify an additional resident judge in the province.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lastRenderedPageBreak/>
        <w:t>Most interviewed persons (e.g. prison staff, NHRC, Namati ) suggested however that the High Court circuit sessions should be more frequent and respect the schedule of 4 times per year established by law. The main reason adduced by this group of interviewees is the pretrial-detention issues that arise while waiting for the MC to arrive.</w:t>
      </w:r>
      <w:r w:rsidRPr="006E6AAA">
        <w:rPr>
          <w:rFonts w:ascii="Calibri" w:eastAsia="Times New Roman" w:hAnsi="Calibri" w:cs="Times New Roman"/>
          <w:vertAlign w:val="superscript"/>
          <w:lang w:eastAsia="da-DK"/>
        </w:rPr>
        <w:footnoteReference w:id="28"/>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1.3. Relevance to the needs of the population</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 </w:t>
      </w:r>
      <w:r w:rsidRPr="006E6AAA">
        <w:rPr>
          <w:rFonts w:ascii="Calibri" w:eastAsia="Times New Roman" w:hAnsi="Calibri" w:cs="Verdana"/>
          <w:lang w:eastAsia="it-IT"/>
        </w:rPr>
        <w:t xml:space="preserve">comprehensive and systematic assessment of the needs of the population does not seem to have been undertaken prior to signing the LoA with the Judiciary to support mobile courts. </w:t>
      </w:r>
      <w:r w:rsidRPr="006E6AAA">
        <w:rPr>
          <w:rFonts w:ascii="Calibri" w:eastAsia="Times New Roman" w:hAnsi="Calibri" w:cs="Times New Roman"/>
          <w:lang w:eastAsia="da-DK"/>
        </w:rPr>
        <w:t>Some material is available from the JSDP project, but in general the justice sector assessments conducted in the past mainly focus on the supply side of justice and contain limited information on the needs of the population.</w:t>
      </w:r>
    </w:p>
    <w:p w:rsidR="006E6AAA" w:rsidRPr="006E6AAA" w:rsidRDefault="006E6AAA" w:rsidP="006E6AAA">
      <w:pPr>
        <w:spacing w:after="0" w:line="270" w:lineRule="atLeast"/>
        <w:rPr>
          <w:rFonts w:ascii="Calibri" w:eastAsia="Times New Roman" w:hAnsi="Calibri" w:cs="Verdana"/>
          <w:lang w:eastAsia="it-IT"/>
        </w:rPr>
      </w:pPr>
    </w:p>
    <w:p w:rsidR="006E6AAA" w:rsidRPr="006E6AAA" w:rsidRDefault="006E6AAA" w:rsidP="006E6AAA">
      <w:pPr>
        <w:spacing w:after="0" w:line="270" w:lineRule="atLeast"/>
        <w:jc w:val="both"/>
        <w:rPr>
          <w:rFonts w:ascii="Calibri" w:eastAsia="Times New Roman" w:hAnsi="Calibri" w:cs="Times New Roman"/>
          <w:lang w:eastAsia="da-DK"/>
        </w:rPr>
      </w:pPr>
      <w:r w:rsidRPr="006E6AAA">
        <w:rPr>
          <w:rFonts w:ascii="Calibri" w:eastAsia="Times New Roman" w:hAnsi="Calibri" w:cs="Times New Roman"/>
          <w:lang w:eastAsia="da-DK"/>
        </w:rPr>
        <w:t>The UNDP Project Manager explained that UNDP’s approach was to first ensure that institutional support would start and then conduct in parallel assessments into the needs and perceptions of the population. UNDP piloted such assessments in 2012 and will further expand them in 2013.</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It is unanimously recognized that the presence of MC is relevant to the population in terms of offering a service that is physically more accessible and represents an alternative forum to local courts and traditional courts, as well as a strong deterrent to reduce crime rate in the communities.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observation of two circuit courts and the opinion of key informants have however suggested that mobile courts are not prioritizing a people-centered approach, despite some magistrates are making efforts in this direction. One of the interviewed CSO representatives believes that “</w:t>
      </w:r>
      <w:r w:rsidRPr="006E6AAA">
        <w:rPr>
          <w:rFonts w:ascii="Calibri" w:eastAsia="Times New Roman" w:hAnsi="Calibri" w:cs="Times New Roman"/>
          <w:i/>
          <w:lang w:eastAsia="da-DK"/>
        </w:rPr>
        <w:t>the victim is at the mercy of the court and the justice system seems to be there to support the institutions and not the people</w:t>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It was observed, as further discussed in § 2.3, that all the services that would assist court users in understanding the legal procedures and in claiming their rights (as interpretation, legal representation, paralegal assistance, court fees exemption) were not available in any of the mobile courts.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 court monitors are playing an important role in ensuring that mobile courts are more respondent to the needs of the population; being members of the communities where mobile courts travel, they are facilitated in understanding and giving voice to the needs of the justice users.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Several reports and the majority of the interviewed persons identified the most vulnerable groups in Sierra Leone as follows: rural women and children, persons living with disabilities (amputees) and persons living in detention </w:t>
      </w:r>
      <w:r w:rsidRPr="006E6AAA">
        <w:rPr>
          <w:rFonts w:ascii="Calibri" w:eastAsia="Times New Roman" w:hAnsi="Calibri" w:cs="Times New Roman"/>
          <w:vertAlign w:val="superscript"/>
          <w:lang w:eastAsia="da-DK"/>
        </w:rPr>
        <w:footnoteReference w:id="29"/>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ArialNarrow"/>
          <w:lang w:eastAsia="it-IT"/>
        </w:rPr>
      </w:pPr>
      <w:r w:rsidRPr="006E6AAA">
        <w:rPr>
          <w:rFonts w:ascii="Calibri" w:eastAsia="Times New Roman" w:hAnsi="Calibri" w:cs="Times New Roman"/>
          <w:lang w:eastAsia="da-DK"/>
        </w:rPr>
        <w:t xml:space="preserve">Among the above-mentioned vulnerable groups, circuit courts only adopt special measures to ensure the rights of juveniles during trial. As observed during a magistrate circuit session and confirmed by key informants, </w:t>
      </w:r>
      <w:r w:rsidRPr="006E6AAA">
        <w:rPr>
          <w:rFonts w:ascii="Calibri" w:eastAsia="Times New Roman" w:hAnsi="Calibri" w:cs="ArialNarrow"/>
          <w:lang w:eastAsia="it-IT"/>
        </w:rPr>
        <w:t xml:space="preserve">the anonymity and privacy of juveniles during hearings is ensured, as all proceedings are held </w:t>
      </w:r>
      <w:r w:rsidRPr="006E6AAA">
        <w:rPr>
          <w:rFonts w:ascii="Calibri" w:eastAsia="Times New Roman" w:hAnsi="Calibri" w:cs="ArialNarrow-Italic"/>
          <w:i/>
          <w:iCs/>
          <w:lang w:eastAsia="it-IT"/>
        </w:rPr>
        <w:t>in camera</w:t>
      </w:r>
      <w:r w:rsidRPr="006E6AAA">
        <w:rPr>
          <w:rFonts w:ascii="Calibri" w:eastAsia="Times New Roman" w:hAnsi="Calibri" w:cs="ArialNarrow"/>
          <w:lang w:eastAsia="it-IT"/>
        </w:rPr>
        <w:t xml:space="preserve"> as provided for by article 206 of the CPA. </w:t>
      </w:r>
    </w:p>
    <w:p w:rsidR="006E6AAA" w:rsidRPr="006E6AAA" w:rsidRDefault="006E6AAA" w:rsidP="006E6AAA">
      <w:pPr>
        <w:spacing w:after="0" w:line="280" w:lineRule="exact"/>
        <w:jc w:val="both"/>
        <w:rPr>
          <w:rFonts w:ascii="Calibri" w:eastAsia="Times New Roman" w:hAnsi="Calibri" w:cs="ArialNarrow"/>
          <w:lang w:eastAsia="it-IT"/>
        </w:rPr>
      </w:pPr>
      <w:r w:rsidRPr="006E6AAA">
        <w:rPr>
          <w:rFonts w:ascii="Calibri" w:eastAsia="Times New Roman" w:hAnsi="Calibri" w:cs="ArialNarrow"/>
          <w:lang w:eastAsia="it-IT"/>
        </w:rPr>
        <w:t>The protection of women is analyzed in the next section.</w:t>
      </w:r>
    </w:p>
    <w:p w:rsidR="006E6AAA" w:rsidRPr="006E6AAA" w:rsidRDefault="006E6AAA" w:rsidP="006E6AAA">
      <w:pPr>
        <w:spacing w:after="0" w:line="280" w:lineRule="exact"/>
        <w:jc w:val="both"/>
        <w:rPr>
          <w:rFonts w:ascii="Calibri" w:eastAsia="Times New Roman" w:hAnsi="Calibri" w:cs="ArialNarrow"/>
          <w:lang w:eastAsia="it-IT"/>
        </w:rPr>
      </w:pPr>
    </w:p>
    <w:p w:rsidR="006E6AAA" w:rsidRPr="006E6AAA" w:rsidRDefault="006E6AAA" w:rsidP="006E6AAA">
      <w:pPr>
        <w:spacing w:after="0" w:line="280" w:lineRule="exact"/>
        <w:jc w:val="both"/>
        <w:rPr>
          <w:rFonts w:ascii="Calibri" w:eastAsia="Times New Roman" w:hAnsi="Calibri" w:cs="ArialNarrow"/>
          <w:lang w:eastAsia="it-IT"/>
        </w:rPr>
      </w:pPr>
      <w:r w:rsidRPr="006E6AAA">
        <w:rPr>
          <w:rFonts w:ascii="Calibri" w:eastAsia="Times New Roman" w:hAnsi="Calibri" w:cs="ArialNarrow"/>
          <w:lang w:eastAsia="it-IT"/>
        </w:rPr>
        <w:t xml:space="preserve">Further information on the needs and expectations of the population in rural areas with regards to the formal system would represent an important baseline for eventual interventions aimed at promoting </w:t>
      </w:r>
      <w:r w:rsidRPr="006E6AAA">
        <w:rPr>
          <w:rFonts w:ascii="Calibri" w:eastAsia="Times New Roman" w:hAnsi="Calibri" w:cs="ArialNarrow"/>
          <w:lang w:eastAsia="it-IT"/>
        </w:rPr>
        <w:lastRenderedPageBreak/>
        <w:t>a more people-centered mobile court service. In 2012 UNDP and its partner-CSOs have piloted (and are currently collating the results) a court user survey, which will certainly contribute to address the above discussed issue.</w:t>
      </w:r>
    </w:p>
    <w:p w:rsidR="006E6AAA" w:rsidRPr="006E6AAA" w:rsidRDefault="006E6AAA" w:rsidP="006E6AAA">
      <w:pPr>
        <w:spacing w:after="0" w:line="280" w:lineRule="exact"/>
        <w:jc w:val="both"/>
        <w:rPr>
          <w:rFonts w:ascii="ArialNarrow" w:eastAsia="Times New Roman" w:hAnsi="ArialNarrow" w:cs="ArialNarrow"/>
          <w:sz w:val="20"/>
          <w:szCs w:val="20"/>
          <w:lang w:eastAsia="it-IT"/>
        </w:rPr>
      </w:pPr>
    </w:p>
    <w:p w:rsidR="006E6AAA" w:rsidRPr="006E6AAA" w:rsidRDefault="006E6AAA" w:rsidP="006E6AAA">
      <w:pPr>
        <w:spacing w:after="0" w:line="280" w:lineRule="exact"/>
        <w:jc w:val="both"/>
        <w:rPr>
          <w:rFonts w:ascii="ArialNarrow" w:eastAsia="Times New Roman" w:hAnsi="ArialNarrow" w:cs="ArialNarrow"/>
          <w:sz w:val="20"/>
          <w:szCs w:val="20"/>
          <w:lang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xml:space="preserve">1.4. Relevance to gender equality and national ownership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lang w:eastAsia="da-DK"/>
        </w:rPr>
        <w:t>The situation of women’s rights in Sierra Leone is strongly influenced by customary traditions as illustrated in the following abstract from a Friede report:  “</w:t>
      </w:r>
      <w:r w:rsidRPr="006E6AAA">
        <w:rPr>
          <w:rFonts w:ascii="Calibri" w:eastAsia="Times New Roman" w:hAnsi="Calibri" w:cs="Times New Roman"/>
          <w:i/>
          <w:lang w:eastAsia="da-DK"/>
        </w:rPr>
        <w:t>customary authorities have had responsibility for all decision-making over domestic and community matters and therefore over those issues most relevant to women’s lives such as marriage, inheritance, property, land and family rights.</w:t>
      </w:r>
      <w:r w:rsidRPr="006E6AAA">
        <w:rPr>
          <w:rFonts w:ascii="Calibri" w:eastAsia="Times New Roman" w:hAnsi="Calibri" w:cs="Times New Roman"/>
          <w:lang w:val="en-GB" w:eastAsia="da-DK"/>
        </w:rPr>
        <w:t xml:space="preserve"> </w:t>
      </w:r>
      <w:r w:rsidRPr="006E6AAA">
        <w:rPr>
          <w:rFonts w:ascii="Calibri" w:eastAsia="Times New Roman" w:hAnsi="Calibri" w:cs="Times New Roman"/>
          <w:i/>
          <w:lang w:eastAsia="da-DK"/>
        </w:rPr>
        <w:t>The fact that the state in Sierra Leone has traditionally relegated those issues of most importance to women to the “private” sphere and the control of customary authorities has had profound implications for women’s rights and participation in governance.”</w:t>
      </w:r>
      <w:r w:rsidRPr="006E6AAA">
        <w:rPr>
          <w:rFonts w:ascii="Calibri" w:eastAsia="Times New Roman" w:hAnsi="Calibri" w:cs="Times New Roman"/>
          <w:i/>
          <w:vertAlign w:val="superscript"/>
          <w:lang w:eastAsia="da-DK"/>
        </w:rPr>
        <w:footnoteReference w:id="30"/>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rebuchet MS"/>
          <w:lang w:eastAsia="it-IT"/>
        </w:rPr>
      </w:pPr>
      <w:r w:rsidRPr="006E6AAA">
        <w:rPr>
          <w:rFonts w:ascii="Calibri" w:eastAsia="Times New Roman" w:hAnsi="Calibri" w:cs="Times New Roman"/>
          <w:lang w:eastAsia="da-DK"/>
        </w:rPr>
        <w:t xml:space="preserve">Sierra Leone is gradually bringing </w:t>
      </w:r>
      <w:r w:rsidRPr="006E6AAA">
        <w:rPr>
          <w:rFonts w:ascii="Calibri" w:eastAsia="Times New Roman" w:hAnsi="Calibri" w:cs="Trebuchet MS"/>
          <w:lang w:eastAsia="it-IT"/>
        </w:rPr>
        <w:t>some key domestic issues under the jurisdiction of the formal judicial system.  In 2007 the “3 Gender Acts”</w:t>
      </w:r>
      <w:r w:rsidRPr="006E6AAA">
        <w:rPr>
          <w:rFonts w:ascii="Calibri" w:eastAsia="Times New Roman" w:hAnsi="Calibri" w:cs="Trebuchet MS"/>
          <w:vertAlign w:val="superscript"/>
          <w:lang w:eastAsia="it-IT"/>
        </w:rPr>
        <w:footnoteReference w:id="31"/>
      </w:r>
      <w:r w:rsidRPr="006E6AAA">
        <w:rPr>
          <w:rFonts w:ascii="Calibri" w:eastAsia="Times New Roman" w:hAnsi="Calibri" w:cs="Trebuchet MS"/>
          <w:lang w:eastAsia="it-IT"/>
        </w:rPr>
        <w:t xml:space="preserve"> have </w:t>
      </w:r>
      <w:r w:rsidRPr="006E6AAA">
        <w:rPr>
          <w:rFonts w:ascii="Calibri" w:eastAsia="Times New Roman" w:hAnsi="Calibri" w:cs="Times New Roman"/>
          <w:lang w:eastAsia="da-DK"/>
        </w:rPr>
        <w:t>increased State authority in areas of marriage, divorce, inheritance and domestic violence</w:t>
      </w:r>
      <w:r w:rsidRPr="006E6AAA">
        <w:rPr>
          <w:rFonts w:ascii="Calibri" w:eastAsia="Times New Roman" w:hAnsi="Calibri" w:cs="Trebuchet MS"/>
          <w:lang w:eastAsia="it-IT"/>
        </w:rPr>
        <w:t xml:space="preserve"> and, together with the 2012 Sexual Offenses Act,</w:t>
      </w:r>
      <w:r w:rsidRPr="006E6AAA">
        <w:rPr>
          <w:rFonts w:ascii="Calibri" w:eastAsia="Times New Roman" w:hAnsi="Calibri" w:cs="Times New Roman"/>
          <w:lang w:eastAsia="da-DK"/>
        </w:rPr>
        <w:t xml:space="preserve"> are offering a more effective legal framework for the protection of women’s rights.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In practice, changes for Sierra Leonean women are slow to become effective. In addition to the resistance from traditional chiefs, women who bring a male family member before a formal court are stigmatized by the community and can be </w:t>
      </w:r>
      <w:r w:rsidRPr="006E6AAA">
        <w:rPr>
          <w:rFonts w:ascii="Calibri" w:eastAsia="Times New Roman" w:hAnsi="Calibri" w:cs="Trebuchet MS"/>
          <w:lang w:eastAsia="it-IT"/>
        </w:rPr>
        <w:t>abandoned by their families.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Mobile courts should be encouraged to play a more active role in implementing these new laws especially because the presence of magistrate circuit hearings in remote areas is particularly relevant to rural women. </w:t>
      </w:r>
      <w:r w:rsidRPr="006E6AAA">
        <w:rPr>
          <w:rFonts w:ascii="Calibri" w:eastAsia="Times New Roman" w:hAnsi="Calibri" w:cs="Trebuchet MS"/>
          <w:lang w:eastAsia="it-IT"/>
        </w:rPr>
        <w:t>For example appeals of Local Court decisions before Magistrate Courts on circuit could represent an important tool to challenge local courts decisions that are discriminating against women.  Another recent tool available to Magistrates to protect women’s rights are</w:t>
      </w:r>
      <w:r w:rsidRPr="006E6AAA">
        <w:rPr>
          <w:rFonts w:ascii="Calibri" w:eastAsia="Times New Roman" w:hAnsi="Calibri" w:cs="Times New Roman"/>
          <w:lang w:eastAsia="da-DK"/>
        </w:rPr>
        <w:t xml:space="preserve"> protection orders for women victims of domestic violence.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70" w:lineRule="atLeast"/>
        <w:jc w:val="both"/>
        <w:rPr>
          <w:rFonts w:ascii="Calibri" w:eastAsia="Times New Roman" w:hAnsi="Calibri" w:cs="Times New Roman"/>
          <w:lang w:eastAsia="da-DK"/>
        </w:rPr>
      </w:pPr>
      <w:r w:rsidRPr="006E6AAA">
        <w:rPr>
          <w:rFonts w:ascii="Calibri" w:eastAsia="Times New Roman" w:hAnsi="Calibri" w:cs="Times New Roman"/>
          <w:lang w:eastAsia="da-DK"/>
        </w:rPr>
        <w:t>In order to claim the rights that are recognized in the gender laws before a mobile court, women must be empowered to understand the procedures and assisted in bringing their cases before a court. UNDP is doing considerable work on raising women’s awareness both on SGBV and Gender Laws and also property rights; unfortunately, due to the lack of detailed court statistics, there is no evidence showing that women are accessing justice services more regularly since awareness activities have started.</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Specific SGBV issues are addressed in § 2.3.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UNDP’s support to the mobile court system reflects the principles of national ownership.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As illustrated in § 1.2, the intervention is </w:t>
      </w:r>
      <w:r w:rsidRPr="006E6AAA">
        <w:rPr>
          <w:rFonts w:ascii="Calibri" w:eastAsia="Times New Roman" w:hAnsi="Calibri" w:cs="Frutiger-Roman"/>
          <w:lang w:eastAsia="it-IT"/>
        </w:rPr>
        <w:t xml:space="preserve">grounded in national justice sector strategies and is </w:t>
      </w:r>
      <w:r w:rsidRPr="006E6AAA">
        <w:rPr>
          <w:rFonts w:ascii="Calibri" w:eastAsia="Times New Roman" w:hAnsi="Calibri" w:cs="Frutiger-Bold"/>
          <w:bCs/>
          <w:lang w:eastAsia="it-IT"/>
        </w:rPr>
        <w:t xml:space="preserve">nationally driven and owned: for example </w:t>
      </w:r>
      <w:r w:rsidRPr="006E6AAA">
        <w:rPr>
          <w:rFonts w:ascii="Calibri" w:eastAsia="Times New Roman" w:hAnsi="Calibri" w:cs="Times New Roman"/>
          <w:lang w:eastAsia="da-DK"/>
        </w:rPr>
        <w:t>the first LoA was drafted by the Judiciary and the second was written by UNDP in consultation with the Master and Registrar. In addition, the intervention fully</w:t>
      </w:r>
      <w:r w:rsidRPr="006E6AAA">
        <w:rPr>
          <w:rFonts w:ascii="Calibri" w:eastAsia="Times New Roman" w:hAnsi="Calibri" w:cs="Frutiger-Bold"/>
          <w:bCs/>
          <w:lang w:eastAsia="it-IT"/>
        </w:rPr>
        <w:t xml:space="preserve"> relies on national expertise and capacities as </w:t>
      </w:r>
      <w:r w:rsidRPr="006E6AAA">
        <w:rPr>
          <w:rFonts w:ascii="Calibri" w:eastAsia="Times New Roman" w:hAnsi="Calibri" w:cs="Times New Roman"/>
          <w:lang w:eastAsia="da-DK"/>
        </w:rPr>
        <w:t>mobile courts</w:t>
      </w:r>
      <w:r w:rsidRPr="006E6AAA">
        <w:rPr>
          <w:rFonts w:ascii="Calibri" w:eastAsia="Times New Roman" w:hAnsi="Calibri" w:cs="Frutiger-Bold"/>
          <w:bCs/>
          <w:lang w:eastAsia="it-IT"/>
        </w:rPr>
        <w:t xml:space="preserve"> are entirely run and managed by the Judiciary</w:t>
      </w:r>
      <w:r w:rsidRPr="006E6AAA">
        <w:rPr>
          <w:rFonts w:ascii="Calibri" w:eastAsia="Times New Roman" w:hAnsi="Calibri" w:cs="Times New Roman"/>
          <w:lang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Caslon-Regular"/>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Caslon-Regular"/>
          <w:lang w:eastAsia="it-IT"/>
        </w:rPr>
      </w:pPr>
      <w:r w:rsidRPr="006E6AAA">
        <w:rPr>
          <w:rFonts w:ascii="Calibri" w:eastAsia="Times New Roman" w:hAnsi="Calibri" w:cs="ACaslon-Regular"/>
          <w:lang w:eastAsia="it-IT"/>
        </w:rPr>
        <w:lastRenderedPageBreak/>
        <w:t>The Judiciary, both in Freetown and in the districts, found UNDP’s support to be relevant. Relations between UNDP staff and the Judiciary are good and respectful of the independence of the judiciary. The Consultant Master and Registrar has engaged to</w:t>
      </w:r>
      <w:r w:rsidRPr="006E6AAA">
        <w:rPr>
          <w:rFonts w:ascii="Calibri" w:eastAsia="Times New Roman" w:hAnsi="Calibri" w:cs="Times New Roman"/>
          <w:lang w:eastAsia="da-DK"/>
        </w:rPr>
        <w:t xml:space="preserve"> make additional efforts to adopt a more rigorous monitoring framework, in compliance with UNDP rules and regulations. </w:t>
      </w:r>
      <w:r w:rsidRPr="006E6AAA">
        <w:rPr>
          <w:rFonts w:ascii="Calibri" w:eastAsia="Times New Roman" w:hAnsi="Calibri" w:cs="Times New Roman"/>
          <w:lang w:eastAsia="it-IT"/>
        </w:rPr>
        <w:t>UNDP will support a monitoring and reporting officer who will be seconded to the Judiciary for a period of 6 months in order to improve the monitoring system and eventually develop a case management system.</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it-IT"/>
        </w:rPr>
      </w:pPr>
      <w:r w:rsidRPr="006E6AAA">
        <w:rPr>
          <w:rFonts w:ascii="Calibri" w:eastAsia="Times New Roman" w:hAnsi="Calibri" w:cs="Times New Roman"/>
          <w:lang w:eastAsia="it-IT"/>
        </w:rPr>
        <w:t xml:space="preserve">UNDP is committed to develop national capacities within the Judiciary and has organized in the past, within the framework of other UNDP initiatives, trainings for judges and magistrates. In addition UNDP is planning to further strengthen the capacities of court monitors by supporting them to become fully accredited paralegals. </w:t>
      </w:r>
    </w:p>
    <w:p w:rsidR="006E6AAA" w:rsidRPr="006E6AAA" w:rsidRDefault="006E6AAA" w:rsidP="006E6AAA">
      <w:pPr>
        <w:spacing w:after="0" w:line="280" w:lineRule="exact"/>
        <w:jc w:val="both"/>
        <w:rPr>
          <w:rFonts w:ascii="Calibri" w:eastAsia="Times New Roman" w:hAnsi="Calibri" w:cs="Times New Roman"/>
          <w:i/>
          <w:u w:val="single"/>
          <w:lang w:eastAsia="da-DK"/>
        </w:rPr>
      </w:pPr>
    </w:p>
    <w:p w:rsidR="006E6AAA" w:rsidRPr="006E6AAA" w:rsidRDefault="006E6AAA" w:rsidP="006E6AAA">
      <w:pPr>
        <w:spacing w:after="0" w:line="280" w:lineRule="exact"/>
        <w:jc w:val="both"/>
        <w:rPr>
          <w:rFonts w:ascii="Calibri" w:eastAsia="Times New Roman" w:hAnsi="Calibri" w:cs="Times New Roman"/>
          <w:i/>
          <w:u w:val="single"/>
          <w:lang w:eastAsia="da-DK"/>
        </w:rPr>
      </w:pPr>
    </w:p>
    <w:p w:rsidR="006E6AAA" w:rsidRPr="006E6AAA" w:rsidRDefault="006E6AAA" w:rsidP="006E6AAA">
      <w:pPr>
        <w:spacing w:after="0" w:line="280" w:lineRule="exact"/>
        <w:jc w:val="both"/>
        <w:rPr>
          <w:rFonts w:ascii="Calibri" w:eastAsia="Times New Roman" w:hAnsi="Calibri" w:cs="Times New Roman"/>
          <w:i/>
          <w:u w:val="single"/>
          <w:lang w:eastAsia="da-DK"/>
        </w:rPr>
      </w:pPr>
    </w:p>
    <w:p w:rsidR="006E6AAA" w:rsidRPr="006E6AAA" w:rsidRDefault="006E6AAA" w:rsidP="006E6AAA">
      <w:pPr>
        <w:spacing w:after="0" w:line="280" w:lineRule="exact"/>
        <w:jc w:val="both"/>
        <w:rPr>
          <w:rFonts w:ascii="Calibri" w:eastAsia="Times New Roman" w:hAnsi="Calibri" w:cs="Times New Roman"/>
          <w:b/>
          <w:color w:val="000080"/>
          <w:sz w:val="28"/>
          <w:szCs w:val="28"/>
          <w:lang w:eastAsia="da-DK"/>
        </w:rPr>
      </w:pPr>
      <w:r w:rsidRPr="006E6AAA">
        <w:rPr>
          <w:rFonts w:ascii="Calibri" w:eastAsia="Times New Roman" w:hAnsi="Calibri" w:cs="Times New Roman"/>
          <w:b/>
          <w:color w:val="000080"/>
          <w:sz w:val="28"/>
          <w:szCs w:val="28"/>
          <w:lang w:eastAsia="da-DK"/>
        </w:rPr>
        <w:t>EFFECTIVENESS</w:t>
      </w: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i/>
          <w:color w:val="333333"/>
          <w:sz w:val="20"/>
          <w:szCs w:val="20"/>
          <w:lang w:eastAsia="da-DK"/>
        </w:rPr>
      </w:pPr>
      <w:r w:rsidRPr="006E6AAA">
        <w:rPr>
          <w:rFonts w:ascii="Calibri" w:eastAsia="Times New Roman" w:hAnsi="Calibri" w:cs="Times New Roman"/>
          <w:i/>
          <w:color w:val="333333"/>
          <w:sz w:val="20"/>
          <w:szCs w:val="20"/>
          <w:lang w:eastAsia="da-DK"/>
        </w:rPr>
        <w:t>Effectiveness is a measure of the extent to which the initiative’s intended results (outputs or outcomes) have been achieved or the extent to which progress toward outputs or outcomes has been achieved.</w:t>
      </w: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2.1 Planning and monitoring</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b/>
          <w:i/>
          <w:color w:val="000080"/>
          <w:u w:val="single"/>
          <w:lang w:eastAsia="da-DK"/>
        </w:rPr>
      </w:pPr>
      <w:r w:rsidRPr="006E6AAA">
        <w:rPr>
          <w:rFonts w:ascii="Calibri" w:eastAsia="Times New Roman" w:hAnsi="Calibri" w:cs="Times New Roman"/>
          <w:b/>
          <w:i/>
          <w:color w:val="000080"/>
          <w:u w:val="single"/>
          <w:lang w:eastAsia="da-DK"/>
        </w:rPr>
        <w:t>Planning</w:t>
      </w:r>
    </w:p>
    <w:p w:rsidR="006E6AAA" w:rsidRPr="006E6AAA" w:rsidRDefault="006E6AAA" w:rsidP="006E6AAA">
      <w:pPr>
        <w:spacing w:after="0" w:line="280" w:lineRule="exact"/>
        <w:jc w:val="both"/>
        <w:rPr>
          <w:rFonts w:ascii="Calibri" w:eastAsia="Times New Roman" w:hAnsi="Calibri" w:cs="Times New Roman"/>
          <w:i/>
          <w:u w:val="single"/>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main planning tools to guide UNDP and the Judiciary in the implementation of mobile courts are the 2 Letters of Agreement (LoA) signed between UNDP and the Judiciary in 2010 and 2012 and the UNDP Annual Work Plans (AWP) from 2010 to 2012, with reference to Activity result 5.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LoA is described in § 4 and an abstract of the UNDP AWP is presented below.</w:t>
      </w:r>
    </w:p>
    <w:p w:rsidR="006E6AAA" w:rsidRPr="006E6AAA" w:rsidRDefault="006E6AAA" w:rsidP="006E6AAA">
      <w:pPr>
        <w:spacing w:after="0" w:line="280" w:lineRule="exact"/>
        <w:jc w:val="both"/>
        <w:rPr>
          <w:rFonts w:ascii="Calibri" w:eastAsia="Times New Roman" w:hAnsi="Calibri" w:cs="Times New Roman"/>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450"/>
        <w:gridCol w:w="909"/>
        <w:gridCol w:w="960"/>
        <w:gridCol w:w="3189"/>
      </w:tblGrid>
      <w:tr w:rsidR="006E6AAA" w:rsidRPr="006E6AAA" w:rsidTr="00C8613A">
        <w:tc>
          <w:tcPr>
            <w:tcW w:w="9778" w:type="dxa"/>
            <w:gridSpan w:val="5"/>
            <w:shd w:val="clear" w:color="auto" w:fill="E6E6E6"/>
          </w:tcPr>
          <w:p w:rsidR="006E6AAA" w:rsidRPr="006E6AAA" w:rsidRDefault="006E6AAA" w:rsidP="006E6AAA">
            <w:pPr>
              <w:spacing w:after="0" w:line="270" w:lineRule="atLeast"/>
              <w:jc w:val="center"/>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Abstract of UNDP AWP (2010 to 2012): activity result 5 (support to mobile courts)</w:t>
            </w:r>
          </w:p>
        </w:tc>
      </w:tr>
      <w:tr w:rsidR="006E6AAA" w:rsidRPr="006E6AAA" w:rsidTr="00C8613A">
        <w:tc>
          <w:tcPr>
            <w:tcW w:w="195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Activity result 5</w:t>
            </w:r>
          </w:p>
        </w:tc>
        <w:tc>
          <w:tcPr>
            <w:tcW w:w="2584"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Activity 1</w:t>
            </w:r>
          </w:p>
        </w:tc>
        <w:tc>
          <w:tcPr>
            <w:tcW w:w="909"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baseline</w:t>
            </w:r>
          </w:p>
        </w:tc>
        <w:tc>
          <w:tcPr>
            <w:tcW w:w="96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indicator</w:t>
            </w:r>
          </w:p>
        </w:tc>
        <w:tc>
          <w:tcPr>
            <w:tcW w:w="337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Target</w:t>
            </w:r>
          </w:p>
        </w:tc>
      </w:tr>
      <w:tr w:rsidR="006E6AAA" w:rsidRPr="006E6AAA" w:rsidTr="00C8613A">
        <w:tc>
          <w:tcPr>
            <w:tcW w:w="195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Formal justice services extended to deprived rural areas</w:t>
            </w:r>
          </w:p>
        </w:tc>
        <w:tc>
          <w:tcPr>
            <w:tcW w:w="2584"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Funding for mobile courts for under or sub services areas</w:t>
            </w:r>
          </w:p>
        </w:tc>
        <w:tc>
          <w:tcPr>
            <w:tcW w:w="909"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9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337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Four additional mobile courts supported in the Eastern province</w:t>
            </w:r>
            <w:r w:rsidRPr="006E6AAA">
              <w:rPr>
                <w:rFonts w:ascii="Calibri" w:eastAsia="Times New Roman" w:hAnsi="Calibri" w:cs="Times New Roman"/>
                <w:sz w:val="20"/>
                <w:szCs w:val="20"/>
                <w:vertAlign w:val="superscript"/>
                <w:lang w:eastAsia="da-DK"/>
              </w:rPr>
              <w:footnoteReference w:id="32"/>
            </w:r>
          </w:p>
        </w:tc>
      </w:tr>
    </w:tbl>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planning of mobile courts activities under the 2012 LoA is more rigorous compared to the previous years and reflects UNDP’s results based management principles; a results framework is available as well as a clear budget and activities are detailed.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following aspects of the LoA could be further improved:</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t xml:space="preserve">Baseline: </w:t>
      </w:r>
      <w:r w:rsidRPr="006E6AAA">
        <w:rPr>
          <w:rFonts w:ascii="Calibri" w:eastAsia="Times New Roman" w:hAnsi="Calibri" w:cs="Times New Roman"/>
          <w:lang w:eastAsia="da-DK"/>
        </w:rPr>
        <w:t xml:space="preserve"> a summary of the results achieved under the previous LoA (number of cases referred and disposed, number of circuit courts sessions, typology of mobile court users… ) as well as a brief analysis of the needs of the population with a special focus on the vulnerable groups should be included in the LoA (the results of the ongoing court user perception survey will provide this kind of information, which will be reflected in the 3rd LoA/2013).</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lastRenderedPageBreak/>
        <w:t xml:space="preserve">Indicators: </w:t>
      </w:r>
      <w:r w:rsidRPr="006E6AAA">
        <w:rPr>
          <w:rFonts w:ascii="Calibri" w:eastAsia="Times New Roman" w:hAnsi="Calibri" w:cs="Times New Roman"/>
          <w:lang w:eastAsia="da-DK"/>
        </w:rPr>
        <w:t>It is suggested to add quality indicators (e.g. adjournment rate), eventually impact indicators and to ensure that indicators are SMART and disaggregated by gender. In addition indicators should be harmonized with the court statistics provided by the judiciary on quarterly basis.</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t>Targets:</w:t>
      </w:r>
      <w:r w:rsidRPr="006E6AAA">
        <w:rPr>
          <w:rFonts w:ascii="Calibri" w:eastAsia="Times New Roman" w:hAnsi="Calibri" w:cs="Times New Roman"/>
          <w:lang w:eastAsia="da-DK"/>
        </w:rPr>
        <w:t xml:space="preserve"> In line with the Judiciary’ strategy to institutionalize circuit courts and in view of a UNDP exit strategy, the targets for new LoA should have a stronger focus on the quality of the implemented activities (e.g. reduction of adjournments and pretrial detention…). UNDP is already working on these improvements in view of drafting the 3</w:t>
      </w:r>
      <w:r w:rsidRPr="006E6AAA">
        <w:rPr>
          <w:rFonts w:ascii="Calibri" w:eastAsia="Times New Roman" w:hAnsi="Calibri" w:cs="Times New Roman"/>
          <w:vertAlign w:val="superscript"/>
          <w:lang w:eastAsia="da-DK"/>
        </w:rPr>
        <w:t>rd</w:t>
      </w:r>
      <w:r w:rsidRPr="006E6AAA">
        <w:rPr>
          <w:rFonts w:ascii="Calibri" w:eastAsia="Times New Roman" w:hAnsi="Calibri" w:cs="Times New Roman"/>
          <w:lang w:eastAsia="da-DK"/>
        </w:rPr>
        <w:t xml:space="preserve"> LoA.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 good practice to improve the quality of court decisions is to carry out regular cases-audits. Such practices are for example well established in DRC where UNDP publishes a yearly report in the framework of its “court monitoring project”, which includes an analysis of selected GBV cases</w:t>
      </w:r>
      <w:r w:rsidRPr="006E6AAA">
        <w:rPr>
          <w:rFonts w:ascii="Calibri" w:eastAsia="Times New Roman" w:hAnsi="Calibri" w:cs="Times New Roman"/>
          <w:vertAlign w:val="superscript"/>
          <w:lang w:eastAsia="da-DK"/>
        </w:rPr>
        <w:footnoteReference w:id="33"/>
      </w:r>
      <w:r w:rsidRPr="006E6AAA">
        <w:rPr>
          <w:rFonts w:ascii="Calibri" w:eastAsia="Times New Roman" w:hAnsi="Calibri" w:cs="Times New Roman"/>
          <w:lang w:eastAsia="da-DK"/>
        </w:rPr>
        <w:t xml:space="preserve">; </w:t>
      </w:r>
      <w:r w:rsidRPr="006E6AAA">
        <w:rPr>
          <w:rFonts w:ascii="Calibri" w:eastAsia="Times New Roman" w:hAnsi="Calibri" w:cs="Times New Roman"/>
          <w:i/>
          <w:lang w:val="fr-FR" w:eastAsia="da-DK"/>
        </w:rPr>
        <w:t>Avocats sans Frontières</w:t>
      </w:r>
      <w:r w:rsidRPr="006E6AAA">
        <w:rPr>
          <w:rFonts w:ascii="Calibri" w:eastAsia="Times New Roman" w:hAnsi="Calibri" w:cs="Times New Roman"/>
          <w:lang w:eastAsia="da-DK"/>
        </w:rPr>
        <w:t xml:space="preserve"> has a similar initiative focused on international crimes cases handled by MC</w:t>
      </w:r>
      <w:r w:rsidRPr="006E6AAA">
        <w:rPr>
          <w:rFonts w:ascii="Calibri" w:eastAsia="Times New Roman" w:hAnsi="Calibri" w:cs="Times New Roman"/>
          <w:vertAlign w:val="superscript"/>
          <w:lang w:eastAsia="da-DK"/>
        </w:rPr>
        <w:footnoteReference w:id="34"/>
      </w:r>
      <w:r w:rsidRPr="006E6AAA">
        <w:rPr>
          <w:rFonts w:ascii="Calibri" w:eastAsia="Times New Roman" w:hAnsi="Calibri" w:cs="Times New Roman"/>
          <w:lang w:eastAsia="da-DK"/>
        </w:rPr>
        <w:t>. Such reports have proved to offer the judges useful tools to improve their practice without interfering with their independence.</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Additional recommendations would include a brief reference to the criteria for identifying the geographical areas of intervention to allow a better understanding of the initiative.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Finally the format of the quarterly and annual narrative report complied by the Judiciary should be tailored to the mobile court intervention and reflect data collected on the basis of the identified indicators and targets.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color w:val="000080"/>
          <w:u w:val="single"/>
          <w:lang w:eastAsia="da-DK"/>
        </w:rPr>
      </w:pPr>
      <w:r w:rsidRPr="006E6AAA">
        <w:rPr>
          <w:rFonts w:ascii="Calibri" w:eastAsia="Times New Roman" w:hAnsi="Calibri" w:cs="Times New Roman"/>
          <w:b/>
          <w:i/>
          <w:color w:val="000080"/>
          <w:u w:val="single"/>
          <w:lang w:eastAsia="da-DK"/>
        </w:rPr>
        <w:t>Monitoring</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main monitoring tools identified in the LoA are the annual and quarterly narrative reports indicating: 1) dates and location of circuits, 2) case statistics: number of cases reported and disposed of for each location.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Monitoring has been weak throughout the intervention and is major concern for all three international partners supporting circuit courts (UNDP/GIZ/DFID).  The limited availability of court statistics has not allowed to consistently measure progress towards set targets and is raising serious doubts among donors about the opportunity to continue supporting circuit courts.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Annual reports are structured with reference to different reporting periods so it is not possible to analyze the results in a comparative approach; the quantitative data is occasionally missing and is too limited (only number of referred and disposed cases); finally the number of circuits courts and their dates are not detailed, as requested in the LoA.</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consultant experienced serious difficulties in collecting the basic data to assess the initiative.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Several reasons can be mentioned to explain these shortcomings.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 and other international partners bear the responsibility for not having elaborated a detailed monitoring framework which would have guided the Judiciary in selecting the courts statistics and other data required to deliver a reporting compliant to UNDP standards.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main weakness at the Judiciary level is the lack of an efficient case management system and a computerized database to follow up on court outcomes. This was confirmed in a recent report by the </w:t>
      </w:r>
      <w:r w:rsidRPr="006E6AAA">
        <w:rPr>
          <w:rFonts w:ascii="Calibri" w:eastAsia="Times New Roman" w:hAnsi="Calibri" w:cs="Times New Roman"/>
          <w:lang w:eastAsia="da-DK"/>
        </w:rPr>
        <w:lastRenderedPageBreak/>
        <w:t>Auditor General which documented “</w:t>
      </w:r>
      <w:r w:rsidRPr="006E6AAA">
        <w:rPr>
          <w:rFonts w:ascii="Calibri" w:eastAsia="Times New Roman" w:hAnsi="Calibri" w:cs="Times New Roman"/>
          <w:i/>
          <w:lang w:eastAsia="da-DK"/>
        </w:rPr>
        <w:t>poor management and maintenance of magisterial returns</w:t>
      </w:r>
      <w:r w:rsidRPr="006E6AAA">
        <w:rPr>
          <w:rFonts w:ascii="Calibri" w:eastAsia="Times New Roman" w:hAnsi="Calibri" w:cs="Times New Roman"/>
          <w:lang w:eastAsia="da-DK"/>
        </w:rPr>
        <w:t>” in several judicial districts included at Bo magistrate court</w:t>
      </w:r>
      <w:r w:rsidRPr="006E6AAA">
        <w:rPr>
          <w:rFonts w:ascii="Calibri" w:eastAsia="Times New Roman" w:hAnsi="Calibri" w:cs="Times New Roman"/>
          <w:vertAlign w:val="superscript"/>
          <w:lang w:eastAsia="da-DK"/>
        </w:rPr>
        <w:footnoteReference w:id="35"/>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Master and Registrar confirmed that all courts send their returns to Freetown every month and insisted that statistics are disaggregated by nature and typology of cases.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It seems therefore that a solution to the monitoring issues should focus on 1) establishing a common understanding of the monitoring framework; and 2) promote activities directed at improving the court management system</w:t>
      </w:r>
      <w:r w:rsidRPr="006E6AAA">
        <w:rPr>
          <w:rFonts w:ascii="Calibri" w:eastAsia="Times New Roman" w:hAnsi="Calibri" w:cs="Times New Roman"/>
          <w:vertAlign w:val="superscript"/>
          <w:lang w:eastAsia="da-DK"/>
        </w:rPr>
        <w:footnoteReference w:id="36"/>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Fruitful </w:t>
      </w:r>
      <w:r w:rsidRPr="006E6AAA">
        <w:rPr>
          <w:rFonts w:ascii="Calibri" w:eastAsia="Times New Roman" w:hAnsi="Calibri" w:cs="Times New Roman"/>
          <w:lang w:val="en-GB" w:eastAsia="da-DK"/>
        </w:rPr>
        <w:t>discussions with the Judiciary led to an agreement on the points listed below. (which are recommended to be regarded as essential preconditions to the signature of the new  LoA):</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2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 standard template to collect basic court statistics and eventually a database will be developed;</w:t>
      </w:r>
    </w:p>
    <w:p w:rsidR="006E6AAA" w:rsidRPr="006E6AAA" w:rsidRDefault="006E6AAA" w:rsidP="006E6AAA">
      <w:pPr>
        <w:numPr>
          <w:ilvl w:val="0"/>
          <w:numId w:val="2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standard template will be discussed and adopted by all three international partners (GIZ/UNDP/ASJP); </w:t>
      </w:r>
    </w:p>
    <w:p w:rsidR="006E6AAA" w:rsidRPr="006E6AAA" w:rsidRDefault="006E6AAA" w:rsidP="006E6AAA">
      <w:pPr>
        <w:numPr>
          <w:ilvl w:val="0"/>
          <w:numId w:val="2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UNDP will ensure that personal data of court users will not be collected (specifically the name of the client);</w:t>
      </w:r>
    </w:p>
    <w:p w:rsidR="006E6AAA" w:rsidRPr="006E6AAA" w:rsidRDefault="006E6AAA" w:rsidP="006E6AAA">
      <w:pPr>
        <w:numPr>
          <w:ilvl w:val="0"/>
          <w:numId w:val="2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Judiciary will provide the missing court statistics (e.g the 6 last months of 2012) </w:t>
      </w:r>
    </w:p>
    <w:p w:rsidR="006E6AAA" w:rsidRPr="006E6AAA" w:rsidRDefault="006E6AAA" w:rsidP="006E6AAA">
      <w:pPr>
        <w:numPr>
          <w:ilvl w:val="0"/>
          <w:numId w:val="2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Judiciary confirmed availably to host a UNDP supported Monitoring and Reporting officer for a period of 6 months.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i/>
          <w:lang w:eastAsia="da-DK"/>
        </w:rPr>
        <w:t xml:space="preserve">2.2. The achieved results </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For the reasons illustrated in the previous paragraph, it is difficult to assess the mobile court intervention from a quantitative perspective.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tables below represent however a tentative effort to produce some quantitative information about the results achieved by the mobile court system in the Southern province. Bearing in mind that some statistics were missing and other data was deduced from financial reports, the figures can be considered indicative. </w:t>
      </w: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2345"/>
        <w:gridCol w:w="2353"/>
        <w:gridCol w:w="2346"/>
      </w:tblGrid>
      <w:tr w:rsidR="006E6AAA" w:rsidRPr="006E6AAA" w:rsidTr="00C8613A">
        <w:tc>
          <w:tcPr>
            <w:tcW w:w="9778" w:type="dxa"/>
            <w:gridSpan w:val="4"/>
            <w:shd w:val="clear" w:color="auto" w:fill="E6E6E6"/>
          </w:tcPr>
          <w:p w:rsidR="006E6AAA" w:rsidRPr="006E6AAA" w:rsidRDefault="006E6AAA" w:rsidP="006E6AAA">
            <w:pPr>
              <w:spacing w:after="0" w:line="270" w:lineRule="atLeast"/>
              <w:jc w:val="center"/>
              <w:rPr>
                <w:rFonts w:ascii="Times New Roman" w:eastAsia="Times New Roman" w:hAnsi="Times New Roman" w:cs="Times New Roman"/>
                <w:sz w:val="23"/>
                <w:szCs w:val="20"/>
                <w:lang w:eastAsia="da-DK"/>
              </w:rPr>
            </w:pPr>
            <w:r w:rsidRPr="006E6AAA">
              <w:rPr>
                <w:rFonts w:ascii="Calibri" w:eastAsia="Times New Roman" w:hAnsi="Calibri" w:cs="Times New Roman"/>
                <w:b/>
                <w:sz w:val="20"/>
                <w:szCs w:val="20"/>
                <w:lang w:val="en-GB" w:eastAsia="da-DK"/>
              </w:rPr>
              <w:t>High Court of  BO (circuits in the Southern Province from 2010 to 2012)</w:t>
            </w:r>
          </w:p>
        </w:tc>
      </w:tr>
      <w:tr w:rsidR="006E6AAA" w:rsidRPr="006E6AAA" w:rsidTr="00C8613A">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444" w:type="dxa"/>
          </w:tcPr>
          <w:p w:rsidR="006E6AAA" w:rsidRPr="006E6AAA" w:rsidRDefault="006E6AAA" w:rsidP="006E6AAA">
            <w:pPr>
              <w:spacing w:after="0" w:line="270" w:lineRule="atLeast"/>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2010</w:t>
            </w:r>
          </w:p>
        </w:tc>
        <w:tc>
          <w:tcPr>
            <w:tcW w:w="2445" w:type="dxa"/>
          </w:tcPr>
          <w:p w:rsidR="006E6AAA" w:rsidRPr="006E6AAA" w:rsidRDefault="006E6AAA" w:rsidP="006E6AAA">
            <w:pPr>
              <w:spacing w:after="0" w:line="270" w:lineRule="atLeast"/>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2011</w:t>
            </w:r>
          </w:p>
        </w:tc>
        <w:tc>
          <w:tcPr>
            <w:tcW w:w="2445" w:type="dxa"/>
          </w:tcPr>
          <w:p w:rsidR="006E6AAA" w:rsidRPr="006E6AAA" w:rsidRDefault="006E6AAA" w:rsidP="006E6AAA">
            <w:pPr>
              <w:spacing w:after="0" w:line="270" w:lineRule="atLeast"/>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2012</w:t>
            </w:r>
          </w:p>
        </w:tc>
      </w:tr>
      <w:tr w:rsidR="006E6AAA" w:rsidRPr="006E6AAA" w:rsidTr="00C8613A">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Locations visited by MC</w:t>
            </w:r>
          </w:p>
        </w:tc>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Moyamba</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Moyamba</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Moyamba</w:t>
            </w:r>
          </w:p>
        </w:tc>
      </w:tr>
      <w:tr w:rsidR="006E6AAA" w:rsidRPr="006E6AAA" w:rsidTr="00C8613A">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of MC sessions</w:t>
            </w:r>
          </w:p>
        </w:tc>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2 (august and October)  </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2 ( June and November)</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1 (June)</w:t>
            </w:r>
          </w:p>
        </w:tc>
      </w:tr>
      <w:tr w:rsidR="006E6AAA" w:rsidRPr="006E6AAA" w:rsidTr="00C8613A">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of days on circuit</w:t>
            </w:r>
          </w:p>
        </w:tc>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20</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20</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10 </w:t>
            </w:r>
          </w:p>
        </w:tc>
      </w:tr>
      <w:tr w:rsidR="006E6AAA" w:rsidRPr="006E6AAA" w:rsidTr="00C8613A">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of cases received</w:t>
            </w:r>
          </w:p>
        </w:tc>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n/a</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182</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193</w:t>
            </w:r>
          </w:p>
        </w:tc>
      </w:tr>
      <w:tr w:rsidR="006E6AAA" w:rsidRPr="006E6AAA" w:rsidTr="00C8613A">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of cases disposed</w:t>
            </w:r>
          </w:p>
        </w:tc>
        <w:tc>
          <w:tcPr>
            <w:tcW w:w="2444"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n/a</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112</w:t>
            </w:r>
          </w:p>
        </w:tc>
        <w:tc>
          <w:tcPr>
            <w:tcW w:w="2445" w:type="dxa"/>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86</w:t>
            </w:r>
          </w:p>
        </w:tc>
      </w:tr>
    </w:tbl>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tbl>
      <w:tblPr>
        <w:tblW w:w="0" w:type="auto"/>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1170"/>
        <w:gridCol w:w="1027"/>
        <w:gridCol w:w="1027"/>
        <w:gridCol w:w="1027"/>
        <w:gridCol w:w="1027"/>
        <w:gridCol w:w="1027"/>
        <w:gridCol w:w="1027"/>
        <w:gridCol w:w="1027"/>
        <w:gridCol w:w="1027"/>
      </w:tblGrid>
      <w:tr w:rsidR="006E6AAA" w:rsidRPr="006E6AAA" w:rsidTr="00C8613A">
        <w:tc>
          <w:tcPr>
            <w:tcW w:w="9854" w:type="dxa"/>
            <w:gridSpan w:val="9"/>
            <w:shd w:val="clear" w:color="auto" w:fill="E6E6E6"/>
          </w:tcPr>
          <w:p w:rsidR="006E6AAA" w:rsidRPr="006E6AAA" w:rsidRDefault="006E6AAA" w:rsidP="006E6AAA">
            <w:pPr>
              <w:spacing w:after="0" w:line="270" w:lineRule="atLeast"/>
              <w:jc w:val="center"/>
              <w:rPr>
                <w:rFonts w:ascii="Calibri" w:eastAsia="Times New Roman" w:hAnsi="Calibri" w:cs="Times New Roman"/>
                <w:b/>
                <w:lang w:eastAsia="da-DK"/>
              </w:rPr>
            </w:pPr>
            <w:r w:rsidRPr="006E6AAA">
              <w:rPr>
                <w:rFonts w:ascii="Calibri" w:eastAsia="Times New Roman" w:hAnsi="Calibri" w:cs="Times New Roman"/>
                <w:b/>
                <w:lang w:eastAsia="da-DK"/>
              </w:rPr>
              <w:t>Circuit sessions for the Magistrate Court based in Moyamba *</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171"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MC sessions</w:t>
            </w:r>
          </w:p>
        </w:tc>
        <w:tc>
          <w:tcPr>
            <w:tcW w:w="2170"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days on circuit</w:t>
            </w:r>
          </w:p>
        </w:tc>
        <w:tc>
          <w:tcPr>
            <w:tcW w:w="2172"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cases received</w:t>
            </w:r>
          </w:p>
        </w:tc>
        <w:tc>
          <w:tcPr>
            <w:tcW w:w="2172"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cases disposed</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lastRenderedPageBreak/>
              <w:t xml:space="preserve">(09.2010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5"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lastRenderedPageBreak/>
              <w:t>(10.2011 to 07.2012)</w:t>
            </w:r>
          </w:p>
        </w:tc>
        <w:tc>
          <w:tcPr>
            <w:tcW w:w="1085"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lastRenderedPageBreak/>
              <w:t xml:space="preserve">(09.2010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5"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lastRenderedPageBreak/>
              <w:t>(10.2011 to 07.2012)</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lastRenderedPageBreak/>
              <w:t xml:space="preserve">(09.2010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lastRenderedPageBreak/>
              <w:t>(10.2011 to 07.2012)</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lastRenderedPageBreak/>
              <w:t xml:space="preserve">(09.2010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lastRenderedPageBreak/>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lastRenderedPageBreak/>
              <w:t>(10.2011 to 07.2012)</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lastRenderedPageBreak/>
              <w:t>Rotifunk</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0</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0</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76</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74</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38</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43</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Taiama</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72</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88</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41</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59</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MattruJong</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6</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6</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18</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14</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44</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59</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23</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33</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Bonthe </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6</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8</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51</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47</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21</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28</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Gbangatok</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88</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102</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43</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76</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TOTAL</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7</w:t>
            </w:r>
          </w:p>
        </w:tc>
        <w:tc>
          <w:tcPr>
            <w:tcW w:w="108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16</w:t>
            </w:r>
          </w:p>
        </w:tc>
        <w:tc>
          <w:tcPr>
            <w:tcW w:w="108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24</w:t>
            </w:r>
          </w:p>
        </w:tc>
        <w:tc>
          <w:tcPr>
            <w:tcW w:w="108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38</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331</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370</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166</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239</w:t>
            </w:r>
          </w:p>
        </w:tc>
      </w:tr>
      <w:tr w:rsidR="006E6AAA" w:rsidRPr="006E6AAA" w:rsidTr="00C8613A">
        <w:tc>
          <w:tcPr>
            <w:tcW w:w="5510" w:type="dxa"/>
            <w:gridSpan w:val="5"/>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Moyamba permanent Magistrate Court</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121</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112</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66</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75</w:t>
            </w:r>
          </w:p>
        </w:tc>
      </w:tr>
    </w:tbl>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tbl>
      <w:tblPr>
        <w:tblW w:w="0" w:type="auto"/>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1118"/>
        <w:gridCol w:w="1033"/>
        <w:gridCol w:w="1033"/>
        <w:gridCol w:w="1033"/>
        <w:gridCol w:w="1033"/>
        <w:gridCol w:w="1034"/>
        <w:gridCol w:w="1034"/>
        <w:gridCol w:w="1034"/>
        <w:gridCol w:w="1034"/>
      </w:tblGrid>
      <w:tr w:rsidR="006E6AAA" w:rsidRPr="006E6AAA" w:rsidTr="00C8613A">
        <w:tc>
          <w:tcPr>
            <w:tcW w:w="9854" w:type="dxa"/>
            <w:gridSpan w:val="9"/>
            <w:shd w:val="clear" w:color="auto" w:fill="E6E6E6"/>
          </w:tcPr>
          <w:p w:rsidR="006E6AAA" w:rsidRPr="006E6AAA" w:rsidRDefault="006E6AAA" w:rsidP="006E6AAA">
            <w:pPr>
              <w:spacing w:after="0" w:line="270" w:lineRule="atLeast"/>
              <w:jc w:val="center"/>
              <w:rPr>
                <w:rFonts w:ascii="Calibri" w:eastAsia="Times New Roman" w:hAnsi="Calibri" w:cs="Times New Roman"/>
                <w:b/>
                <w:lang w:eastAsia="da-DK"/>
              </w:rPr>
            </w:pPr>
            <w:r w:rsidRPr="006E6AAA">
              <w:rPr>
                <w:rFonts w:ascii="Calibri" w:eastAsia="Times New Roman" w:hAnsi="Calibri" w:cs="Times New Roman"/>
                <w:b/>
                <w:lang w:eastAsia="da-DK"/>
              </w:rPr>
              <w:t>Circuit sessions for the Magistrate Court based in Bo*</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171"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MC sessions</w:t>
            </w:r>
          </w:p>
        </w:tc>
        <w:tc>
          <w:tcPr>
            <w:tcW w:w="2170"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days on circuit</w:t>
            </w:r>
          </w:p>
        </w:tc>
        <w:tc>
          <w:tcPr>
            <w:tcW w:w="2172"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cases received</w:t>
            </w:r>
          </w:p>
        </w:tc>
        <w:tc>
          <w:tcPr>
            <w:tcW w:w="2172" w:type="dxa"/>
            <w:gridSpan w:val="2"/>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val="en-GB" w:eastAsia="da-DK"/>
              </w:rPr>
              <w:t>≠ of cases disposed</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(08.2010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5"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(10.2011 to 06.2012)</w:t>
            </w:r>
          </w:p>
        </w:tc>
        <w:tc>
          <w:tcPr>
            <w:tcW w:w="1085"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(08.2010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5"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(10.2011 to 06.2012)</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(08.2010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(10.2011 to 06.2012)</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w:t>
            </w:r>
            <w:r w:rsidRPr="006E6AAA">
              <w:rPr>
                <w:rFonts w:ascii="Calibri" w:eastAsia="Times New Roman" w:hAnsi="Calibri" w:cs="Times New Roman"/>
                <w:b/>
                <w:sz w:val="18"/>
                <w:szCs w:val="18"/>
                <w:vertAlign w:val="superscript"/>
                <w:lang w:eastAsia="da-DK"/>
              </w:rPr>
              <w:t>st</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(08.2010 to </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09.2011)</w:t>
            </w:r>
          </w:p>
        </w:tc>
        <w:tc>
          <w:tcPr>
            <w:tcW w:w="1086"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2</w:t>
            </w:r>
            <w:r w:rsidRPr="006E6AAA">
              <w:rPr>
                <w:rFonts w:ascii="Calibri" w:eastAsia="Times New Roman" w:hAnsi="Calibri" w:cs="Times New Roman"/>
                <w:b/>
                <w:sz w:val="18"/>
                <w:szCs w:val="18"/>
                <w:vertAlign w:val="superscript"/>
                <w:lang w:eastAsia="da-DK"/>
              </w:rPr>
              <w:t>nd</w:t>
            </w:r>
            <w:r w:rsidRPr="006E6AAA">
              <w:rPr>
                <w:rFonts w:ascii="Calibri" w:eastAsia="Times New Roman" w:hAnsi="Calibri" w:cs="Times New Roman"/>
                <w:b/>
                <w:sz w:val="18"/>
                <w:szCs w:val="18"/>
                <w:lang w:eastAsia="da-DK"/>
              </w:rPr>
              <w:t xml:space="preserve"> LoA</w:t>
            </w:r>
          </w:p>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(10.2011 to 06.2012)</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i/>
                <w:sz w:val="20"/>
                <w:szCs w:val="20"/>
                <w:lang w:eastAsia="da-DK"/>
              </w:rPr>
              <w:t xml:space="preserve">Pujehun </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10</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72</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98</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44</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56</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i/>
                <w:sz w:val="20"/>
                <w:szCs w:val="20"/>
                <w:lang w:eastAsia="da-DK"/>
              </w:rPr>
              <w:t>Zimmi</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8</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14</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23</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6</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19</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Mongere</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9</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12</w:t>
            </w:r>
          </w:p>
        </w:tc>
        <w:tc>
          <w:tcPr>
            <w:tcW w:w="108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9</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38</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26</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21</w:t>
            </w:r>
          </w:p>
        </w:tc>
        <w:tc>
          <w:tcPr>
            <w:tcW w:w="108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17</w:t>
            </w:r>
          </w:p>
        </w:tc>
      </w:tr>
      <w:tr w:rsidR="006E6AAA" w:rsidRPr="006E6AAA" w:rsidTr="00C8613A">
        <w:tc>
          <w:tcPr>
            <w:tcW w:w="1169"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TOTAL</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16</w:t>
            </w:r>
          </w:p>
        </w:tc>
        <w:tc>
          <w:tcPr>
            <w:tcW w:w="108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8</w:t>
            </w:r>
          </w:p>
        </w:tc>
        <w:tc>
          <w:tcPr>
            <w:tcW w:w="108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25</w:t>
            </w:r>
          </w:p>
        </w:tc>
        <w:tc>
          <w:tcPr>
            <w:tcW w:w="108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20</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124</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147</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71</w:t>
            </w:r>
          </w:p>
        </w:tc>
        <w:tc>
          <w:tcPr>
            <w:tcW w:w="1086"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92</w:t>
            </w:r>
          </w:p>
        </w:tc>
      </w:tr>
    </w:tbl>
    <w:p w:rsidR="006E6AAA" w:rsidRPr="006E6AAA" w:rsidRDefault="006E6AAA" w:rsidP="006E6AAA">
      <w:pPr>
        <w:spacing w:after="0" w:line="270" w:lineRule="atLeast"/>
        <w:rPr>
          <w:rFonts w:ascii="Calibri" w:eastAsia="Times New Roman" w:hAnsi="Calibri" w:cs="Times New Roman"/>
          <w:color w:val="FF0000"/>
          <w:sz w:val="20"/>
          <w:szCs w:val="20"/>
          <w:lang w:eastAsia="da-DK"/>
        </w:rPr>
      </w:pPr>
    </w:p>
    <w:p w:rsidR="006E6AAA" w:rsidRPr="006E6AAA" w:rsidRDefault="006E6AAA" w:rsidP="006E6AAA">
      <w:pPr>
        <w:spacing w:after="0" w:line="270" w:lineRule="atLeast"/>
        <w:jc w:val="both"/>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Data from 8/2012 to 04/2013 is still being processed, but it can be anticipated that during this period the Magistrate Courts of Moyamba and Bo reported 160 received cases and 168 disposed cases. This is in line with the previous period and indicates an excellent disposal rate of 95%. It is also worth noting that the number of cases received per month rose from 27 in 2010 to 37 in 2012 and the number of disposed cases increased from 14 to 28 per month.</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According to the 2012 LoA, UNDP should support an estimated number of 50 circuit sessions for two magistrate courts and 4 circuit sessions for the High Court.  These targets were not achieved as of June 2012: the table indicates by that date 24 circuit hearings were organized for the Magistrate Courts and only 1 for the High Court. It is however to be noted that the Judiciary has been granted an extension of the LoA to April 2013. Also it must be recalled that the death of the High Court Judge in Bo, as well as the 2012 general elections, caused justified delays in the organization of the circuit courts.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For the 2 </w:t>
      </w:r>
      <w:r w:rsidRPr="006E6AAA">
        <w:rPr>
          <w:rFonts w:ascii="Calibri" w:eastAsia="Times New Roman" w:hAnsi="Calibri" w:cs="Times New Roman"/>
          <w:u w:val="single"/>
          <w:lang w:eastAsia="da-DK"/>
        </w:rPr>
        <w:t>magistrate courts</w:t>
      </w:r>
      <w:r w:rsidRPr="006E6AAA">
        <w:rPr>
          <w:rFonts w:ascii="Calibri" w:eastAsia="Times New Roman" w:hAnsi="Calibri" w:cs="Times New Roman"/>
          <w:lang w:eastAsia="da-DK"/>
        </w:rPr>
        <w:t xml:space="preserve"> the total number of cases received on circuit from 08/2010 to 06/2012 is </w:t>
      </w:r>
      <w:r w:rsidRPr="006E6AAA">
        <w:rPr>
          <w:rFonts w:ascii="Calibri" w:eastAsia="Times New Roman" w:hAnsi="Calibri" w:cs="Times New Roman"/>
          <w:b/>
          <w:lang w:eastAsia="da-DK"/>
        </w:rPr>
        <w:t>972</w:t>
      </w:r>
      <w:r w:rsidRPr="006E6AAA">
        <w:rPr>
          <w:rFonts w:ascii="Calibri" w:eastAsia="Times New Roman" w:hAnsi="Calibri" w:cs="Times New Roman"/>
          <w:lang w:eastAsia="da-DK"/>
        </w:rPr>
        <w:t xml:space="preserve">, of which </w:t>
      </w:r>
      <w:r w:rsidRPr="006E6AAA">
        <w:rPr>
          <w:rFonts w:ascii="Calibri" w:eastAsia="Times New Roman" w:hAnsi="Calibri" w:cs="Times New Roman"/>
          <w:b/>
          <w:lang w:eastAsia="da-DK"/>
        </w:rPr>
        <w:t xml:space="preserve">568 </w:t>
      </w:r>
      <w:r w:rsidRPr="006E6AAA">
        <w:rPr>
          <w:rFonts w:ascii="Calibri" w:eastAsia="Times New Roman" w:hAnsi="Calibri" w:cs="Times New Roman"/>
          <w:lang w:eastAsia="da-DK"/>
        </w:rPr>
        <w:t>cases were disposed: the initiative records an acceptable 58% rate of case disposal.</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total number of cases received under the 1</w:t>
      </w:r>
      <w:r w:rsidRPr="006E6AAA">
        <w:rPr>
          <w:rFonts w:ascii="Calibri" w:eastAsia="Times New Roman" w:hAnsi="Calibri" w:cs="Times New Roman"/>
          <w:vertAlign w:val="superscript"/>
          <w:lang w:eastAsia="da-DK"/>
        </w:rPr>
        <w:t>st</w:t>
      </w:r>
      <w:r w:rsidRPr="006E6AAA">
        <w:rPr>
          <w:rFonts w:ascii="Calibri" w:eastAsia="Times New Roman" w:hAnsi="Calibri" w:cs="Times New Roman"/>
          <w:lang w:eastAsia="da-DK"/>
        </w:rPr>
        <w:t xml:space="preserve"> and 2</w:t>
      </w:r>
      <w:r w:rsidRPr="006E6AAA">
        <w:rPr>
          <w:rFonts w:ascii="Calibri" w:eastAsia="Times New Roman" w:hAnsi="Calibri" w:cs="Times New Roman"/>
          <w:vertAlign w:val="superscript"/>
          <w:lang w:eastAsia="da-DK"/>
        </w:rPr>
        <w:t>nd</w:t>
      </w:r>
      <w:r w:rsidRPr="006E6AAA">
        <w:rPr>
          <w:rFonts w:ascii="Calibri" w:eastAsia="Times New Roman" w:hAnsi="Calibri" w:cs="Times New Roman"/>
          <w:lang w:eastAsia="da-DK"/>
        </w:rPr>
        <w:t xml:space="preserve"> LoA has increased by 12%, which is a successful result if we consider the strong prevalence of the informal/traditional system in Sierra Leone. Both the interviewed Magistrate and Judge confirmed the positive impact of mobile courts in terms of increasing the number of cases.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To be noted that the total number of cases received during the JSDP/DFID pilot project in Moyamba (from 2006 to 2008) was </w:t>
      </w:r>
      <w:r w:rsidRPr="006E6AAA">
        <w:rPr>
          <w:rFonts w:ascii="Calibri" w:eastAsia="Times New Roman" w:hAnsi="Calibri" w:cs="Times New Roman"/>
          <w:b/>
          <w:lang w:eastAsia="da-DK"/>
        </w:rPr>
        <w:t>364</w:t>
      </w:r>
      <w:r w:rsidRPr="006E6AAA">
        <w:rPr>
          <w:rFonts w:ascii="Calibri" w:eastAsia="Times New Roman" w:hAnsi="Calibri" w:cs="Times New Roman"/>
          <w:lang w:eastAsia="da-DK"/>
        </w:rPr>
        <w:t xml:space="preserve">. Gbangbatok (a targeted location in both JSDP and UNDP projects) reported </w:t>
      </w:r>
      <w:r w:rsidRPr="006E6AAA">
        <w:rPr>
          <w:rFonts w:ascii="Calibri" w:eastAsia="Times New Roman" w:hAnsi="Calibri" w:cs="Times New Roman"/>
          <w:b/>
          <w:lang w:eastAsia="da-DK"/>
        </w:rPr>
        <w:t>7</w:t>
      </w:r>
      <w:r w:rsidRPr="006E6AAA">
        <w:rPr>
          <w:rFonts w:ascii="Calibri" w:eastAsia="Times New Roman" w:hAnsi="Calibri" w:cs="Times New Roman"/>
          <w:lang w:eastAsia="da-DK"/>
        </w:rPr>
        <w:t xml:space="preserve"> cases disposed in 2006 under the JSDP project and </w:t>
      </w:r>
      <w:r w:rsidRPr="006E6AAA">
        <w:rPr>
          <w:rFonts w:ascii="Calibri" w:eastAsia="Times New Roman" w:hAnsi="Calibri" w:cs="Times New Roman"/>
          <w:b/>
          <w:lang w:eastAsia="da-DK"/>
        </w:rPr>
        <w:t>76</w:t>
      </w:r>
      <w:r w:rsidRPr="006E6AAA">
        <w:rPr>
          <w:rFonts w:ascii="Calibri" w:eastAsia="Times New Roman" w:hAnsi="Calibri" w:cs="Times New Roman"/>
          <w:lang w:eastAsia="da-DK"/>
        </w:rPr>
        <w:t xml:space="preserve"> disposed cases under the 2</w:t>
      </w:r>
      <w:r w:rsidRPr="006E6AAA">
        <w:rPr>
          <w:rFonts w:ascii="Calibri" w:eastAsia="Times New Roman" w:hAnsi="Calibri" w:cs="Times New Roman"/>
          <w:vertAlign w:val="superscript"/>
          <w:lang w:eastAsia="da-DK"/>
        </w:rPr>
        <w:t>nd</w:t>
      </w:r>
      <w:r w:rsidRPr="006E6AAA">
        <w:rPr>
          <w:rFonts w:ascii="Calibri" w:eastAsia="Times New Roman" w:hAnsi="Calibri" w:cs="Times New Roman"/>
          <w:lang w:eastAsia="da-DK"/>
        </w:rPr>
        <w:t xml:space="preserve"> UNDP LoA</w:t>
      </w:r>
      <w:r w:rsidRPr="006E6AAA">
        <w:rPr>
          <w:rFonts w:ascii="Calibri" w:eastAsia="Times New Roman" w:hAnsi="Calibri" w:cs="Times New Roman"/>
          <w:vertAlign w:val="superscript"/>
          <w:lang w:eastAsia="da-DK"/>
        </w:rPr>
        <w:footnoteReference w:id="37"/>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lastRenderedPageBreak/>
        <w:t>For the Magistrate Court in Moyamba the number of cases disposed on circuit (</w:t>
      </w:r>
      <w:r w:rsidRPr="006E6AAA">
        <w:rPr>
          <w:rFonts w:ascii="Calibri" w:eastAsia="Times New Roman" w:hAnsi="Calibri" w:cs="Times New Roman"/>
          <w:b/>
          <w:lang w:eastAsia="da-DK"/>
        </w:rPr>
        <w:t>405</w:t>
      </w:r>
      <w:r w:rsidRPr="006E6AAA">
        <w:rPr>
          <w:rFonts w:ascii="Calibri" w:eastAsia="Times New Roman" w:hAnsi="Calibri" w:cs="Times New Roman"/>
          <w:lang w:eastAsia="da-DK"/>
        </w:rPr>
        <w:t xml:space="preserve">) is higher than the ones received in permanent sitting </w:t>
      </w:r>
      <w:r w:rsidRPr="006E6AAA">
        <w:rPr>
          <w:rFonts w:ascii="Calibri" w:eastAsia="Times New Roman" w:hAnsi="Calibri" w:cs="Times New Roman"/>
          <w:b/>
          <w:lang w:eastAsia="da-DK"/>
        </w:rPr>
        <w:t>(141)</w:t>
      </w:r>
      <w:r w:rsidRPr="006E6AAA">
        <w:rPr>
          <w:rFonts w:ascii="Calibri" w:eastAsia="Times New Roman" w:hAnsi="Calibri" w:cs="Times New Roman"/>
          <w:lang w:eastAsia="da-DK"/>
        </w:rPr>
        <w:t xml:space="preserve">, which confirms that the magistrate spends most of his time on circuit but also raises some issues about the limited number of cases disposed in his home court.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w:t>
      </w:r>
      <w:r w:rsidRPr="006E6AAA">
        <w:rPr>
          <w:rFonts w:ascii="Calibri" w:eastAsia="Times New Roman" w:hAnsi="Calibri" w:cs="Times New Roman"/>
          <w:u w:val="single"/>
          <w:lang w:eastAsia="da-DK"/>
        </w:rPr>
        <w:t>High Court</w:t>
      </w:r>
      <w:r w:rsidRPr="006E6AAA">
        <w:rPr>
          <w:rFonts w:ascii="Calibri" w:eastAsia="Times New Roman" w:hAnsi="Calibri" w:cs="Times New Roman"/>
          <w:lang w:eastAsia="da-DK"/>
        </w:rPr>
        <w:t xml:space="preserve"> in Bo is not travelling on circuit as regularly as prescribed by the LoA (4 times per year): in 2012 there was only one session in June, which took place as long as 8 months after the previous session.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From 08/2010 to 06/2012 the High Court on circuit achieved a disposal rate of 52% with </w:t>
      </w:r>
      <w:r w:rsidRPr="006E6AAA">
        <w:rPr>
          <w:rFonts w:ascii="Calibri" w:eastAsia="Times New Roman" w:hAnsi="Calibri" w:cs="Times New Roman"/>
          <w:b/>
          <w:lang w:eastAsia="da-DK"/>
        </w:rPr>
        <w:t xml:space="preserve">375 </w:t>
      </w:r>
      <w:r w:rsidRPr="006E6AAA">
        <w:rPr>
          <w:rFonts w:ascii="Calibri" w:eastAsia="Times New Roman" w:hAnsi="Calibri" w:cs="Times New Roman"/>
          <w:lang w:eastAsia="da-DK"/>
        </w:rPr>
        <w:t xml:space="preserve">received cases and </w:t>
      </w:r>
      <w:r w:rsidRPr="006E6AAA">
        <w:rPr>
          <w:rFonts w:ascii="Calibri" w:eastAsia="Times New Roman" w:hAnsi="Calibri" w:cs="Times New Roman"/>
          <w:b/>
          <w:lang w:eastAsia="da-DK"/>
        </w:rPr>
        <w:t xml:space="preserve">198 </w:t>
      </w:r>
      <w:r w:rsidRPr="006E6AAA">
        <w:rPr>
          <w:rFonts w:ascii="Calibri" w:eastAsia="Times New Roman" w:hAnsi="Calibri" w:cs="Times New Roman"/>
          <w:lang w:eastAsia="da-DK"/>
        </w:rPr>
        <w:t xml:space="preserve">disposed cases. The results are surprisingly high if compared to the findings of the interviews, which repeatedly pointed out that the court should travel more often, had huge backlogs and adjourned cases constantly.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An attempt was made to compare the results achieved by the mobile court system in the South with the other provinces (East and North) but it has not been possible because of gaps in statistical data made available by the Judiciary.</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sz w:val="20"/>
          <w:szCs w:val="20"/>
          <w:lang w:eastAsia="da-DK"/>
        </w:rPr>
      </w:pPr>
      <w:r w:rsidRPr="006E6AAA">
        <w:rPr>
          <w:rFonts w:ascii="Calibri" w:eastAsia="Times New Roman" w:hAnsi="Calibri" w:cs="Times New Roman"/>
          <w:b/>
          <w:lang w:eastAsia="da-DK"/>
        </w:rPr>
        <w:t>2.3 The quality of the achieved results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w:t>
      </w:r>
      <w:r w:rsidRPr="006E6AAA">
        <w:rPr>
          <w:rFonts w:ascii="Calibri" w:eastAsia="Times New Roman" w:hAnsi="Calibri" w:cs="Times New Roman"/>
          <w:lang w:eastAsia="da-DK"/>
        </w:rPr>
        <w:t>mobile courts</w:t>
      </w:r>
      <w:r w:rsidRPr="006E6AAA">
        <w:rPr>
          <w:rFonts w:ascii="Calibri" w:eastAsia="Times New Roman" w:hAnsi="Calibri" w:cs="Times New Roman"/>
          <w:lang w:val="en-GB" w:eastAsia="da-DK"/>
        </w:rPr>
        <w:t xml:space="preserve"> initiative is well received by the judiciary authorities and the population and as illustrated in the previous paragraph is achieving results that are progressively improving.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objective of the present evaluation is also to assess the quality of the provided justice services and to apprise that they are not producing negative side effects. </w:t>
      </w:r>
    </w:p>
    <w:p w:rsidR="006E6AAA" w:rsidRPr="006E6AAA" w:rsidRDefault="006E6AAA" w:rsidP="006E6AAA">
      <w:pPr>
        <w:autoSpaceDE w:val="0"/>
        <w:autoSpaceDN w:val="0"/>
        <w:adjustRightInd w:val="0"/>
        <w:spacing w:after="0" w:line="280" w:lineRule="exact"/>
        <w:jc w:val="both"/>
        <w:rPr>
          <w:rFonts w:ascii="Calibri" w:eastAsia="Times New Roman" w:hAnsi="Calibri" w:cs="ArialNarrow"/>
          <w:lang w:eastAsia="it-IT"/>
        </w:rPr>
      </w:pPr>
      <w:r w:rsidRPr="006E6AAA">
        <w:rPr>
          <w:rFonts w:ascii="Calibri" w:eastAsia="Times New Roman" w:hAnsi="Calibri" w:cs="Times New Roman"/>
          <w:lang w:val="en-GB" w:eastAsia="da-DK"/>
        </w:rPr>
        <w:t>To this end the achieved results will be analysed in the light of the basic human rights standards for fair trial, as provided for by the Sierra Leonean Constitution of 1991.</w:t>
      </w:r>
      <w:r w:rsidRPr="006E6AAA">
        <w:rPr>
          <w:rFonts w:ascii="Calibri" w:eastAsia="Times New Roman" w:hAnsi="Calibri" w:cs="ArialNarrow"/>
          <w:lang w:eastAsia="it-IT"/>
        </w:rPr>
        <w:t xml:space="preserve"> </w:t>
      </w:r>
      <w:r w:rsidRPr="006E6AAA">
        <w:rPr>
          <w:rFonts w:ascii="Calibri" w:eastAsia="Times New Roman" w:hAnsi="Calibri" w:cs="Times New Roman"/>
          <w:lang w:val="en-GB" w:eastAsia="da-DK"/>
        </w:rPr>
        <w:t>In addition the quality of the MC system will be assessed against UNDP’s mandate, with a particular focus on the promotion of gender and legal empowerment.</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Some of the findings address key issues that would need an immediate attention and would require complementing the MC intervention with additional activities (e.g. the provision of legal representation and interpretation during MC trials); other findings are indicated as opportunities for improvements.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Finally it must be recalled that most </w:t>
      </w:r>
      <w:r w:rsidRPr="006E6AAA">
        <w:rPr>
          <w:rFonts w:ascii="Calibri" w:eastAsia="Times New Roman" w:hAnsi="Calibri" w:cs="Times New Roman"/>
          <w:lang w:eastAsia="da-DK"/>
        </w:rPr>
        <w:t xml:space="preserve">of the issues highlighted below are not specific to the MC system but are common to the justice system as a whole. It must however be recognized that these issues are usually aggravated when occurring in remote areas where courts travel on circuit and would therefore need an urgent attention.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b/>
          <w:i/>
          <w:color w:val="000080"/>
          <w:lang w:eastAsia="da-DK"/>
        </w:rPr>
      </w:pPr>
      <w:r w:rsidRPr="006E6AAA">
        <w:rPr>
          <w:rFonts w:ascii="Times New Roman" w:eastAsia="Times New Roman" w:hAnsi="Times New Roman" w:cs="Times New Roman"/>
          <w:b/>
          <w:i/>
          <w:color w:val="000080"/>
          <w:lang w:eastAsia="da-DK"/>
        </w:rPr>
        <w:t>■</w:t>
      </w:r>
      <w:r w:rsidRPr="006E6AAA">
        <w:rPr>
          <w:rFonts w:ascii="Arial" w:eastAsia="Times New Roman" w:hAnsi="Arial" w:cs="Arial"/>
          <w:b/>
          <w:i/>
          <w:color w:val="000080"/>
          <w:lang w:eastAsia="da-DK"/>
        </w:rPr>
        <w:t xml:space="preserve"> </w:t>
      </w:r>
      <w:r w:rsidRPr="006E6AAA">
        <w:rPr>
          <w:rFonts w:ascii="Calibri" w:eastAsia="Times New Roman" w:hAnsi="Calibri" w:cs="Times New Roman"/>
          <w:b/>
          <w:i/>
          <w:color w:val="000080"/>
          <w:u w:val="single"/>
          <w:lang w:eastAsia="da-DK"/>
        </w:rPr>
        <w:t>Pretrial detention and bail</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it-IT"/>
        </w:rPr>
      </w:pPr>
      <w:r w:rsidRPr="006E6AAA">
        <w:rPr>
          <w:rFonts w:ascii="Calibri" w:eastAsia="Times New Roman" w:hAnsi="Calibri" w:cs="ArialNarrow"/>
          <w:color w:val="000000"/>
          <w:lang w:eastAsia="it-IT"/>
        </w:rPr>
        <w:t xml:space="preserve">Section 17(3) of the Sierra Leone Constitution states that an arrested person shall be brought before a </w:t>
      </w:r>
      <w:r w:rsidRPr="006E6AAA">
        <w:rPr>
          <w:rFonts w:ascii="Calibri" w:eastAsia="Times New Roman" w:hAnsi="Calibri" w:cs="ArialNarrow"/>
          <w:lang w:eastAsia="it-IT"/>
        </w:rPr>
        <w:t xml:space="preserve">court </w:t>
      </w:r>
      <w:r w:rsidRPr="006E6AAA">
        <w:rPr>
          <w:rFonts w:ascii="Calibri" w:eastAsia="Times New Roman" w:hAnsi="Calibri" w:cs="CG Omega"/>
          <w:lang w:eastAsia="it-IT"/>
        </w:rPr>
        <w:t>“</w:t>
      </w:r>
      <w:r w:rsidRPr="006E6AAA">
        <w:rPr>
          <w:rFonts w:ascii="Calibri" w:eastAsia="Times New Roman" w:hAnsi="Calibri" w:cs="CG Omega"/>
          <w:i/>
          <w:lang w:eastAsia="it-IT"/>
        </w:rPr>
        <w:t>within ten days from the date of arrest in cases of capital offences, offences carrying life imprisonment and economic and environmental offences; and within seventy-two hours of his arrest in case of other offences</w:t>
      </w:r>
      <w:r w:rsidRPr="006E6AAA">
        <w:rPr>
          <w:rFonts w:ascii="Calibri" w:eastAsia="Times New Roman" w:hAnsi="Calibri" w:cs="CG Omega"/>
          <w:lang w:eastAsia="it-IT"/>
        </w:rPr>
        <w:t>”.</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 provision is however not respected in the legal practice:</w:t>
      </w:r>
      <w:r w:rsidRPr="006E6AAA">
        <w:rPr>
          <w:rFonts w:ascii="Calibri" w:eastAsia="Times New Roman" w:hAnsi="Calibri" w:cs="Times New Roman"/>
          <w:lang w:val="en-GB" w:eastAsia="da-DK"/>
        </w:rPr>
        <w:t xml:space="preserve"> a high number of interviewed persons and published reports have highlighted that pre-trial detention is one of the most alarming problems of the Sierra Leonean judicial system. </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lang w:val="en-GB" w:eastAsia="da-DK"/>
        </w:rPr>
        <w:t>A recent study by UNIPSIL on the situation of detention in the 17 prisons of Sierra Leone concluded that “</w:t>
      </w:r>
      <w:r w:rsidRPr="006E6AAA">
        <w:rPr>
          <w:rFonts w:ascii="Calibri" w:eastAsia="Times New Roman" w:hAnsi="Calibri" w:cs="Times New Roman"/>
          <w:i/>
          <w:lang w:val="en-GB" w:eastAsia="da-DK"/>
        </w:rPr>
        <w:t>the majority of prisoners (</w:t>
      </w:r>
      <w:r w:rsidRPr="006E6AAA">
        <w:rPr>
          <w:rFonts w:ascii="Calibri" w:eastAsia="Times New Roman" w:hAnsi="Calibri" w:cs="Times New Roman"/>
          <w:lang w:val="en-GB" w:eastAsia="da-DK"/>
        </w:rPr>
        <w:t>57.5% as of March 2012</w:t>
      </w:r>
      <w:r w:rsidRPr="006E6AAA">
        <w:rPr>
          <w:rFonts w:ascii="Calibri" w:eastAsia="Times New Roman" w:hAnsi="Calibri" w:cs="Times New Roman"/>
          <w:i/>
          <w:lang w:val="en-GB" w:eastAsia="da-DK"/>
        </w:rPr>
        <w:t xml:space="preserve">) are not serving sentence, but are rather on </w:t>
      </w:r>
      <w:r w:rsidRPr="006E6AAA">
        <w:rPr>
          <w:rFonts w:ascii="Calibri" w:eastAsia="Times New Roman" w:hAnsi="Calibri" w:cs="Times New Roman"/>
          <w:i/>
          <w:lang w:val="en-GB" w:eastAsia="da-DK"/>
        </w:rPr>
        <w:lastRenderedPageBreak/>
        <w:t>remand or trial</w:t>
      </w:r>
      <w:r w:rsidRPr="006E6AAA">
        <w:rPr>
          <w:rFonts w:ascii="Calibri" w:eastAsia="Times New Roman" w:hAnsi="Calibri" w:cs="Times New Roman"/>
          <w:lang w:val="en-GB" w:eastAsia="da-DK"/>
        </w:rPr>
        <w:t>”</w:t>
      </w:r>
      <w:r w:rsidRPr="006E6AAA">
        <w:rPr>
          <w:rFonts w:ascii="Calibri" w:eastAsia="Times New Roman" w:hAnsi="Calibri" w:cs="Times New Roman"/>
          <w:b/>
          <w:i/>
          <w:vertAlign w:val="superscript"/>
          <w:lang w:val="en-GB" w:eastAsia="da-DK"/>
        </w:rPr>
        <w:t xml:space="preserve"> </w:t>
      </w:r>
      <w:r w:rsidRPr="006E6AAA">
        <w:rPr>
          <w:rFonts w:ascii="Calibri" w:eastAsia="Times New Roman" w:hAnsi="Calibri" w:cs="Times New Roman"/>
          <w:i/>
          <w:vertAlign w:val="superscript"/>
          <w:lang w:val="en-GB" w:eastAsia="da-DK"/>
        </w:rPr>
        <w:footnoteReference w:id="38"/>
      </w:r>
      <w:r w:rsidRPr="006E6AAA">
        <w:rPr>
          <w:rFonts w:ascii="Calibri" w:eastAsia="Times New Roman" w:hAnsi="Calibri" w:cs="Times New Roman"/>
          <w:lang w:val="en-GB" w:eastAsia="da-DK"/>
        </w:rPr>
        <w:t>. Human Rights Watch reported, in the 2011 UPR review, that “</w:t>
      </w:r>
      <w:r w:rsidRPr="006E6AAA">
        <w:rPr>
          <w:rFonts w:ascii="Calibri" w:eastAsia="Times New Roman" w:hAnsi="Calibri" w:cs="Times New Roman"/>
          <w:i/>
          <w:lang w:val="en-GB" w:eastAsia="da-DK"/>
        </w:rPr>
        <w:t>insufficient access to legal representation and the slow pace of cases before the courts had resulted in an alarming number of prisoners being held in prolonged pre-trial detention</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39"/>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Given the lack of detailed data, it is not possible to assess </w:t>
      </w:r>
      <w:r w:rsidRPr="006E6AAA">
        <w:rPr>
          <w:rFonts w:ascii="Calibri" w:eastAsia="Times New Roman" w:hAnsi="Calibri" w:cs="Times New Roman"/>
          <w:lang w:eastAsia="da-DK"/>
        </w:rPr>
        <w:t xml:space="preserve">the impact of mobile courts on pretrial detention.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The interviews revealed however a general perception that the absence of a resident magistrate/judge has an </w:t>
      </w:r>
      <w:r w:rsidRPr="006E6AAA">
        <w:rPr>
          <w:rFonts w:ascii="Calibri" w:eastAsia="Times New Roman" w:hAnsi="Calibri" w:cs="Times New Roman"/>
          <w:b/>
          <w:lang w:eastAsia="da-DK"/>
        </w:rPr>
        <w:t>important impact on the high pretrial detention rates in the provinces, because “</w:t>
      </w:r>
      <w:r w:rsidRPr="006E6AAA">
        <w:rPr>
          <w:rFonts w:ascii="Calibri" w:eastAsia="Times New Roman" w:hAnsi="Calibri" w:cs="Times New Roman"/>
          <w:b/>
          <w:i/>
          <w:lang w:eastAsia="da-DK"/>
        </w:rPr>
        <w:t>detainees on remand are waiting for the MC to arrive</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The problem highlighted by most interviewed people was not the MC </w:t>
      </w:r>
      <w:r w:rsidRPr="006E6AAA">
        <w:rPr>
          <w:rFonts w:ascii="Calibri" w:eastAsia="Times New Roman" w:hAnsi="Calibri" w:cs="Times New Roman"/>
          <w:i/>
          <w:lang w:eastAsia="da-DK"/>
        </w:rPr>
        <w:t>per se</w:t>
      </w:r>
      <w:r w:rsidRPr="006E6AAA">
        <w:rPr>
          <w:rFonts w:ascii="Calibri" w:eastAsia="Times New Roman" w:hAnsi="Calibri" w:cs="Times New Roman"/>
          <w:lang w:eastAsia="da-DK"/>
        </w:rPr>
        <w:t xml:space="preserve">, but the fact that its schedule was not regular and that it was often delayed and its arrival unpredictable. </w:t>
      </w:r>
      <w:r w:rsidRPr="006E6AAA">
        <w:rPr>
          <w:rFonts w:ascii="Calibri" w:eastAsia="Times New Roman" w:hAnsi="Calibri" w:cs="Times New Roman"/>
          <w:lang w:val="en-GB" w:eastAsia="da-DK"/>
        </w:rPr>
        <w:t xml:space="preserve">The problem is particularly alarming for serious case like murder, for which magistrates do not have power to grant bail.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w:t>
      </w:r>
      <w:r w:rsidRPr="006E6AAA">
        <w:rPr>
          <w:rFonts w:ascii="Calibri" w:eastAsia="Times New Roman" w:hAnsi="Calibri" w:cs="Times New Roman"/>
          <w:lang w:eastAsia="da-DK"/>
        </w:rPr>
        <w:t>he Moyamba Deputy Prison Director referred that out of the 53 inmates, 15 were on remand waiting for the High Court to arrive in Moyamba. He further specified that “</w:t>
      </w:r>
      <w:r w:rsidRPr="006E6AAA">
        <w:rPr>
          <w:rFonts w:ascii="Calibri" w:eastAsia="Times New Roman" w:hAnsi="Calibri" w:cs="Times New Roman"/>
          <w:i/>
          <w:lang w:eastAsia="da-DK"/>
        </w:rPr>
        <w:t>Some of these 15 inmates are waiting since 6 months and maybe a year for the arrival of the HC</w:t>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Similar observations were made by the High Court jurors who observed that “</w:t>
      </w:r>
      <w:r w:rsidRPr="006E6AAA">
        <w:rPr>
          <w:rFonts w:ascii="Calibri" w:eastAsia="Times New Roman" w:hAnsi="Calibri" w:cs="Times New Roman"/>
          <w:i/>
          <w:lang w:eastAsia="da-DK"/>
        </w:rPr>
        <w:t>the itinerant court is good but should be more frequent, at least 3 times per year. Some people spend more than 2 years in prison, waiting for the HC</w:t>
      </w:r>
      <w:r w:rsidRPr="006E6AAA">
        <w:rPr>
          <w:rFonts w:ascii="Calibri" w:eastAsia="Times New Roman" w:hAnsi="Calibri" w:cs="Times New Roman"/>
          <w:lang w:eastAsia="da-DK"/>
        </w:rPr>
        <w:t xml:space="preserve">”. On the same note </w:t>
      </w:r>
      <w:r w:rsidRPr="006E6AAA">
        <w:rPr>
          <w:rFonts w:ascii="Calibri" w:eastAsia="Times New Roman" w:hAnsi="Calibri" w:cs="Times New Roman"/>
          <w:lang w:val="en-GB" w:eastAsia="da-DK"/>
        </w:rPr>
        <w:t>CARL highlights that “</w:t>
      </w:r>
      <w:r w:rsidRPr="006E6AAA">
        <w:rPr>
          <w:rFonts w:ascii="Calibri" w:eastAsia="Times New Roman" w:hAnsi="Calibri" w:cs="Times New Roman"/>
          <w:i/>
          <w:lang w:val="en-GB" w:eastAsia="da-DK"/>
        </w:rPr>
        <w:t>For detainees who are usually held on remand, it sometimes takes weeks or months before the circuit court sits in their jurisdiction</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40"/>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pre-trial situation is aggravated by the fact that </w:t>
      </w:r>
      <w:r w:rsidRPr="006E6AAA">
        <w:rPr>
          <w:rFonts w:ascii="Calibri" w:eastAsia="Times New Roman" w:hAnsi="Calibri" w:cs="Times New Roman"/>
          <w:b/>
          <w:lang w:val="en-GB" w:eastAsia="da-DK"/>
        </w:rPr>
        <w:t>judges are not granting bail easily</w:t>
      </w:r>
      <w:r w:rsidRPr="006E6AAA">
        <w:rPr>
          <w:rFonts w:ascii="Calibri" w:eastAsia="Times New Roman" w:hAnsi="Calibri" w:cs="Times New Roman"/>
          <w:lang w:val="en-GB" w:eastAsia="da-DK"/>
        </w:rPr>
        <w:t xml:space="preserve">: both the interviewed Magistrate and Judge expressed the valid concern that if bail is granted, there are strong chances that the case will be closed, because the accused will move to another part of the country and disappear. Accordingly, for serious cases it is common to grant bail only under very strict conditions.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For example during one of the observed High Court trials, the judge granted bail to a man accused of rape until the victim would appear in court. However he set a bail to </w:t>
      </w:r>
      <w:r w:rsidRPr="006E6AAA">
        <w:rPr>
          <w:rFonts w:ascii="Calibri" w:eastAsia="Times New Roman" w:hAnsi="Calibri" w:cs="Times New Roman"/>
          <w:lang w:eastAsia="da-DK"/>
        </w:rPr>
        <w:t>20 million Leones and requested 2 sureties, one of which should be resident in Moyamba and own property. Such strict conditions are not commensurate to the living conditions in rural areas and mean in practice to deny bail</w:t>
      </w:r>
      <w:r w:rsidRPr="006E6AAA">
        <w:rPr>
          <w:rFonts w:ascii="Calibri" w:eastAsia="Times New Roman" w:hAnsi="Calibri" w:cs="Times New Roman"/>
          <w:vertAlign w:val="superscript"/>
          <w:lang w:eastAsia="da-DK"/>
        </w:rPr>
        <w:footnoteReference w:id="41"/>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An additional</w:t>
      </w:r>
      <w:r w:rsidRPr="006E6AAA">
        <w:rPr>
          <w:rFonts w:ascii="Calibri" w:eastAsia="Times New Roman" w:hAnsi="Calibri" w:cs="Times New Roman"/>
          <w:lang w:val="en-GB" w:eastAsia="da-DK"/>
        </w:rPr>
        <w:t xml:space="preserve"> point of concern </w:t>
      </w:r>
      <w:r w:rsidRPr="006E6AAA">
        <w:rPr>
          <w:rFonts w:ascii="Calibri" w:eastAsia="Times New Roman" w:hAnsi="Calibri" w:cs="Times New Roman"/>
          <w:lang w:eastAsia="da-DK"/>
        </w:rPr>
        <w:t xml:space="preserve">was highlighted by the FSU police officer who reported that sometimes, </w:t>
      </w:r>
      <w:r w:rsidRPr="006E6AAA">
        <w:rPr>
          <w:rFonts w:ascii="Calibri" w:eastAsia="Times New Roman" w:hAnsi="Calibri" w:cs="Times New Roman"/>
          <w:b/>
          <w:lang w:eastAsia="da-DK"/>
        </w:rPr>
        <w:t>although bail is granted, nobody shows up to stand for surety</w:t>
      </w:r>
      <w:r w:rsidRPr="006E6AAA">
        <w:rPr>
          <w:rFonts w:ascii="Calibri" w:eastAsia="Times New Roman" w:hAnsi="Calibri" w:cs="Times New Roman"/>
          <w:lang w:eastAsia="da-DK"/>
        </w:rPr>
        <w:t>.  Considered that the CPA does not allow for the imposition of cash payment conditions to secure bail,</w:t>
      </w:r>
      <w:r w:rsidRPr="006E6AAA">
        <w:rPr>
          <w:rFonts w:ascii="Calibri" w:eastAsia="Times New Roman" w:hAnsi="Calibri" w:cs="Times New Roman"/>
          <w:vertAlign w:val="superscript"/>
          <w:lang w:eastAsia="da-DK"/>
        </w:rPr>
        <w:footnoteReference w:id="42"/>
      </w:r>
      <w:r w:rsidRPr="006E6AAA">
        <w:rPr>
          <w:rFonts w:ascii="Calibri" w:eastAsia="Times New Roman" w:hAnsi="Calibri" w:cs="Times New Roman"/>
          <w:lang w:eastAsia="da-DK"/>
        </w:rPr>
        <w:t xml:space="preserve"> sureties in Sierra Leone are just required to give a picture, their name and place of residence. However people are afraid of getting involved with the judicial system</w:t>
      </w:r>
      <w:r w:rsidRPr="006E6AAA">
        <w:rPr>
          <w:rFonts w:ascii="Calibri" w:eastAsia="Times New Roman" w:hAnsi="Calibri" w:cs="TTE2561D58t00"/>
          <w:lang w:eastAsia="it-IT"/>
        </w:rPr>
        <w:t xml:space="preserve"> or they do not understand what their role should be</w:t>
      </w:r>
      <w:r w:rsidRPr="006E6AAA">
        <w:rPr>
          <w:rFonts w:ascii="Calibri" w:eastAsia="Times New Roman" w:hAnsi="Calibri" w:cs="Times New Roman"/>
          <w:lang w:eastAsia="da-DK"/>
        </w:rPr>
        <w:t xml:space="preserve">, so they prefer not to show up.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Finally the UNDP court monitors mentioned the conditions to stand for surety should be revised so that women can also play this role. Currently most women </w:t>
      </w:r>
      <w:r w:rsidRPr="006E6AAA">
        <w:rPr>
          <w:rFonts w:ascii="Calibri" w:eastAsia="Times New Roman" w:hAnsi="Calibri" w:cs="Times New Roman"/>
          <w:lang w:val="en-GB" w:eastAsia="da-DK"/>
        </w:rPr>
        <w:t>are unable to meet the conditions set out by the magistrate</w:t>
      </w:r>
      <w:r w:rsidRPr="006E6AAA">
        <w:rPr>
          <w:rFonts w:ascii="Calibri" w:eastAsia="Times New Roman" w:hAnsi="Calibri" w:cs="Times New Roman"/>
          <w:lang w:eastAsia="da-DK"/>
        </w:rPr>
        <w:t xml:space="preserve">: for example in the above mentioned rape case, a woman would not have been able to stand for surety because most women in rural areas do not own property, according to local traditions.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lastRenderedPageBreak/>
        <w:t>An interview with one of the remandees awaiting the High Court trial illustrates some of the above-described issues. The interviewed detainee was a 25 years old woman, married with 5 children, accused of murdering a child she was taking care of. She has been detained in Moyamba prison for 1 year and 4 months waiting for trial and given birth to her 5</w:t>
      </w:r>
      <w:r w:rsidRPr="006E6AAA">
        <w:rPr>
          <w:rFonts w:ascii="Calibri" w:eastAsia="Times New Roman" w:hAnsi="Calibri" w:cs="Times New Roman"/>
          <w:vertAlign w:val="superscript"/>
          <w:lang w:eastAsia="da-DK"/>
        </w:rPr>
        <w:t>th</w:t>
      </w:r>
      <w:r w:rsidRPr="006E6AAA">
        <w:rPr>
          <w:rFonts w:ascii="Calibri" w:eastAsia="Times New Roman" w:hAnsi="Calibri" w:cs="Times New Roman"/>
          <w:lang w:eastAsia="da-DK"/>
        </w:rPr>
        <w:t xml:space="preserve"> child in detention. She never received any explanations about her rights or the legal procedures and her case was adjourned already once by the High Court, without bail being granted.</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following recommendations are proposed to improve the impact of MC on pre-trial detention issues:  </w:t>
      </w:r>
    </w:p>
    <w:p w:rsidR="006E6AAA" w:rsidRPr="006E6AAA" w:rsidRDefault="006E6AAA" w:rsidP="006E6AAA">
      <w:pPr>
        <w:numPr>
          <w:ilvl w:val="0"/>
          <w:numId w:val="2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MC should follow a more regular schedule which should be communicated to relevant authorities well in advance.  The High Court should travel on circuit 4 times per year, as provided by the Criminal Procedure Act.</w:t>
      </w:r>
    </w:p>
    <w:p w:rsidR="006E6AAA" w:rsidRPr="006E6AAA" w:rsidRDefault="006E6AAA" w:rsidP="006E6AAA">
      <w:pPr>
        <w:numPr>
          <w:ilvl w:val="0"/>
          <w:numId w:val="2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MC should be more focussed on pre-trial detention, on the model of UNDP supported mobile courts in Central African Republic.  The current linkages between MC and the prison system appear weak: while describing such linkages the HC judge only referred that “</w:t>
      </w:r>
      <w:r w:rsidRPr="006E6AAA">
        <w:rPr>
          <w:rFonts w:ascii="Calibri" w:eastAsia="Times New Roman" w:hAnsi="Calibri" w:cs="Times New Roman"/>
          <w:i/>
          <w:lang w:val="en-GB" w:eastAsia="da-DK"/>
        </w:rPr>
        <w:t>the prison director hands over the list of persons on remand</w:t>
      </w:r>
      <w:r w:rsidRPr="006E6AAA">
        <w:rPr>
          <w:rFonts w:ascii="Calibri" w:eastAsia="Times New Roman" w:hAnsi="Calibri" w:cs="Times New Roman"/>
          <w:lang w:val="en-GB" w:eastAsia="da-DK"/>
        </w:rPr>
        <w:t>”. On the role of the judicial authorities in pre-trial detention, a report by ….. noted that “</w:t>
      </w:r>
      <w:r w:rsidRPr="006E6AAA">
        <w:rPr>
          <w:rFonts w:ascii="Calibri" w:eastAsia="Times New Roman" w:hAnsi="Calibri" w:cs="Times New Roman"/>
          <w:i/>
          <w:lang w:val="en-GB" w:eastAsia="da-DK"/>
        </w:rPr>
        <w:t>the Judges interviewed declined to accept any responsibility for detentions beyond the constitutional limit and the denial of bail, declaring that they were matters where the accused should exercise their own rights</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 this context efforts should be promoted to ensure the accountability of MC for illegal detentions, for example by encouraging police prosecutors and State Counsel (or eventual lawyer) travelling with the MC to visit the police and local courts locks-up and the 4 prisons of the Southern province and follow up on eventual pre-trial detention cases. </w:t>
      </w:r>
      <w:r w:rsidRPr="006E6AAA">
        <w:rPr>
          <w:rFonts w:ascii="Calibri" w:eastAsia="Times New Roman" w:hAnsi="Calibri" w:cs="Times New Roman"/>
          <w:vertAlign w:val="superscript"/>
          <w:lang w:val="en-GB" w:eastAsia="da-DK"/>
        </w:rPr>
        <w:footnoteReference w:id="43"/>
      </w:r>
      <w:r w:rsidRPr="006E6AAA">
        <w:rPr>
          <w:rFonts w:ascii="Calibri" w:eastAsia="Times New Roman" w:hAnsi="Calibri" w:cs="Times New Roman"/>
          <w:lang w:val="en-GB" w:eastAsia="da-DK"/>
        </w:rPr>
        <w:t xml:space="preserve"> </w:t>
      </w:r>
    </w:p>
    <w:p w:rsidR="006E6AAA" w:rsidRPr="006E6AAA" w:rsidRDefault="006E6AAA" w:rsidP="006E6AAA">
      <w:pPr>
        <w:numPr>
          <w:ilvl w:val="0"/>
          <w:numId w:val="2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new LoA UNDP/Judiciary should include specific indicators to measure the impact of MC on pre-trial detention.</w:t>
      </w:r>
    </w:p>
    <w:p w:rsidR="006E6AAA" w:rsidRPr="006E6AAA" w:rsidRDefault="006E6AAA" w:rsidP="006E6AAA">
      <w:pPr>
        <w:numPr>
          <w:ilvl w:val="0"/>
          <w:numId w:val="2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Detainees should be sensitised on their pre-trail rights for example by awareness raising sessions delivered by paralegals in prisons, which seems to be among UNDP’s priorities for the next programmatic cycle. </w:t>
      </w:r>
    </w:p>
    <w:p w:rsidR="006E6AAA" w:rsidRPr="006E6AAA" w:rsidRDefault="006E6AAA" w:rsidP="006E6AAA">
      <w:pPr>
        <w:spacing w:after="0" w:line="280" w:lineRule="exact"/>
        <w:jc w:val="both"/>
        <w:rPr>
          <w:rFonts w:ascii="Times New Roman" w:eastAsia="Times New Roman" w:hAnsi="Times New Roman" w:cs="Times New Roman"/>
          <w:b/>
          <w:i/>
          <w:sz w:val="23"/>
          <w:szCs w:val="20"/>
          <w:lang w:eastAsia="da-DK"/>
        </w:rPr>
      </w:pP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Times New Roman" w:eastAsia="Times New Roman" w:hAnsi="Times New Roman" w:cs="Times New Roman"/>
          <w:b/>
          <w:i/>
          <w:color w:val="000080"/>
          <w:lang w:eastAsia="da-DK"/>
        </w:rPr>
        <w:t>■</w:t>
      </w:r>
      <w:r w:rsidRPr="006E6AAA">
        <w:rPr>
          <w:rFonts w:ascii="Arial" w:eastAsia="Times New Roman" w:hAnsi="Arial" w:cs="Arial"/>
          <w:b/>
          <w:i/>
          <w:color w:val="000080"/>
          <w:lang w:eastAsia="da-DK"/>
        </w:rPr>
        <w:t xml:space="preserve">  </w:t>
      </w:r>
      <w:r w:rsidRPr="006E6AAA">
        <w:rPr>
          <w:rFonts w:ascii="Calibri" w:eastAsia="Times New Roman" w:hAnsi="Calibri" w:cs="Times New Roman"/>
          <w:b/>
          <w:i/>
          <w:color w:val="000080"/>
          <w:u w:val="single"/>
          <w:lang w:val="en-GB" w:eastAsia="da-DK"/>
        </w:rPr>
        <w:t>Legal representation and interpretation</w:t>
      </w:r>
    </w:p>
    <w:p w:rsidR="006E6AAA" w:rsidRPr="006E6AAA" w:rsidRDefault="006E6AAA" w:rsidP="006E6AAA">
      <w:pPr>
        <w:spacing w:after="0" w:line="280" w:lineRule="exact"/>
        <w:jc w:val="both"/>
        <w:rPr>
          <w:rFonts w:ascii="Calibri" w:eastAsia="Times New Roman" w:hAnsi="Calibri" w:cs="Times New Roman"/>
          <w:b/>
          <w:i/>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Two main obstacles to an adequate participation of the parties to the hearings before the circuit courts were observed: the absence of a lawyer and of an interpreter. These issues have a disruptive impact on the rural population, where illiteracy and lack of understanding of legal procedures are common.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Calibri" w:eastAsia="Times New Roman" w:hAnsi="Calibri" w:cs="Times New Roman"/>
          <w:b/>
          <w:i/>
          <w:lang w:val="en-GB" w:eastAsia="da-DK"/>
        </w:rPr>
        <w:t>1. Legal aid and legal representation</w:t>
      </w:r>
    </w:p>
    <w:p w:rsidR="006E6AAA" w:rsidRPr="006E6AAA" w:rsidRDefault="006E6AAA" w:rsidP="006E6AAA">
      <w:pPr>
        <w:spacing w:after="0" w:line="280" w:lineRule="exact"/>
        <w:jc w:val="both"/>
        <w:rPr>
          <w:rFonts w:ascii="Calibri" w:eastAsia="Times New Roman" w:hAnsi="Calibri" w:cs="Times New Roman"/>
          <w:i/>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Sierra Leone has recently ensured its compliance to international standards that set an obligation to provide legal representation to the indigent where the interests of justice so require.</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 May 2012 the parliament passed the Legal Aid Act, which has been recognised as one of the most progressive legal aid laws in Africa, in particular for the inclusion of certified paralegals as legal aid providers.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lastRenderedPageBreak/>
        <w:t>Its implementation has not yet started so, despite the progressive legal framework, the right to legal representation is still seriously curtailed in Sierra Leone particularly in the provinces, where the majority of the population can not afford to pay a private lawyer.</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few lawyers practising in Sierra Leone </w:t>
      </w:r>
      <w:r w:rsidRPr="006E6AAA">
        <w:rPr>
          <w:rFonts w:ascii="Calibri" w:eastAsia="Times New Roman" w:hAnsi="Calibri" w:cs="Times New Roman"/>
          <w:vertAlign w:val="superscript"/>
          <w:lang w:val="en-GB" w:eastAsia="da-DK"/>
        </w:rPr>
        <w:footnoteReference w:id="44"/>
      </w:r>
      <w:r w:rsidRPr="006E6AAA">
        <w:rPr>
          <w:rFonts w:ascii="Calibri" w:eastAsia="Times New Roman" w:hAnsi="Calibri" w:cs="Times New Roman"/>
          <w:lang w:val="en-GB" w:eastAsia="da-DK"/>
        </w:rPr>
        <w:t xml:space="preserve"> prefer to work in Freetown rather than in the provinces and those appointed by the State accept the task reluctantly because they know that their fees will be low and paid with delays</w:t>
      </w:r>
      <w:r w:rsidRPr="006E6AAA">
        <w:rPr>
          <w:rFonts w:ascii="Calibri" w:eastAsia="Times New Roman" w:hAnsi="Calibri" w:cs="Times New Roman"/>
          <w:vertAlign w:val="superscript"/>
          <w:lang w:val="en-GB" w:eastAsia="da-DK"/>
        </w:rPr>
        <w:footnoteReference w:id="45"/>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strike/>
          <w:lang w:val="en-GB" w:eastAsia="da-DK"/>
        </w:rPr>
      </w:pPr>
      <w:r w:rsidRPr="006E6AAA">
        <w:rPr>
          <w:rFonts w:ascii="Calibri" w:eastAsia="Times New Roman" w:hAnsi="Calibri" w:cs="Times New Roman"/>
          <w:lang w:eastAsia="da-DK"/>
        </w:rPr>
        <w:t>The lack of legal representation affects mostly poor defendants:</w:t>
      </w:r>
      <w:r w:rsidRPr="006E6AAA">
        <w:rPr>
          <w:rFonts w:ascii="Calibri" w:eastAsia="Times New Roman" w:hAnsi="Calibri" w:cs="Times New Roman"/>
          <w:b/>
          <w:i/>
          <w:lang w:eastAsia="da-DK"/>
        </w:rPr>
        <w:t xml:space="preserve"> “</w:t>
      </w:r>
      <w:r w:rsidRPr="006E6AAA">
        <w:rPr>
          <w:rFonts w:ascii="Calibri" w:eastAsia="Times New Roman" w:hAnsi="Calibri" w:cs="Utopia-Regular"/>
          <w:i/>
          <w:lang w:eastAsia="it-IT"/>
        </w:rPr>
        <w:t>Without adequate representation to build and fight a case for them, most defendants end up being convicted</w:t>
      </w:r>
      <w:r w:rsidRPr="006E6AAA">
        <w:rPr>
          <w:rFonts w:ascii="Calibri" w:eastAsia="Times New Roman" w:hAnsi="Calibri" w:cs="Utopia-Regular"/>
          <w:lang w:eastAsia="it-IT"/>
        </w:rPr>
        <w:t>”</w:t>
      </w:r>
      <w:r w:rsidRPr="006E6AAA">
        <w:rPr>
          <w:rFonts w:ascii="Calibri" w:eastAsia="Times New Roman" w:hAnsi="Calibri" w:cs="Utopia-Regular"/>
          <w:vertAlign w:val="superscript"/>
          <w:lang w:eastAsia="it-IT"/>
        </w:rPr>
        <w:footnoteReference w:id="46"/>
      </w: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lang w:eastAsia="it-IT"/>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A</w:t>
      </w:r>
      <w:r w:rsidRPr="006E6AAA">
        <w:rPr>
          <w:rFonts w:ascii="Calibri" w:eastAsia="Times New Roman" w:hAnsi="Calibri" w:cs="Times New Roman"/>
          <w:lang w:val="en-GB" w:eastAsia="da-DK"/>
        </w:rPr>
        <w:t xml:space="preserve">ll interviewed persons unanimously confirmed that </w:t>
      </w:r>
      <w:r w:rsidRPr="006E6AAA">
        <w:rPr>
          <w:rFonts w:ascii="Calibri" w:eastAsia="Times New Roman" w:hAnsi="Calibri" w:cs="Times New Roman"/>
          <w:b/>
          <w:lang w:val="en-GB" w:eastAsia="da-DK"/>
        </w:rPr>
        <w:t>circuit hearings at both Magistrate and High Court level are often held without the presence of lawyers</w:t>
      </w:r>
      <w:r w:rsidRPr="006E6AAA">
        <w:rPr>
          <w:rFonts w:ascii="Calibri" w:eastAsia="Times New Roman" w:hAnsi="Calibri" w:cs="Times New Roman"/>
          <w:lang w:val="en-GB" w:eastAsia="da-DK"/>
        </w:rPr>
        <w:t>. In accordance with the CPA, the State only appoints a defence counsel in cases involving capital offences</w:t>
      </w:r>
      <w:r w:rsidRPr="006E6AAA">
        <w:rPr>
          <w:rFonts w:ascii="Calibri" w:eastAsia="Times New Roman" w:hAnsi="Calibri" w:cs="Times New Roman"/>
          <w:vertAlign w:val="superscript"/>
          <w:lang w:val="en-GB" w:eastAsia="da-DK"/>
        </w:rPr>
        <w:footnoteReference w:id="47"/>
      </w:r>
      <w:r w:rsidRPr="006E6AAA">
        <w:rPr>
          <w:rFonts w:ascii="Calibri" w:eastAsia="Times New Roman" w:hAnsi="Calibri" w:cs="Times New Roman"/>
          <w:lang w:val="en-GB" w:eastAsia="da-DK"/>
        </w:rPr>
        <w:t xml:space="preserve">, namely treason, murder and serious economic crimes.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High Court judge clarified that the current practice is to suspend capital cases unless the accused is represented by a lawyer. This occurred for example during one of the observed trials, which was adjourned because the defence lawyer for a woman accused of murder was expected the next day</w:t>
      </w:r>
      <w:r w:rsidRPr="006E6AAA">
        <w:rPr>
          <w:rFonts w:ascii="Calibri" w:eastAsia="Times New Roman" w:hAnsi="Calibri" w:cs="Times New Roman"/>
          <w:i/>
          <w:lang w:val="en-GB" w:eastAsia="da-DK"/>
        </w:rPr>
        <w:t xml:space="preserve">. </w:t>
      </w:r>
      <w:r w:rsidRPr="006E6AAA">
        <w:rPr>
          <w:rFonts w:ascii="Calibri" w:eastAsia="Times New Roman" w:hAnsi="Calibri" w:cs="Times New Roman"/>
          <w:lang w:val="en-GB" w:eastAsia="da-DK"/>
        </w:rPr>
        <w:t>To be noted that the JSDP report on legal aid questions this practice and states that</w:t>
      </w:r>
      <w:r w:rsidRPr="006E6AAA">
        <w:rPr>
          <w:rFonts w:ascii="Calibri" w:eastAsia="Times New Roman" w:hAnsi="Calibri" w:cs="Times New Roman"/>
          <w:i/>
          <w:lang w:val="en-GB" w:eastAsia="da-DK"/>
        </w:rPr>
        <w:t xml:space="preserve"> “In the provinces outside Freetown, those who are charged with capital offences do not appear to be represented</w:t>
      </w:r>
      <w:r w:rsidRPr="006E6AAA">
        <w:rPr>
          <w:rFonts w:ascii="Calibri" w:eastAsia="Times New Roman" w:hAnsi="Calibri" w:cs="Times New Roman"/>
          <w:lang w:val="en-GB" w:eastAsia="da-DK"/>
        </w:rPr>
        <w:t xml:space="preserve">”. </w:t>
      </w:r>
      <w:r w:rsidRPr="006E6AAA">
        <w:rPr>
          <w:rFonts w:ascii="Calibri" w:eastAsia="Times New Roman" w:hAnsi="Calibri" w:cs="Times New Roman"/>
          <w:vertAlign w:val="superscript"/>
          <w:lang w:val="en-GB" w:eastAsia="da-DK"/>
        </w:rPr>
        <w:footnoteReference w:id="48"/>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ArialNarrow"/>
          <w:lang w:eastAsia="it-IT"/>
        </w:rPr>
      </w:pPr>
      <w:r w:rsidRPr="006E6AAA">
        <w:rPr>
          <w:rFonts w:ascii="Calibri" w:eastAsia="Times New Roman" w:hAnsi="Calibri" w:cs="Times New Roman"/>
          <w:lang w:val="en-GB" w:eastAsia="da-DK"/>
        </w:rPr>
        <w:t xml:space="preserve">A paradoxical impact of the absence of lawyers on the justice system was noted in a 2002 report:  </w:t>
      </w:r>
      <w:r w:rsidRPr="006E6AAA">
        <w:rPr>
          <w:rFonts w:ascii="Calibri" w:eastAsia="Times New Roman" w:hAnsi="Calibri" w:cs="ArialNarrow"/>
          <w:lang w:eastAsia="it-IT"/>
        </w:rPr>
        <w:t>“</w:t>
      </w:r>
      <w:r w:rsidRPr="006E6AAA">
        <w:rPr>
          <w:rFonts w:ascii="Calibri" w:eastAsia="Times New Roman" w:hAnsi="Calibri" w:cs="ArialNarrow"/>
          <w:i/>
          <w:lang w:eastAsia="it-IT"/>
        </w:rPr>
        <w:t>the preponderance of undefended cases, especially in the heavily overloaded magistrates’ courts, has prevented the complete collapse of the system. With capacity stretched to the limit, time is at a premium. As one magistrate explained, undefended cases are easier and quicker to hear, and if not for them, his own court would be crippled with backlogs</w:t>
      </w:r>
      <w:r w:rsidRPr="006E6AAA">
        <w:rPr>
          <w:rFonts w:ascii="Calibri" w:eastAsia="Times New Roman" w:hAnsi="Calibri" w:cs="ArialNarrow"/>
          <w:lang w:eastAsia="it-IT"/>
        </w:rPr>
        <w:t>”</w:t>
      </w:r>
      <w:r w:rsidRPr="006E6AAA">
        <w:rPr>
          <w:rFonts w:ascii="Calibri" w:eastAsia="Times New Roman" w:hAnsi="Calibri" w:cs="ArialNarrow"/>
          <w:vertAlign w:val="superscript"/>
          <w:lang w:eastAsia="it-IT"/>
        </w:rPr>
        <w:footnoteReference w:id="49"/>
      </w:r>
      <w:r w:rsidRPr="006E6AAA">
        <w:rPr>
          <w:rFonts w:ascii="Calibri" w:eastAsia="Times New Roman" w:hAnsi="Calibri" w:cs="ArialNarrow"/>
          <w:lang w:eastAsia="it-IT"/>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ArialNarrow"/>
          <w:lang w:eastAsia="it-IT"/>
        </w:rPr>
        <w:t xml:space="preserve">The observed circuit trials reflect this opinion as some of the hearings were extremely speedy and consisted in a dialogue between the police prosecutor/state counsel and the magistrate/judge, without any opportunity for the accused to participate in the trial.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This perception might also show through the bailiff’s opinion that </w:t>
      </w:r>
      <w:r w:rsidRPr="006E6AAA">
        <w:rPr>
          <w:rFonts w:ascii="Calibri" w:eastAsia="Times New Roman" w:hAnsi="Calibri" w:cs="Times New Roman"/>
          <w:lang w:eastAsia="da-DK"/>
        </w:rPr>
        <w:t>“</w:t>
      </w:r>
      <w:r w:rsidRPr="006E6AAA">
        <w:rPr>
          <w:rFonts w:ascii="Calibri" w:eastAsia="Times New Roman" w:hAnsi="Calibri" w:cs="Times New Roman"/>
          <w:i/>
          <w:lang w:eastAsia="da-DK"/>
        </w:rPr>
        <w:t>lawyers who come from Freetown cause unnecessary delays</w:t>
      </w:r>
      <w:r w:rsidRPr="006E6AAA">
        <w:rPr>
          <w:rFonts w:ascii="Calibri" w:eastAsia="Times New Roman" w:hAnsi="Calibri" w:cs="Times New Roman"/>
          <w:lang w:eastAsia="da-DK"/>
        </w:rPr>
        <w:t>” and the jurors statement that “</w:t>
      </w:r>
      <w:r w:rsidRPr="006E6AAA">
        <w:rPr>
          <w:rFonts w:ascii="Calibri" w:eastAsia="Times New Roman" w:hAnsi="Calibri" w:cs="Times New Roman"/>
          <w:i/>
          <w:lang w:eastAsia="da-DK"/>
        </w:rPr>
        <w:t>when a defense lawyer comes from Freetown there are lots of discussions between the state counsel and the lawyer</w:t>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A common opinion among legal practitioners is that</w:t>
      </w:r>
      <w:r w:rsidRPr="006E6AAA">
        <w:rPr>
          <w:rFonts w:ascii="Calibri" w:eastAsia="Times New Roman" w:hAnsi="Calibri" w:cs="Times New Roman"/>
          <w:lang w:val="en-GB" w:eastAsia="da-DK"/>
        </w:rPr>
        <w:t xml:space="preserve"> the intervention of a lawyer should occur as early as possible in the process, ideally during arrest and before the case enters the judicial system in order to get the detainee bailed. </w:t>
      </w:r>
      <w:r w:rsidRPr="006E6AAA">
        <w:rPr>
          <w:rFonts w:ascii="Calibri" w:eastAsia="Times New Roman" w:hAnsi="Calibri" w:cs="Times New Roman"/>
          <w:b/>
          <w:lang w:val="en-GB" w:eastAsia="da-DK"/>
        </w:rPr>
        <w:t>It is therefore important that legal aid lawyers are made available at the magistrate level and not only before the High Court.</w:t>
      </w:r>
      <w:r w:rsidRPr="006E6AAA">
        <w:rPr>
          <w:rFonts w:ascii="Calibri" w:eastAsia="Times New Roman" w:hAnsi="Calibri" w:cs="Times New Roman"/>
          <w:lang w:val="en-GB" w:eastAsia="da-DK"/>
        </w:rPr>
        <w:t xml:space="preserve"> This is evident for serious cases under </w:t>
      </w:r>
      <w:r w:rsidRPr="006E6AAA">
        <w:rPr>
          <w:rFonts w:ascii="Calibri" w:eastAsia="Times New Roman" w:hAnsi="Calibri" w:cs="Times New Roman"/>
          <w:lang w:val="en-GB" w:eastAsia="da-DK"/>
        </w:rPr>
        <w:lastRenderedPageBreak/>
        <w:t xml:space="preserve">preliminary investigation (PI) at the magistrate level: the PI can last for months and when the case arrives before the High Court the detainee has maybe been on remand for several months, if not years.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Lawyers</w:t>
      </w:r>
      <w:r w:rsidRPr="006E6AAA">
        <w:rPr>
          <w:rFonts w:ascii="Calibri" w:eastAsia="Times New Roman" w:hAnsi="Calibri" w:cs="Times New Roman"/>
          <w:lang w:eastAsia="da-DK"/>
        </w:rPr>
        <w:t xml:space="preserve"> </w:t>
      </w:r>
      <w:r w:rsidRPr="006E6AAA">
        <w:rPr>
          <w:rFonts w:ascii="Calibri" w:eastAsia="Times New Roman" w:hAnsi="Calibri" w:cs="Times New Roman"/>
          <w:lang w:val="en-GB" w:eastAsia="da-DK"/>
        </w:rPr>
        <w:t xml:space="preserve">before circuit courts often face challenges to adequately prepare the litigation strategy as the arrival of the court is usually communicated at the last moment and often delayed.  </w:t>
      </w:r>
    </w:p>
    <w:p w:rsidR="006E6AAA" w:rsidRPr="006E6AAA" w:rsidRDefault="006E6AAA" w:rsidP="006E6AAA">
      <w:pPr>
        <w:spacing w:after="0" w:line="270" w:lineRule="atLeast"/>
        <w:rPr>
          <w:rFonts w:ascii="Times New Roman" w:eastAsia="Times New Roman" w:hAnsi="Times New Roman" w:cs="Times New Roman"/>
          <w:sz w:val="20"/>
          <w:szCs w:val="20"/>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Finally it’s worth considering if an effective way to strengthen the capacities of Police Prosecutors in Magistrate Courts, would be to ensure that a legal aid lawyer is present in addition to the Police Prosecutor to better protect the interests of the victim, on the model of the civil law system.</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Calibri" w:eastAsia="Times New Roman" w:hAnsi="Calibri" w:cs="Times New Roman"/>
          <w:b/>
          <w:i/>
          <w:lang w:val="en-GB" w:eastAsia="da-DK"/>
        </w:rPr>
        <w:t>2. Assistance of an interpreter</w:t>
      </w:r>
    </w:p>
    <w:p w:rsidR="006E6AAA" w:rsidRPr="006E6AAA" w:rsidRDefault="006E6AAA" w:rsidP="006E6AAA">
      <w:pPr>
        <w:spacing w:after="0" w:line="280" w:lineRule="exact"/>
        <w:jc w:val="both"/>
        <w:rPr>
          <w:rFonts w:ascii="Calibri" w:eastAsia="Times New Roman" w:hAnsi="Calibri" w:cs="Times New Roman"/>
          <w:b/>
          <w:i/>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color w:val="2A2A2A"/>
          <w:lang w:val="en-GB" w:eastAsia="da-DK"/>
        </w:rPr>
      </w:pPr>
      <w:r w:rsidRPr="006E6AAA">
        <w:rPr>
          <w:rFonts w:ascii="Calibri" w:eastAsia="Times New Roman" w:hAnsi="Calibri" w:cs="Times New Roman"/>
          <w:lang w:eastAsia="da-DK"/>
        </w:rPr>
        <w:t xml:space="preserve">The second aspect that hinders an adequate participation of the parties to the cases originates from article 78 of the Courts Act which stipulates: </w:t>
      </w:r>
      <w:r w:rsidRPr="006E6AAA">
        <w:rPr>
          <w:rFonts w:ascii="Calibri" w:eastAsia="Times New Roman" w:hAnsi="Calibri" w:cs="Times New Roman"/>
          <w:color w:val="2A2A2A"/>
          <w:lang w:val="en-GB" w:eastAsia="da-DK"/>
        </w:rPr>
        <w:t>“</w:t>
      </w:r>
      <w:r w:rsidRPr="006E6AAA">
        <w:rPr>
          <w:rFonts w:ascii="Calibri" w:eastAsia="Times New Roman" w:hAnsi="Calibri" w:cs="Times New Roman"/>
          <w:i/>
          <w:color w:val="2A2A2A"/>
          <w:lang w:val="en-GB" w:eastAsia="da-DK"/>
        </w:rPr>
        <w:t>the language of the Court established under the Constitution and this act shall be English</w:t>
      </w:r>
      <w:r w:rsidRPr="006E6AAA">
        <w:rPr>
          <w:rFonts w:ascii="Calibri" w:eastAsia="Times New Roman" w:hAnsi="Calibri" w:cs="Times New Roman"/>
          <w:color w:val="2A2A2A"/>
          <w:lang w:val="en-GB"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color w:val="2A2A2A"/>
          <w:lang w:val="en-GB" w:eastAsia="da-DK"/>
        </w:rPr>
      </w:pPr>
      <w:r w:rsidRPr="006E6AAA">
        <w:rPr>
          <w:rFonts w:ascii="Calibri" w:eastAsia="Times New Roman" w:hAnsi="Calibri" w:cs="Times New Roman"/>
          <w:color w:val="2A2A2A"/>
          <w:lang w:val="en-GB" w:eastAsia="da-DK"/>
        </w:rPr>
        <w:t xml:space="preserve">The provision places Magistrates is </w:t>
      </w:r>
      <w:r w:rsidRPr="006E6AAA">
        <w:rPr>
          <w:rFonts w:ascii="Calibri" w:eastAsia="Times New Roman" w:hAnsi="Calibri" w:cs="Times New Roman"/>
          <w:lang w:val="en-GB" w:eastAsia="da-DK"/>
        </w:rPr>
        <w:t xml:space="preserve">a difficult position:  they </w:t>
      </w:r>
      <w:r w:rsidRPr="006E6AAA">
        <w:rPr>
          <w:rFonts w:ascii="Calibri" w:eastAsia="Times New Roman" w:hAnsi="Calibri" w:cs="Times New Roman"/>
          <w:b/>
          <w:lang w:val="en-GB" w:eastAsia="da-DK"/>
        </w:rPr>
        <w:t>are only authorised to use</w:t>
      </w:r>
      <w:r w:rsidRPr="006E6AAA">
        <w:rPr>
          <w:rFonts w:ascii="Calibri" w:eastAsia="Times New Roman" w:hAnsi="Calibri" w:cs="Times New Roman"/>
          <w:b/>
          <w:color w:val="2A2A2A"/>
          <w:lang w:val="en-GB" w:eastAsia="da-DK"/>
        </w:rPr>
        <w:t xml:space="preserve"> English during the trial</w:t>
      </w:r>
      <w:r w:rsidRPr="006E6AAA">
        <w:rPr>
          <w:rFonts w:ascii="Calibri" w:eastAsia="Times New Roman" w:hAnsi="Calibri" w:cs="Times New Roman"/>
          <w:color w:val="2A2A2A"/>
          <w:lang w:val="en-GB" w:eastAsia="da-DK"/>
        </w:rPr>
        <w:t xml:space="preserve">, although they speak local languages and most likely Krio, which is Sierra Leone’s </w:t>
      </w:r>
      <w:r w:rsidRPr="006E6AAA">
        <w:rPr>
          <w:rFonts w:ascii="Calibri" w:eastAsia="Times New Roman" w:hAnsi="Calibri" w:cs="Times New Roman"/>
          <w:i/>
          <w:color w:val="2A2A2A"/>
          <w:lang w:val="en-GB" w:eastAsia="da-DK"/>
        </w:rPr>
        <w:t>lingua franca</w:t>
      </w:r>
      <w:r w:rsidRPr="006E6AAA">
        <w:rPr>
          <w:rFonts w:ascii="Calibri" w:eastAsia="Times New Roman" w:hAnsi="Calibri" w:cs="Times New Roman"/>
          <w:color w:val="2A2A2A"/>
          <w:lang w:val="en-GB"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color w:val="2A2A2A"/>
          <w:lang w:val="en-GB" w:eastAsia="da-DK"/>
        </w:rPr>
        <w:t>Asked if Magistrates could use the local language to facilitate the understanding of justice users, most interviewed persons (</w:t>
      </w:r>
      <w:r w:rsidRPr="006E6AAA">
        <w:rPr>
          <w:rFonts w:ascii="Calibri" w:eastAsia="Times New Roman" w:hAnsi="Calibri" w:cs="Times New Roman"/>
          <w:lang w:val="en-GB" w:eastAsia="da-DK"/>
        </w:rPr>
        <w:t>including judicial staff</w:t>
      </w:r>
      <w:r w:rsidRPr="006E6AAA">
        <w:rPr>
          <w:rFonts w:ascii="Calibri" w:eastAsia="Times New Roman" w:hAnsi="Calibri" w:cs="Times New Roman"/>
          <w:color w:val="2A2A2A"/>
          <w:lang w:val="en-GB" w:eastAsia="da-DK"/>
        </w:rPr>
        <w:t>) replied that “</w:t>
      </w:r>
      <w:r w:rsidRPr="006E6AAA">
        <w:rPr>
          <w:rFonts w:ascii="Calibri" w:eastAsia="Times New Roman" w:hAnsi="Calibri" w:cs="Times New Roman"/>
          <w:i/>
          <w:color w:val="2A2A2A"/>
          <w:lang w:val="en-GB" w:eastAsia="da-DK"/>
        </w:rPr>
        <w:t>this is the system and it can not be changed: judges must speak in English</w:t>
      </w:r>
      <w:r w:rsidRPr="006E6AAA">
        <w:rPr>
          <w:rFonts w:ascii="Calibri" w:eastAsia="Times New Roman" w:hAnsi="Calibri" w:cs="Times New Roman"/>
          <w:color w:val="2A2A2A"/>
          <w:lang w:val="en-GB" w:eastAsia="da-DK"/>
        </w:rPr>
        <w:t>”. It is however common practice at magistrate level to grant police prosecutors and eventual lawyers to either lead or cross-examine witnesses in the local language. In addition t</w:t>
      </w:r>
      <w:r w:rsidRPr="006E6AAA">
        <w:rPr>
          <w:rFonts w:ascii="Calibri" w:eastAsia="Times New Roman" w:hAnsi="Calibri" w:cs="Times New Roman"/>
          <w:lang w:eastAsia="da-DK"/>
        </w:rPr>
        <w:t>he Constitution grants the parties to the case the right to use the language in which they are confident.</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color w:val="2A2A2A"/>
          <w:lang w:val="en-GB" w:eastAsia="da-DK"/>
        </w:rPr>
      </w:pPr>
      <w:r w:rsidRPr="006E6AAA">
        <w:rPr>
          <w:rFonts w:ascii="Calibri" w:eastAsia="Times New Roman" w:hAnsi="Calibri" w:cs="Times New Roman"/>
          <w:color w:val="2A2A2A"/>
          <w:lang w:val="en-GB" w:eastAsia="da-DK"/>
        </w:rPr>
        <w:t>The consultant observed that trials appear very confusing and are difficult to follow due to the overlapping of these different languages; during one of the hearings an accused person was derided because, according to the Police Prosecutor, was pretending not to speak English.</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color w:val="2A2A2A"/>
          <w:lang w:val="en-GB" w:eastAsia="da-DK"/>
        </w:rPr>
      </w:pPr>
    </w:p>
    <w:p w:rsidR="006E6AAA" w:rsidRPr="006E6AAA" w:rsidRDefault="006E6AAA" w:rsidP="006E6AAA">
      <w:pPr>
        <w:spacing w:after="0" w:line="270" w:lineRule="atLeast"/>
        <w:jc w:val="both"/>
        <w:rPr>
          <w:rFonts w:ascii="Calibri" w:eastAsia="Times New Roman" w:hAnsi="Calibri" w:cs="Times New Roman"/>
          <w:lang w:eastAsia="da-DK"/>
        </w:rPr>
      </w:pPr>
      <w:r w:rsidRPr="006E6AAA">
        <w:rPr>
          <w:rFonts w:ascii="Calibri" w:eastAsia="Times New Roman" w:hAnsi="Calibri" w:cs="Times New Roman"/>
          <w:color w:val="2A2A2A"/>
          <w:lang w:val="en-GB" w:eastAsia="da-DK"/>
        </w:rPr>
        <w:t xml:space="preserve">Many interviewed persons reported that a lot of </w:t>
      </w:r>
      <w:r w:rsidRPr="006E6AAA">
        <w:rPr>
          <w:rFonts w:ascii="Calibri" w:eastAsia="Times New Roman" w:hAnsi="Calibri" w:cs="Times New Roman"/>
          <w:b/>
          <w:color w:val="2A2A2A"/>
          <w:lang w:val="en-GB" w:eastAsia="da-DK"/>
        </w:rPr>
        <w:t>information gets lost or wrongly interpreted in the translation, as there are few professional interpreters</w:t>
      </w:r>
      <w:r w:rsidRPr="006E6AAA">
        <w:rPr>
          <w:rFonts w:ascii="Calibri" w:eastAsia="Times New Roman" w:hAnsi="Calibri" w:cs="Times New Roman"/>
          <w:color w:val="2A2A2A"/>
          <w:vertAlign w:val="superscript"/>
          <w:lang w:val="en-GB" w:eastAsia="da-DK"/>
        </w:rPr>
        <w:footnoteReference w:id="50"/>
      </w:r>
      <w:r w:rsidRPr="006E6AAA">
        <w:rPr>
          <w:rFonts w:ascii="Calibri" w:eastAsia="Times New Roman" w:hAnsi="Calibri" w:cs="Times New Roman"/>
          <w:color w:val="2A2A2A"/>
          <w:lang w:val="en-GB" w:eastAsia="da-DK"/>
        </w:rPr>
        <w:t xml:space="preserve">. </w:t>
      </w:r>
      <w:r w:rsidRPr="006E6AAA">
        <w:rPr>
          <w:rFonts w:ascii="Calibri" w:eastAsia="Times New Roman" w:hAnsi="Calibri" w:cs="Times New Roman"/>
          <w:lang w:val="en-GB" w:eastAsia="da-DK"/>
        </w:rPr>
        <w:t xml:space="preserve">A common practice is that translations are conducted by court clerks, police prosecutors or by people from the public asked to volunteer to serve as interpreter. </w:t>
      </w:r>
      <w:r w:rsidRPr="006E6AAA">
        <w:rPr>
          <w:rFonts w:ascii="Calibri" w:eastAsia="Times New Roman" w:hAnsi="Calibri" w:cs="Times New Roman"/>
          <w:lang w:eastAsia="da-DK"/>
        </w:rPr>
        <w:t xml:space="preserve">Court monitors added that “if you </w:t>
      </w:r>
      <w:r w:rsidRPr="006E6AAA">
        <w:rPr>
          <w:rFonts w:ascii="Calibri" w:eastAsia="Times New Roman" w:hAnsi="Calibri" w:cs="Times New Roman"/>
          <w:i/>
          <w:lang w:eastAsia="da-DK"/>
        </w:rPr>
        <w:t>don’t want your matter to go the wrong way, you pay an interpreter</w:t>
      </w:r>
      <w:r w:rsidRPr="006E6AAA">
        <w:rPr>
          <w:rFonts w:ascii="Calibri" w:eastAsia="Times New Roman" w:hAnsi="Calibri" w:cs="Times New Roman"/>
          <w:lang w:eastAsia="da-DK"/>
        </w:rPr>
        <w:t xml:space="preserve">”. </w:t>
      </w: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It appears however that only the questions to the accused or witness are translated, not the rest of the proceedings, which, combined with the absence of a lawyer who can explain the procedures, curtails the constitutional right to be tried in a language the accused understands.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 Moyamba Magistrate reported that he always ensured that the parties to the cases would have the opportunity the express themselves in the language of their choice; in addition he would spend additional time explaining legal procedures. This was the case in one of the observed trials, during which</w:t>
      </w:r>
      <w:r w:rsidRPr="006E6AAA">
        <w:rPr>
          <w:rFonts w:ascii="Calibri" w:eastAsia="Times New Roman" w:hAnsi="Calibri" w:cs="Times New Roman"/>
          <w:lang w:val="en-GB" w:eastAsia="da-DK"/>
        </w:rPr>
        <w:t xml:space="preserve"> he clarified some important legal aspects related to domestic violence. Notwithstanding the parties to the case officially confirmed that they spoke English, when they were later interviewed by the consultant it was clear that their level of English was too poor to have understood the informative speech of the Magistrate.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Asked to suggest a solution, most interviewed people referred to international human rights standards and Section 23(5) of the Constitution to recommend that courts should provide interpreters.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While this might be appropriate for the High Court, several persons proposed a more people-centred solution at the Magistrate level.  Namati and DFID suggested advocating for a </w:t>
      </w:r>
      <w:r w:rsidRPr="006E6AAA">
        <w:rPr>
          <w:rFonts w:ascii="Calibri" w:eastAsia="Times New Roman" w:hAnsi="Calibri" w:cs="Times New Roman"/>
          <w:b/>
          <w:lang w:val="en-GB" w:eastAsia="da-DK"/>
        </w:rPr>
        <w:t>change in the legal practice aiming at authorising the use of Krio or other local language during trials before Magistrate Courts</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Such changes would require advocating for a legislative reform and could be then implemented by introducing new SOPs for justice officials, eventually building on existing documents as the JSDP “</w:t>
      </w:r>
      <w:r w:rsidRPr="006E6AAA">
        <w:rPr>
          <w:rFonts w:ascii="Calibri" w:eastAsia="Times New Roman" w:hAnsi="Calibri" w:cs="Times New Roman"/>
          <w:i/>
          <w:lang w:val="en-GB" w:eastAsia="da-DK"/>
        </w:rPr>
        <w:t>Criminal case management handbook</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lack of legal representation combined with the absence of an interpreter as well as the strong formalism of Sierra Leonean court procedures, seriously curtails the right of case parties to participate in MC trials and confines them to an isolated and weak position</w:t>
      </w:r>
      <w:r w:rsidRPr="006E6AAA">
        <w:rPr>
          <w:rFonts w:ascii="Calibri" w:eastAsia="Times New Roman" w:hAnsi="Calibri" w:cs="Times New Roman"/>
          <w:vertAlign w:val="superscript"/>
          <w:lang w:val="en-GB" w:eastAsia="da-DK"/>
        </w:rPr>
        <w:footnoteReference w:id="51"/>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Recalling the centrality of legal empowerment and access to justice approaches to UNDP programming, it is recommended to complement the support to MC with additional interventions aiming at ensuring an adequate participation of the parties to the cases in the circuit trials. Some suggestions are illustrated below.</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23"/>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should actively contribute to the </w:t>
      </w:r>
      <w:r w:rsidRPr="006E6AAA">
        <w:rPr>
          <w:rFonts w:ascii="Calibri" w:eastAsia="Times New Roman" w:hAnsi="Calibri" w:cs="Times New Roman"/>
          <w:b/>
          <w:lang w:val="en-GB" w:eastAsia="da-DK"/>
        </w:rPr>
        <w:t xml:space="preserve">debate on the implementation of the recently adopted Legal Aid Act </w:t>
      </w:r>
      <w:r w:rsidRPr="006E6AAA">
        <w:rPr>
          <w:rFonts w:ascii="Calibri" w:eastAsia="Times New Roman" w:hAnsi="Calibri" w:cs="Times New Roman"/>
          <w:lang w:val="en-GB" w:eastAsia="da-DK"/>
        </w:rPr>
        <w:t>, for example by continuing to participate in the related working group</w:t>
      </w:r>
      <w:r w:rsidRPr="006E6AAA">
        <w:rPr>
          <w:rFonts w:ascii="Calibri" w:eastAsia="Times New Roman" w:hAnsi="Calibri" w:cs="Times New Roman"/>
          <w:lang w:eastAsia="da-DK"/>
        </w:rPr>
        <w:t xml:space="preserve"> to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w:t>
      </w:r>
      <w:r w:rsidRPr="006E6AAA">
        <w:rPr>
          <w:rFonts w:ascii="Calibri" w:eastAsia="Times New Roman" w:hAnsi="Calibri" w:cs="Times New Roman"/>
          <w:lang w:val="en-GB" w:eastAsia="da-DK"/>
        </w:rPr>
        <w:t xml:space="preserve">advocate for the application of the future free legal aid scheme to the MC system. </w:t>
      </w:r>
    </w:p>
    <w:p w:rsidR="006E6AAA" w:rsidRPr="006E6AAA" w:rsidRDefault="006E6AAA" w:rsidP="006E6AAA">
      <w:pPr>
        <w:numPr>
          <w:ilvl w:val="0"/>
          <w:numId w:val="23"/>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Explore the opportunity of re-establishing a</w:t>
      </w:r>
      <w:r w:rsidRPr="006E6AAA">
        <w:rPr>
          <w:rFonts w:ascii="Calibri" w:eastAsia="Times New Roman" w:hAnsi="Calibri" w:cs="Times New Roman"/>
          <w:b/>
          <w:lang w:eastAsia="da-DK"/>
        </w:rPr>
        <w:t xml:space="preserve"> UNDP funded </w:t>
      </w:r>
      <w:r w:rsidRPr="006E6AAA">
        <w:rPr>
          <w:rFonts w:ascii="Calibri" w:eastAsia="Times New Roman" w:hAnsi="Calibri" w:cs="Times New Roman"/>
          <w:b/>
          <w:lang w:val="en-GB" w:eastAsia="da-DK"/>
        </w:rPr>
        <w:t xml:space="preserve">legal aid scheme </w:t>
      </w:r>
      <w:r w:rsidRPr="006E6AAA">
        <w:rPr>
          <w:rFonts w:ascii="Calibri" w:eastAsia="Times New Roman" w:hAnsi="Calibri" w:cs="Times New Roman"/>
          <w:lang w:val="en-GB" w:eastAsia="da-DK"/>
        </w:rPr>
        <w:t>(as in 2012), at least for SGBV cases and in coordination with the planned ASJP initiative to provide legal aid for capital cases. If several donors are involved it might be worth to explore the possibility of promoting a UNDP managed Basket Fund for the activities falling under the Legal Aid Act, including legal representation in MC hearings.</w:t>
      </w:r>
    </w:p>
    <w:p w:rsidR="006E6AAA" w:rsidRPr="006E6AAA" w:rsidRDefault="006E6AAA" w:rsidP="006E6AAA">
      <w:pPr>
        <w:numPr>
          <w:ilvl w:val="0"/>
          <w:numId w:val="23"/>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option of including a </w:t>
      </w:r>
      <w:r w:rsidRPr="006E6AAA">
        <w:rPr>
          <w:rFonts w:ascii="Calibri" w:eastAsia="Times New Roman" w:hAnsi="Calibri" w:cs="Times New Roman"/>
          <w:b/>
          <w:lang w:val="en-GB" w:eastAsia="da-DK"/>
        </w:rPr>
        <w:t>salaried lawyer in the MC team</w:t>
      </w:r>
      <w:r w:rsidRPr="006E6AAA">
        <w:rPr>
          <w:rFonts w:ascii="Calibri" w:eastAsia="Times New Roman" w:hAnsi="Calibri" w:cs="Times New Roman"/>
          <w:lang w:val="en-GB" w:eastAsia="da-DK"/>
        </w:rPr>
        <w:t xml:space="preserve"> was discussed, but found not ideal by most interviewed. The main reason was that the lawyer would not have time to ensure an adequate representation as it would not be possible to meet the client in advance. </w:t>
      </w:r>
    </w:p>
    <w:p w:rsidR="006E6AAA" w:rsidRPr="006E6AAA" w:rsidRDefault="006E6AAA" w:rsidP="006E6AAA">
      <w:pPr>
        <w:spacing w:after="0" w:line="280" w:lineRule="exact"/>
        <w:ind w:left="576"/>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A preferred </w:t>
      </w:r>
      <w:r w:rsidRPr="006E6AAA">
        <w:rPr>
          <w:rFonts w:ascii="Calibri" w:eastAsia="Times New Roman" w:hAnsi="Calibri" w:cs="Times New Roman"/>
          <w:lang w:eastAsia="da-DK"/>
        </w:rPr>
        <w:t>solution was to support some lawyers to establish their practice in a few key districts. Supporting lawyers could indirectly address the issue of shortage of magistrates: considered that in Sierra Leone becoming a magistrate requires a minimum of 3 years of practice as a lawyer, legal aid lawyers could be encouraged to establish their practice in the provinces in  the prospect of serving as magistrates in the future.</w:t>
      </w:r>
    </w:p>
    <w:p w:rsidR="006E6AAA" w:rsidRPr="006E6AAA" w:rsidRDefault="006E6AAA" w:rsidP="006E6AAA">
      <w:pPr>
        <w:numPr>
          <w:ilvl w:val="0"/>
          <w:numId w:val="2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NGO representatives, in particular Timap and Namati, pointed out that for a free legal aid scheme to be effective, lawyers should be supported by a network of </w:t>
      </w:r>
      <w:r w:rsidRPr="006E6AAA">
        <w:rPr>
          <w:rFonts w:ascii="Calibri" w:eastAsia="Times New Roman" w:hAnsi="Calibri" w:cs="Times New Roman"/>
          <w:b/>
          <w:lang w:val="en-GB" w:eastAsia="da-DK"/>
        </w:rPr>
        <w:t>community based paralegals</w:t>
      </w:r>
      <w:r w:rsidRPr="006E6AAA">
        <w:rPr>
          <w:rFonts w:ascii="Calibri" w:eastAsia="Times New Roman" w:hAnsi="Calibri" w:cs="Times New Roman"/>
          <w:lang w:val="en-GB" w:eastAsia="da-DK"/>
        </w:rPr>
        <w:t xml:space="preserve">.  </w:t>
      </w:r>
      <w:r w:rsidRPr="006E6AAA">
        <w:rPr>
          <w:rFonts w:ascii="Calibri" w:eastAsia="Times New Roman" w:hAnsi="Calibri" w:cs="Times New Roman"/>
          <w:lang w:eastAsia="da-DK"/>
        </w:rPr>
        <w:t>The Moyamba magistrate welcomed this suggestion and referred that he “</w:t>
      </w:r>
      <w:r w:rsidRPr="006E6AAA">
        <w:rPr>
          <w:rFonts w:ascii="Calibri" w:eastAsia="Times New Roman" w:hAnsi="Calibri" w:cs="Times New Roman"/>
          <w:i/>
          <w:lang w:eastAsia="da-DK"/>
        </w:rPr>
        <w:t>has never seen paralegals in his court</w:t>
      </w:r>
      <w:r w:rsidRPr="006E6AAA">
        <w:rPr>
          <w:rFonts w:ascii="Calibri" w:eastAsia="Times New Roman" w:hAnsi="Calibri" w:cs="Times New Roman"/>
          <w:lang w:eastAsia="da-DK"/>
        </w:rPr>
        <w:t xml:space="preserve">”, except occasionally when they came to follow up on a personal case. </w:t>
      </w:r>
    </w:p>
    <w:p w:rsidR="006E6AAA" w:rsidRPr="006E6AAA" w:rsidRDefault="006E6AAA" w:rsidP="006E6AAA">
      <w:pPr>
        <w:spacing w:after="0" w:line="280" w:lineRule="exact"/>
        <w:ind w:left="576"/>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Paralegals would play a key role in increasing the participation of MC users in the justice system </w:t>
      </w:r>
      <w:r w:rsidRPr="006E6AAA">
        <w:rPr>
          <w:rFonts w:ascii="Calibri" w:eastAsia="Times New Roman" w:hAnsi="Calibri" w:cs="Times New Roman"/>
          <w:lang w:eastAsia="da-DK"/>
        </w:rPr>
        <w:t>by explaining legal procedures and making the MC services closer to the communities</w:t>
      </w:r>
      <w:r w:rsidRPr="006E6AAA">
        <w:rPr>
          <w:rFonts w:ascii="Calibri" w:eastAsia="Times New Roman" w:hAnsi="Calibri" w:cs="Times New Roman"/>
          <w:lang w:val="en-GB" w:eastAsia="da-DK"/>
        </w:rPr>
        <w:t>. B</w:t>
      </w:r>
      <w:r w:rsidRPr="006E6AAA">
        <w:rPr>
          <w:rFonts w:ascii="Calibri" w:eastAsia="Times New Roman" w:hAnsi="Calibri" w:cs="Times New Roman"/>
          <w:lang w:eastAsia="da-DK"/>
        </w:rPr>
        <w:t xml:space="preserve">est </w:t>
      </w:r>
      <w:r w:rsidRPr="006E6AAA">
        <w:rPr>
          <w:rFonts w:ascii="Calibri" w:eastAsia="Times New Roman" w:hAnsi="Calibri" w:cs="Times New Roman"/>
          <w:lang w:eastAsia="da-DK"/>
        </w:rPr>
        <w:lastRenderedPageBreak/>
        <w:t>practices in using paralegal services to complement a MC intervention can be drawn from the DRC experience, where paralegals meet with the community before and after the MC hearing to prepare the parties to the case and discuss the verdict.</w:t>
      </w:r>
      <w:r w:rsidRPr="006E6AAA">
        <w:rPr>
          <w:rFonts w:ascii="Calibri" w:eastAsia="Times New Roman" w:hAnsi="Calibri" w:cs="Times New Roman"/>
          <w:vertAlign w:val="superscript"/>
          <w:lang w:eastAsia="da-DK"/>
        </w:rPr>
        <w:footnoteReference w:id="52"/>
      </w:r>
      <w:r w:rsidRPr="006E6AAA">
        <w:rPr>
          <w:rFonts w:ascii="Calibri" w:eastAsia="Times New Roman" w:hAnsi="Calibri" w:cs="Times New Roman"/>
          <w:lang w:eastAsia="da-DK"/>
        </w:rPr>
        <w:t xml:space="preserve"> Paralegals would also play a key role in preparing the files before the arrival of the lawyer for example by collecting in advance the required documents or identifying eventual sureties and witnesses.</w:t>
      </w:r>
    </w:p>
    <w:p w:rsidR="006E6AAA" w:rsidRPr="006E6AAA" w:rsidRDefault="006E6AAA" w:rsidP="006E6AAA">
      <w:pPr>
        <w:spacing w:after="0" w:line="280" w:lineRule="exact"/>
        <w:ind w:left="576"/>
        <w:jc w:val="both"/>
        <w:rPr>
          <w:rFonts w:ascii="Calibri" w:eastAsia="Times New Roman" w:hAnsi="Calibri" w:cs="Times New Roman"/>
          <w:lang w:eastAsia="da-DK"/>
        </w:rPr>
      </w:pPr>
      <w:r w:rsidRPr="006E6AAA">
        <w:rPr>
          <w:rFonts w:ascii="Calibri" w:eastAsia="Times New Roman" w:hAnsi="Calibri" w:cs="Times New Roman"/>
          <w:lang w:eastAsia="da-DK"/>
        </w:rPr>
        <w:t>Timap developed a best practice in the Eastern province with the organization of joint trainings for paralegals, court staff and magistrates; the initiative had a positive impact in terms of increasing mutual confidence, strengthening the relationships and understanding respective roles.</w:t>
      </w:r>
    </w:p>
    <w:p w:rsidR="006E6AAA" w:rsidRPr="006E6AAA" w:rsidRDefault="006E6AAA" w:rsidP="006E6AAA">
      <w:pPr>
        <w:spacing w:after="0" w:line="280" w:lineRule="exact"/>
        <w:ind w:left="576"/>
        <w:jc w:val="both"/>
        <w:rPr>
          <w:rFonts w:ascii="Calibri" w:eastAsia="Times New Roman" w:hAnsi="Calibri" w:cs="Times New Roman"/>
          <w:lang w:eastAsia="da-DK"/>
        </w:rPr>
      </w:pPr>
      <w:r w:rsidRPr="006E6AAA">
        <w:rPr>
          <w:rFonts w:ascii="Calibri" w:eastAsia="Times New Roman" w:hAnsi="Calibri" w:cs="Times New Roman"/>
          <w:lang w:eastAsia="da-DK"/>
        </w:rPr>
        <w:t>The UNDP project manager explained that UNDP will support the court monitors working under the CSO network to attend the additional TIMAP training required to become certified paralegals, as provided for by the legal aid bill</w:t>
      </w:r>
      <w:r w:rsidRPr="006E6AAA">
        <w:rPr>
          <w:rFonts w:ascii="Calibri" w:eastAsia="Times New Roman" w:hAnsi="Calibri" w:cs="Times New Roman"/>
          <w:vertAlign w:val="superscript"/>
          <w:lang w:eastAsia="da-DK"/>
        </w:rPr>
        <w:footnoteReference w:id="53"/>
      </w:r>
      <w:r w:rsidRPr="006E6AAA">
        <w:rPr>
          <w:rFonts w:ascii="Calibri" w:eastAsia="Times New Roman" w:hAnsi="Calibri" w:cs="Times New Roman"/>
          <w:lang w:eastAsia="da-DK"/>
        </w:rPr>
        <w:t>. In addition, from 1</w:t>
      </w:r>
      <w:r w:rsidRPr="006E6AAA">
        <w:rPr>
          <w:rFonts w:ascii="Calibri" w:eastAsia="Times New Roman" w:hAnsi="Calibri" w:cs="Times New Roman"/>
          <w:vertAlign w:val="superscript"/>
          <w:lang w:eastAsia="da-DK"/>
        </w:rPr>
        <w:t>st</w:t>
      </w:r>
      <w:r w:rsidRPr="006E6AAA">
        <w:rPr>
          <w:rFonts w:ascii="Calibri" w:eastAsia="Times New Roman" w:hAnsi="Calibri" w:cs="Times New Roman"/>
          <w:lang w:eastAsia="da-DK"/>
        </w:rPr>
        <w:t xml:space="preserve"> of April 2013, court monitors will start providing paralegal assistance in support to mobile courts. </w:t>
      </w:r>
    </w:p>
    <w:p w:rsidR="006E6AAA" w:rsidRPr="006E6AAA" w:rsidRDefault="006E6AAA" w:rsidP="006E6AAA">
      <w:pPr>
        <w:spacing w:after="0" w:line="280" w:lineRule="exact"/>
        <w:ind w:left="288"/>
        <w:jc w:val="both"/>
        <w:rPr>
          <w:rFonts w:ascii="Calibri" w:eastAsia="Times New Roman" w:hAnsi="Calibri" w:cs="Times New Roman"/>
          <w:lang w:eastAsia="da-DK"/>
        </w:rPr>
      </w:pP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lang w:eastAsia="da-DK"/>
        </w:rPr>
        <w:t>The innovative Sierra Leonean framework that recognizes paralegals as legal aid providers should be seen as a unique opportunity the UNDP CO to promote paralegalism and establish best practices that could be replicated elsewhere in Africa.</w:t>
      </w:r>
    </w:p>
    <w:p w:rsidR="006E6AAA" w:rsidRPr="006E6AAA" w:rsidRDefault="006E6AAA" w:rsidP="006E6AAA">
      <w:pPr>
        <w:spacing w:after="0" w:line="280" w:lineRule="exact"/>
        <w:ind w:left="288"/>
        <w:jc w:val="both"/>
        <w:rPr>
          <w:rFonts w:ascii="Calibri" w:eastAsia="Times New Roman" w:hAnsi="Calibri" w:cs="Times New Roman"/>
          <w:lang w:eastAsia="da-DK"/>
        </w:rPr>
      </w:pP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Calibri" w:eastAsia="Times New Roman" w:hAnsi="Calibri" w:cs="Times New Roman"/>
          <w:b/>
          <w:i/>
          <w:color w:val="000080"/>
          <w:u w:val="single"/>
          <w:lang w:eastAsia="da-DK"/>
        </w:rPr>
      </w:pPr>
      <w:r w:rsidRPr="006E6AAA">
        <w:rPr>
          <w:rFonts w:ascii="Times New Roman" w:eastAsia="Times New Roman" w:hAnsi="Times New Roman" w:cs="Times New Roman"/>
          <w:b/>
          <w:i/>
          <w:color w:val="000080"/>
          <w:lang w:eastAsia="da-DK"/>
        </w:rPr>
        <w:t>■</w:t>
      </w:r>
      <w:r w:rsidRPr="006E6AAA">
        <w:rPr>
          <w:rFonts w:ascii="Arial" w:eastAsia="Times New Roman" w:hAnsi="Arial" w:cs="Arial"/>
          <w:b/>
          <w:i/>
          <w:color w:val="000080"/>
          <w:lang w:eastAsia="da-DK"/>
        </w:rPr>
        <w:t xml:space="preserve"> </w:t>
      </w:r>
      <w:r w:rsidRPr="006E6AAA">
        <w:rPr>
          <w:rFonts w:ascii="Calibri" w:eastAsia="Times New Roman" w:hAnsi="Calibri" w:cs="Times New Roman"/>
          <w:b/>
          <w:i/>
          <w:color w:val="000080"/>
          <w:u w:val="single"/>
          <w:lang w:val="en-GB" w:eastAsia="da-DK"/>
        </w:rPr>
        <w:t>Procedural issues and the right to be tried without undue delay</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legal framework for both civil and criminal court procedures is outdated and has been often cited as one of the reasons for delays in MC trials.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Consultant Master and Registrar confirmed that the draft of the revised Criminal Procedure Act (CPA) has been finalized and is planned to be discussed in Parliament in the coming months. Some of the main criminal procedure issues subject to revision include the preliminary investigation and High Court jury, which have important implications on MC as illustrated below.</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u w:val="single"/>
          <w:lang w:eastAsia="da-DK"/>
        </w:rPr>
      </w:pPr>
      <w:r w:rsidRPr="006E6AAA">
        <w:rPr>
          <w:rFonts w:ascii="Calibri" w:eastAsia="Times New Roman" w:hAnsi="Calibri" w:cs="Times New Roman"/>
          <w:b/>
          <w:i/>
          <w:u w:val="single"/>
          <w:lang w:eastAsia="da-DK"/>
        </w:rPr>
        <w:t>A) Preliminary investigations</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In accordance with Article 108 of the CPA, for cases that fall under the jurisdiction of the High Court “</w:t>
      </w:r>
      <w:r w:rsidRPr="006E6AAA">
        <w:rPr>
          <w:rFonts w:ascii="Calibri" w:eastAsia="Times New Roman" w:hAnsi="Calibri" w:cs="Times New Roman"/>
          <w:i/>
          <w:lang w:eastAsia="da-DK"/>
        </w:rPr>
        <w:t>the Magistrate shall conduct a preliminary investigation into the charge alleged</w:t>
      </w:r>
      <w:r w:rsidRPr="006E6AAA">
        <w:rPr>
          <w:rFonts w:ascii="Calibri" w:eastAsia="Times New Roman" w:hAnsi="Calibri" w:cs="Times New Roman"/>
          <w:lang w:eastAsia="da-DK"/>
        </w:rPr>
        <w:t>”. The rationale for this procedure is to rapidly ascertain if there is sufficient evidence to commit the case to the High Court. In practice, as mentioned by CARL, a Sierra Leonean legal NGO, the PI is so lengthy that it “</w:t>
      </w:r>
      <w:r w:rsidRPr="006E6AAA">
        <w:rPr>
          <w:rFonts w:ascii="Calibri" w:eastAsia="Times New Roman" w:hAnsi="Calibri" w:cs="Times New Roman"/>
          <w:i/>
          <w:lang w:eastAsia="da-DK"/>
        </w:rPr>
        <w:t>has become a whole trial in itself</w:t>
      </w:r>
      <w:r w:rsidRPr="006E6AAA">
        <w:rPr>
          <w:rFonts w:ascii="Calibri" w:eastAsia="Times New Roman" w:hAnsi="Calibri" w:cs="Times New Roman"/>
          <w:lang w:eastAsia="da-DK"/>
        </w:rPr>
        <w:t xml:space="preserve">”. For example, for the political violence which occurred in Bo in 2011, the ruling of the magistrate was issued one year after the beginning of the PI.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High Court judge shared the opinion that PIs can cause unnecessary delays, with a particularly negative impact on witnesses, namely, when the case arrives before the High Court so much time has elapsed that the witnesses are not available any more.  The Moyamba magistrate confirmed that more PIs were conducted by his court compared to the previous year. (15 PI cases in 2012).</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PI procedures conducted by circuit courts can be particularly problematic in terms of timing also because they require the coordination of 2 circuit courts.  It is therefore recommended that UNDP </w:t>
      </w:r>
      <w:r w:rsidRPr="006E6AAA">
        <w:rPr>
          <w:rFonts w:ascii="Calibri" w:eastAsia="Times New Roman" w:hAnsi="Calibri" w:cs="Times New Roman"/>
          <w:b/>
          <w:lang w:eastAsia="da-DK"/>
        </w:rPr>
        <w:lastRenderedPageBreak/>
        <w:t>supports the current debate to revise the CPA and the NGOs that are advocating for changes in the PI procedures</w:t>
      </w:r>
      <w:r w:rsidRPr="006E6AAA">
        <w:rPr>
          <w:rFonts w:ascii="Calibri" w:eastAsia="Times New Roman" w:hAnsi="Calibri" w:cs="Times New Roman"/>
          <w:vertAlign w:val="superscript"/>
          <w:lang w:eastAsia="da-DK"/>
        </w:rPr>
        <w:footnoteReference w:id="54"/>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u w:val="single"/>
          <w:lang w:eastAsia="da-DK"/>
        </w:rPr>
      </w:pPr>
      <w:r w:rsidRPr="006E6AAA">
        <w:rPr>
          <w:rFonts w:ascii="Calibri" w:eastAsia="Times New Roman" w:hAnsi="Calibri" w:cs="Times New Roman"/>
          <w:b/>
          <w:i/>
          <w:lang w:eastAsia="da-DK"/>
        </w:rPr>
        <w:t xml:space="preserve">b) </w:t>
      </w:r>
      <w:r w:rsidRPr="006E6AAA">
        <w:rPr>
          <w:rFonts w:ascii="Calibri" w:eastAsia="Times New Roman" w:hAnsi="Calibri" w:cs="Times New Roman"/>
          <w:b/>
          <w:i/>
          <w:u w:val="single"/>
          <w:lang w:eastAsia="da-DK"/>
        </w:rPr>
        <w:t>The High Court Jury</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r w:rsidRPr="006E6AAA">
        <w:rPr>
          <w:rFonts w:ascii="Calibri" w:eastAsia="Times New Roman" w:hAnsi="Calibri" w:cs="Times New Roman"/>
          <w:lang w:eastAsia="da-DK"/>
        </w:rPr>
        <w:t xml:space="preserve">In accordance with the 1965 CPA the High Court must include 12 jurors. Jurors are volunteers without legal background who are annually </w:t>
      </w:r>
      <w:r w:rsidRPr="006E6AAA">
        <w:rPr>
          <w:rFonts w:ascii="Calibri" w:eastAsia="Times New Roman" w:hAnsi="Calibri" w:cs="Times New Roman"/>
          <w:b/>
          <w:lang w:eastAsia="da-DK"/>
        </w:rPr>
        <w:t>selected from the communities for their probity and good character</w:t>
      </w:r>
      <w:r w:rsidRPr="006E6AAA">
        <w:rPr>
          <w:rFonts w:ascii="Calibri" w:eastAsia="Times New Roman" w:hAnsi="Calibri" w:cs="Times New Roman"/>
          <w:lang w:eastAsia="da-DK"/>
        </w:rPr>
        <w:t>.</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 group interview with 6 jurors (5 men and 1 woman) allowed a better understanding of their needs and role in the MC system. All the jurors were farmers and came from remote villages; most of them were retired civil servants (one was 103 years old and had served in the British army). They strongly complained about the limited amount of their perdiem (35.000 Leones for the entire 10 days High Court session) which they claimed was not enough to cover accommodation, food and the fact that they had to suspend their farming activities.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As explained by the Master and Registrar accepting to serve as a Juror is considered as a national service, so should not be paid. In Freetown a bench warrant can be issued if an appointed juror does not show up. The arrangements for the circuit courts jurors are therefore exceptional and have not the same rationale as the </w:t>
      </w:r>
      <w:r w:rsidRPr="006E6AAA">
        <w:rPr>
          <w:rFonts w:ascii="Calibri" w:eastAsia="Times New Roman" w:hAnsi="Calibri" w:cs="Times New Roman"/>
          <w:i/>
          <w:lang w:eastAsia="da-DK"/>
        </w:rPr>
        <w:t>perdiem</w:t>
      </w:r>
      <w:r w:rsidRPr="006E6AAA">
        <w:rPr>
          <w:rFonts w:ascii="Calibri" w:eastAsia="Times New Roman" w:hAnsi="Calibri" w:cs="Times New Roman"/>
          <w:lang w:eastAsia="da-DK"/>
        </w:rPr>
        <w:t xml:space="preserve"> for the court staff.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Jurors also complained that they were informed only at 10.00 PM via the community radio that they had to be present at the High Court hearing the following morning.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Master and Registrar believes that Jurors are a problematic and anachronistic institution and supports the ongoing discussion about reducing them to 8 (instead of 12). She also believes that in the provinces jurors do not have the required education level to participate in trial, so they can not adequately contribute. On the contrary they are causing delays, because if the Jury is not complete the hearing is adjourned. In practice (as observed during the field mission) if a juror is absent the court clerk will ask a person in the public to volunteer as replacement. </w:t>
      </w:r>
    </w:p>
    <w:p w:rsidR="006E6AAA" w:rsidRPr="006E6AAA" w:rsidRDefault="006E6AAA" w:rsidP="006E6AAA">
      <w:pPr>
        <w:spacing w:after="0" w:line="280" w:lineRule="exact"/>
        <w:jc w:val="both"/>
        <w:rPr>
          <w:rFonts w:ascii="Calibri" w:eastAsia="Times New Roman" w:hAnsi="Calibri" w:cs="Times New Roman"/>
          <w:strike/>
          <w:lang w:eastAsia="da-DK"/>
        </w:rPr>
      </w:pP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Calibri" w:eastAsia="Times New Roman" w:hAnsi="Calibri" w:cs="Times New Roman"/>
          <w:b/>
          <w:i/>
          <w:lang w:val="en-GB" w:eastAsia="da-DK"/>
        </w:rPr>
        <w:t xml:space="preserve">c) </w:t>
      </w:r>
      <w:r w:rsidRPr="006E6AAA">
        <w:rPr>
          <w:rFonts w:ascii="Calibri" w:eastAsia="Times New Roman" w:hAnsi="Calibri" w:cs="Times New Roman"/>
          <w:b/>
          <w:i/>
          <w:u w:val="single"/>
          <w:lang w:val="en-GB" w:eastAsia="da-DK"/>
        </w:rPr>
        <w:t>Witnesses and adjournments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One of the main challenges faced by the MC system is the high adjournment rate of the hearings.  As critically pointed out by one of the interviewed persons “</w:t>
      </w:r>
      <w:r w:rsidRPr="006E6AAA">
        <w:rPr>
          <w:rFonts w:ascii="Calibri" w:eastAsia="Times New Roman" w:hAnsi="Calibri" w:cs="Times New Roman"/>
          <w:i/>
          <w:lang w:eastAsia="da-DK"/>
        </w:rPr>
        <w:t>mobile courts are not about going to the field and adjourning cases: it’s about delivering the service</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w:t>
      </w:r>
      <w:r w:rsidRPr="006E6AAA">
        <w:rPr>
          <w:rFonts w:ascii="Calibri" w:eastAsia="Times New Roman" w:hAnsi="Calibri" w:cs="Times New Roman"/>
          <w:lang w:val="en-GB" w:eastAsia="da-DK"/>
        </w:rPr>
        <w:t>he court statistics available to UNDP are not detailed enough to allow an analysis of the adjournment rate in the MC system, however a recent court survey by CSAE presents an interesting review of the matter. The survey concluded that  “</w:t>
      </w:r>
      <w:r w:rsidRPr="006E6AAA">
        <w:rPr>
          <w:rFonts w:ascii="Calibri" w:eastAsia="Times New Roman" w:hAnsi="Calibri" w:cs="Utopia-Regular"/>
          <w:i/>
          <w:lang w:eastAsia="it-IT"/>
        </w:rPr>
        <w:t>from August to October 2010 in 10 up-country magistrates’ courts, 89% of criminal cases were adjourned</w:t>
      </w:r>
      <w:r w:rsidRPr="006E6AAA">
        <w:rPr>
          <w:rFonts w:ascii="Calibri" w:eastAsia="Times New Roman" w:hAnsi="Calibri" w:cs="Utopia-Regular"/>
          <w:lang w:eastAsia="it-IT"/>
        </w:rPr>
        <w:t xml:space="preserve">”, but without specifying the number of adjournments per case.  The reasons for adjournments are indicated, out of a sample of </w:t>
      </w:r>
      <w:r w:rsidRPr="006E6AAA">
        <w:rPr>
          <w:rFonts w:ascii="Calibri" w:eastAsia="Times New Roman" w:hAnsi="Calibri" w:cs="Times New Roman"/>
          <w:lang w:val="en-GB" w:eastAsia="da-DK"/>
        </w:rPr>
        <w:t xml:space="preserve">4.553 adjourned cases, </w:t>
      </w:r>
      <w:r w:rsidRPr="006E6AAA">
        <w:rPr>
          <w:rFonts w:ascii="Calibri" w:eastAsia="Times New Roman" w:hAnsi="Calibri" w:cs="Utopia-Regular"/>
          <w:lang w:eastAsia="it-IT"/>
        </w:rPr>
        <w:t>as follows</w:t>
      </w:r>
      <w:r w:rsidRPr="006E6AAA">
        <w:rPr>
          <w:rFonts w:ascii="Calibri" w:eastAsia="Times New Roman" w:hAnsi="Calibri" w:cs="Times New Roman"/>
          <w:lang w:val="en-GB" w:eastAsia="da-DK"/>
        </w:rPr>
        <w:t>: 33% absence of witness; 14% absence of complainant; 11% absence of accused; 7% magistrate refuses the case; 7% lack of evidence; 28% other reasons</w:t>
      </w:r>
      <w:r w:rsidRPr="006E6AAA">
        <w:rPr>
          <w:rFonts w:ascii="Calibri" w:eastAsia="Times New Roman" w:hAnsi="Calibri" w:cs="Times New Roman"/>
          <w:vertAlign w:val="superscript"/>
          <w:lang w:val="en-GB" w:eastAsia="da-DK"/>
        </w:rPr>
        <w:footnoteReference w:id="55"/>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Arial"/>
          <w:lang w:val="en-GB" w:eastAsia="da-DK"/>
        </w:rPr>
      </w:pP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These data are reflected in a recent report by Timap which summarises as follows the reasons for frequent adjournments in criminal cases:  “</w:t>
      </w:r>
      <w:r w:rsidRPr="006E6AAA">
        <w:rPr>
          <w:rFonts w:ascii="Calibri" w:eastAsia="Times New Roman" w:hAnsi="Calibri" w:cs="Times New Roman"/>
          <w:i/>
          <w:lang w:val="en-GB" w:eastAsia="da-DK"/>
        </w:rPr>
        <w:t xml:space="preserve">For a detainee’s case to be heard at the given date requires </w:t>
      </w:r>
      <w:r w:rsidRPr="006E6AAA">
        <w:rPr>
          <w:rFonts w:ascii="Calibri" w:eastAsia="Times New Roman" w:hAnsi="Calibri" w:cs="Times New Roman"/>
          <w:i/>
          <w:lang w:val="en-GB" w:eastAsia="da-DK"/>
        </w:rPr>
        <w:lastRenderedPageBreak/>
        <w:t>five things to perfectly coincide. First, the Magistrate must arrive to town on the pre-determined date. Second, all witnesses who will testify must be present for the case to be heard. Third, the prosecuting police officer must be present. Fourth, the detainee must be present. And fifth, the preceding court cases must not take longer than anticipated</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Arial"/>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Utopia-Regular"/>
          <w:lang w:eastAsia="it-IT"/>
        </w:rPr>
        <w:t xml:space="preserve">The interviewed persons </w:t>
      </w:r>
      <w:r w:rsidRPr="006E6AAA">
        <w:rPr>
          <w:rFonts w:ascii="Calibri" w:eastAsia="Times New Roman" w:hAnsi="Calibri" w:cs="Times New Roman"/>
          <w:lang w:val="en-GB" w:eastAsia="da-DK"/>
        </w:rPr>
        <w:t xml:space="preserve">(included the magistrate, the judge and State Counsel) unanimously confirmed that </w:t>
      </w:r>
      <w:r w:rsidRPr="006E6AAA">
        <w:rPr>
          <w:rFonts w:ascii="Calibri" w:eastAsia="Times New Roman" w:hAnsi="Calibri" w:cs="Times New Roman"/>
          <w:b/>
          <w:lang w:val="en-GB" w:eastAsia="da-DK"/>
        </w:rPr>
        <w:t>the main reason for frequent adjournments of MC sessions is the fact that witnesses fail to attend court:</w:t>
      </w:r>
      <w:r w:rsidRPr="006E6AAA">
        <w:rPr>
          <w:rFonts w:ascii="Calibri" w:eastAsia="Times New Roman" w:hAnsi="Calibri" w:cs="Times New Roman"/>
          <w:lang w:val="en-GB" w:eastAsia="da-DK"/>
        </w:rPr>
        <w:t xml:space="preserve"> this is not only due to the costs involved but also a consequence of the pressure to settle the case out of court that victims and witnesses receive from the family of the accused and other community members.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Other reasons for court adjournments were mentioned in the interviews. The jurors highlighted that the </w:t>
      </w:r>
      <w:r w:rsidRPr="006E6AAA">
        <w:rPr>
          <w:rFonts w:ascii="Calibri" w:eastAsia="Times New Roman" w:hAnsi="Calibri" w:cs="Times New Roman"/>
          <w:lang w:eastAsia="da-DK"/>
        </w:rPr>
        <w:t>resident magistrate is on circuit most of the week and only sits in Moyamba on Friday and Saturday. Others reported that Magistrates were not attending court or being late</w:t>
      </w:r>
      <w:r w:rsidRPr="006E6AAA">
        <w:rPr>
          <w:rFonts w:ascii="Calibri" w:eastAsia="Times New Roman" w:hAnsi="Calibri" w:cs="Times New Roman"/>
          <w:vertAlign w:val="superscript"/>
          <w:lang w:eastAsia="da-DK"/>
        </w:rPr>
        <w:footnoteReference w:id="56"/>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is engaged in addressing the causes for adjournments and has developed a programme to </w:t>
      </w:r>
      <w:r w:rsidRPr="006E6AAA">
        <w:rPr>
          <w:rFonts w:ascii="Calibri" w:eastAsia="Times New Roman" w:hAnsi="Calibri" w:cs="Times New Roman"/>
          <w:b/>
          <w:lang w:val="en-GB" w:eastAsia="da-DK"/>
        </w:rPr>
        <w:t>reimburse travel expenses for witnesses</w:t>
      </w:r>
      <w:r w:rsidRPr="006E6AAA">
        <w:rPr>
          <w:rFonts w:ascii="Calibri" w:eastAsia="Times New Roman" w:hAnsi="Calibri" w:cs="Times New Roman"/>
          <w:lang w:val="en-GB" w:eastAsia="da-DK"/>
        </w:rPr>
        <w:t>.  The initiative falls under the Saturday courts programme, but is it was agreed with the Judiciary to extend it to MC, although the field mission confirmed that to date no witnesses were reimbursed for their travel expanses</w:t>
      </w:r>
      <w:r w:rsidRPr="006E6AAA">
        <w:rPr>
          <w:rFonts w:ascii="Calibri" w:eastAsia="Times New Roman" w:hAnsi="Calibri" w:cs="Times New Roman"/>
          <w:vertAlign w:val="superscript"/>
          <w:lang w:val="en-GB" w:eastAsia="da-DK"/>
        </w:rPr>
        <w:footnoteReference w:id="57"/>
      </w:r>
      <w:r w:rsidRPr="006E6AAA">
        <w:rPr>
          <w:rFonts w:ascii="Calibri" w:eastAsia="Times New Roman" w:hAnsi="Calibri" w:cs="Times New Roman"/>
          <w:lang w:val="en-GB" w:eastAsia="da-DK"/>
        </w:rPr>
        <w:t>. To be noted that the costs are in line with the local market.</w:t>
      </w:r>
      <w:r w:rsidRPr="006E6AAA">
        <w:rPr>
          <w:rFonts w:ascii="Calibri" w:eastAsia="Times New Roman" w:hAnsi="Calibri" w:cs="Times New Roman"/>
          <w:vertAlign w:val="superscript"/>
          <w:lang w:val="en-GB" w:eastAsia="da-DK"/>
        </w:rPr>
        <w:footnoteReference w:id="58"/>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effectiveness of the witness transportation programme could be strengthened if a paralegal network was in place in order to ensure witness tracking services.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rPr>
      </w:pPr>
      <w:r w:rsidRPr="006E6AAA">
        <w:rPr>
          <w:rFonts w:ascii="Calibri" w:eastAsia="Times New Roman" w:hAnsi="Calibri" w:cs="Times New Roman"/>
        </w:rPr>
        <w:t>It is recommended to ensure that future statistics from the Judiciary will include more specific information about adjournments, in order to i) be able to assess if the adjournment rate is too high to justify the MC intervention ii) to take corrective measures to address the reasons for high adjournment rates .</w:t>
      </w: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i/>
          <w:lang w:eastAsia="it-IT"/>
        </w:rPr>
      </w:pPr>
      <w:r w:rsidRPr="006E6AAA">
        <w:rPr>
          <w:rFonts w:ascii="Calibri" w:eastAsia="Times New Roman" w:hAnsi="Calibri" w:cs="Times New Roman"/>
          <w:lang w:val="en-GB" w:eastAsia="da-DK"/>
        </w:rPr>
        <w:t>Such recommendations should also apply to court monitors who should not limit their reporting to indicating that “</w:t>
      </w:r>
      <w:r w:rsidRPr="006E6AAA">
        <w:rPr>
          <w:rFonts w:ascii="Calibri" w:eastAsia="Times New Roman" w:hAnsi="Calibri" w:cs="Times New Roman"/>
          <w:bCs/>
          <w:i/>
          <w:lang w:val="en-GB" w:eastAsia="da-DK"/>
        </w:rPr>
        <w:t xml:space="preserve">There are frequent and long adjournments of cases”, </w:t>
      </w:r>
      <w:r w:rsidRPr="006E6AAA">
        <w:rPr>
          <w:rFonts w:ascii="Calibri" w:eastAsia="Times New Roman" w:hAnsi="Calibri" w:cs="Times New Roman"/>
          <w:bCs/>
          <w:lang w:val="en-GB" w:eastAsia="da-DK"/>
        </w:rPr>
        <w:t xml:space="preserve">but also specify the reasons and the number of adjournments”. </w:t>
      </w:r>
      <w:r w:rsidRPr="006E6AAA">
        <w:rPr>
          <w:rFonts w:ascii="Calibri" w:eastAsia="Times New Roman" w:hAnsi="Calibri" w:cs="Times New Roman"/>
          <w:bCs/>
          <w:vertAlign w:val="superscript"/>
          <w:lang w:val="en-GB" w:eastAsia="da-DK"/>
        </w:rPr>
        <w:footnoteReference w:id="59"/>
      </w:r>
      <w:r w:rsidRPr="006E6AAA">
        <w:rPr>
          <w:rFonts w:ascii="Calibri" w:eastAsia="Times New Roman" w:hAnsi="Calibri" w:cs="Times New Roman"/>
          <w:bCs/>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Times New Roman" w:eastAsia="Times New Roman" w:hAnsi="Times New Roman" w:cs="Times New Roman"/>
          <w:b/>
          <w:i/>
          <w:color w:val="000080"/>
          <w:lang w:eastAsia="da-DK"/>
        </w:rPr>
        <w:t xml:space="preserve">■ </w:t>
      </w:r>
      <w:r w:rsidRPr="006E6AAA">
        <w:rPr>
          <w:rFonts w:ascii="Calibri" w:eastAsia="Times New Roman" w:hAnsi="Calibri" w:cs="Times New Roman"/>
          <w:b/>
          <w:i/>
          <w:color w:val="000080"/>
          <w:u w:val="single"/>
          <w:lang w:val="en-GB" w:eastAsia="da-DK"/>
        </w:rPr>
        <w:t>The prosecution of SGBV crimes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i/>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adoption of the Sexual Offenses Act in August 2012 marked the achievement of a comprehensive legal framework for the protection of Sierra Leonean women from SGBV crimes. The process started in 2007 with the adoption of the 3 Gender Bills</w:t>
      </w:r>
      <w:r w:rsidRPr="006E6AAA">
        <w:rPr>
          <w:rFonts w:ascii="Calibri" w:eastAsia="Times New Roman" w:hAnsi="Calibri" w:cs="Times New Roman"/>
          <w:vertAlign w:val="superscript"/>
          <w:lang w:val="en-GB" w:eastAsia="da-DK"/>
        </w:rPr>
        <w:footnoteReference w:id="60"/>
      </w:r>
      <w:r w:rsidRPr="006E6AAA">
        <w:rPr>
          <w:rFonts w:ascii="Calibri" w:eastAsia="Times New Roman" w:hAnsi="Calibri" w:cs="Times New Roman"/>
          <w:lang w:val="en-GB" w:eastAsia="da-DK"/>
        </w:rPr>
        <w:t xml:space="preserve"> and the </w:t>
      </w:r>
      <w:r w:rsidRPr="006E6AAA">
        <w:rPr>
          <w:rFonts w:ascii="Calibri" w:eastAsia="Times New Roman" w:hAnsi="Calibri" w:cs="Times New Roman"/>
          <w:lang w:eastAsia="it-IT"/>
        </w:rPr>
        <w:t>National Action Plan on UNSCR 1325 and 1820.</w:t>
      </w:r>
      <w:r w:rsidRPr="006E6AAA">
        <w:rPr>
          <w:rFonts w:ascii="Calibri" w:eastAsia="Times New Roman" w:hAnsi="Calibri" w:cs="Times New Roman"/>
          <w:lang w:val="en-GB"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rebuchet MS"/>
          <w:lang w:eastAsia="it-IT"/>
        </w:rPr>
      </w:pPr>
      <w:r w:rsidRPr="006E6AAA">
        <w:rPr>
          <w:rFonts w:ascii="Calibri" w:eastAsia="Times New Roman" w:hAnsi="Calibri" w:cs="Times New Roman"/>
          <w:lang w:val="en-GB" w:eastAsia="da-DK"/>
        </w:rPr>
        <w:t xml:space="preserve">The prosecution of SGBV crimes in areas where circuit courts are operational is facilitated by the presence of Police Family Support Units (FSU), </w:t>
      </w:r>
      <w:r w:rsidRPr="006E6AAA">
        <w:rPr>
          <w:rFonts w:ascii="Calibri" w:eastAsia="Times New Roman" w:hAnsi="Calibri" w:cs="Trebuchet MS"/>
          <w:lang w:eastAsia="it-IT"/>
        </w:rPr>
        <w:t>specifically mandated to deal with gender-based violence. However s</w:t>
      </w:r>
      <w:r w:rsidRPr="006E6AAA">
        <w:rPr>
          <w:rFonts w:ascii="Calibri" w:eastAsia="Times New Roman" w:hAnsi="Calibri" w:cs="Times New Roman"/>
          <w:lang w:eastAsia="da-DK"/>
        </w:rPr>
        <w:t>pecific data on SGBV cases disposed by circuit courts is not available as the statistics available to UNDP are not disaggregated by nature of the case.</w:t>
      </w:r>
      <w:r w:rsidRPr="006E6AAA">
        <w:rPr>
          <w:rFonts w:ascii="Calibri" w:eastAsia="Times New Roman" w:hAnsi="Calibri" w:cs="Trebuchet MS"/>
          <w:lang w:eastAsia="it-IT"/>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rebuchet MS"/>
          <w:lang w:eastAsia="it-IT"/>
        </w:rPr>
        <w:lastRenderedPageBreak/>
        <w:t xml:space="preserve">The FSU in Moyamba mentioned that the number of cases reported to the police is increasing: </w:t>
      </w:r>
      <w:r w:rsidRPr="006E6AAA">
        <w:rPr>
          <w:rFonts w:ascii="Calibri" w:eastAsia="Times New Roman" w:hAnsi="Calibri" w:cs="Times New Roman"/>
          <w:lang w:eastAsia="da-DK"/>
        </w:rPr>
        <w:t>31 cases, out of which 3 rape cases were reported in 2012. According to the Judge his court handled about 5 or 6 rape cases in 2012. To be noted that Magistrate Courts only deal with rape cases as a preliminary investigation.</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Numerous reports have analyzed the obstacles to prosecuting SGBV crimes in Sierra Leone, focusing for example on the difficulties women face in accessing free medical certification required for the trial or on the fact that most GBV cases are settled outside court, sometimes by the police</w:t>
      </w:r>
      <w:r w:rsidRPr="006E6AAA">
        <w:rPr>
          <w:rFonts w:ascii="Calibri" w:eastAsia="Times New Roman" w:hAnsi="Calibri" w:cs="Times New Roman"/>
          <w:vertAlign w:val="superscript"/>
          <w:lang w:eastAsia="da-DK"/>
        </w:rPr>
        <w:footnoteReference w:id="61"/>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An issue repeatedly mentioned during the interviews is that </w:t>
      </w:r>
      <w:r w:rsidRPr="006E6AAA">
        <w:rPr>
          <w:rFonts w:ascii="Calibri" w:eastAsia="Times New Roman" w:hAnsi="Calibri" w:cs="Times New Roman"/>
          <w:b/>
          <w:lang w:eastAsia="da-DK"/>
        </w:rPr>
        <w:t xml:space="preserve">rape cases should be handled </w:t>
      </w:r>
      <w:r w:rsidRPr="006E6AAA">
        <w:rPr>
          <w:rFonts w:ascii="Calibri" w:eastAsia="Times New Roman" w:hAnsi="Calibri" w:cs="Times New Roman"/>
          <w:b/>
          <w:i/>
          <w:lang w:eastAsia="da-DK"/>
        </w:rPr>
        <w:t>in camera</w:t>
      </w:r>
      <w:r w:rsidRPr="006E6AAA">
        <w:rPr>
          <w:rFonts w:ascii="Calibri" w:eastAsia="Times New Roman" w:hAnsi="Calibri" w:cs="Times New Roman"/>
          <w:lang w:eastAsia="da-DK"/>
        </w:rPr>
        <w:t>, which appears to be the case before Magistrate Courts, but not before the High Court. This affects the right to privacy of the victims, especially in a culture where rape is very stigmatizing.  Court monitors reported that in some rape trials the public would laugh during the hearing and mentioned an FGM case that was openly explained into the most private details.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Judge confirmed that his court treats juveniles </w:t>
      </w:r>
      <w:r w:rsidRPr="006E6AAA">
        <w:rPr>
          <w:rFonts w:ascii="Calibri" w:eastAsia="Times New Roman" w:hAnsi="Calibri" w:cs="Times New Roman"/>
          <w:i/>
          <w:lang w:eastAsia="da-DK"/>
        </w:rPr>
        <w:t>in camera</w:t>
      </w:r>
      <w:r w:rsidRPr="006E6AAA">
        <w:rPr>
          <w:rFonts w:ascii="Calibri" w:eastAsia="Times New Roman" w:hAnsi="Calibri" w:cs="Times New Roman"/>
          <w:lang w:eastAsia="da-DK"/>
        </w:rPr>
        <w:t xml:space="preserve"> but not women victims of rape and he added that upon request of the party he could discretionally grant </w:t>
      </w:r>
      <w:r w:rsidRPr="006E6AAA">
        <w:rPr>
          <w:rFonts w:ascii="Calibri" w:eastAsia="Times New Roman" w:hAnsi="Calibri" w:cs="Times New Roman"/>
          <w:i/>
          <w:lang w:eastAsia="da-DK"/>
        </w:rPr>
        <w:t>in camera</w:t>
      </w:r>
      <w:r w:rsidRPr="006E6AAA">
        <w:rPr>
          <w:rFonts w:ascii="Calibri" w:eastAsia="Times New Roman" w:hAnsi="Calibri" w:cs="Times New Roman"/>
          <w:lang w:eastAsia="da-DK"/>
        </w:rPr>
        <w:t xml:space="preserve"> hearings.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solution to this issue is provided for in article 40 of the recent Sexual Offenses Act which establishes that when adult victims of sexual offenses are testifying, the court can decide “</w:t>
      </w:r>
      <w:r w:rsidRPr="006E6AAA">
        <w:rPr>
          <w:rFonts w:ascii="Calibri" w:eastAsia="Times New Roman" w:hAnsi="Calibri" w:cs="Times New Roman"/>
          <w:i/>
          <w:lang w:eastAsia="da-DK"/>
        </w:rPr>
        <w:t>the adjournment of the proceedings to chambers or some other premises; the exclusion from the court, while the witness is giving evidence, of all or any persons without a direct interest in the proceedings</w:t>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consultant found that this provision is not yet known and consequently applied in the provinces, so its dissemination should require some additional attention from the Judiciary.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 will contribute to this objective by ensuring, in 2013, training activities for justice actors on the new Sexual Offense Act and other GBV laws, as the Domestic Violence Act.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IRC suggested topics aiming at strengthening the capacities of judicial actors to interview GBV survivors and promote the application of protection orders in domestic violence cases.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At this stage it is essential to support the Judiciary to translate the comprehensive legislative framework into practice and circuit courts, if adequately supported and trained, can play a key role in ensuring that Sierra Leoneans living in the provinces are granted the protection that they are entitled in the laws.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is supporting since 2012 the so-called </w:t>
      </w:r>
      <w:r w:rsidRPr="006E6AAA">
        <w:rPr>
          <w:rFonts w:ascii="Calibri" w:eastAsia="Times New Roman" w:hAnsi="Calibri" w:cs="Times New Roman"/>
          <w:b/>
          <w:lang w:val="en-GB" w:eastAsia="da-DK"/>
        </w:rPr>
        <w:t>Saturday courts in Bo and Freetown, which have specific jurisdiction over SGVB crimes</w:t>
      </w:r>
      <w:r w:rsidRPr="006E6AAA">
        <w:rPr>
          <w:rFonts w:ascii="Calibri" w:eastAsia="Times New Roman" w:hAnsi="Calibri" w:cs="Times New Roman"/>
          <w:vertAlign w:val="superscript"/>
          <w:lang w:val="en-GB" w:eastAsia="da-DK"/>
        </w:rPr>
        <w:footnoteReference w:id="62"/>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The issue of linkages between the circuit courts and the Saturday court in Bo was discussed during the interviews. The solution of transferring all rape cases to the Saturday court was not considered realistic because PIs would still be conducted by Magistrates in the districts. However, </w:t>
      </w:r>
      <w:r w:rsidRPr="006E6AAA">
        <w:rPr>
          <w:rFonts w:ascii="Calibri" w:eastAsia="Times New Roman" w:hAnsi="Calibri" w:cs="Times New Roman"/>
          <w:lang w:eastAsia="da-DK"/>
        </w:rPr>
        <w:t xml:space="preserve">if the abolishment of the PI will be achieved with the new CPA this option could be further explored.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Meanwhile it is recommended that best practices and landmark cases from the Saturday Courts are disseminated as widely as possible in the legal community. UNDP is planning to contribute to this objective in 2013 by supporting the publication of Law Reports.  </w:t>
      </w:r>
    </w:p>
    <w:p w:rsidR="006E6AAA" w:rsidRPr="006E6AAA" w:rsidRDefault="006E6AAA" w:rsidP="006E6AAA">
      <w:pPr>
        <w:spacing w:after="0" w:line="280" w:lineRule="exact"/>
        <w:jc w:val="both"/>
        <w:rPr>
          <w:rFonts w:ascii="Calibri" w:eastAsia="Times New Roman" w:hAnsi="Calibri" w:cs="Times New Roman"/>
          <w:i/>
          <w:lang w:val="en-GB" w:eastAsia="da-DK"/>
        </w:rPr>
      </w:pP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Times New Roman" w:eastAsia="Times New Roman" w:hAnsi="Times New Roman" w:cs="Times New Roman"/>
          <w:b/>
          <w:i/>
          <w:color w:val="000080"/>
          <w:lang w:eastAsia="da-DK"/>
        </w:rPr>
        <w:t xml:space="preserve">■ </w:t>
      </w:r>
      <w:r w:rsidRPr="006E6AAA">
        <w:rPr>
          <w:rFonts w:ascii="Calibri" w:eastAsia="Times New Roman" w:hAnsi="Calibri" w:cs="Times New Roman"/>
          <w:b/>
          <w:i/>
          <w:color w:val="000080"/>
          <w:u w:val="single"/>
          <w:lang w:val="en-GB" w:eastAsia="da-DK"/>
        </w:rPr>
        <w:t xml:space="preserve">Communication </w:t>
      </w:r>
    </w:p>
    <w:p w:rsidR="006E6AAA" w:rsidRPr="006E6AAA" w:rsidRDefault="006E6AAA" w:rsidP="006E6AAA">
      <w:pPr>
        <w:spacing w:after="0" w:line="280" w:lineRule="exact"/>
        <w:jc w:val="both"/>
        <w:rPr>
          <w:rFonts w:ascii="Calibri" w:eastAsia="Times New Roman" w:hAnsi="Calibri" w:cs="Times New Roman"/>
          <w:u w:val="single"/>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lastRenderedPageBreak/>
        <w:t xml:space="preserve">Community radios are the communication means adopted by the Judiciary to inform the population about the arrival of a mobile court. It’s been recognized as an efficient and cost effective means, as it has a wide coverage and is free of charge.  </w:t>
      </w:r>
    </w:p>
    <w:p w:rsidR="006E6AAA" w:rsidRPr="006E6AAA" w:rsidRDefault="006E6AAA" w:rsidP="006E6AAA">
      <w:pP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lang w:eastAsia="da-DK"/>
        </w:rPr>
        <w:t xml:space="preserve">Court monitors mentioned however that the community radio signal does not reach certain remote locations, and Timap believes that </w:t>
      </w:r>
      <w:r w:rsidRPr="006E6AAA">
        <w:rPr>
          <w:rFonts w:ascii="Calibri" w:eastAsia="Times New Roman" w:hAnsi="Calibri" w:cs="Times New Roman"/>
          <w:lang w:val="en-GB" w:eastAsia="da-DK"/>
        </w:rPr>
        <w:t>radio broadcast of the MC is irregular and only happens in few areas, for example in the Northern provinces.</w:t>
      </w:r>
      <w:r w:rsidRPr="006E6AAA">
        <w:rPr>
          <w:rFonts w:ascii="Calibri" w:eastAsia="Times New Roman" w:hAnsi="Calibri" w:cs="Times New Roman"/>
          <w:lang w:eastAsia="da-DK"/>
        </w:rPr>
        <w:t xml:space="preserve"> The High Court jurors complained that the information is released at the last moment.</w:t>
      </w:r>
      <w:r w:rsidRPr="006E6AAA">
        <w:rPr>
          <w:rFonts w:ascii="Calibri" w:eastAsia="Times New Roman" w:hAnsi="Calibri" w:cs="Times New Roman"/>
          <w:b/>
          <w:lang w:eastAsia="da-DK"/>
        </w:rPr>
        <w:t xml:space="preserve"> </w:t>
      </w:r>
      <w:r w:rsidRPr="006E6AAA">
        <w:rPr>
          <w:rFonts w:ascii="Calibri" w:eastAsia="Times New Roman" w:hAnsi="Calibri" w:cs="Times New Roman"/>
          <w:lang w:eastAsia="da-DK"/>
        </w:rPr>
        <w:t>Advocaid also pointed out that their paralegals are particularly affected by the delays in communicating the arrival of the court, as they would</w:t>
      </w:r>
      <w:r w:rsidRPr="006E6AAA">
        <w:rPr>
          <w:rFonts w:ascii="Calibri" w:eastAsia="Times New Roman" w:hAnsi="Calibri" w:cs="Times New Roman"/>
          <w:b/>
          <w:lang w:eastAsia="da-DK"/>
        </w:rPr>
        <w:t xml:space="preserve"> </w:t>
      </w:r>
      <w:r w:rsidRPr="006E6AAA">
        <w:rPr>
          <w:rFonts w:ascii="Calibri" w:eastAsia="Times New Roman" w:hAnsi="Calibri" w:cs="Times New Roman"/>
          <w:lang w:val="en-GB" w:eastAsia="da-DK"/>
        </w:rPr>
        <w:t xml:space="preserve">need more time to visit the communities and track witnesses and sureties.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lang w:eastAsia="da-DK"/>
        </w:rPr>
        <w:t xml:space="preserve">Given the obstacles faced by police process servers to inform the witnesses of the arrival of the court, it seems that sometimes community radios are used to inform parties to the case to appear in court. A lawyer expressed some concerns in terms of respecting the privacy of the parties to the cases because sometimes the names of the complainant, defendant and witnesses are publicly announced on the radio. </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Being understood that the responsibility to communicate the arrival of MC lies with the Judiciary, eventual </w:t>
      </w:r>
      <w:r w:rsidRPr="006E6AAA">
        <w:rPr>
          <w:rFonts w:ascii="Calibri" w:eastAsia="Times New Roman" w:hAnsi="Calibri" w:cs="Times New Roman"/>
          <w:lang w:eastAsia="da-DK"/>
        </w:rPr>
        <w:t>paralegals would play an important role in complementing radio messages and informing the population about the arrival of mobile courts.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r w:rsidRPr="006E6AAA">
        <w:rPr>
          <w:rFonts w:ascii="Times New Roman" w:eastAsia="Times New Roman" w:hAnsi="Times New Roman" w:cs="Times New Roman"/>
          <w:sz w:val="23"/>
          <w:szCs w:val="20"/>
          <w:lang w:eastAsia="da-DK"/>
        </w:rPr>
        <w:t xml:space="preserve"> </w:t>
      </w:r>
    </w:p>
    <w:p w:rsidR="006E6AAA" w:rsidRPr="006E6AAA" w:rsidRDefault="006E6AAA" w:rsidP="006E6AAA">
      <w:pPr>
        <w:spacing w:after="0" w:line="280" w:lineRule="exact"/>
        <w:jc w:val="both"/>
        <w:rPr>
          <w:rFonts w:ascii="Calibri" w:eastAsia="Times New Roman" w:hAnsi="Calibri" w:cs="Times New Roman"/>
          <w:b/>
          <w:i/>
          <w:lang w:val="en-GB" w:eastAsia="da-DK"/>
        </w:rPr>
      </w:pPr>
      <w:r w:rsidRPr="006E6AAA">
        <w:rPr>
          <w:rFonts w:ascii="Times New Roman" w:eastAsia="Times New Roman" w:hAnsi="Times New Roman" w:cs="Times New Roman"/>
          <w:b/>
          <w:i/>
          <w:color w:val="000080"/>
          <w:lang w:eastAsia="da-DK"/>
        </w:rPr>
        <w:t xml:space="preserve">■ </w:t>
      </w:r>
      <w:r w:rsidRPr="006E6AAA">
        <w:rPr>
          <w:rFonts w:ascii="Calibri" w:eastAsia="Times New Roman" w:hAnsi="Calibri" w:cs="Times New Roman"/>
          <w:b/>
          <w:i/>
          <w:color w:val="000080"/>
          <w:u w:val="single"/>
          <w:lang w:val="en-GB" w:eastAsia="da-DK"/>
        </w:rPr>
        <w:t>Logistical issues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Some positive findings can be highlighted with regards to the logistical aspects of the MC system. Courtrooms have been rehabilitated, with </w:t>
      </w:r>
      <w:r w:rsidRPr="006E6AAA">
        <w:rPr>
          <w:rFonts w:ascii="Calibri" w:eastAsia="Times New Roman" w:hAnsi="Calibri" w:cs="Times New Roman"/>
          <w:i/>
          <w:lang w:val="en-GB" w:eastAsia="da-DK"/>
        </w:rPr>
        <w:t>inter alia</w:t>
      </w:r>
      <w:r w:rsidRPr="006E6AAA">
        <w:rPr>
          <w:rFonts w:ascii="Calibri" w:eastAsia="Times New Roman" w:hAnsi="Calibri" w:cs="Times New Roman"/>
          <w:lang w:val="en-GB" w:eastAsia="da-DK"/>
        </w:rPr>
        <w:t xml:space="preserve"> the support of UNDP/PBF, so they are adequate and have spacious areas reserved to the public. Magistrate courts on circuit use the court room and detention cells of the Local Courts and High Courts on circuit sit in the premises of the magistrate court.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security of MC staff is provided by the police and, as reported by the </w:t>
      </w:r>
      <w:r w:rsidRPr="006E6AAA">
        <w:rPr>
          <w:rFonts w:ascii="Calibri" w:eastAsia="Times New Roman" w:hAnsi="Calibri" w:cs="Times New Roman"/>
          <w:lang w:eastAsia="da-DK"/>
        </w:rPr>
        <w:t>FSU officer, there have not been security incidents during the hearings.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Mobile courts could be more effective if some additional </w:t>
      </w:r>
      <w:r w:rsidRPr="006E6AAA">
        <w:rPr>
          <w:rFonts w:ascii="Calibri" w:eastAsia="Times New Roman" w:hAnsi="Calibri" w:cs="Times New Roman"/>
          <w:b/>
          <w:lang w:val="en-GB" w:eastAsia="da-DK"/>
        </w:rPr>
        <w:t>basic needs</w:t>
      </w:r>
      <w:r w:rsidRPr="006E6AAA">
        <w:rPr>
          <w:rFonts w:ascii="Calibri" w:eastAsia="Times New Roman" w:hAnsi="Calibri" w:cs="Times New Roman"/>
          <w:lang w:val="en-GB" w:eastAsia="da-DK"/>
        </w:rPr>
        <w:t xml:space="preserve"> were ensured. Among suggested improvements are: the introduction of stenographers or modern transcription facilities; the creation of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 library with basic laws; the improvement of accommodation for judges and magistrates on circuit. The Moyamba registrar complained about the lack of stationary and claimed that he has to personally pay for these expanses. Considered that UNDP funds the stationary for MC, it is recommended to look into this issue further.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observation of the circuit hearings, suggested that a microphone would allow the public to better hear the debate, although lack of electricity might be a factor to consider.</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Transportation</w:t>
      </w:r>
      <w:r w:rsidRPr="006E6AAA">
        <w:rPr>
          <w:rFonts w:ascii="Calibri" w:eastAsia="Times New Roman" w:hAnsi="Calibri" w:cs="Times New Roman"/>
          <w:lang w:val="en-GB" w:eastAsia="da-DK"/>
        </w:rPr>
        <w:t xml:space="preserve"> represents a major issue for the MC system. Vehicles are provided for by the Judiciary as an in kind contribution to the project. The Magistrate complains that only one car is available and given the state of the roads in the provinces it is often stationed in Freetown for repairs.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The deputy prison director highlighted the difficulties in transferring the detainees without a vehicle; it was indeed observed during the High Court circuit hearing, that the </w:t>
      </w:r>
      <w:r w:rsidRPr="006E6AAA">
        <w:rPr>
          <w:rFonts w:ascii="Calibri" w:eastAsia="Times New Roman" w:hAnsi="Calibri" w:cs="Times New Roman"/>
          <w:lang w:eastAsia="da-DK"/>
        </w:rPr>
        <w:t xml:space="preserve">12 prisoners on remand were escorted to the court by foot (1 mile). The police prosecutor added that when prisoners are </w:t>
      </w:r>
      <w:r w:rsidRPr="006E6AAA">
        <w:rPr>
          <w:rFonts w:ascii="Calibri" w:eastAsia="Times New Roman" w:hAnsi="Calibri" w:cs="Times New Roman"/>
          <w:lang w:eastAsia="da-DK"/>
        </w:rPr>
        <w:lastRenderedPageBreak/>
        <w:t>transferred for a circuit court they are accommodated in the vehicle of the Magistrate, which raises issues of security and impartiality</w:t>
      </w:r>
      <w:r w:rsidRPr="006E6AAA">
        <w:rPr>
          <w:rFonts w:ascii="Calibri" w:eastAsia="Times New Roman" w:hAnsi="Calibri" w:cs="Times New Roman"/>
          <w:vertAlign w:val="superscript"/>
          <w:lang w:val="en-GB" w:eastAsia="da-DK"/>
        </w:rPr>
        <w:footnoteReference w:id="63"/>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 2.4</w:t>
      </w:r>
      <w:r w:rsidRPr="006E6AAA">
        <w:rPr>
          <w:rFonts w:ascii="Calibri" w:eastAsia="Times New Roman" w:hAnsi="Calibri" w:cs="Times New Roman"/>
          <w:lang w:eastAsia="da-DK"/>
        </w:rPr>
        <w:t xml:space="preserve"> </w:t>
      </w:r>
      <w:r w:rsidRPr="006E6AAA">
        <w:rPr>
          <w:rFonts w:ascii="Calibri" w:eastAsia="Times New Roman" w:hAnsi="Calibri" w:cs="Times New Roman"/>
          <w:b/>
          <w:i/>
          <w:lang w:eastAsia="da-DK"/>
        </w:rPr>
        <w:t>Observation of mobile court sessions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consultant had the opportunity to observe 2 circuit sessions in </w:t>
      </w:r>
      <w:r w:rsidRPr="006E6AAA">
        <w:rPr>
          <w:rFonts w:ascii="Calibri" w:eastAsia="Times New Roman" w:hAnsi="Calibri" w:cs="Times New Roman"/>
          <w:b/>
          <w:lang w:eastAsia="da-DK"/>
        </w:rPr>
        <w:t>Moyamba (High Court)</w:t>
      </w:r>
      <w:r w:rsidRPr="006E6AAA">
        <w:rPr>
          <w:rFonts w:ascii="Calibri" w:eastAsia="Times New Roman" w:hAnsi="Calibri" w:cs="Times New Roman"/>
          <w:lang w:eastAsia="da-DK"/>
        </w:rPr>
        <w:t xml:space="preserve"> and in </w:t>
      </w:r>
      <w:r w:rsidRPr="006E6AAA">
        <w:rPr>
          <w:rFonts w:ascii="Calibri" w:eastAsia="Times New Roman" w:hAnsi="Calibri" w:cs="Times New Roman"/>
          <w:b/>
          <w:lang w:eastAsia="da-DK"/>
        </w:rPr>
        <w:t>Gbangbatok (Magistrate Court).</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In Gbangbatok the Magistrate Court was on its 3</w:t>
      </w:r>
      <w:r w:rsidRPr="006E6AAA">
        <w:rPr>
          <w:rFonts w:ascii="Calibri" w:eastAsia="Times New Roman" w:hAnsi="Calibri" w:cs="Times New Roman"/>
          <w:vertAlign w:val="superscript"/>
          <w:lang w:eastAsia="da-DK"/>
        </w:rPr>
        <w:t>rd</w:t>
      </w:r>
      <w:r w:rsidRPr="006E6AAA">
        <w:rPr>
          <w:rFonts w:ascii="Calibri" w:eastAsia="Times New Roman" w:hAnsi="Calibri" w:cs="Times New Roman"/>
          <w:lang w:eastAsia="da-DK"/>
        </w:rPr>
        <w:t xml:space="preserve"> day of hearings and the observed session lasted from 10.00 to 13.00. The circuit court team was composed of the magistrate, 2 police prosecutors, 2 prison officers and the registrar. 50 persons were present among the public (16 women), most of which were involved in the case.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7 cases were handled during the observed session, as detailed in the table below. 3 parties to the cases (2 male, 1 female) were interviewed and shared their experience with the MC.</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In none of the 7 cases observed a lawyer was present. There were 2 adjournments due to lack of witnesses.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Two cases of interest are highlighted below.</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 A </w:t>
      </w:r>
      <w:r w:rsidRPr="006E6AAA">
        <w:rPr>
          <w:rFonts w:ascii="Calibri" w:eastAsia="Times New Roman" w:hAnsi="Calibri" w:cs="Times New Roman"/>
          <w:b/>
          <w:lang w:eastAsia="da-DK"/>
        </w:rPr>
        <w:t>domestic violence case</w:t>
      </w:r>
      <w:r w:rsidRPr="006E6AAA">
        <w:rPr>
          <w:rFonts w:ascii="Calibri" w:eastAsia="Times New Roman" w:hAnsi="Calibri" w:cs="Times New Roman"/>
          <w:lang w:eastAsia="da-DK"/>
        </w:rPr>
        <w:t xml:space="preserve"> reported by a woman against her husband who had beaten her and caused injuries requiring 500.000 Leones of medical treatment. The sentence was mild (a fine of 100.000 Leones) but considered proportionate as the wife pleaded for her husband and she was pregnant. This hearing was an important opportunity to disseminate the message that wife-beating is a crime and the Magistrate spent some minutes explaining this to the public in the courtroom.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second case was an </w:t>
      </w:r>
      <w:r w:rsidRPr="006E6AAA">
        <w:rPr>
          <w:rFonts w:ascii="Calibri" w:eastAsia="Times New Roman" w:hAnsi="Calibri" w:cs="Times New Roman"/>
          <w:b/>
          <w:lang w:eastAsia="da-DK"/>
        </w:rPr>
        <w:t>appeal from the Local Court</w:t>
      </w:r>
      <w:r w:rsidRPr="006E6AAA">
        <w:rPr>
          <w:rFonts w:ascii="Calibri" w:eastAsia="Times New Roman" w:hAnsi="Calibri" w:cs="Times New Roman"/>
          <w:lang w:eastAsia="da-DK"/>
        </w:rPr>
        <w:t xml:space="preserve">. The object of the complaint was not known but it is worth noting it in the light of the new supervision role of Magistrate Courts over Local Courts. The case was however adjourned because the 2 assessors from the Local Courts who must integrate Magistrate Courts in these cases were not available.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Below is a summary of the cases observed before the Magistrate circuit court in Gbangbatok.</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tabs>
          <w:tab w:val="left" w:pos="2292"/>
        </w:tabs>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tabs>
          <w:tab w:val="left" w:pos="2292"/>
        </w:tabs>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tabs>
          <w:tab w:val="left" w:pos="2292"/>
        </w:tabs>
        <w:spacing w:after="0" w:line="280" w:lineRule="exact"/>
        <w:jc w:val="both"/>
        <w:rPr>
          <w:rFonts w:ascii="Times New Roman" w:eastAsia="Times New Roman" w:hAnsi="Times New Roman" w:cs="Times New Roman"/>
          <w:sz w:val="23"/>
          <w:szCs w:val="20"/>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2397"/>
        <w:gridCol w:w="2067"/>
        <w:gridCol w:w="2657"/>
        <w:gridCol w:w="1457"/>
      </w:tblGrid>
      <w:tr w:rsidR="006E6AAA" w:rsidRPr="006E6AAA" w:rsidTr="00C8613A">
        <w:tc>
          <w:tcPr>
            <w:tcW w:w="9778" w:type="dxa"/>
            <w:gridSpan w:val="5"/>
          </w:tcPr>
          <w:p w:rsidR="006E6AAA" w:rsidRPr="006E6AAA" w:rsidRDefault="006E6AAA" w:rsidP="006E6AAA">
            <w:pPr>
              <w:spacing w:after="0" w:line="270" w:lineRule="atLeast"/>
              <w:jc w:val="center"/>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5/02/2013 - Magistrate Court of Moyamba on circuit in Gbangbatok</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Type and nature of case</w:t>
            </w:r>
          </w:p>
        </w:tc>
        <w:tc>
          <w:tcPr>
            <w:tcW w:w="216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Parties to the case</w:t>
            </w:r>
          </w:p>
        </w:tc>
        <w:tc>
          <w:tcPr>
            <w:tcW w:w="2813"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Outcome of the case</w:t>
            </w:r>
          </w:p>
        </w:tc>
        <w:tc>
          <w:tcPr>
            <w:tcW w:w="1457"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Legal representation</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1</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Criminal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Burglary and theft (2 chicken valued at 70.000 le)</w:t>
            </w: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Accused: male, 18 yrs</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Defendant: male</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Adjourned to next day (absence of witness) </w:t>
            </w:r>
          </w:p>
        </w:tc>
        <w:tc>
          <w:tcPr>
            <w:tcW w:w="145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No </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2</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 (PI)</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Burglary </w:t>
            </w: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Accused: male</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Adjourned to next day (absence of witness)</w:t>
            </w:r>
          </w:p>
        </w:tc>
        <w:tc>
          <w:tcPr>
            <w:tcW w:w="1457" w:type="dxa"/>
          </w:tcPr>
          <w:p w:rsidR="006E6AAA" w:rsidRPr="006E6AAA" w:rsidRDefault="006E6AAA" w:rsidP="006E6AAA">
            <w:pPr>
              <w:spacing w:after="0" w:line="270" w:lineRule="atLeast"/>
              <w:rPr>
                <w:rFonts w:ascii="Times New Roman" w:eastAsia="Times New Roman" w:hAnsi="Times New Roman" w:cs="Times New Roman"/>
                <w:sz w:val="23"/>
                <w:szCs w:val="20"/>
                <w:lang w:eastAsia="da-DK"/>
              </w:rPr>
            </w:pPr>
            <w:r w:rsidRPr="006E6AAA">
              <w:rPr>
                <w:rFonts w:ascii="Calibri" w:eastAsia="Times New Roman" w:hAnsi="Calibri" w:cs="Times New Roman"/>
                <w:sz w:val="20"/>
                <w:szCs w:val="20"/>
                <w:lang w:eastAsia="da-DK"/>
              </w:rPr>
              <w:t xml:space="preserve">No </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3</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Criminal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Unlawful possession</w:t>
            </w: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Accused: male</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Conviction </w:t>
            </w: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r w:rsidRPr="006E6AAA">
              <w:rPr>
                <w:rFonts w:ascii="Calibri" w:eastAsia="Times New Roman" w:hAnsi="Calibri" w:cs="Times New Roman"/>
                <w:sz w:val="20"/>
                <w:szCs w:val="20"/>
                <w:lang w:eastAsia="da-DK"/>
              </w:rPr>
              <w:t xml:space="preserve">(3 years of prison) </w:t>
            </w:r>
          </w:p>
        </w:tc>
        <w:tc>
          <w:tcPr>
            <w:tcW w:w="145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No</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4</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Criminal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Domestic violence</w:t>
            </w: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Accused: male</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Defendant: female (wife of the accused)</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 xml:space="preserve">Conviction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(Fine of 100.000 leones)</w:t>
            </w: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tc>
        <w:tc>
          <w:tcPr>
            <w:tcW w:w="145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No</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Case 5</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Civil (appeal from Local Court)</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Adjourned to next day</w:t>
            </w: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r w:rsidRPr="006E6AAA">
              <w:rPr>
                <w:rFonts w:ascii="Calibri" w:eastAsia="Times New Roman" w:hAnsi="Calibri" w:cs="Times New Roman"/>
                <w:sz w:val="20"/>
                <w:szCs w:val="20"/>
                <w:lang w:eastAsia="da-DK"/>
              </w:rPr>
              <w:t>(absence of assessors from Local Court)</w:t>
            </w:r>
          </w:p>
        </w:tc>
        <w:tc>
          <w:tcPr>
            <w:tcW w:w="145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No</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6</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Burglary and theft (bag with personal belongings)</w:t>
            </w: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Accused: male (pleaded guilty and is a prison escapee)</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Conviction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(5 years of prison)</w:t>
            </w:r>
          </w:p>
        </w:tc>
        <w:tc>
          <w:tcPr>
            <w:tcW w:w="145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No</w:t>
            </w:r>
          </w:p>
        </w:tc>
      </w:tr>
      <w:tr w:rsidR="006E6AAA" w:rsidRPr="006E6AAA" w:rsidTr="00C8613A">
        <w:tc>
          <w:tcPr>
            <w:tcW w:w="828"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Case 7 </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Battery (stones thrown at teacher)</w:t>
            </w:r>
          </w:p>
        </w:tc>
        <w:tc>
          <w:tcPr>
            <w:tcW w:w="216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Accused: male, 17 yrs</w:t>
            </w:r>
          </w:p>
        </w:tc>
        <w:tc>
          <w:tcPr>
            <w:tcW w:w="2813"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The court retired in camera. </w:t>
            </w:r>
          </w:p>
        </w:tc>
        <w:tc>
          <w:tcPr>
            <w:tcW w:w="145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No</w:t>
            </w:r>
          </w:p>
        </w:tc>
      </w:tr>
    </w:tbl>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80" w:lineRule="exact"/>
        <w:rPr>
          <w:rFonts w:ascii="Calibri" w:eastAsia="Times New Roman" w:hAnsi="Calibri" w:cs="Times New Roman"/>
          <w:b/>
          <w:color w:val="000080"/>
          <w:sz w:val="28"/>
          <w:szCs w:val="28"/>
          <w:lang w:eastAsia="da-DK"/>
        </w:rPr>
      </w:pPr>
      <w:r w:rsidRPr="006E6AAA">
        <w:rPr>
          <w:rFonts w:ascii="Calibri" w:eastAsia="Times New Roman" w:hAnsi="Calibri" w:cs="Times New Roman"/>
          <w:b/>
          <w:color w:val="000080"/>
          <w:sz w:val="28"/>
          <w:szCs w:val="28"/>
          <w:lang w:eastAsia="da-DK"/>
        </w:rPr>
        <w:t>EFFICIENCY</w:t>
      </w:r>
    </w:p>
    <w:p w:rsidR="006E6AAA" w:rsidRPr="006E6AAA" w:rsidRDefault="006E6AAA" w:rsidP="006E6AAA">
      <w:pPr>
        <w:spacing w:after="0" w:line="280" w:lineRule="exact"/>
        <w:jc w:val="both"/>
        <w:rPr>
          <w:rFonts w:ascii="Calibri" w:eastAsia="Times New Roman" w:hAnsi="Calibri" w:cs="Times New Roman"/>
          <w:sz w:val="20"/>
          <w:szCs w:val="20"/>
          <w:lang w:eastAsia="da-DK"/>
        </w:rPr>
      </w:pPr>
      <w:r w:rsidRPr="006E6AAA">
        <w:rPr>
          <w:rFonts w:ascii="Calibri" w:eastAsia="Times New Roman" w:hAnsi="Calibri" w:cs="Times New Roman"/>
          <w:i/>
          <w:color w:val="333333"/>
          <w:sz w:val="20"/>
          <w:szCs w:val="20"/>
          <w:lang w:eastAsia="da-DK"/>
        </w:rPr>
        <w:t>Efficiency measures how economically resources or inputs (such as funds, expertise and time) are converted to results and assesses assess how the partnership strategy has influenced the efficiency of the initiatives through cost-sharing measures and complementary activities.</w:t>
      </w:r>
    </w:p>
    <w:p w:rsidR="006E6AAA" w:rsidRPr="006E6AAA" w:rsidRDefault="006E6AAA" w:rsidP="006E6AAA">
      <w:pPr>
        <w:spacing w:after="0" w:line="280" w:lineRule="exact"/>
        <w:rPr>
          <w:rFonts w:ascii="Times New Roman" w:eastAsia="Times New Roman" w:hAnsi="Times New Roman" w:cs="Times New Roman"/>
          <w:b/>
          <w:sz w:val="23"/>
          <w:szCs w:val="20"/>
          <w:lang w:eastAsia="da-DK"/>
        </w:rPr>
      </w:pPr>
    </w:p>
    <w:p w:rsidR="006E6AAA" w:rsidRPr="006E6AAA" w:rsidRDefault="006E6AAA" w:rsidP="006E6AAA">
      <w:pPr>
        <w:spacing w:after="0" w:line="280" w:lineRule="exact"/>
        <w:rPr>
          <w:rFonts w:ascii="Times New Roman" w:eastAsia="Times New Roman" w:hAnsi="Times New Roman" w:cs="Times New Roman"/>
          <w:b/>
          <w:sz w:val="23"/>
          <w:szCs w:val="20"/>
          <w:lang w:eastAsia="da-DK"/>
        </w:rPr>
      </w:pPr>
    </w:p>
    <w:p w:rsidR="006E6AAA" w:rsidRPr="006E6AAA" w:rsidRDefault="006E6AAA" w:rsidP="006E6AAA">
      <w:pPr>
        <w:pBdr>
          <w:bottom w:val="single" w:sz="12" w:space="1" w:color="000080"/>
        </w:pBdr>
        <w:spacing w:after="0" w:line="280" w:lineRule="exact"/>
        <w:rPr>
          <w:rFonts w:ascii="Calibri" w:eastAsia="Times New Roman" w:hAnsi="Calibri" w:cs="Times New Roman"/>
          <w:b/>
          <w:i/>
          <w:lang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i/>
          <w:lang w:eastAsia="da-DK"/>
        </w:rPr>
        <w:t xml:space="preserve">3.1. Cost effectiveness </w:t>
      </w:r>
    </w:p>
    <w:p w:rsidR="006E6AAA" w:rsidRPr="006E6AAA" w:rsidRDefault="006E6AAA" w:rsidP="006E6AAA">
      <w:pPr>
        <w:spacing w:after="0" w:line="280" w:lineRule="exact"/>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Mobile Court system in Sierra Leone is strongly dependant on international donors: 80% of the budget for mobile courts is funded by UNDP, GIZ and DFID.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donors are funding: i) allowances of judges, magistrates and support staff (court clerk, registrar, driver), ii) fuel, iii) stationary, and  iv) transportation for witnesses.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The Judiciary contributes </w:t>
      </w:r>
      <w:r w:rsidRPr="006E6AAA">
        <w:rPr>
          <w:rFonts w:ascii="Calibri" w:eastAsia="Times New Roman" w:hAnsi="Calibri" w:cs="Times New Roman"/>
          <w:lang w:val="en-GB" w:eastAsia="da-DK"/>
        </w:rPr>
        <w:t xml:space="preserve">with, i) allocation and maintenance of vehicles, motorbikes, and  ii) salaries for judges, magistrates and support staff. </w:t>
      </w:r>
    </w:p>
    <w:p w:rsidR="006E6AAA" w:rsidRPr="006E6AAA" w:rsidRDefault="006E6AAA" w:rsidP="006E6AAA">
      <w:pPr>
        <w:spacing w:after="0" w:line="280" w:lineRule="exact"/>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table below tentatively compares the MC budgets of the 3 international partners, which are intervening in 3 different geographical areas (UNDP in the South, GIZ in the East and DIFID in the North)</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720"/>
        <w:gridCol w:w="2700"/>
        <w:gridCol w:w="720"/>
        <w:gridCol w:w="2880"/>
        <w:gridCol w:w="720"/>
      </w:tblGrid>
      <w:tr w:rsidR="006E6AAA" w:rsidRPr="006E6AAA" w:rsidTr="00C8613A">
        <w:tc>
          <w:tcPr>
            <w:tcW w:w="10620" w:type="dxa"/>
            <w:gridSpan w:val="6"/>
            <w:shd w:val="clear" w:color="auto" w:fill="333399"/>
          </w:tcPr>
          <w:p w:rsidR="006E6AAA" w:rsidRPr="006E6AAA" w:rsidRDefault="006E6AAA" w:rsidP="006E6AAA">
            <w:pPr>
              <w:spacing w:after="0" w:line="270" w:lineRule="atLeast"/>
              <w:jc w:val="center"/>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The financial contribution of international partners to Sierra Leone Mobile Courts (2012)</w:t>
            </w:r>
          </w:p>
        </w:tc>
      </w:tr>
      <w:tr w:rsidR="006E6AAA" w:rsidRPr="006E6AAA" w:rsidTr="00C8613A">
        <w:tc>
          <w:tcPr>
            <w:tcW w:w="3600" w:type="dxa"/>
            <w:gridSpan w:val="2"/>
            <w:shd w:val="clear" w:color="auto" w:fill="E0E0E0"/>
          </w:tcPr>
          <w:p w:rsidR="006E6AAA" w:rsidRPr="006E6AAA" w:rsidRDefault="006E6AAA" w:rsidP="006E6AAA">
            <w:pPr>
              <w:spacing w:after="0" w:line="270" w:lineRule="atLeast"/>
              <w:jc w:val="center"/>
              <w:rPr>
                <w:rFonts w:ascii="Calibri" w:eastAsia="Times New Roman" w:hAnsi="Calibri" w:cs="Times New Roman"/>
                <w:b/>
                <w:sz w:val="23"/>
                <w:szCs w:val="20"/>
                <w:lang w:eastAsia="da-DK"/>
              </w:rPr>
            </w:pPr>
            <w:r w:rsidRPr="006E6AAA">
              <w:rPr>
                <w:rFonts w:ascii="Calibri" w:eastAsia="Times New Roman" w:hAnsi="Calibri" w:cs="Times New Roman"/>
                <w:b/>
                <w:sz w:val="23"/>
                <w:szCs w:val="20"/>
                <w:lang w:eastAsia="da-DK"/>
              </w:rPr>
              <w:t>UNDP (south) 12 months</w:t>
            </w:r>
          </w:p>
          <w:p w:rsidR="006E6AAA" w:rsidRPr="006E6AAA" w:rsidRDefault="006E6AAA" w:rsidP="006E6AAA">
            <w:pPr>
              <w:spacing w:after="0" w:line="270" w:lineRule="atLeast"/>
              <w:jc w:val="center"/>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N. of itinerant Magistrate Courts: 54 </w:t>
            </w:r>
          </w:p>
          <w:p w:rsidR="006E6AAA" w:rsidRPr="006E6AAA" w:rsidRDefault="006E6AAA" w:rsidP="006E6AAA">
            <w:pPr>
              <w:spacing w:after="0" w:line="270" w:lineRule="atLeast"/>
              <w:jc w:val="center"/>
              <w:rPr>
                <w:rFonts w:ascii="Calibri" w:eastAsia="Times New Roman" w:hAnsi="Calibri" w:cs="Times New Roman"/>
                <w:b/>
                <w:sz w:val="23"/>
                <w:szCs w:val="20"/>
                <w:lang w:eastAsia="da-DK"/>
              </w:rPr>
            </w:pPr>
            <w:r w:rsidRPr="006E6AAA">
              <w:rPr>
                <w:rFonts w:ascii="Calibri" w:eastAsia="Times New Roman" w:hAnsi="Calibri" w:cs="Times New Roman"/>
                <w:sz w:val="20"/>
                <w:szCs w:val="20"/>
                <w:lang w:eastAsia="da-DK"/>
              </w:rPr>
              <w:t>N. of itinerant High Courts: 4</w:t>
            </w:r>
          </w:p>
        </w:tc>
        <w:tc>
          <w:tcPr>
            <w:tcW w:w="3420" w:type="dxa"/>
            <w:gridSpan w:val="2"/>
            <w:shd w:val="clear" w:color="auto" w:fill="262626"/>
          </w:tcPr>
          <w:p w:rsidR="006E6AAA" w:rsidRPr="006E6AAA" w:rsidRDefault="006E6AAA" w:rsidP="006E6AAA">
            <w:pPr>
              <w:spacing w:after="0" w:line="270" w:lineRule="atLeast"/>
              <w:jc w:val="center"/>
              <w:rPr>
                <w:rFonts w:ascii="Calibri" w:eastAsia="Times New Roman" w:hAnsi="Calibri" w:cs="Times New Roman"/>
                <w:b/>
                <w:color w:val="FFFFFF"/>
                <w:sz w:val="23"/>
                <w:szCs w:val="20"/>
                <w:lang w:eastAsia="da-DK"/>
              </w:rPr>
            </w:pPr>
            <w:r w:rsidRPr="006E6AAA">
              <w:rPr>
                <w:rFonts w:ascii="Calibri" w:eastAsia="Times New Roman" w:hAnsi="Calibri" w:cs="Times New Roman"/>
                <w:b/>
                <w:sz w:val="23"/>
                <w:szCs w:val="20"/>
                <w:lang w:eastAsia="da-DK"/>
              </w:rPr>
              <w:t>GIZ</w:t>
            </w:r>
            <w:r w:rsidRPr="006E6AAA">
              <w:rPr>
                <w:rFonts w:ascii="Calibri" w:eastAsia="Times New Roman" w:hAnsi="Calibri" w:cs="Times New Roman"/>
                <w:b/>
                <w:color w:val="FFFFFF"/>
                <w:sz w:val="23"/>
                <w:szCs w:val="20"/>
                <w:lang w:eastAsia="da-DK"/>
              </w:rPr>
              <w:t xml:space="preserve"> (east) 12 months</w:t>
            </w:r>
          </w:p>
          <w:p w:rsidR="006E6AAA" w:rsidRPr="006E6AAA" w:rsidRDefault="006E6AAA" w:rsidP="006E6AAA">
            <w:pPr>
              <w:spacing w:after="0" w:line="270" w:lineRule="atLeast"/>
              <w:jc w:val="center"/>
              <w:rPr>
                <w:rFonts w:ascii="Calibri" w:eastAsia="Times New Roman" w:hAnsi="Calibri" w:cs="Times New Roman"/>
                <w:sz w:val="20"/>
                <w:szCs w:val="20"/>
                <w:lang w:eastAsia="da-DK"/>
              </w:rPr>
            </w:pPr>
            <w:r w:rsidRPr="006E6AAA">
              <w:rPr>
                <w:rFonts w:ascii="Calibri" w:eastAsia="Times New Roman" w:hAnsi="Calibri" w:cs="Times New Roman"/>
                <w:color w:val="FFFFFF"/>
                <w:sz w:val="20"/>
                <w:szCs w:val="20"/>
                <w:lang w:eastAsia="da-DK"/>
              </w:rPr>
              <w:t>N. of itinerant Magistrate Courts: n/a</w:t>
            </w:r>
          </w:p>
          <w:p w:rsidR="006E6AAA" w:rsidRPr="006E6AAA" w:rsidRDefault="006E6AAA" w:rsidP="006E6AAA">
            <w:pPr>
              <w:spacing w:after="0" w:line="270" w:lineRule="atLeast"/>
              <w:jc w:val="center"/>
              <w:rPr>
                <w:rFonts w:ascii="Calibri" w:eastAsia="Times New Roman" w:hAnsi="Calibri" w:cs="Times New Roman"/>
                <w:b/>
                <w:color w:val="FFFFFF"/>
                <w:sz w:val="23"/>
                <w:szCs w:val="20"/>
                <w:lang w:eastAsia="da-DK"/>
              </w:rPr>
            </w:pPr>
            <w:r w:rsidRPr="006E6AAA">
              <w:rPr>
                <w:rFonts w:ascii="Calibri" w:eastAsia="Times New Roman" w:hAnsi="Calibri" w:cs="Times New Roman"/>
                <w:color w:val="FFFFFF"/>
                <w:sz w:val="20"/>
                <w:szCs w:val="20"/>
                <w:lang w:eastAsia="da-DK"/>
              </w:rPr>
              <w:t>N. of itinerant High Courts: n/a</w:t>
            </w:r>
          </w:p>
        </w:tc>
        <w:tc>
          <w:tcPr>
            <w:tcW w:w="3600" w:type="dxa"/>
            <w:gridSpan w:val="2"/>
            <w:shd w:val="clear" w:color="auto" w:fill="E0E0E0"/>
          </w:tcPr>
          <w:p w:rsidR="006E6AAA" w:rsidRPr="006E6AAA" w:rsidRDefault="006E6AAA" w:rsidP="006E6AAA">
            <w:pPr>
              <w:spacing w:after="0" w:line="270" w:lineRule="atLeast"/>
              <w:jc w:val="center"/>
              <w:rPr>
                <w:rFonts w:ascii="Calibri" w:eastAsia="Times New Roman" w:hAnsi="Calibri" w:cs="Times New Roman"/>
                <w:b/>
                <w:sz w:val="23"/>
                <w:szCs w:val="20"/>
                <w:lang w:eastAsia="da-DK"/>
              </w:rPr>
            </w:pPr>
            <w:r w:rsidRPr="006E6AAA">
              <w:rPr>
                <w:rFonts w:ascii="Calibri" w:eastAsia="Times New Roman" w:hAnsi="Calibri" w:cs="Times New Roman"/>
                <w:b/>
                <w:sz w:val="23"/>
                <w:szCs w:val="20"/>
                <w:lang w:eastAsia="da-DK"/>
              </w:rPr>
              <w:t>ASJP/DFID (north) 6 months</w:t>
            </w:r>
          </w:p>
          <w:p w:rsidR="006E6AAA" w:rsidRPr="006E6AAA" w:rsidRDefault="006E6AAA" w:rsidP="006E6AAA">
            <w:pPr>
              <w:spacing w:after="0" w:line="270" w:lineRule="atLeast"/>
              <w:jc w:val="center"/>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 of itinerant Magistrate Courts: 66</w:t>
            </w:r>
          </w:p>
          <w:p w:rsidR="006E6AAA" w:rsidRPr="006E6AAA" w:rsidRDefault="006E6AAA" w:rsidP="006E6AAA">
            <w:pPr>
              <w:spacing w:after="0" w:line="270" w:lineRule="atLeast"/>
              <w:jc w:val="center"/>
              <w:rPr>
                <w:rFonts w:ascii="Calibri" w:eastAsia="Times New Roman" w:hAnsi="Calibri" w:cs="Times New Roman"/>
                <w:b/>
                <w:color w:val="FFFFFF"/>
                <w:sz w:val="23"/>
                <w:szCs w:val="20"/>
                <w:lang w:eastAsia="da-DK"/>
              </w:rPr>
            </w:pPr>
            <w:r w:rsidRPr="006E6AAA">
              <w:rPr>
                <w:rFonts w:ascii="Calibri" w:eastAsia="Times New Roman" w:hAnsi="Calibri" w:cs="Times New Roman"/>
                <w:sz w:val="20"/>
                <w:szCs w:val="20"/>
                <w:lang w:eastAsia="da-DK"/>
              </w:rPr>
              <w:t>n. of itinerant High Courts:2</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Activity</w:t>
            </w:r>
          </w:p>
        </w:tc>
        <w:tc>
          <w:tcPr>
            <w:tcW w:w="7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USD</w:t>
            </w:r>
          </w:p>
        </w:tc>
        <w:tc>
          <w:tcPr>
            <w:tcW w:w="270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Activity</w:t>
            </w:r>
          </w:p>
        </w:tc>
        <w:tc>
          <w:tcPr>
            <w:tcW w:w="7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USD</w:t>
            </w:r>
          </w:p>
        </w:tc>
        <w:tc>
          <w:tcPr>
            <w:tcW w:w="288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Activity</w:t>
            </w:r>
          </w:p>
        </w:tc>
        <w:tc>
          <w:tcPr>
            <w:tcW w:w="7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USD</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1. Allowances (leones) </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2700" w:type="dxa"/>
          </w:tcPr>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1. Allowances (leones)</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288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i/>
                <w:sz w:val="18"/>
                <w:szCs w:val="18"/>
                <w:lang w:eastAsia="da-DK"/>
              </w:rPr>
              <w:t>1. Allowances (leones)</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 xml:space="preserve">1.1 Magistrate Courts </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- 2 Magistrate@ 150.000/night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- 9 support staff @100.000/night</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 (1 court clerk, 1 registrar, 1 driver, 2 police officer, 4 prison officer)</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8.163</w:t>
            </w:r>
          </w:p>
        </w:tc>
        <w:tc>
          <w:tcPr>
            <w:tcW w:w="270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 1 Magistrate courts</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Magistrate @ 150.000/night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- 3 support staff@ 50.000/night</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(1 clerk, 1 police prosecutor, 1 driver)</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2.506</w:t>
            </w:r>
          </w:p>
        </w:tc>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 1 Magistrate courts</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- 2 Magistrate @ 200.000/night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- 2 to 4 support staff@ 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i/>
                <w:sz w:val="18"/>
                <w:szCs w:val="18"/>
                <w:lang w:eastAsia="da-DK"/>
              </w:rPr>
              <w:t>( clerk,  police prosecutor, prison officer, driver)</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8.079</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1.2 High Court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lastRenderedPageBreak/>
              <w:t>- 1 judge @ 250.000/night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- 3 support staff @100.000/night</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 (1 court clerk, 1 registrar, 1 driver)</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lastRenderedPageBreak/>
              <w:t>2.558</w:t>
            </w:r>
          </w:p>
        </w:tc>
        <w:tc>
          <w:tcPr>
            <w:tcW w:w="270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1.2 High Court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lastRenderedPageBreak/>
              <w:t>- 1 judge @ 350.000/night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registrar@ 100.000/night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- 2 support staff @50.000/night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deputy registr@200.000/night</w:t>
            </w:r>
          </w:p>
          <w:p w:rsidR="006E6AAA" w:rsidRPr="006E6AAA" w:rsidRDefault="006E6AAA" w:rsidP="006E6AAA">
            <w:pPr>
              <w:spacing w:after="0" w:line="270" w:lineRule="atLeast"/>
              <w:rPr>
                <w:rFonts w:ascii="Calibri" w:eastAsia="Times New Roman" w:hAnsi="Calibri" w:cs="Times New Roman"/>
                <w:i/>
                <w:sz w:val="18"/>
                <w:szCs w:val="18"/>
                <w:lang w:eastAsia="da-DK"/>
              </w:rPr>
            </w:pPr>
            <w:r w:rsidRPr="006E6AAA">
              <w:rPr>
                <w:rFonts w:ascii="Calibri" w:eastAsia="Times New Roman" w:hAnsi="Calibri" w:cs="Times New Roman"/>
                <w:i/>
                <w:sz w:val="18"/>
                <w:szCs w:val="18"/>
                <w:lang w:eastAsia="da-DK"/>
              </w:rPr>
              <w:t xml:space="preserve"> (1 court clerk, 1 driver)</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lastRenderedPageBreak/>
              <w:t xml:space="preserve">8.358 </w:t>
            </w:r>
          </w:p>
        </w:tc>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1.2 High Court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lastRenderedPageBreak/>
              <w:t>- 1 judge @ 300.000/night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registrar@ 100.000/night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clerk @50.000/night</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driver@50.000/night</w:t>
            </w:r>
          </w:p>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lastRenderedPageBreak/>
              <w:t>3.484</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b/>
                <w:sz w:val="18"/>
                <w:szCs w:val="18"/>
                <w:lang w:eastAsia="da-DK"/>
              </w:rPr>
              <w:lastRenderedPageBreak/>
              <w:t>1.3 Coordination</w:t>
            </w:r>
            <w:r w:rsidRPr="006E6AAA">
              <w:rPr>
                <w:rFonts w:ascii="Calibri" w:eastAsia="Times New Roman" w:hAnsi="Calibri" w:cs="Times New Roman"/>
                <w:sz w:val="18"/>
                <w:szCs w:val="18"/>
                <w:lang w:eastAsia="da-DK"/>
              </w:rPr>
              <w:t xml:space="preserve"> (5 months)</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coordinator@ 500.000/month</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- 1 driver @100.000/month</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698</w:t>
            </w:r>
          </w:p>
        </w:tc>
        <w:tc>
          <w:tcPr>
            <w:tcW w:w="270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 xml:space="preserve">1.3 Coordination </w:t>
            </w:r>
            <w:r w:rsidRPr="006E6AAA">
              <w:rPr>
                <w:rFonts w:ascii="Calibri" w:eastAsia="Times New Roman" w:hAnsi="Calibri" w:cs="Times New Roman"/>
                <w:sz w:val="18"/>
                <w:szCs w:val="18"/>
                <w:lang w:eastAsia="da-DK"/>
              </w:rPr>
              <w:t>(6 months)</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b/>
                <w:sz w:val="18"/>
                <w:szCs w:val="18"/>
                <w:lang w:eastAsia="da-DK"/>
              </w:rPr>
              <w:t xml:space="preserve">- </w:t>
            </w:r>
            <w:r w:rsidRPr="006E6AAA">
              <w:rPr>
                <w:rFonts w:ascii="Calibri" w:eastAsia="Times New Roman" w:hAnsi="Calibri" w:cs="Times New Roman"/>
                <w:sz w:val="18"/>
                <w:szCs w:val="18"/>
                <w:lang w:eastAsia="da-DK"/>
              </w:rPr>
              <w:t>1 coordinator@ 500.000/month</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xml:space="preserve">1.042 </w:t>
            </w:r>
          </w:p>
        </w:tc>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1.3 Coordination</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3 coordinator@ 500.000/month</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2.298</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1.4 JP &amp; High Court Jurors</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- 6 JP@ 250.00/month. 6 months</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xml:space="preserve">- 18 </w:t>
            </w:r>
            <w:hyperlink r:id="rId24" w:history="1">
              <w:r w:rsidRPr="006E6AAA">
                <w:rPr>
                  <w:rFonts w:ascii="Calibri" w:eastAsia="Times New Roman" w:hAnsi="Calibri" w:cs="Times New Roman"/>
                  <w:sz w:val="18"/>
                  <w:szCs w:val="18"/>
                  <w:lang w:eastAsia="da-DK"/>
                </w:rPr>
                <w:t>jurors@40.000/2</w:t>
              </w:r>
            </w:hyperlink>
            <w:r w:rsidRPr="006E6AAA">
              <w:rPr>
                <w:rFonts w:ascii="Calibri" w:eastAsia="Times New Roman" w:hAnsi="Calibri" w:cs="Times New Roman"/>
                <w:sz w:val="18"/>
                <w:szCs w:val="18"/>
                <w:lang w:eastAsia="da-DK"/>
              </w:rPr>
              <w:t xml:space="preserve"> sittings</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2.074</w:t>
            </w:r>
          </w:p>
        </w:tc>
        <w:tc>
          <w:tcPr>
            <w:tcW w:w="270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1.4 JP</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- 4 JP@600.000/month</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1.251</w:t>
            </w:r>
          </w:p>
        </w:tc>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1.4 JP</w:t>
            </w:r>
          </w:p>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  6 JP@150.000/month</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1.253</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b/>
                <w:sz w:val="18"/>
                <w:szCs w:val="18"/>
                <w:lang w:eastAsia="da-DK"/>
              </w:rPr>
              <w:t>Subtotal Allowances: 13.493 USD</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270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b/>
                <w:sz w:val="18"/>
                <w:szCs w:val="18"/>
                <w:lang w:eastAsia="da-DK"/>
              </w:rPr>
              <w:t>Subtotal Allowances: 13.157 USD</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288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b/>
                <w:sz w:val="18"/>
                <w:szCs w:val="18"/>
                <w:lang w:eastAsia="da-DK"/>
              </w:rPr>
              <w:t>Subtotal Allowances: 15.114 USD</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2. Fuel</w:t>
            </w: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2.673</w:t>
            </w:r>
          </w:p>
        </w:tc>
        <w:tc>
          <w:tcPr>
            <w:tcW w:w="270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1.333</w:t>
            </w:r>
          </w:p>
        </w:tc>
        <w:tc>
          <w:tcPr>
            <w:tcW w:w="2880" w:type="dxa"/>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720" w:type="dxa"/>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4.800</w:t>
            </w:r>
          </w:p>
        </w:tc>
      </w:tr>
      <w:tr w:rsidR="006E6AAA" w:rsidRPr="006E6AAA" w:rsidTr="00C8613A">
        <w:tc>
          <w:tcPr>
            <w:tcW w:w="2880" w:type="dxa"/>
            <w:tcBorders>
              <w:bottom w:val="single" w:sz="4" w:space="0" w:color="auto"/>
            </w:tcBorders>
          </w:tcPr>
          <w:p w:rsidR="006E6AAA" w:rsidRPr="006E6AAA" w:rsidRDefault="006E6AAA" w:rsidP="006E6AAA">
            <w:pPr>
              <w:spacing w:after="0" w:line="270" w:lineRule="atLeast"/>
              <w:rPr>
                <w:rFonts w:ascii="Calibri" w:eastAsia="Times New Roman" w:hAnsi="Calibri" w:cs="Times New Roman"/>
                <w:b/>
                <w:sz w:val="18"/>
                <w:szCs w:val="18"/>
                <w:lang w:eastAsia="da-DK"/>
              </w:rPr>
            </w:pPr>
            <w:r w:rsidRPr="006E6AAA">
              <w:rPr>
                <w:rFonts w:ascii="Calibri" w:eastAsia="Times New Roman" w:hAnsi="Calibri" w:cs="Times New Roman"/>
                <w:i/>
                <w:sz w:val="18"/>
                <w:szCs w:val="18"/>
                <w:lang w:eastAsia="da-DK"/>
              </w:rPr>
              <w:t>3. Stationary and equipment</w:t>
            </w:r>
          </w:p>
        </w:tc>
        <w:tc>
          <w:tcPr>
            <w:tcW w:w="720" w:type="dxa"/>
            <w:tcBorders>
              <w:bottom w:val="single" w:sz="4" w:space="0" w:color="auto"/>
            </w:tcBorders>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7.658</w:t>
            </w:r>
          </w:p>
        </w:tc>
        <w:tc>
          <w:tcPr>
            <w:tcW w:w="2700" w:type="dxa"/>
            <w:tcBorders>
              <w:bottom w:val="single" w:sz="4" w:space="0" w:color="auto"/>
            </w:tcBorders>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720" w:type="dxa"/>
            <w:tcBorders>
              <w:bottom w:val="single" w:sz="4" w:space="0" w:color="auto"/>
            </w:tcBorders>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0</w:t>
            </w:r>
          </w:p>
        </w:tc>
        <w:tc>
          <w:tcPr>
            <w:tcW w:w="2880" w:type="dxa"/>
            <w:tcBorders>
              <w:bottom w:val="single" w:sz="4" w:space="0" w:color="auto"/>
            </w:tcBorders>
          </w:tcPr>
          <w:p w:rsidR="006E6AAA" w:rsidRPr="006E6AAA" w:rsidRDefault="006E6AAA" w:rsidP="006E6AAA">
            <w:pPr>
              <w:spacing w:after="0" w:line="270" w:lineRule="atLeast"/>
              <w:rPr>
                <w:rFonts w:ascii="Calibri" w:eastAsia="Times New Roman" w:hAnsi="Calibri" w:cs="Times New Roman"/>
                <w:sz w:val="18"/>
                <w:szCs w:val="18"/>
                <w:lang w:eastAsia="da-DK"/>
              </w:rPr>
            </w:pPr>
          </w:p>
        </w:tc>
        <w:tc>
          <w:tcPr>
            <w:tcW w:w="720" w:type="dxa"/>
            <w:tcBorders>
              <w:bottom w:val="single" w:sz="4" w:space="0" w:color="auto"/>
            </w:tcBorders>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2.066</w:t>
            </w:r>
          </w:p>
        </w:tc>
      </w:tr>
      <w:tr w:rsidR="006E6AAA" w:rsidRPr="006E6AAA" w:rsidTr="00C8613A">
        <w:tc>
          <w:tcPr>
            <w:tcW w:w="2880" w:type="dxa"/>
            <w:shd w:val="clear" w:color="auto" w:fill="E0E0E0"/>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TOTAL BUDGET FOR UNDP</w:t>
            </w:r>
          </w:p>
        </w:tc>
        <w:tc>
          <w:tcPr>
            <w:tcW w:w="720" w:type="dxa"/>
            <w:shd w:val="clear" w:color="auto" w:fill="E0E0E0"/>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23.824</w:t>
            </w:r>
          </w:p>
        </w:tc>
        <w:tc>
          <w:tcPr>
            <w:tcW w:w="2700" w:type="dxa"/>
            <w:shd w:val="clear" w:color="auto" w:fill="262626"/>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TOTAL BUDGET FOR GIZ</w:t>
            </w:r>
          </w:p>
        </w:tc>
        <w:tc>
          <w:tcPr>
            <w:tcW w:w="720" w:type="dxa"/>
            <w:shd w:val="clear" w:color="auto" w:fill="262626"/>
          </w:tcPr>
          <w:p w:rsidR="006E6AAA" w:rsidRPr="006E6AAA" w:rsidRDefault="006E6AAA" w:rsidP="006E6AAA">
            <w:pPr>
              <w:spacing w:after="0" w:line="270" w:lineRule="atLeast"/>
              <w:rPr>
                <w:rFonts w:ascii="Calibri" w:eastAsia="Times New Roman" w:hAnsi="Calibri" w:cs="Times New Roman"/>
                <w:color w:val="FFFFFF"/>
                <w:sz w:val="18"/>
                <w:szCs w:val="18"/>
                <w:lang w:eastAsia="da-DK"/>
              </w:rPr>
            </w:pPr>
            <w:r w:rsidRPr="006E6AAA">
              <w:rPr>
                <w:rFonts w:ascii="Calibri" w:eastAsia="Times New Roman" w:hAnsi="Calibri" w:cs="Times New Roman"/>
                <w:color w:val="FFFFFF"/>
                <w:sz w:val="18"/>
                <w:szCs w:val="18"/>
                <w:lang w:eastAsia="da-DK"/>
              </w:rPr>
              <w:t>14.490</w:t>
            </w:r>
          </w:p>
        </w:tc>
        <w:tc>
          <w:tcPr>
            <w:tcW w:w="2880" w:type="dxa"/>
            <w:shd w:val="clear" w:color="auto" w:fill="E0E0E0"/>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TOTAL BUDGET FOR ASJP/DFID</w:t>
            </w:r>
          </w:p>
        </w:tc>
        <w:tc>
          <w:tcPr>
            <w:tcW w:w="720" w:type="dxa"/>
            <w:shd w:val="clear" w:color="auto" w:fill="E0E0E0"/>
          </w:tcPr>
          <w:p w:rsidR="006E6AAA" w:rsidRPr="006E6AAA" w:rsidRDefault="006E6AAA" w:rsidP="006E6AAA">
            <w:pPr>
              <w:spacing w:after="0" w:line="270" w:lineRule="atLeast"/>
              <w:rPr>
                <w:rFonts w:ascii="Calibri" w:eastAsia="Times New Roman" w:hAnsi="Calibri" w:cs="Times New Roman"/>
                <w:sz w:val="18"/>
                <w:szCs w:val="18"/>
                <w:lang w:eastAsia="da-DK"/>
              </w:rPr>
            </w:pPr>
            <w:r w:rsidRPr="006E6AAA">
              <w:rPr>
                <w:rFonts w:ascii="Calibri" w:eastAsia="Times New Roman" w:hAnsi="Calibri" w:cs="Times New Roman"/>
                <w:sz w:val="18"/>
                <w:szCs w:val="18"/>
                <w:lang w:eastAsia="da-DK"/>
              </w:rPr>
              <w:t>21.980</w:t>
            </w:r>
          </w:p>
        </w:tc>
      </w:tr>
    </w:tbl>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It emerges from the </w:t>
      </w:r>
      <w:r w:rsidRPr="006E6AAA">
        <w:rPr>
          <w:rFonts w:ascii="Calibri" w:eastAsia="Times New Roman" w:hAnsi="Calibri" w:cs="Times New Roman"/>
          <w:lang w:val="en-GB" w:eastAsia="da-DK"/>
        </w:rPr>
        <w:t xml:space="preserve">table above that international partners should promote a </w:t>
      </w:r>
      <w:r w:rsidRPr="006E6AAA">
        <w:rPr>
          <w:rFonts w:ascii="Calibri" w:eastAsia="Times New Roman" w:hAnsi="Calibri" w:cs="Times New Roman"/>
          <w:b/>
          <w:lang w:val="en-GB" w:eastAsia="da-DK"/>
        </w:rPr>
        <w:t>better coordination of the financial aspects</w:t>
      </w:r>
      <w:r w:rsidRPr="006E6AAA">
        <w:rPr>
          <w:rFonts w:ascii="Calibri" w:eastAsia="Times New Roman" w:hAnsi="Calibri" w:cs="Times New Roman"/>
          <w:lang w:val="en-GB" w:eastAsia="da-DK"/>
        </w:rPr>
        <w:t xml:space="preserve"> of their support to the MC system.  In particular the following budget lines should be given a special attention:</w:t>
      </w:r>
    </w:p>
    <w:p w:rsidR="006E6AAA" w:rsidRPr="006E6AAA" w:rsidRDefault="006E6AAA" w:rsidP="006E6AAA">
      <w:pPr>
        <w:numPr>
          <w:ilvl w:val="0"/>
          <w:numId w:val="2"/>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Allowances for magistrates, judges, JPs and support staff are not harmonised across the country, (e.g. a JP is currently paid 600.000 in the East and only 150.00 in the South). </w:t>
      </w:r>
    </w:p>
    <w:p w:rsidR="006E6AAA" w:rsidRPr="006E6AAA" w:rsidRDefault="006E6AAA" w:rsidP="006E6AAA">
      <w:pPr>
        <w:numPr>
          <w:ilvl w:val="0"/>
          <w:numId w:val="2"/>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typology of support staff is not the same in the 3 provinces (e.g prison officers are only supported in the South and in the North). UNDP could further explore if 4 prison officers are required.</w:t>
      </w:r>
    </w:p>
    <w:p w:rsidR="006E6AAA" w:rsidRPr="006E6AAA" w:rsidRDefault="006E6AAA" w:rsidP="006E6AAA">
      <w:pPr>
        <w:numPr>
          <w:ilvl w:val="0"/>
          <w:numId w:val="2"/>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Jurors are only supported in the South.</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3 international partners agreed to </w:t>
      </w:r>
      <w:r w:rsidRPr="006E6AAA">
        <w:rPr>
          <w:rFonts w:ascii="Calibri" w:eastAsia="Times New Roman" w:hAnsi="Calibri" w:cs="Times New Roman"/>
          <w:b/>
          <w:lang w:val="en-GB" w:eastAsia="da-DK"/>
        </w:rPr>
        <w:t>harmonise allowance rates</w:t>
      </w:r>
      <w:r w:rsidRPr="006E6AAA">
        <w:rPr>
          <w:rFonts w:ascii="Calibri" w:eastAsia="Times New Roman" w:hAnsi="Calibri" w:cs="Times New Roman"/>
          <w:lang w:val="en-GB" w:eastAsia="da-DK"/>
        </w:rPr>
        <w:t xml:space="preserve"> and eventual other budget lines in their respective MOUs with the Judiciary (all planned for signature in the first quarter of 2013) with the objective to ensure a stronger coordination in supporting the Judiciary, </w:t>
      </w:r>
      <w:r w:rsidRPr="006E6AAA">
        <w:rPr>
          <w:rFonts w:ascii="Calibri" w:eastAsia="Times New Roman" w:hAnsi="Calibri" w:cs="Times New Roman"/>
          <w:i/>
          <w:lang w:val="en-GB" w:eastAsia="da-DK"/>
        </w:rPr>
        <w:t>inter alia</w:t>
      </w:r>
      <w:r w:rsidRPr="006E6AAA">
        <w:rPr>
          <w:rFonts w:ascii="Calibri" w:eastAsia="Times New Roman" w:hAnsi="Calibri" w:cs="Times New Roman"/>
          <w:lang w:val="en-GB" w:eastAsia="da-DK"/>
        </w:rPr>
        <w:t xml:space="preserve"> to facilitate reporting activities and promote transparency.</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It appears that the Magistrate Court support staff in Moyamba </w:t>
      </w:r>
      <w:r w:rsidRPr="006E6AAA">
        <w:rPr>
          <w:rFonts w:ascii="Calibri" w:eastAsia="Times New Roman" w:hAnsi="Calibri" w:cs="Times New Roman"/>
          <w:lang w:eastAsia="da-DK"/>
        </w:rPr>
        <w:t xml:space="preserve">(except the registrar) is not receiving their allowances in cash. The police prosecutor expressed sincere gratitude to the Magistrate for providing food and accommodation for all support staff as well as food and transport for the prisoners, so it is assumed that the amount of the </w:t>
      </w:r>
      <w:r w:rsidRPr="006E6AAA">
        <w:rPr>
          <w:rFonts w:ascii="Calibri" w:eastAsia="Times New Roman" w:hAnsi="Calibri" w:cs="Times New Roman"/>
          <w:i/>
          <w:lang w:eastAsia="da-DK"/>
        </w:rPr>
        <w:t>perdiem</w:t>
      </w:r>
      <w:r w:rsidRPr="006E6AAA">
        <w:rPr>
          <w:rFonts w:ascii="Calibri" w:eastAsia="Times New Roman" w:hAnsi="Calibri" w:cs="Times New Roman"/>
          <w:lang w:eastAsia="da-DK"/>
        </w:rPr>
        <w:t xml:space="preserve"> for support staff is allocated to the Magistrate who then manages the funds according to the needs.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This system would need to be discussed with the Master and Registrar as it might be more appropriate,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in terms of independence of the Magistrate that support staff receive their </w:t>
      </w:r>
      <w:r w:rsidRPr="006E6AAA">
        <w:rPr>
          <w:rFonts w:ascii="Calibri" w:eastAsia="Times New Roman" w:hAnsi="Calibri" w:cs="Times New Roman"/>
          <w:i/>
          <w:lang w:eastAsia="da-DK"/>
        </w:rPr>
        <w:t>perdiem</w:t>
      </w:r>
      <w:r w:rsidRPr="006E6AAA">
        <w:rPr>
          <w:rFonts w:ascii="Calibri" w:eastAsia="Times New Roman" w:hAnsi="Calibri" w:cs="Times New Roman"/>
          <w:lang w:eastAsia="da-DK"/>
        </w:rPr>
        <w:t xml:space="preserve"> directly in cash, as is the practice in the other provinces supported by DFID and GIZ.</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consultant did </w:t>
      </w:r>
      <w:r w:rsidRPr="006E6AAA">
        <w:rPr>
          <w:rFonts w:ascii="Calibri" w:eastAsia="Times New Roman" w:hAnsi="Calibri" w:cs="Times New Roman"/>
          <w:lang w:val="en-GB" w:eastAsia="da-DK"/>
        </w:rPr>
        <w:t xml:space="preserve">not receive any complaints about the amount of the allowances, so it can be assumed that they are appropriate (except for the jurors, but this particular case is discussed in § 2.3. The Master and Registrar confirmed that circuit court </w:t>
      </w:r>
      <w:r w:rsidRPr="006E6AAA">
        <w:rPr>
          <w:rFonts w:ascii="Calibri" w:eastAsia="Times New Roman" w:hAnsi="Calibri" w:cs="Times New Roman"/>
          <w:i/>
          <w:lang w:val="en-GB" w:eastAsia="da-DK"/>
        </w:rPr>
        <w:t xml:space="preserve">perdiems </w:t>
      </w:r>
      <w:r w:rsidRPr="006E6AAA">
        <w:rPr>
          <w:rFonts w:ascii="Calibri" w:eastAsia="Times New Roman" w:hAnsi="Calibri" w:cs="Times New Roman"/>
          <w:lang w:val="en-GB" w:eastAsia="da-DK"/>
        </w:rPr>
        <w:t>were raised in 2006, because they were so low that staff refused to go on circuit and the UNDP Project Manager added that allowances were increased from the 1</w:t>
      </w:r>
      <w:r w:rsidRPr="006E6AAA">
        <w:rPr>
          <w:rFonts w:ascii="Calibri" w:eastAsia="Times New Roman" w:hAnsi="Calibri" w:cs="Times New Roman"/>
          <w:vertAlign w:val="superscript"/>
          <w:lang w:val="en-GB" w:eastAsia="da-DK"/>
        </w:rPr>
        <w:t>st</w:t>
      </w:r>
      <w:r w:rsidRPr="006E6AAA">
        <w:rPr>
          <w:rFonts w:ascii="Calibri" w:eastAsia="Times New Roman" w:hAnsi="Calibri" w:cs="Times New Roman"/>
          <w:lang w:val="en-GB" w:eastAsia="da-DK"/>
        </w:rPr>
        <w:t xml:space="preserve"> to the 2</w:t>
      </w:r>
      <w:r w:rsidRPr="006E6AAA">
        <w:rPr>
          <w:rFonts w:ascii="Calibri" w:eastAsia="Times New Roman" w:hAnsi="Calibri" w:cs="Times New Roman"/>
          <w:vertAlign w:val="superscript"/>
          <w:lang w:val="en-GB" w:eastAsia="da-DK"/>
        </w:rPr>
        <w:t>nd</w:t>
      </w:r>
      <w:r w:rsidRPr="006E6AAA">
        <w:rPr>
          <w:rFonts w:ascii="Calibri" w:eastAsia="Times New Roman" w:hAnsi="Calibri" w:cs="Times New Roman"/>
          <w:lang w:val="en-GB" w:eastAsia="da-DK"/>
        </w:rPr>
        <w:t xml:space="preserve"> LoA. </w:t>
      </w:r>
      <w:r w:rsidRPr="006E6AAA">
        <w:rPr>
          <w:rFonts w:ascii="Calibri" w:eastAsia="Times New Roman" w:hAnsi="Calibri" w:cs="Times New Roman"/>
          <w:lang w:eastAsia="da-DK"/>
        </w:rPr>
        <w:t xml:space="preserve">The Moyamba Magistrate suggested that the </w:t>
      </w:r>
      <w:r w:rsidRPr="006E6AAA">
        <w:rPr>
          <w:rFonts w:ascii="Calibri" w:eastAsia="Times New Roman" w:hAnsi="Calibri" w:cs="Times New Roman"/>
          <w:i/>
          <w:lang w:eastAsia="da-DK"/>
        </w:rPr>
        <w:t>perdiem</w:t>
      </w:r>
      <w:r w:rsidRPr="006E6AAA">
        <w:rPr>
          <w:rFonts w:ascii="Calibri" w:eastAsia="Times New Roman" w:hAnsi="Calibri" w:cs="Times New Roman"/>
          <w:lang w:eastAsia="da-DK"/>
        </w:rPr>
        <w:t xml:space="preserve"> should be paid in advance instead of upon return from a circuit session</w:t>
      </w:r>
      <w:r w:rsidRPr="006E6AAA">
        <w:rPr>
          <w:rFonts w:ascii="Calibri" w:eastAsia="Times New Roman" w:hAnsi="Calibri" w:cs="Times New Roman"/>
          <w:vertAlign w:val="superscript"/>
          <w:lang w:val="en-GB" w:eastAsia="da-DK"/>
        </w:rPr>
        <w:footnoteReference w:id="64"/>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i/>
          <w:lang w:eastAsia="da-DK"/>
        </w:rPr>
        <w:t>3.2 Coordination with international partners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Circuit courts are implemented in Sierra Leone with the assistance of </w:t>
      </w:r>
      <w:r w:rsidRPr="006E6AAA">
        <w:rPr>
          <w:rFonts w:ascii="Calibri" w:eastAsia="Times New Roman" w:hAnsi="Calibri" w:cs="Times New Roman"/>
          <w:b/>
          <w:lang w:eastAsia="da-DK"/>
        </w:rPr>
        <w:t>3 international partners: UNDP supports the South; GIZ the East and DFID the North</w:t>
      </w:r>
      <w:r w:rsidRPr="006E6AAA">
        <w:rPr>
          <w:rFonts w:ascii="Calibri" w:eastAsia="Times New Roman" w:hAnsi="Calibri" w:cs="Times New Roman"/>
          <w:lang w:eastAsia="da-DK"/>
        </w:rPr>
        <w:t>. Such arrangements have resulted in an effective set up that covers the whole territory of Sierra Leone. This is one of the best practices that have been developed in Sierra Leone and should be encouraged in other countries.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different areas of intervention have similar A2J needs with some regional differences in terms of context: for example the South presents additional challenges for the lack of adequate infrastructures but is more open with regards to women rights.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3 international partners apply very similar models of intervention which consist in providing financial support to the Judiciary to implement the circuit courts. Out of a total of 6 magistrates who are operational in Sierra Leone to date, DFID supports 3 resident magistrates covering 10 stations, UNDP supports 2 resident magistrates covering 8 stations and GIZ supports 2 magistrates covering 4 stations.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All partners support the 3 High Court sessions on circuit (See map in annex 3).</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All 3 donors are also supporting the JP (Justice for Peace), but only UNDP is supporting the jurors.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DFID is planning to support State Counsels for Mobile High Courts in the whole country and a modest legal aid fund for capital offenses.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Southern province was the first attempt of the international community to support circuit courts. In 2006 JSDP/DFID launched the Moyamba pilot project which included a MC component and was later replicated in other provinces.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Considering that UNDP’s support to MC in the South builds on this project, it would have been expected to find stronger references to lessons learned and best practices developed during the Moyamba pilot, which were on the contrary surprisingly limited. Only one report was available from the Moyamba pilot period, which is unfortunate because such material could have been useful to establish a strong baseline.</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Asked about the quality of the coordination among the 3 international partners, the Consultant Master and Registrar expressed satisfaction and confidence that “</w:t>
      </w:r>
      <w:r w:rsidRPr="006E6AAA">
        <w:rPr>
          <w:rFonts w:ascii="Calibri" w:eastAsia="Times New Roman" w:hAnsi="Calibri" w:cs="Times New Roman"/>
          <w:i/>
          <w:lang w:eastAsia="da-DK"/>
        </w:rPr>
        <w:t>everyone knows what others are doing</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3 partners have indeed established cordial and fruitful relationships and have regular individual exchanges with the Master and Registrar, but </w:t>
      </w:r>
      <w:r w:rsidRPr="006E6AAA">
        <w:rPr>
          <w:rFonts w:ascii="Calibri" w:eastAsia="Times New Roman" w:hAnsi="Calibri" w:cs="Times New Roman"/>
          <w:b/>
          <w:lang w:eastAsia="da-DK"/>
        </w:rPr>
        <w:t>official mechanisms for the coordination of the initiative have not been created</w:t>
      </w:r>
      <w:r w:rsidRPr="006E6AAA">
        <w:rPr>
          <w:rFonts w:ascii="Calibri" w:eastAsia="Times New Roman" w:hAnsi="Calibri" w:cs="Times New Roman"/>
          <w:lang w:eastAsia="da-DK"/>
        </w:rPr>
        <w:t xml:space="preserve">.  This set up has weakened the position of the international partners </w:t>
      </w:r>
      <w:r w:rsidRPr="006E6AAA">
        <w:rPr>
          <w:rFonts w:ascii="Calibri" w:eastAsia="Times New Roman" w:hAnsi="Calibri" w:cs="Times New Roman"/>
          <w:i/>
          <w:lang w:eastAsia="da-DK"/>
        </w:rPr>
        <w:t>vis á vis</w:t>
      </w:r>
      <w:r w:rsidRPr="006E6AAA">
        <w:rPr>
          <w:rFonts w:ascii="Calibri" w:eastAsia="Times New Roman" w:hAnsi="Calibri" w:cs="Times New Roman"/>
          <w:lang w:eastAsia="da-DK"/>
        </w:rPr>
        <w:t xml:space="preserve"> the judiciary and hindered an harmonized approach in the support to circuit courts.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As suggested by the Irish Aid representative and the UNDP Country Director, for future initiatives to support the MC system it is advised to </w:t>
      </w:r>
      <w:r w:rsidRPr="006E6AAA">
        <w:rPr>
          <w:rFonts w:ascii="Calibri" w:eastAsia="Times New Roman" w:hAnsi="Calibri" w:cs="Times New Roman"/>
          <w:b/>
          <w:lang w:eastAsia="da-DK"/>
        </w:rPr>
        <w:t>draft a joint strategy of intervention</w:t>
      </w:r>
      <w:r w:rsidRPr="006E6AAA">
        <w:rPr>
          <w:rFonts w:ascii="Calibri" w:eastAsia="Times New Roman" w:hAnsi="Calibri" w:cs="Times New Roman"/>
          <w:lang w:eastAsia="da-DK"/>
        </w:rPr>
        <w:t xml:space="preserve"> in the 3 provinces. Such document could inform the MOUs that each international partner will sign with the judiciary and consist in a brief description of common project management objectives and tools (e.g. baseline, indicators, amount for allowances…).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coordination mechanism could be completed by an annual meeting to officially share and discuss with the Judiciary the results of the respective interventions.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Such a meeting could also be a starting point to engage in disseminating more widely the results achieved by the circuit courts. It has been noted that there is, particularly within the international community, some confusion and not enough awareness about the role of circuit courts in the legal </w:t>
      </w:r>
      <w:r w:rsidRPr="006E6AAA">
        <w:rPr>
          <w:rFonts w:ascii="Calibri" w:eastAsia="Times New Roman" w:hAnsi="Calibri" w:cs="Times New Roman"/>
          <w:lang w:eastAsia="da-DK"/>
        </w:rPr>
        <w:lastRenderedPageBreak/>
        <w:t xml:space="preserve">system. Some persons were confused by the term mobile court, others were not aware of the existence of such initiatives.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It is therefore recommended to further engage in disseminating information about the objectives and role of mobile courts among the international community and the population.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Times New Roman" w:eastAsia="Times New Roman" w:hAnsi="Times New Roman" w:cs="Times New Roman"/>
          <w:b/>
          <w:i/>
          <w:sz w:val="23"/>
          <w:szCs w:val="20"/>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i/>
          <w:lang w:eastAsia="da-DK"/>
        </w:rPr>
        <w:t xml:space="preserve">3.3 </w:t>
      </w:r>
      <w:r w:rsidRPr="006E6AAA">
        <w:rPr>
          <w:rFonts w:ascii="Calibri" w:eastAsia="Times New Roman" w:hAnsi="Calibri" w:cs="Times New Roman"/>
          <w:b/>
          <w:lang w:eastAsia="da-DK"/>
        </w:rPr>
        <w:t xml:space="preserve">Coordination between national justice and security institutions </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 special attention was given to explore how justice and security actors coordinate for an efficient implementation of circuit courts and if UNDP, or other donors, have established mechanisms to facilitate such linkages.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Police and prisons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Several key informants raised the issue that police officers represent an obstacle to the prosecution of cases because they often settle cases before they reach the court.  The Moyamba Magistrate confirmed this practice and revealed that in 2012 his court received more civil cases than criminal ones because most criminal cases are mediated by what is ironically referred to as “police courts”. For example the magistrate is aware that there are numerous traffic matters in Moyamba (cars without plates etc), but in the last 3 months he has not received a single traffic court case.</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situation is aggravated by the widespread corruption of police officers</w:t>
      </w:r>
      <w:r w:rsidRPr="006E6AAA">
        <w:rPr>
          <w:rFonts w:ascii="Calibri" w:eastAsia="Times New Roman" w:hAnsi="Calibri" w:cs="Times New Roman"/>
          <w:vertAlign w:val="superscript"/>
          <w:lang w:eastAsia="da-DK"/>
        </w:rPr>
        <w:footnoteReference w:id="65"/>
      </w:r>
      <w:r w:rsidRPr="006E6AAA">
        <w:rPr>
          <w:rFonts w:ascii="Calibri" w:eastAsia="Times New Roman" w:hAnsi="Calibri" w:cs="Times New Roman"/>
          <w:lang w:eastAsia="da-DK"/>
        </w:rPr>
        <w:t>. Court Monitors reported cases of Police Prosecutors who take statements and make them disappear in order to settle the case for a bribe.</w:t>
      </w:r>
      <w:r w:rsidRPr="006E6AAA">
        <w:rPr>
          <w:rFonts w:ascii="Calibri" w:eastAsia="Times New Roman" w:hAnsi="Calibri" w:cs="Times New Roman"/>
          <w:b/>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presence of the Police Family Support Unit (FSU)</w:t>
      </w:r>
      <w:r w:rsidRPr="006E6AAA">
        <w:rPr>
          <w:rFonts w:ascii="Calibri" w:eastAsia="Times New Roman" w:hAnsi="Calibri" w:cs="Times New Roman"/>
          <w:vertAlign w:val="superscript"/>
          <w:lang w:eastAsia="da-DK"/>
        </w:rPr>
        <w:footnoteReference w:id="66"/>
      </w:r>
      <w:r w:rsidRPr="006E6AAA">
        <w:rPr>
          <w:rFonts w:ascii="Calibri" w:eastAsia="Times New Roman" w:hAnsi="Calibri" w:cs="Times New Roman"/>
          <w:lang w:eastAsia="da-DK"/>
        </w:rPr>
        <w:t xml:space="preserve"> is gradually increasing the rate of GBV prosecution in Sierra Leone: in Moyamba 3 rape cases were referred to the Magistrate Court in 2012.</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Given the limited, although growing, number of State Counsels in Sierra Leone, the police steps in to prosecute cases before Magistrate courts. 60 police prosecutors have been trained,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with the support of UNDP, and are currently serving in the whole territory.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lang w:eastAsia="da-DK"/>
        </w:rPr>
        <w:t>There is a common perception that “</w:t>
      </w:r>
      <w:r w:rsidRPr="006E6AAA">
        <w:rPr>
          <w:rFonts w:ascii="Calibri" w:eastAsia="Times New Roman" w:hAnsi="Calibri" w:cs="Times New Roman"/>
          <w:i/>
          <w:lang w:eastAsia="da-DK"/>
        </w:rPr>
        <w:t>Police prosecutors lack adequate skills and training on how to prosecute matters, they fail to perform their tasks well. Reports state that they often come to court unprepared</w:t>
      </w:r>
      <w:r w:rsidRPr="006E6AAA">
        <w:rPr>
          <w:rFonts w:ascii="Calibri" w:eastAsia="Times New Roman" w:hAnsi="Calibri" w:cs="Times New Roman"/>
          <w:lang w:eastAsia="da-DK"/>
        </w:rPr>
        <w:t>”</w:t>
      </w:r>
      <w:r w:rsidRPr="006E6AAA">
        <w:rPr>
          <w:rFonts w:ascii="Calibri" w:eastAsia="Times New Roman" w:hAnsi="Calibri" w:cs="Times New Roman"/>
          <w:vertAlign w:val="superscript"/>
          <w:lang w:eastAsia="da-DK"/>
        </w:rPr>
        <w:footnoteReference w:id="67"/>
      </w:r>
      <w:r w:rsidRPr="006E6AAA">
        <w:rPr>
          <w:rFonts w:ascii="Calibri" w:eastAsia="Times New Roman" w:hAnsi="Calibri" w:cs="Times New Roman"/>
          <w:lang w:eastAsia="da-DK"/>
        </w:rPr>
        <w:t xml:space="preserve">. This was not the case before the circuit court observed by the consultant, however improving the skills of police prosecutors remains a priority as well as increasing the number of State Counsel, which is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one of the objectives of the new ASJP/DFID programme.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It is strongly recommended to set up coordination mechanisms aiming at identifying prisoners detained for long time and make recommendations for their release from custody. Such mechanisms are currently not in place: asked how his court coordinates with the Prison in Moyamba the Judge replied “</w:t>
      </w:r>
      <w:r w:rsidRPr="006E6AAA">
        <w:rPr>
          <w:rFonts w:ascii="Calibri" w:eastAsia="Times New Roman" w:hAnsi="Calibri" w:cs="Times New Roman"/>
          <w:i/>
          <w:lang w:eastAsia="da-DK"/>
        </w:rPr>
        <w:t>we receive the list of prisoners on remand on the day of the trial</w:t>
      </w:r>
      <w:r w:rsidRPr="006E6AAA">
        <w:rPr>
          <w:rFonts w:ascii="Calibri" w:eastAsia="Times New Roman" w:hAnsi="Calibri" w:cs="Times New Roman"/>
          <w:lang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Police prosecutors who travel with the MC team could be encouraged to visit the police and local courts detention cells and prisons in remote locations to follow up on pretrial detention issues.</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Justices of the Peace</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“Justices of the Peace” (JP) are</w:t>
      </w:r>
      <w:r w:rsidRPr="006E6AAA">
        <w:rPr>
          <w:rFonts w:ascii="Calibri" w:eastAsia="Times New Roman" w:hAnsi="Calibri" w:cs="Times New Roman"/>
          <w:lang w:val="en-GB" w:eastAsia="da-DK"/>
        </w:rPr>
        <w:t xml:space="preserve"> </w:t>
      </w:r>
      <w:r w:rsidRPr="006E6AAA">
        <w:rPr>
          <w:rFonts w:ascii="Calibri" w:eastAsia="Times New Roman" w:hAnsi="Calibri" w:cs="Times New Roman"/>
          <w:lang w:eastAsia="da-DK"/>
        </w:rPr>
        <w:t xml:space="preserve">lay persons established in article 13 of the 1965 Courts Act and repeatedly trained by UNDP in the past, who perform a role of assistance to the magistrate. They play a key role in ensuring the basic court activities while the magistrate is on circuit.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In Moyamba, JPs don’t seem to be operational: when the consultant arrived, the court was closed because the Magistrate was on circuit and it was not possible to meet any of the JPs (one died in 2012 and the second has allegedly never taken up his functions).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 discussion with the Master and Registrar should clarify the issue considered that UNDP has funding available for the salaries of the 2 JPs.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As suggested by Advocaid and Timap, it would be important to have an efficient network of JPs in the provinces to avoid the suspension of all court services when the Magistrate is on circuit. It is therefore recommended to support the re-establishment of JPs in Moyamba and ensure their training.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Local courts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legal framework for Local Courts has been recently revised and a new Local Court act was passed in 2012,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with the support of UNDP. Under the new law, Local Courts are not part of the </w:t>
      </w:r>
      <w:r w:rsidRPr="006E6AAA">
        <w:rPr>
          <w:rFonts w:ascii="Calibri" w:eastAsia="Times New Roman" w:hAnsi="Calibri" w:cs="Times New Roman"/>
          <w:lang w:val="en-GB" w:eastAsia="da-DK"/>
        </w:rPr>
        <w:t>Ministry of Internal Affairs but fall under the Judiciary</w:t>
      </w:r>
      <w:r w:rsidRPr="006E6AAA">
        <w:rPr>
          <w:rFonts w:ascii="Calibri" w:eastAsia="Times New Roman" w:hAnsi="Calibri" w:cs="Times New Roman"/>
          <w:lang w:eastAsia="da-DK"/>
        </w:rPr>
        <w:t>, so Magistrate Courts have become in all effects their superior courts (</w:t>
      </w:r>
      <w:r w:rsidRPr="006E6AAA">
        <w:rPr>
          <w:rFonts w:ascii="Calibri" w:eastAsia="Times New Roman" w:hAnsi="Calibri" w:cs="Times New Roman"/>
          <w:lang w:val="en-GB" w:eastAsia="da-DK"/>
        </w:rPr>
        <w:t xml:space="preserve">e.g. local courts will send their monthly returns the resident magistrate).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current interaction between the two institutions is however limited to the following aspects:</w:t>
      </w:r>
    </w:p>
    <w:p w:rsidR="006E6AAA" w:rsidRPr="006E6AAA" w:rsidRDefault="006E6AAA" w:rsidP="006E6AAA">
      <w:pPr>
        <w:numPr>
          <w:ilvl w:val="0"/>
          <w:numId w:val="1"/>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magistrate court decides upon appeals from the Local Courts</w:t>
      </w:r>
      <w:r w:rsidRPr="006E6AAA">
        <w:rPr>
          <w:rFonts w:ascii="Calibri" w:eastAsia="Times New Roman" w:hAnsi="Calibri" w:cs="Times New Roman"/>
          <w:vertAlign w:val="superscript"/>
          <w:lang w:val="en-GB" w:eastAsia="da-DK"/>
        </w:rPr>
        <w:footnoteReference w:id="68"/>
      </w:r>
    </w:p>
    <w:p w:rsidR="006E6AAA" w:rsidRPr="006E6AAA" w:rsidRDefault="006E6AAA" w:rsidP="006E6AAA">
      <w:pPr>
        <w:numPr>
          <w:ilvl w:val="0"/>
          <w:numId w:val="1"/>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When on circuit, the Magistrate uses the Local Courts courtrooms and locks-up.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Appeals to Magistrate circuit courts should be seen as important opportunities to improve the practice and jurisprudence of Local Courts, and </w:t>
      </w:r>
      <w:r w:rsidRPr="006E6AAA">
        <w:rPr>
          <w:rFonts w:ascii="Calibri" w:eastAsia="Times New Roman" w:hAnsi="Calibri" w:cs="Times New Roman"/>
          <w:lang w:eastAsia="da-DK"/>
        </w:rPr>
        <w:t>a tool to supervise some of the common challenges of Local Courts</w:t>
      </w:r>
      <w:r w:rsidRPr="006E6AAA">
        <w:rPr>
          <w:rFonts w:ascii="Calibri" w:eastAsia="Times New Roman" w:hAnsi="Calibri" w:cs="Times New Roman"/>
          <w:lang w:val="en-GB" w:eastAsia="da-DK"/>
        </w:rPr>
        <w:t xml:space="preserve"> as exorbitant fines, discrimination of women, overstepping of their jurisdiction.</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Appeals </w:t>
      </w:r>
      <w:r w:rsidRPr="006E6AAA">
        <w:rPr>
          <w:rFonts w:ascii="Calibri" w:eastAsia="Times New Roman" w:hAnsi="Calibri" w:cs="Times New Roman"/>
          <w:lang w:val="en-GB" w:eastAsia="da-DK"/>
        </w:rPr>
        <w:t>are still very few although the Magistrate</w:t>
      </w:r>
      <w:r w:rsidRPr="006E6AAA">
        <w:rPr>
          <w:rFonts w:ascii="Calibri" w:eastAsia="Times New Roman" w:hAnsi="Calibri" w:cs="Times New Roman"/>
          <w:lang w:eastAsia="da-DK"/>
        </w:rPr>
        <w:t xml:space="preserve"> reported that after his court became mobile, the number of appeals from the Local Court increased.</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In 2012 only 2 Local Court cases were appealed to the Magistrate in Moyamba. </w:t>
      </w:r>
      <w:r w:rsidRPr="006E6AAA">
        <w:rPr>
          <w:rFonts w:ascii="Calibri" w:eastAsia="Times New Roman" w:hAnsi="Calibri" w:cs="Times New Roman"/>
          <w:lang w:eastAsia="da-DK"/>
        </w:rPr>
        <w:t xml:space="preserve">One is a case of abusive language that has been pending before the Magistrate for almost a year. The magistrate explained that the main reason for this delay is that the court has to be integrated by 2 Local Court assessors, which is often problematic as they are not paid. The Local Court supervisor added that sometimes appealing to a Magistrate Court is a strategy to delay the case for parties who do not want to pay the local courts fees and fines.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Finally some issues were highlighted with regards to the limitations of the two jurisdictions and in particular the fact that Local Courts occasionally, and in contravention of the law, decide upon rape cases instead of referring them to the Magistrate Court. It appears however that these cases have become less frequent after an intensive awareness raising campaign.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has allocated a consistent budget to support Local Courts until 2014; within this framework it is recommended to include a special focus on promoting coordination mechanisms and a better communication between Local Courts and Magistrate Courts on circuit.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 3.4 Challenges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All interviewed persons were asked to identify the main challenges for the Mobile Court system; most answers have been illustrated in the previous paragraphs, but are summarised in the table below for easy reference.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majority of the challenges (legal representation, number of magistrates, case management system, adjournments) are common to the entire justice system in Sierra Leone. A second group of challenges is also recurrent across Sierra Leoneans jurisdictions, but is exacerbated in remote areas where mobile courts intervene (interpretation, witnesses, out of court settlements). The remaining challenges (in bold) are specific to the mobile court system and are mainly related to logistical matters (MC schedule, transportation).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The most cited challenge</w:t>
      </w:r>
      <w:r w:rsidRPr="006E6AAA">
        <w:rPr>
          <w:rFonts w:ascii="Calibri" w:eastAsia="Times New Roman" w:hAnsi="Calibri" w:cs="Times New Roman"/>
          <w:lang w:val="en-GB" w:eastAsia="da-DK"/>
        </w:rPr>
        <w:t xml:space="preserve"> </w:t>
      </w:r>
      <w:r w:rsidRPr="006E6AAA">
        <w:rPr>
          <w:rFonts w:ascii="Calibri" w:eastAsia="Times New Roman" w:hAnsi="Calibri" w:cs="Times New Roman"/>
          <w:b/>
          <w:lang w:val="en-GB" w:eastAsia="da-DK"/>
        </w:rPr>
        <w:t>was the absence of witnesses in court</w:t>
      </w:r>
      <w:r w:rsidRPr="006E6AAA">
        <w:rPr>
          <w:rFonts w:ascii="Calibri" w:eastAsia="Times New Roman" w:hAnsi="Calibri" w:cs="Times New Roman"/>
          <w:lang w:val="en-GB" w:eastAsia="da-DK"/>
        </w:rPr>
        <w:t xml:space="preserve"> and the related issue of high adjournment rates, followed by the difficulties that court users have in understanding the procedures due to language barriers and lack of rights awareness.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Some of the identified challenges are currently being addressed by UNDP (witness transportation programme and Saturday Courts); by the Judiciary (recruitment of 3 new magistrates) and by DFID (support to recruit additional State Counsels)</w:t>
      </w:r>
    </w:p>
    <w:p w:rsidR="006E6AAA" w:rsidRPr="006E6AAA" w:rsidRDefault="006E6AAA" w:rsidP="006E6AAA">
      <w:pPr>
        <w:spacing w:after="0" w:line="280" w:lineRule="exact"/>
        <w:jc w:val="both"/>
        <w:rPr>
          <w:rFonts w:ascii="Calibri" w:eastAsia="Times New Roman" w:hAnsi="Calibri" w:cs="Times New Roman"/>
          <w:sz w:val="20"/>
          <w:szCs w:val="20"/>
          <w:lang w:val="en-GB" w:eastAsia="da-DK"/>
        </w:rPr>
      </w:pPr>
    </w:p>
    <w:p w:rsidR="006E6AAA" w:rsidRPr="006E6AAA" w:rsidRDefault="006E6AAA" w:rsidP="006E6AAA">
      <w:pPr>
        <w:spacing w:after="0" w:line="280" w:lineRule="exact"/>
        <w:jc w:val="both"/>
        <w:rPr>
          <w:rFonts w:ascii="Calibri" w:eastAsia="Times New Roman" w:hAnsi="Calibri" w:cs="Times New Roman"/>
          <w:sz w:val="20"/>
          <w:szCs w:val="20"/>
          <w:lang w:val="en-GB"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080"/>
      </w:tblGrid>
      <w:tr w:rsidR="006E6AAA" w:rsidRPr="006E6AAA" w:rsidTr="00C8613A">
        <w:tc>
          <w:tcPr>
            <w:tcW w:w="5508" w:type="dxa"/>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CHALLENGE</w:t>
            </w:r>
          </w:p>
        </w:tc>
        <w:tc>
          <w:tcPr>
            <w:tcW w:w="4270" w:type="dxa"/>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MENTIONED BY</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Witnesses do not appear in court</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Advocaid, DFID, GIZ, State counsel, FSU, police prosecutor,  court monitors, HC judge, magistrate, IRC, CARL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Interpreters are not available/court users do not understand legal procedures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Advocaid, DFID, TIMAP, OHCHR, Irish aid, FSU, Moyamba HR committee, Police prosecutor, court monitors, Namati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Legal representation is not available</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Advocaid, Master and Registrar, OHCHR, bailiff, Moyamba HR committee, judge, magistrate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Insufficient number of magistrates/ </w:t>
            </w:r>
            <w:r w:rsidRPr="006E6AAA">
              <w:rPr>
                <w:rFonts w:ascii="Calibri" w:eastAsia="Times New Roman" w:hAnsi="Calibri" w:cs="Times New Roman"/>
                <w:b/>
                <w:sz w:val="20"/>
                <w:szCs w:val="20"/>
                <w:lang w:val="en-GB" w:eastAsia="da-DK"/>
              </w:rPr>
              <w:t>magistrates on circuit are overloaded</w:t>
            </w:r>
            <w:r w:rsidRPr="006E6AAA">
              <w:rPr>
                <w:rFonts w:ascii="Calibri" w:eastAsia="Times New Roman" w:hAnsi="Calibri" w:cs="Times New Roman"/>
                <w:sz w:val="20"/>
                <w:szCs w:val="20"/>
                <w:lang w:val="en-GB" w:eastAsia="da-DK"/>
              </w:rPr>
              <w:t xml:space="preserve"> </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Master and Registrar, DFID, FSU, Mombaya HR committee, court monitors, CARL, magistrate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The MC schedule is unpredictable</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Advocaid, Timap, FSU, HC jurors, MC user, court monitors,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Cases are settled outside court (by police/traditional chiefs)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UNDP, State counsel, Magistrate, Police prosecutor, judge HC, court monitors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b/>
                <w:sz w:val="20"/>
                <w:szCs w:val="20"/>
                <w:lang w:val="en-GB" w:eastAsia="da-DK"/>
              </w:rPr>
              <w:t xml:space="preserve">Vehicles for prison/magistrate/police prosecutors on circuit are not available </w:t>
            </w:r>
            <w:r w:rsidRPr="006E6AAA">
              <w:rPr>
                <w:rFonts w:ascii="Calibri" w:eastAsia="Times New Roman" w:hAnsi="Calibri" w:cs="Times New Roman"/>
                <w:sz w:val="20"/>
                <w:szCs w:val="20"/>
                <w:lang w:val="en-GB" w:eastAsia="da-DK"/>
              </w:rPr>
              <w:t>and roads are in bad conditions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Master and Registrar, HR committee Moyamba, magistrate, Prison director, police prosecutor </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Frequent adjournments </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Advcoaid, DFID, CARL, Namati</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Court statistics are not available</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DFID, GIZ, UNDP</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Lack of skills to deal with SGBV cases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IRC, Namati</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Corruption of police </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Court monitors, lawyer</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Political interference</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Court monitors, lawyer</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Complex and outdated legal procedures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CARL, lawyer</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val="en-GB" w:eastAsia="da-DK"/>
              </w:rPr>
              <w:t>MC are not frequent enough (pretrail detention issues)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NHRC, Namati</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Jurisdiction of Local Courts and magistrates is not respected</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DFID, Timap</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Sureties to stand for bail are not available</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FSU, court monitors</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Stationary and legal documentation for MC are not available</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Registrar Moyamba</w:t>
            </w:r>
          </w:p>
        </w:tc>
      </w:tr>
      <w:tr w:rsidR="006E6AAA" w:rsidRPr="006E6AAA" w:rsidTr="00C8613A">
        <w:tc>
          <w:tcPr>
            <w:tcW w:w="5508" w:type="dxa"/>
          </w:tcPr>
          <w:p w:rsidR="006E6AAA" w:rsidRPr="006E6AAA" w:rsidRDefault="006E6AAA" w:rsidP="006E6AAA">
            <w:p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Insufficient number of State Counsels</w:t>
            </w:r>
          </w:p>
        </w:tc>
        <w:tc>
          <w:tcPr>
            <w:tcW w:w="4270" w:type="dxa"/>
          </w:tcPr>
          <w:p w:rsidR="006E6AAA" w:rsidRPr="006E6AAA" w:rsidRDefault="006E6AAA" w:rsidP="006E6AAA">
            <w:p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Judge HC</w:t>
            </w:r>
          </w:p>
        </w:tc>
      </w:tr>
    </w:tbl>
    <w:p w:rsidR="006E6AAA" w:rsidRPr="006E6AAA" w:rsidRDefault="006E6AAA" w:rsidP="006E6AAA">
      <w:pPr>
        <w:pBdr>
          <w:bottom w:val="single" w:sz="12" w:space="1" w:color="000080"/>
        </w:pBd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i/>
          <w:lang w:eastAsia="da-DK"/>
        </w:rPr>
        <w:t>3.5. Good practices</w:t>
      </w:r>
    </w:p>
    <w:p w:rsidR="006E6AAA" w:rsidRPr="006E6AAA" w:rsidRDefault="006E6AAA" w:rsidP="006E6AAA">
      <w:pPr>
        <w:spacing w:after="0" w:line="280" w:lineRule="exact"/>
        <w:jc w:val="both"/>
        <w:rPr>
          <w:rFonts w:ascii="Calibri" w:eastAsia="Times New Roman" w:hAnsi="Calibri" w:cs="Times New Roman"/>
          <w:b/>
          <w:i/>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support to MC in Sierra Leone has developed a series of best practices that are described below as suggestions for eventual replication in other UNDP County Offices.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An extended network of court monitors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lastRenderedPageBreak/>
        <w:t xml:space="preserve">UNDP is supporting a network of court monitors active in the 3 provinces and structured under a coalition of CSO. The consultant met with 7 court monitors representing some of the 19 CSO active in the Southern province. They are monitoring local courts, magistrate courts and High Courts. Quarterly reports are sent to UNDP with indication of the number and typology of monitored cases as well standard indicators on the fairness of trials. Court Monitors are members of the local communities and therefore facilitated in assisting litigants to understand legal procedures. To be noted that UNDP is planning to support selected court monitors to attend the TIMAP training to become certified paralegals.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This is an excellent initiative that, although still in its pilot phase, encourages the civil society to play an important oversight role on the judicial system and contributes with useful information on the court caseload, which is particularly important in a context where official statistics are limited.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Courts monitoring reports are being improved while UNDP is building the reporting capacities of the monitors: one of the objectives of 2013 is to ensure that data from courts on circuit will be disaggregated (currently it is unclear if case was observed in a circuit or home court).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As an influence of the practices introduced by the Special Court for Sierra Leone, court monitoring is quite developed in Sierra Leone so several NGOs (e.g. CARL and Namati) are engaged in this activity. A greater coordination among these different actors could eventually be promoted by UNDP with the objective to share best practices, harmonize approaches and better advocate for changes in the judicial system.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A good coordination among international partners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As illustrated in § 3.2, circuit courts are implemented in Sierra Leone with the assistance of 3 international partners. Such arrangements have resulted in an effective set up that covers the whole territory of Sierra Leone.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international partners are in the process of strengthening the coordination by harmonizing approaches in particular with regards to allowances and performance indicators.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An adequate and commonsensical budget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As illustrated in § 3.1, UNDP supports the payment of allowances for judges and court staff that are in line with the market and perceived as fair. The same observation can be made for the witness transportation programme.  This is an effective approach that avoids the negative side effects observed in other countries, where travelling on circuit has become a business for witnesses and judges. In addition it is important to continue ensuring that the Judiciary contributes to the budget by providing vehicles for the circuit courts and additional Magistrates.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ongoing harmonization of allowance rates among international partners supporting MC, will be an additional added value.</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i/>
          <w:lang w:eastAsia="da-DK"/>
        </w:rPr>
        <w:t>An efficient use of courtrooms for circuit hearings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As illustrated in § 1.1, w</w:t>
      </w:r>
      <w:r w:rsidRPr="006E6AAA">
        <w:rPr>
          <w:rFonts w:ascii="Calibri" w:eastAsia="Times New Roman" w:hAnsi="Calibri" w:cs="Times New Roman"/>
          <w:lang w:val="en-GB" w:eastAsia="da-DK"/>
        </w:rPr>
        <w:t>hen on circuit, the Magistrate uses the Local Courts’ courtrooms and locks-up</w:t>
      </w:r>
      <w:r w:rsidRPr="006E6AAA">
        <w:rPr>
          <w:rFonts w:ascii="Calibri" w:eastAsia="Times New Roman" w:hAnsi="Calibri" w:cs="Times New Roman"/>
          <w:lang w:eastAsia="da-DK"/>
        </w:rPr>
        <w:t xml:space="preserve">, and the High Court used the Magistrate Courts’ premises, which in the Southern provinces have all been recently rehabilitated. Lower courts are accommodated in alternative premises, such as the community hall, during the session of the superior court. This set up offers a cost effective solution for courts on circuit to have an adequate working space without interrupting the ordinary activities of residential courts. </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val="en-GB"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i/>
          <w:lang w:eastAsia="da-DK"/>
        </w:rPr>
        <w:t>3.6. Lessons learned</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lastRenderedPageBreak/>
        <w:t>The following lessons learned can be drawn from the mobile court experience in Sierra Leone:</w:t>
      </w:r>
    </w:p>
    <w:p w:rsidR="006E6AAA" w:rsidRPr="006E6AAA" w:rsidRDefault="006E6AAA" w:rsidP="006E6AAA">
      <w:pPr>
        <w:numPr>
          <w:ilvl w:val="0"/>
          <w:numId w:val="2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Supporting MC should not be limited to the supply side of justice (allowances, fuel and stationary for circuit courts) but should </w:t>
      </w:r>
      <w:r w:rsidRPr="006E6AAA">
        <w:rPr>
          <w:rFonts w:ascii="Calibri" w:eastAsia="Times New Roman" w:hAnsi="Calibri" w:cs="Times New Roman"/>
          <w:b/>
          <w:lang w:eastAsia="da-DK"/>
        </w:rPr>
        <w:t>include interventions targeting the demand side of justice</w:t>
      </w:r>
      <w:r w:rsidRPr="006E6AAA">
        <w:rPr>
          <w:rFonts w:ascii="Calibri" w:eastAsia="Times New Roman" w:hAnsi="Calibri" w:cs="Times New Roman"/>
          <w:lang w:eastAsia="da-DK"/>
        </w:rPr>
        <w:t xml:space="preserve">. Such interventions should aim at raising awareness among the population about the role and objectives of a MC and establish mechanisms to assist vulnerable groups to claim their rights before MC and understand the legal procedures. </w:t>
      </w:r>
    </w:p>
    <w:p w:rsidR="006E6AAA" w:rsidRPr="006E6AAA" w:rsidRDefault="006E6AAA" w:rsidP="006E6AAA">
      <w:pPr>
        <w:numPr>
          <w:ilvl w:val="0"/>
          <w:numId w:val="2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Some of the challenges faced by MC are a reflection of those that affect more generally the justice system, so eventual solutions would require a more </w:t>
      </w:r>
      <w:r w:rsidRPr="006E6AAA">
        <w:rPr>
          <w:rFonts w:ascii="Calibri" w:eastAsia="Times New Roman" w:hAnsi="Calibri" w:cs="Times New Roman"/>
          <w:b/>
          <w:lang w:eastAsia="da-DK"/>
        </w:rPr>
        <w:t>comprehensive justice sector reform intervention</w:t>
      </w:r>
      <w:r w:rsidRPr="006E6AAA">
        <w:rPr>
          <w:rFonts w:ascii="Calibri" w:eastAsia="Times New Roman" w:hAnsi="Calibri" w:cs="Times New Roman"/>
          <w:lang w:eastAsia="da-DK"/>
        </w:rPr>
        <w:t xml:space="preserve"> (e.g. outdated legal framework, lengthy preliminary investigations…). </w:t>
      </w:r>
    </w:p>
    <w:p w:rsidR="006E6AAA" w:rsidRPr="006E6AAA" w:rsidRDefault="006E6AAA" w:rsidP="006E6AAA">
      <w:pPr>
        <w:numPr>
          <w:ilvl w:val="0"/>
          <w:numId w:val="2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Mobile courts have been an efficient </w:t>
      </w:r>
      <w:r w:rsidRPr="006E6AAA">
        <w:rPr>
          <w:rFonts w:ascii="Calibri" w:eastAsia="Times New Roman" w:hAnsi="Calibri" w:cs="Times New Roman"/>
          <w:b/>
          <w:lang w:eastAsia="da-DK"/>
        </w:rPr>
        <w:t>stop-gap mechanism</w:t>
      </w:r>
      <w:r w:rsidRPr="006E6AAA">
        <w:rPr>
          <w:rFonts w:ascii="Calibri" w:eastAsia="Times New Roman" w:hAnsi="Calibri" w:cs="Times New Roman"/>
          <w:lang w:eastAsia="da-DK"/>
        </w:rPr>
        <w:t xml:space="preserve"> to assist the government in reestablishing the formal justice system after the civil war and temporarily respond to the chronic shortage of magistrates.  </w:t>
      </w:r>
    </w:p>
    <w:p w:rsidR="006E6AAA" w:rsidRPr="006E6AAA" w:rsidRDefault="006E6AAA" w:rsidP="006E6AAA">
      <w:pPr>
        <w:numPr>
          <w:ilvl w:val="0"/>
          <w:numId w:val="2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w:t>
      </w:r>
      <w:r w:rsidRPr="006E6AAA">
        <w:rPr>
          <w:rFonts w:ascii="Calibri" w:eastAsia="Times New Roman" w:hAnsi="Calibri" w:cs="Times New Roman"/>
          <w:b/>
          <w:lang w:eastAsia="da-DK"/>
        </w:rPr>
        <w:t>weak monitoring system</w:t>
      </w:r>
      <w:r w:rsidRPr="006E6AAA">
        <w:rPr>
          <w:rFonts w:ascii="Calibri" w:eastAsia="Times New Roman" w:hAnsi="Calibri" w:cs="Times New Roman"/>
          <w:lang w:eastAsia="da-DK"/>
        </w:rPr>
        <w:t xml:space="preserve"> (lack of SMART indicators and court statistics) has not allowed measuring progress towards set targets and was a missed opportunity to take eventual corrective measures.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sz w:val="28"/>
          <w:szCs w:val="28"/>
          <w:lang w:eastAsia="da-DK"/>
        </w:rPr>
      </w:pPr>
    </w:p>
    <w:p w:rsidR="006E6AAA" w:rsidRPr="006E6AAA" w:rsidRDefault="006E6AAA" w:rsidP="006E6AAA">
      <w:pPr>
        <w:spacing w:after="0" w:line="280" w:lineRule="exact"/>
        <w:jc w:val="both"/>
        <w:rPr>
          <w:rFonts w:ascii="Calibri" w:eastAsia="Times New Roman" w:hAnsi="Calibri" w:cs="Times New Roman"/>
          <w:b/>
          <w:color w:val="000080"/>
          <w:sz w:val="28"/>
          <w:szCs w:val="28"/>
          <w:lang w:eastAsia="da-DK"/>
        </w:rPr>
      </w:pPr>
      <w:r w:rsidRPr="006E6AAA">
        <w:rPr>
          <w:rFonts w:ascii="Calibri" w:eastAsia="Times New Roman" w:hAnsi="Calibri" w:cs="Times New Roman"/>
          <w:b/>
          <w:color w:val="000080"/>
          <w:sz w:val="28"/>
          <w:szCs w:val="28"/>
          <w:lang w:eastAsia="da-DK"/>
        </w:rPr>
        <w:t>SUSTAINABILTY</w:t>
      </w:r>
    </w:p>
    <w:p w:rsidR="006E6AAA" w:rsidRPr="006E6AAA" w:rsidRDefault="006E6AAA" w:rsidP="006E6AAA">
      <w:pPr>
        <w:spacing w:after="0" w:line="280" w:lineRule="exact"/>
        <w:jc w:val="both"/>
        <w:rPr>
          <w:rFonts w:ascii="Calibri" w:eastAsia="Times New Roman" w:hAnsi="Calibri" w:cs="Times New Roman"/>
          <w:color w:val="000080"/>
          <w:sz w:val="28"/>
          <w:szCs w:val="28"/>
          <w:lang w:eastAsia="da-DK"/>
        </w:rPr>
      </w:pPr>
      <w:r w:rsidRPr="006E6AAA">
        <w:rPr>
          <w:rFonts w:ascii="Calibri" w:eastAsia="Times New Roman" w:hAnsi="Calibri" w:cs="Times New Roman"/>
          <w:i/>
          <w:color w:val="333333"/>
          <w:sz w:val="20"/>
          <w:szCs w:val="20"/>
          <w:lang w:val="en-GB" w:eastAsia="da-DK"/>
        </w:rPr>
        <w:t xml:space="preserve">Sustainability </w:t>
      </w:r>
      <w:r w:rsidRPr="006E6AAA">
        <w:rPr>
          <w:rFonts w:ascii="Calibri" w:eastAsia="Times New Roman" w:hAnsi="Calibri" w:cs="Times New Roman"/>
          <w:i/>
          <w:color w:val="333333"/>
          <w:sz w:val="20"/>
          <w:szCs w:val="20"/>
          <w:lang w:eastAsia="da-DK"/>
        </w:rPr>
        <w:t>measures the extent to which benefits of initiatives continue after external development assistance has come to an end.</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evaluation findings suggest that some of the conditions for the MC system to continue without the support of the international community are in place, in particular: </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MC system in Sierra Leone is rooted in the judicial system and exists since 1965. The Master and Registrar considers MC as priority and specified that they are “</w:t>
      </w:r>
      <w:r w:rsidRPr="006E6AAA">
        <w:rPr>
          <w:rFonts w:ascii="Calibri" w:eastAsia="Times New Roman" w:hAnsi="Calibri" w:cs="Times New Roman"/>
          <w:i/>
          <w:lang w:eastAsia="da-DK"/>
        </w:rPr>
        <w:t>a permanent measure, but not on the scale as it is today</w:t>
      </w:r>
      <w:r w:rsidRPr="006E6AAA">
        <w:rPr>
          <w:rFonts w:ascii="Calibri" w:eastAsia="Times New Roman" w:hAnsi="Calibri" w:cs="Times New Roman"/>
          <w:lang w:eastAsia="da-DK"/>
        </w:rPr>
        <w:t>”</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Since 2006, when the international partners started to support MC, they have been implemented independently under the lead of the Judiciary: running MC is therefore an </w:t>
      </w:r>
      <w:r w:rsidRPr="006E6AAA">
        <w:rPr>
          <w:rFonts w:ascii="Calibri" w:eastAsia="Times New Roman" w:hAnsi="Calibri" w:cs="Arial"/>
          <w:lang w:val="en-GB" w:eastAsia="da-DK"/>
        </w:rPr>
        <w:t>institutionalised</w:t>
      </w:r>
      <w:r w:rsidRPr="006E6AAA">
        <w:rPr>
          <w:rFonts w:ascii="Calibri" w:eastAsia="Times New Roman" w:hAnsi="Calibri" w:cs="Times New Roman"/>
          <w:lang w:eastAsia="da-DK"/>
        </w:rPr>
        <w:t xml:space="preserve"> process that is entirely implemented with local capacities.  </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financial support provided by the international community for court staff allowances is in line with the local market, which increases the chances that the initiative will continue.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lack of financial and human resources remains however the main obstacle to the continuation of the initiative by the Judiciary; which is further complicated by the fact the government is currently giving priority to address urgent issues in other areas, as health. Some international partners have expressed concern that the Judiciary is becoming dependent on international aid to organize the MC. For example in the Northern province, circuit court sessions were suspended during the gap period between the closure of the JSDP project and new ASJP project.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Another aspect that should be considered in identifying the moment for withdrawal of international support, is that a consistent M&amp;E framework is not yet in place and there has been a lack of joint ownership of M&amp;E processes between the Judiciary and donors. The new LoA between UNDP and the Judiciary should be an opportunity to strengthen the monitoring component in addition to further building the capacities of judicial authorities and staff in specific areas, such as the prosecution of SGBV crimes.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Considered that all 3 international partners are in the process of renewing their MOU with the Judiciary to support MC and that UNDP is entering the 4</w:t>
      </w:r>
      <w:r w:rsidRPr="006E6AAA">
        <w:rPr>
          <w:rFonts w:ascii="Calibri" w:eastAsia="Times New Roman" w:hAnsi="Calibri" w:cs="Times New Roman"/>
          <w:vertAlign w:val="superscript"/>
          <w:lang w:eastAsia="da-DK"/>
        </w:rPr>
        <w:t>th</w:t>
      </w:r>
      <w:r w:rsidRPr="006E6AAA">
        <w:rPr>
          <w:rFonts w:ascii="Calibri" w:eastAsia="Times New Roman" w:hAnsi="Calibri" w:cs="Times New Roman"/>
          <w:lang w:eastAsia="da-DK"/>
        </w:rPr>
        <w:t xml:space="preserve"> year of support to the MC system, it would be an appropriate moment to promote a discussion about how long the support should continue and </w:t>
      </w:r>
      <w:r w:rsidRPr="006E6AAA">
        <w:rPr>
          <w:rFonts w:ascii="Calibri" w:eastAsia="Times New Roman" w:hAnsi="Calibri" w:cs="Times New Roman"/>
          <w:b/>
          <w:lang w:eastAsia="da-DK"/>
        </w:rPr>
        <w:t>define an exit strategy</w:t>
      </w:r>
      <w:r w:rsidRPr="006E6AAA">
        <w:rPr>
          <w:rFonts w:ascii="Calibri" w:eastAsia="Times New Roman" w:hAnsi="Calibri" w:cs="Times New Roman"/>
          <w:lang w:eastAsia="da-DK"/>
        </w:rPr>
        <w:t>.  The outcomes of such consultations could be reflected in the joint strategy to support MC, described in § 2.1.</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Finally it’s worth mentioning that some NGOs as Namati are promoting the sustainably of their interventions by encouraging the participation of rural communities in building the premises needed for project activities.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This approach was also suggested in a JSDP-commissioned report, which stated “</w:t>
      </w:r>
      <w:r w:rsidRPr="006E6AAA">
        <w:rPr>
          <w:rFonts w:ascii="Calibri" w:eastAsia="Times New Roman" w:hAnsi="Calibri" w:cs="Times New Roman"/>
          <w:i/>
          <w:lang w:eastAsia="da-DK"/>
        </w:rPr>
        <w:t>There was overwhelming agreement among the communities that because of the great benefit the communities are deriving from the itinerant court, they too should bear some of the responsibilities. They suggested providing accommodation and feeding for the court team, and a building to house the chamber of the magistrate”</w:t>
      </w:r>
      <w:r w:rsidRPr="006E6AAA">
        <w:rPr>
          <w:rFonts w:ascii="Calibri" w:eastAsia="Times New Roman" w:hAnsi="Calibri" w:cs="Times New Roman"/>
          <w:i/>
          <w:vertAlign w:val="superscript"/>
          <w:lang w:eastAsia="da-DK"/>
        </w:rPr>
        <w:footnoteReference w:id="69"/>
      </w:r>
      <w:r w:rsidRPr="006E6AAA">
        <w:rPr>
          <w:rFonts w:ascii="Calibri" w:eastAsia="Times New Roman" w:hAnsi="Calibri" w:cs="Times New Roman"/>
          <w:i/>
          <w:lang w:eastAsia="da-DK"/>
        </w:rPr>
        <w:t>.</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These community based approaches could be explored, but to succeed they would need to be complemented by activities aimed at bringing circuit courts and their clients closer and improving the confidence of the population in the justice system.  </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r w:rsidRPr="006E6AAA">
        <w:rPr>
          <w:rFonts w:ascii="Times New Roman" w:eastAsia="Times New Roman" w:hAnsi="Times New Roman" w:cs="Times New Roman"/>
          <w:sz w:val="23"/>
          <w:szCs w:val="20"/>
          <w:lang w:eastAsia="da-DK"/>
        </w:rPr>
        <w:t xml:space="preserve"> </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Calibri" w:eastAsia="Times New Roman" w:hAnsi="Calibri" w:cs="Times New Roman"/>
          <w:b/>
          <w:color w:val="000080"/>
          <w:sz w:val="28"/>
          <w:szCs w:val="28"/>
          <w:lang w:eastAsia="da-DK"/>
        </w:rPr>
      </w:pPr>
      <w:r w:rsidRPr="006E6AAA">
        <w:rPr>
          <w:rFonts w:ascii="Calibri" w:eastAsia="Times New Roman" w:hAnsi="Calibri" w:cs="Times New Roman"/>
          <w:b/>
          <w:color w:val="000080"/>
          <w:sz w:val="28"/>
          <w:szCs w:val="28"/>
          <w:lang w:eastAsia="da-DK"/>
        </w:rPr>
        <w:t xml:space="preserve">IMPACT </w:t>
      </w:r>
    </w:p>
    <w:p w:rsidR="006E6AAA" w:rsidRPr="006E6AAA" w:rsidRDefault="006E6AAA" w:rsidP="006E6AAA">
      <w:pPr>
        <w:spacing w:after="0" w:line="280" w:lineRule="exact"/>
        <w:jc w:val="both"/>
        <w:rPr>
          <w:rFonts w:ascii="Calibri" w:eastAsia="Times New Roman" w:hAnsi="Calibri" w:cs="Times New Roman"/>
          <w:i/>
          <w:color w:val="333333"/>
          <w:sz w:val="20"/>
          <w:szCs w:val="20"/>
          <w:lang w:eastAsia="da-DK"/>
        </w:rPr>
      </w:pPr>
      <w:r w:rsidRPr="006E6AAA">
        <w:rPr>
          <w:rFonts w:ascii="Calibri" w:eastAsia="Times New Roman" w:hAnsi="Calibri" w:cs="Times New Roman"/>
          <w:i/>
          <w:color w:val="333333"/>
          <w:sz w:val="20"/>
          <w:szCs w:val="20"/>
          <w:lang w:eastAsia="da-DK"/>
        </w:rPr>
        <w:t>Impact measures changes in human development and people’s well-being that are brought about by development initiatives, directly or indirectly, intended or unintended</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absence of impact indicators and the limited scope of the present evaluation, makes if difficult to illustrate the changes produced by the MC system for the population (rights holders) and the judicial authorities (duty bearers). Some indicative findings based on the opinions of a limited number of interviewed persons will however be presented below. </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lang w:eastAsia="da-DK"/>
        </w:rPr>
        <w:t xml:space="preserve">§ 5.1. Changes for the population and the justice actors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i/>
          <w:u w:val="single"/>
          <w:lang w:eastAsia="da-DK"/>
        </w:rPr>
      </w:pPr>
      <w:r w:rsidRPr="006E6AAA">
        <w:rPr>
          <w:rFonts w:ascii="Calibri" w:eastAsia="Times New Roman" w:hAnsi="Calibri" w:cs="Times New Roman"/>
          <w:i/>
          <w:u w:val="single"/>
          <w:lang w:eastAsia="da-DK"/>
        </w:rPr>
        <w:t>Changes for the population</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It is widely recognized that MC are an opportunity to increase access to justice for the rural population because, as often mentioned during interviews, “</w:t>
      </w:r>
      <w:r w:rsidRPr="006E6AAA">
        <w:rPr>
          <w:rFonts w:ascii="Calibri" w:eastAsia="Times New Roman" w:hAnsi="Calibri" w:cs="Times New Roman"/>
          <w:i/>
          <w:lang w:eastAsia="da-DK"/>
        </w:rPr>
        <w:t>MC bring justice to your doorstep</w:t>
      </w:r>
      <w:r w:rsidRPr="006E6AAA">
        <w:rPr>
          <w:rFonts w:ascii="Calibri" w:eastAsia="Times New Roman" w:hAnsi="Calibri" w:cs="Times New Roman"/>
          <w:lang w:eastAsia="da-DK"/>
        </w:rPr>
        <w:t>”. Court monitors further emphasized that people from remote villages don’t have to experience, as in the past, the bewilderment of arriving in a big city as Moyamba to sort out their disputes. In addition the</w:t>
      </w:r>
      <w:r w:rsidRPr="006E6AAA">
        <w:rPr>
          <w:rFonts w:ascii="Calibri" w:eastAsia="Times New Roman" w:hAnsi="Calibri" w:cs="Times New Roman"/>
          <w:lang w:val="en-GB" w:eastAsia="da-DK"/>
        </w:rPr>
        <w:t xml:space="preserve"> economic burden of going to court is reduced for litigants.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According to the Moyamba Human Rights Committee and the Magistrate, the presence of MC has reduced the crime rate in the district, as sentences are a powerful deterrent for potential offenders: “</w:t>
      </w:r>
      <w:r w:rsidRPr="006E6AAA">
        <w:rPr>
          <w:rFonts w:ascii="Calibri" w:eastAsia="Times New Roman" w:hAnsi="Calibri" w:cs="Times New Roman"/>
          <w:i/>
          <w:lang w:val="en-GB" w:eastAsia="da-DK"/>
        </w:rPr>
        <w:t>people fear the formal court, so they commit fewer crimes</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w:t>
      </w:r>
      <w:r w:rsidRPr="006E6AAA">
        <w:rPr>
          <w:rFonts w:ascii="Calibri" w:eastAsia="Times New Roman" w:hAnsi="Calibri" w:cs="Times New Roman"/>
          <w:lang w:val="en-GB" w:eastAsia="da-DK"/>
        </w:rPr>
        <w:t>he Principal State Counsel and the Timap representative recalled that with the presence of MC “</w:t>
      </w:r>
      <w:r w:rsidRPr="006E6AAA">
        <w:rPr>
          <w:rFonts w:ascii="Calibri" w:eastAsia="Times New Roman" w:hAnsi="Calibri" w:cs="Times New Roman"/>
          <w:i/>
          <w:lang w:val="en-GB" w:eastAsia="da-DK"/>
        </w:rPr>
        <w:t>people get to see justice in action</w:t>
      </w:r>
      <w:r w:rsidRPr="006E6AAA">
        <w:rPr>
          <w:rFonts w:ascii="Calibri" w:eastAsia="Times New Roman" w:hAnsi="Calibri" w:cs="Times New Roman"/>
          <w:lang w:val="en-GB" w:eastAsia="da-DK"/>
        </w:rPr>
        <w:t xml:space="preserve">” and they have the opportunity to better understand what a formal court is.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However, the interviews with 5 parties to the cases and the observation of Magistrate and High Court sessions, revealed that all court users had extremely limited awareness of their rights and understanding of court procedures, also because of strong language barriers. </w:t>
      </w:r>
      <w:r w:rsidRPr="006E6AAA">
        <w:rPr>
          <w:rFonts w:ascii="Calibri" w:eastAsia="Times New Roman" w:hAnsi="Calibri" w:cs="Times New Roman"/>
          <w:lang w:val="en-GB" w:eastAsia="da-DK"/>
        </w:rPr>
        <w:t xml:space="preserve">The Moyamba Magistrate is making efforts to explain court procedures to the population, but for a significant impact his efforts should be complemented by paralegals and lawyers.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Despite the Magistrate</w:t>
      </w:r>
      <w:r w:rsidRPr="006E6AAA">
        <w:rPr>
          <w:rFonts w:ascii="Calibri" w:eastAsia="Times New Roman" w:hAnsi="Calibri" w:cs="Times New Roman"/>
          <w:lang w:eastAsia="da-DK"/>
        </w:rPr>
        <w:t xml:space="preserve"> reported that court users are less intimidated and have more confidence in MC than in the past, this was not observed by the consultant while interviewing some of the parties to the cases.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i/>
          <w:u w:val="single"/>
          <w:lang w:eastAsia="da-DK"/>
        </w:rPr>
      </w:pPr>
      <w:r w:rsidRPr="006E6AAA">
        <w:rPr>
          <w:rFonts w:ascii="Calibri" w:eastAsia="Times New Roman" w:hAnsi="Calibri" w:cs="Times New Roman"/>
          <w:i/>
          <w:u w:val="single"/>
          <w:lang w:eastAsia="da-DK"/>
        </w:rPr>
        <w:t>Changes for justice actors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presence of MC has strengthened the role of the formal justice system in the provinces where traditional justice is prevalent. Mobile courts have been an efficient stop-gap mechanism to assist the government in reestablishing the formal justice system after the civil war and temporarily address the chronic shortage of magistrates.  Several informants referred that the number of cases has increased since the courts are travelling on circuit; in addition according to the Master and Registrar the backlogs in the districts have been greatly reduced.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w:t>
      </w:r>
      <w:r w:rsidRPr="006E6AAA">
        <w:rPr>
          <w:rFonts w:ascii="Calibri" w:eastAsia="Times New Roman" w:hAnsi="Calibri" w:cs="Times New Roman"/>
          <w:b/>
          <w:lang w:eastAsia="da-DK"/>
        </w:rPr>
        <w:t xml:space="preserve"> </w:t>
      </w:r>
      <w:r w:rsidRPr="006E6AAA">
        <w:rPr>
          <w:rFonts w:ascii="Calibri" w:eastAsia="Times New Roman" w:hAnsi="Calibri" w:cs="Times New Roman"/>
          <w:lang w:eastAsia="da-DK"/>
        </w:rPr>
        <w:t>Magistrate mentioned that the prosecution is currently facilitated in accessing the witnesses and processes have become speedier.</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Finally it’s worth noting that court monitors have contributed to improve the impact of MC as their presence has reduced arbitrary behaviors by the judges, which were common in the past. The presence of court monitors in courts is now accepted and their position is stronger: for example they are allowed to take notes, which was not the case in the past.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color w:val="0000FF"/>
          <w:lang w:val="en-GB" w:eastAsia="da-DK"/>
        </w:rPr>
      </w:pPr>
      <w:r w:rsidRPr="006E6AAA">
        <w:rPr>
          <w:rFonts w:ascii="Calibri" w:eastAsia="Times New Roman" w:hAnsi="Calibri" w:cs="Times New Roman"/>
          <w:b/>
          <w:lang w:eastAsia="da-DK"/>
        </w:rPr>
        <w:t xml:space="preserve">§ </w:t>
      </w:r>
      <w:r w:rsidRPr="006E6AAA">
        <w:rPr>
          <w:rFonts w:ascii="Calibri" w:eastAsia="Times New Roman" w:hAnsi="Calibri" w:cs="Times New Roman"/>
          <w:b/>
          <w:lang w:val="en-GB" w:eastAsia="da-DK"/>
        </w:rPr>
        <w:t xml:space="preserve">5.2 The </w:t>
      </w:r>
      <w:r w:rsidRPr="006E6AAA">
        <w:rPr>
          <w:rFonts w:ascii="Calibri" w:eastAsia="Times New Roman" w:hAnsi="Calibri" w:cs="Times New Roman"/>
          <w:b/>
          <w:lang w:eastAsia="da-DK"/>
        </w:rPr>
        <w:t>impact of mobile courts on the prosecution of international crimes</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One of the objectives of the present evaluation is to analyze eventual contributions of the MC system to transitional justice mechanisms in the light of UNDP’s </w:t>
      </w:r>
      <w:r w:rsidRPr="006E6AAA">
        <w:rPr>
          <w:rFonts w:ascii="Calibri" w:eastAsia="Times New Roman" w:hAnsi="Calibri" w:cs="Times New Roman"/>
          <w:lang w:val="en-GB" w:eastAsia="da-DK"/>
        </w:rPr>
        <w:t xml:space="preserve">integrated approach to transitional justice, which focuses on developing the capacities of </w:t>
      </w:r>
      <w:r w:rsidRPr="006E6AAA">
        <w:rPr>
          <w:rFonts w:ascii="Calibri" w:eastAsia="Times New Roman" w:hAnsi="Calibri" w:cs="Times New Roman"/>
          <w:b/>
          <w:lang w:val="en-GB" w:eastAsia="da-DK"/>
        </w:rPr>
        <w:t>national institutions to investigate and prosecute international crimes in complementarity with the ICC</w:t>
      </w:r>
      <w:r w:rsidRPr="006E6AAA">
        <w:rPr>
          <w:rFonts w:ascii="Calibri" w:eastAsia="Times New Roman" w:hAnsi="Calibri" w:cs="Times New Roman"/>
          <w:vertAlign w:val="superscript"/>
          <w:lang w:val="fr-FR" w:eastAsia="da-DK"/>
        </w:rPr>
        <w:footnoteReference w:id="70"/>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Special Court for Sierra Leone is currently concluding its mandate and has achieved the prosecution of 8 high ranking officials.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Several legal and political obstacles have precluded the </w:t>
      </w:r>
      <w:r w:rsidRPr="006E6AAA">
        <w:rPr>
          <w:rFonts w:ascii="Calibri" w:eastAsia="Times New Roman" w:hAnsi="Calibri" w:cs="Times New Roman"/>
          <w:lang w:val="en-GB" w:eastAsia="da-DK"/>
        </w:rPr>
        <w:t>national justice system and eventually the circuit courts to complement the Special Court in prosecuting atrocities committee during the conflict</w:t>
      </w:r>
      <w:r w:rsidRPr="006E6AAA">
        <w:rPr>
          <w:rFonts w:ascii="Calibri" w:eastAsia="Times New Roman" w:hAnsi="Calibri" w:cs="Times New Roman"/>
          <w:lang w:eastAsia="da-DK"/>
        </w:rPr>
        <w:t xml:space="preserve">. Firstly the amnesty granted by the </w:t>
      </w:r>
      <w:r w:rsidRPr="006E6AAA">
        <w:rPr>
          <w:rFonts w:ascii="Calibri" w:eastAsia="Times New Roman" w:hAnsi="Calibri" w:cs="Times New Roman"/>
          <w:lang w:val="en-GB" w:eastAsia="da-DK"/>
        </w:rPr>
        <w:t>Lomé Peace Agreement for the crimes committed during the conflict was a bar to prosecution before the national courts</w:t>
      </w:r>
      <w:r w:rsidRPr="006E6AAA">
        <w:rPr>
          <w:rFonts w:ascii="Calibri" w:eastAsia="Times New Roman" w:hAnsi="Calibri" w:cs="Times New Roman"/>
          <w:vertAlign w:val="superscript"/>
          <w:lang w:eastAsia="da-DK"/>
        </w:rPr>
        <w:footnoteReference w:id="71"/>
      </w:r>
      <w:r w:rsidRPr="006E6AAA">
        <w:rPr>
          <w:rFonts w:ascii="Calibri" w:eastAsia="Times New Roman" w:hAnsi="Calibri" w:cs="Times New Roman"/>
          <w:lang w:val="en-GB" w:eastAsia="da-DK"/>
        </w:rPr>
        <w:t xml:space="preserve">.  </w:t>
      </w:r>
      <w:r w:rsidRPr="006E6AAA">
        <w:rPr>
          <w:rFonts w:ascii="Calibri" w:eastAsia="Times New Roman" w:hAnsi="Calibri" w:cs="Times New Roman"/>
          <w:lang w:eastAsia="da-DK"/>
        </w:rPr>
        <w:t>Secondly the Special Court was not designed to be complemented by national courts as the process was fully international; on the contrary some authors believe that “</w:t>
      </w:r>
      <w:r w:rsidRPr="006E6AAA">
        <w:rPr>
          <w:rFonts w:ascii="Calibri" w:eastAsia="Times New Roman" w:hAnsi="Calibri" w:cs="Times New Roman"/>
          <w:i/>
          <w:lang w:val="en-GB" w:eastAsia="da-DK"/>
        </w:rPr>
        <w:t>it may have even had a discouraging effect on national war-related prosecutions in Sierra Leone</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72"/>
      </w:r>
      <w:r w:rsidRPr="006E6AAA">
        <w:rPr>
          <w:rFonts w:ascii="Calibri" w:eastAsia="Times New Roman" w:hAnsi="Calibri" w:cs="Times New Roman"/>
          <w:lang w:val="en-GB" w:eastAsia="da-DK"/>
        </w:rPr>
        <w:t>. One of the reasons for limiting national prosecutions was that the national justice system was not considered able to deliver fair trials and had no experience in handling international crimes and gross human rights violations.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Representatives of the Special Court pointed out that the dualist nature of Sierra Leone’s legal system implies that international norms have to be domesticated before application in national jurisdictions; considered that the country has ratified but not yet incorporated into domestic law the Rome Statue, it appears that Sierra Leonean courts are not yet enabled to prosecute war crimes, crimes against humanity and genocide.</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hd w:val="clear" w:color="auto" w:fill="E0E0E0"/>
        <w:spacing w:after="0" w:line="280" w:lineRule="exact"/>
        <w:jc w:val="both"/>
        <w:rPr>
          <w:rFonts w:ascii="Calibri" w:eastAsia="Times New Roman" w:hAnsi="Calibri" w:cs="Times New Roman"/>
          <w:b/>
          <w:lang w:eastAsia="da-DK"/>
        </w:rPr>
      </w:pPr>
    </w:p>
    <w:p w:rsidR="006E6AAA" w:rsidRPr="006E6AAA" w:rsidRDefault="006E6AAA" w:rsidP="006E6AAA">
      <w:pPr>
        <w:shd w:val="clear" w:color="auto" w:fill="E0E0E0"/>
        <w:spacing w:after="0" w:line="280" w:lineRule="exact"/>
        <w:jc w:val="center"/>
        <w:rPr>
          <w:rFonts w:ascii="Calibri" w:eastAsia="Times New Roman" w:hAnsi="Calibri" w:cs="Times New Roman"/>
          <w:b/>
          <w:lang w:eastAsia="da-DK"/>
        </w:rPr>
      </w:pPr>
      <w:r w:rsidRPr="006E6AAA">
        <w:rPr>
          <w:rFonts w:ascii="Calibri" w:eastAsia="Times New Roman" w:hAnsi="Calibri" w:cs="Times New Roman"/>
          <w:b/>
          <w:lang w:eastAsia="da-DK"/>
        </w:rPr>
        <w:t>PART III: CONCLUSIONS AND RECOMMENDATIONS</w:t>
      </w:r>
    </w:p>
    <w:p w:rsidR="006E6AAA" w:rsidRPr="006E6AAA" w:rsidRDefault="006E6AAA" w:rsidP="006E6AAA">
      <w:pPr>
        <w:shd w:val="clear" w:color="auto" w:fill="E0E0E0"/>
        <w:spacing w:after="0" w:line="280" w:lineRule="exact"/>
        <w:jc w:val="center"/>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sz w:val="24"/>
          <w:szCs w:val="24"/>
          <w:lang w:eastAsia="da-DK"/>
        </w:rPr>
      </w:pPr>
      <w:r w:rsidRPr="006E6AAA">
        <w:rPr>
          <w:rFonts w:ascii="Calibri" w:eastAsia="Times New Roman" w:hAnsi="Calibri" w:cs="Times New Roman"/>
          <w:b/>
          <w:color w:val="000080"/>
          <w:sz w:val="24"/>
          <w:szCs w:val="24"/>
          <w:lang w:eastAsia="da-DK"/>
        </w:rPr>
        <w:t>6. CONCLUSIONS</w:t>
      </w:r>
    </w:p>
    <w:p w:rsidR="006E6AAA" w:rsidRPr="006E6AAA" w:rsidRDefault="006E6AAA" w:rsidP="006E6AAA">
      <w:pPr>
        <w:spacing w:after="0" w:line="280" w:lineRule="exact"/>
        <w:jc w:val="both"/>
        <w:rPr>
          <w:rFonts w:ascii="Calibri" w:eastAsia="Times New Roman" w:hAnsi="Calibri" w:cs="Times New Roman"/>
          <w:b/>
          <w:color w:val="000080"/>
          <w:sz w:val="24"/>
          <w:szCs w:val="24"/>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Despite the difficulties of intervening in a country where the traditional legal system is strongly prevalent, UNDP’s support to mobile courts in Sierra Leone</w:t>
      </w:r>
      <w:r w:rsidRPr="006E6AAA">
        <w:rPr>
          <w:rFonts w:ascii="Calibri" w:eastAsia="Times New Roman" w:hAnsi="Calibri" w:cs="Times New Roman"/>
          <w:lang w:val="en-GB" w:eastAsia="da-DK"/>
        </w:rPr>
        <w:t xml:space="preserve"> is achieving results that are progressively improving.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main findings for each evaluation criteria are summarized below. </w:t>
      </w: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smallCaps/>
          <w:color w:val="000080"/>
          <w:lang w:eastAsia="da-DK"/>
        </w:rPr>
        <w:t>relevance</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Mobile courts are aligned with national justice sector strategies and have been an efficient stop-gap mechanism to assist the government in reestablishing the formal justice system after the civil war and temporarily respond to the chronic shortage of magistrates.  Now that the country is entering a development phase the process of institutionalizing mobile courts should continue with a stronger focus on the quality of justice services and in complementary with a network of resident magistrates in each district.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Circuit courts should be more responsive to the needs of the population,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by ensuring that language is not a barrier to the adequate participation of litigants in the proceedings and that people receive timely information about the arrival of the mobile court in their village. Mobile courts are gradually contributing to translate into practice the recently adopted laws on the protection of GBV victims, although these procedures still need to be improved. Special measures to protect vulnerable groups during court proceedings are only in place for juveniles.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Mobile courts have been supported in full respect of the principle of national ownership and were found to be relevant by partners and other key stakeholders.</w:t>
      </w:r>
    </w:p>
    <w:p w:rsidR="006E6AAA" w:rsidRPr="006E6AAA" w:rsidRDefault="006E6AAA" w:rsidP="006E6AAA">
      <w:pPr>
        <w:spacing w:after="0" w:line="280" w:lineRule="exact"/>
        <w:jc w:val="both"/>
        <w:rPr>
          <w:rFonts w:ascii="Times New Roman" w:eastAsia="Times New Roman" w:hAnsi="Times New Roman" w:cs="Times New Roman"/>
          <w:b/>
          <w:i/>
          <w:sz w:val="23"/>
          <w:szCs w:val="23"/>
          <w:lang w:eastAsia="da-DK"/>
        </w:rPr>
      </w:pP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effectiveness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There is clear evidence of improvement in the planning of the initiative, but monitoring remains a major concern, mainly due to the lack of court statistics and a shared vision on monitoring approaches between donors and the Judiciary. There is however a definite commitment from the Judiciary to define jointly with the 3 international partners a common monitoring framework, with a particular focus on the improvement of court statistics.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target of 50 Magistrate and 4 High Court circuit sessions in the south has not yet been achieved. The Magistrate Courts on circuit record an indicative number of </w:t>
      </w:r>
      <w:r w:rsidRPr="006E6AAA">
        <w:rPr>
          <w:rFonts w:ascii="Calibri" w:eastAsia="Times New Roman" w:hAnsi="Calibri" w:cs="Times New Roman"/>
          <w:b/>
          <w:lang w:eastAsia="da-DK"/>
        </w:rPr>
        <w:t xml:space="preserve">972 </w:t>
      </w:r>
      <w:r w:rsidRPr="006E6AAA">
        <w:rPr>
          <w:rFonts w:ascii="Calibri" w:eastAsia="Times New Roman" w:hAnsi="Calibri" w:cs="Times New Roman"/>
          <w:lang w:eastAsia="da-DK"/>
        </w:rPr>
        <w:t>received and</w:t>
      </w:r>
      <w:r w:rsidRPr="006E6AAA">
        <w:rPr>
          <w:rFonts w:ascii="Calibri" w:eastAsia="Times New Roman" w:hAnsi="Calibri" w:cs="Times New Roman"/>
          <w:b/>
          <w:lang w:eastAsia="da-DK"/>
        </w:rPr>
        <w:t xml:space="preserve"> 568 </w:t>
      </w:r>
      <w:r w:rsidRPr="006E6AAA">
        <w:rPr>
          <w:rFonts w:ascii="Calibri" w:eastAsia="Times New Roman" w:hAnsi="Calibri" w:cs="Times New Roman"/>
          <w:lang w:eastAsia="da-DK"/>
        </w:rPr>
        <w:t>disposed cases during the support of UNDP, which indicates an acceptable 58% rate of case disposal and a successful 12% increase in the number of cases received under the 1</w:t>
      </w:r>
      <w:r w:rsidRPr="006E6AAA">
        <w:rPr>
          <w:rFonts w:ascii="Calibri" w:eastAsia="Times New Roman" w:hAnsi="Calibri" w:cs="Times New Roman"/>
          <w:vertAlign w:val="superscript"/>
          <w:lang w:eastAsia="da-DK"/>
        </w:rPr>
        <w:t>st</w:t>
      </w:r>
      <w:r w:rsidRPr="006E6AAA">
        <w:rPr>
          <w:rFonts w:ascii="Calibri" w:eastAsia="Times New Roman" w:hAnsi="Calibri" w:cs="Times New Roman"/>
          <w:lang w:eastAsia="da-DK"/>
        </w:rPr>
        <w:t xml:space="preserve"> and 2</w:t>
      </w:r>
      <w:r w:rsidRPr="006E6AAA">
        <w:rPr>
          <w:rFonts w:ascii="Calibri" w:eastAsia="Times New Roman" w:hAnsi="Calibri" w:cs="Times New Roman"/>
          <w:vertAlign w:val="superscript"/>
          <w:lang w:eastAsia="da-DK"/>
        </w:rPr>
        <w:t>nd</w:t>
      </w:r>
      <w:r w:rsidRPr="006E6AAA">
        <w:rPr>
          <w:rFonts w:ascii="Calibri" w:eastAsia="Times New Roman" w:hAnsi="Calibri" w:cs="Times New Roman"/>
          <w:lang w:eastAsia="da-DK"/>
        </w:rPr>
        <w:t xml:space="preserve"> LoA. The High Court on circuit achieved a disposal rate of 52% with </w:t>
      </w:r>
      <w:r w:rsidRPr="006E6AAA">
        <w:rPr>
          <w:rFonts w:ascii="Calibri" w:eastAsia="Times New Roman" w:hAnsi="Calibri" w:cs="Times New Roman"/>
          <w:b/>
          <w:lang w:eastAsia="da-DK"/>
        </w:rPr>
        <w:t xml:space="preserve">375 </w:t>
      </w:r>
      <w:r w:rsidRPr="006E6AAA">
        <w:rPr>
          <w:rFonts w:ascii="Calibri" w:eastAsia="Times New Roman" w:hAnsi="Calibri" w:cs="Times New Roman"/>
          <w:lang w:eastAsia="da-DK"/>
        </w:rPr>
        <w:t xml:space="preserve">received cases and </w:t>
      </w:r>
      <w:r w:rsidRPr="006E6AAA">
        <w:rPr>
          <w:rFonts w:ascii="Calibri" w:eastAsia="Times New Roman" w:hAnsi="Calibri" w:cs="Times New Roman"/>
          <w:b/>
          <w:lang w:eastAsia="da-DK"/>
        </w:rPr>
        <w:t xml:space="preserve">198 </w:t>
      </w:r>
      <w:r w:rsidRPr="006E6AAA">
        <w:rPr>
          <w:rFonts w:ascii="Calibri" w:eastAsia="Times New Roman" w:hAnsi="Calibri" w:cs="Times New Roman"/>
          <w:lang w:eastAsia="da-DK"/>
        </w:rPr>
        <w:t>disposed cases.</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quantitative results appear satisfactory in a context where traditional system is strongly prevalent, but the quality of the mobile court services could be improved, in particular with regards to the following aspects:1) illegal pre-trial detention for remandees waiting for circuit courts to arrive; 2) lack of lawyers and interpreters to assist court users; 3) high adjournment rates due to the absence of witnesses in court; 4) special measures to protect SGBV survivors in court proceedings; and  5)  logistical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improvements, such as the prompt communication of the arrival of circuit courts and the regularity of its schedule, transportation for the MC team.</w:t>
      </w: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efficiency</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mobile court system is dependent on international donors for 80% of its budget, the remaining 20% being an in kind contribution from the Judiciary. Allowances (the highest budget line), are aligned with the local marked and perceived as fair.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coordination with other international partners (GIZ and DFID) has achieved the exemplary result of ensuring circuit court on the whole territory of Sierra Leone. The coordination is being strengthened with the development of common monitoring tools and a harmonized allowance policy. On the contrary coordination among justice and security actors appear weak and no formal mechanism to promote linkages seems in place.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initiative has developed some best practices, in particular a growing network of court monitors and an effective use of courtrooms.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 xml:space="preserve">sustainabilty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Some of the preconditions for the MC to continue without international support are in place, in particular the fact that they are implemented independently under the lead of the Judiciary and having recourse to only local capacities.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lack of financial and human resources remains a strong obstacle and allows to conclude that the Judiciary’s reliance on donor support will continue for some time. Considering that UNDP has been supporting the initiative since 2010, an exit strategy should be defined in cooperation with the Judiciary. Meanwhile the Judiciary should advocate for additional funds in the national budget and UNDP should provide assistance to improve key aspects of the intervention, with a particular focus on monitoring activities.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impact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Key informants reported reduced crime rates in the villages where circuit courts travel and pointed out the fact that litigants and their families are relieved from the economic burden of travelling to courts.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However, due to the lack of specific measures to assist court users in claiming their rights (legal aid, interpretation), the impact of mobile courts on the population has not been as significant as it could have been. Mobile courts have yet had a limited, although growing, impact on increasing legal awareness among the rural population and reestablishing the confidence in the formal justice system.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impact of mobile courts has been positive for the Judiciary.  The role of the formal justice system in remote areas has been strengthened, in particular by making the courts known to the population, which is a successful achievement in a country where traditional justice is strongly prevalent. Circuit courts have indirectly addressed the issue of the chronic shortage of Magistrates and backlogs in the districts have been cleared.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Due to legal and political obstacles, no war-related prosecutions were initiated by the national justice system, so circuit courts did not have the opportunity to impact on transitional justice.</w:t>
      </w:r>
    </w:p>
    <w:p w:rsidR="006E6AAA" w:rsidRPr="006E6AAA" w:rsidRDefault="006E6AAA" w:rsidP="006E6AAA">
      <w:pPr>
        <w:spacing w:after="0" w:line="280" w:lineRule="exact"/>
        <w:jc w:val="both"/>
        <w:rPr>
          <w:rFonts w:ascii="Times New Roman" w:eastAsia="Times New Roman" w:hAnsi="Times New Roman" w:cs="Times New Roman"/>
          <w:b/>
          <w:i/>
          <w:sz w:val="23"/>
          <w:szCs w:val="23"/>
          <w:lang w:eastAsia="da-DK"/>
        </w:rPr>
      </w:pPr>
    </w:p>
    <w:p w:rsidR="006E6AAA" w:rsidRPr="006E6AAA" w:rsidRDefault="006E6AAA" w:rsidP="006E6AAA">
      <w:pPr>
        <w:spacing w:after="0" w:line="280" w:lineRule="exact"/>
        <w:jc w:val="both"/>
        <w:rPr>
          <w:rFonts w:ascii="Times New Roman" w:eastAsia="Times New Roman" w:hAnsi="Times New Roman" w:cs="Times New Roman"/>
          <w:b/>
          <w:i/>
          <w:sz w:val="23"/>
          <w:szCs w:val="23"/>
          <w:lang w:eastAsia="da-DK"/>
        </w:rPr>
      </w:pP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r w:rsidRPr="006E6AAA">
        <w:rPr>
          <w:rFonts w:ascii="Calibri" w:eastAsia="Times New Roman" w:hAnsi="Calibri" w:cs="Times New Roman"/>
          <w:b/>
          <w:color w:val="000080"/>
          <w:sz w:val="24"/>
          <w:szCs w:val="24"/>
          <w:lang w:eastAsia="da-DK"/>
        </w:rPr>
        <w:t xml:space="preserve">7. RECOMMMANDATIONS </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following recommendations stem from the findings illustrated in the previous paragraphs and are directed at UNDP and the Judiciary.</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r w:rsidRPr="006E6AAA">
        <w:rPr>
          <w:rFonts w:ascii="Calibri" w:eastAsia="Times New Roman" w:hAnsi="Calibri" w:cs="Times New Roman"/>
          <w:b/>
          <w:color w:val="000080"/>
          <w:lang w:eastAsia="da-DK"/>
        </w:rPr>
        <w:t xml:space="preserve"> </w:t>
      </w: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eastAsia="da-DK"/>
        </w:rPr>
        <w:t>Strengthen gender and SGBV mainstreaming</w:t>
      </w: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p>
    <w:p w:rsidR="006E6AAA" w:rsidRPr="006E6AAA" w:rsidRDefault="006E6AAA" w:rsidP="006E6AAA">
      <w:pPr>
        <w:numPr>
          <w:ilvl w:val="0"/>
          <w:numId w:val="12"/>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Encourage mobile courts to play a more active role in implementing the recently adopted laws on the protection of GBV victims;</w:t>
      </w:r>
    </w:p>
    <w:p w:rsidR="006E6AAA" w:rsidRPr="006E6AAA" w:rsidRDefault="006E6AAA" w:rsidP="006E6AAA">
      <w:pPr>
        <w:numPr>
          <w:ilvl w:val="0"/>
          <w:numId w:val="1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Ensure that mobile court hearings of GBV cases are held </w:t>
      </w:r>
      <w:r w:rsidRPr="006E6AAA">
        <w:rPr>
          <w:rFonts w:ascii="Calibri" w:eastAsia="Times New Roman" w:hAnsi="Calibri" w:cs="Times New Roman"/>
          <w:i/>
          <w:lang w:eastAsia="da-DK"/>
        </w:rPr>
        <w:t>in camera</w:t>
      </w:r>
      <w:r w:rsidRPr="006E6AAA">
        <w:rPr>
          <w:rFonts w:ascii="Calibri" w:eastAsia="Times New Roman" w:hAnsi="Calibri" w:cs="Times New Roman"/>
          <w:lang w:eastAsia="da-DK"/>
        </w:rPr>
        <w:t xml:space="preserve">, as provided for by the 2012 Sexual Offenses Act; </w:t>
      </w:r>
    </w:p>
    <w:p w:rsidR="006E6AAA" w:rsidRPr="006E6AAA" w:rsidRDefault="006E6AAA" w:rsidP="006E6AAA">
      <w:pPr>
        <w:numPr>
          <w:ilvl w:val="0"/>
          <w:numId w:val="8"/>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Organize trainings for judicial actors aiming at strengthening the capacities to interview GBV survivors and promote the application of protection orders in domestic violence cases;</w:t>
      </w:r>
    </w:p>
    <w:p w:rsidR="006E6AAA" w:rsidRPr="006E6AAA" w:rsidRDefault="006E6AAA" w:rsidP="006E6AAA">
      <w:pPr>
        <w:numPr>
          <w:ilvl w:val="0"/>
          <w:numId w:val="8"/>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Disseminate best practices and landmark cases from the Saturday Courts as widely as possible within the legal community and establish </w:t>
      </w:r>
      <w:r w:rsidRPr="006E6AAA">
        <w:rPr>
          <w:rFonts w:ascii="Calibri" w:eastAsia="Times New Roman" w:hAnsi="Calibri" w:cs="Times New Roman"/>
          <w:lang w:val="en-GB" w:eastAsia="da-DK"/>
        </w:rPr>
        <w:t>linkages between the circuit courts and the Saturday Court in Bo.</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eastAsia="da-DK"/>
        </w:rPr>
        <w:t>Improve planning and monitoring</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numPr>
          <w:ilvl w:val="0"/>
          <w:numId w:val="1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Ensure that all planning tools include SMART indicators that are disaggregated by gender and harmonized with the court statistics provided by the judiciary on quarterly basis;</w:t>
      </w:r>
    </w:p>
    <w:p w:rsidR="006E6AAA" w:rsidRPr="006E6AAA" w:rsidRDefault="006E6AAA" w:rsidP="006E6AAA">
      <w:pPr>
        <w:numPr>
          <w:ilvl w:val="0"/>
          <w:numId w:val="1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Improve baseline information, in particular with regards to the needs of the population;</w:t>
      </w:r>
    </w:p>
    <w:p w:rsidR="006E6AAA" w:rsidRPr="006E6AAA" w:rsidRDefault="006E6AAA" w:rsidP="006E6AAA">
      <w:pPr>
        <w:numPr>
          <w:ilvl w:val="0"/>
          <w:numId w:val="1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Adopt, jointly with GIZ and ASJP/DFID, a standard template to collect basic court statistics and eventually a case management database;</w:t>
      </w:r>
    </w:p>
    <w:p w:rsidR="006E6AAA" w:rsidRPr="006E6AAA" w:rsidRDefault="006E6AAA" w:rsidP="006E6AAA">
      <w:pPr>
        <w:numPr>
          <w:ilvl w:val="0"/>
          <w:numId w:val="1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Ensure the planned recruitment of a UNDP supported Monitoring and Reporting officer at the Judiciary for a period of 6 months.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val="en-GB" w:eastAsia="da-DK"/>
        </w:rPr>
        <w:t xml:space="preserve">Reduce pre-trial detention rates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1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Ensure that the High Court travels on circuit 4 times per year, as provided by the Criminal Procedure Act.</w:t>
      </w:r>
    </w:p>
    <w:p w:rsidR="006E6AAA" w:rsidRPr="006E6AAA" w:rsidRDefault="006E6AAA" w:rsidP="006E6AAA">
      <w:pPr>
        <w:numPr>
          <w:ilvl w:val="0"/>
          <w:numId w:val="1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Ensure the accountability of mobile courts for illegal detentions, for example by encouraging police prosecutors and State Counsel travelling on circuit to visit the detention centres/prisons and follow up on pre-trial detention cases. </w:t>
      </w:r>
    </w:p>
    <w:p w:rsidR="006E6AAA" w:rsidRPr="006E6AAA" w:rsidRDefault="006E6AAA" w:rsidP="006E6AAA">
      <w:pPr>
        <w:numPr>
          <w:ilvl w:val="0"/>
          <w:numId w:val="1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Include in the planning tools a specific indicator to measure the impact of mobile courts on pre-trial detention.</w:t>
      </w:r>
    </w:p>
    <w:p w:rsidR="006E6AAA" w:rsidRPr="006E6AAA" w:rsidRDefault="006E6AAA" w:rsidP="006E6AAA">
      <w:pPr>
        <w:spacing w:after="0" w:line="280" w:lineRule="exact"/>
        <w:jc w:val="both"/>
        <w:rPr>
          <w:rFonts w:ascii="Times New Roman" w:eastAsia="Times New Roman" w:hAnsi="Times New Roman" w:cs="Times New Roman"/>
          <w:sz w:val="23"/>
          <w:szCs w:val="20"/>
          <w:lang w:val="en-GB"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eastAsia="da-DK"/>
        </w:rPr>
        <w:t xml:space="preserve">Promote complementary activities targeting the demand side of justice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15"/>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Continue to contribute to the debate on the implementation of the recently adopted Legal Aid bill, </w:t>
      </w:r>
      <w:r w:rsidRPr="006E6AAA">
        <w:rPr>
          <w:rFonts w:ascii="Calibri" w:eastAsia="Times New Roman" w:hAnsi="Calibri" w:cs="Times New Roman"/>
          <w:lang w:eastAsia="da-DK"/>
        </w:rPr>
        <w:t xml:space="preserve">to </w:t>
      </w:r>
      <w:r w:rsidRPr="006E6AAA">
        <w:rPr>
          <w:rFonts w:ascii="Calibri" w:eastAsia="Times New Roman" w:hAnsi="Calibri" w:cs="Times New Roman"/>
          <w:i/>
          <w:lang w:eastAsia="da-DK"/>
        </w:rPr>
        <w:t>inter alia</w:t>
      </w:r>
      <w:r w:rsidRPr="006E6AAA">
        <w:rPr>
          <w:rFonts w:ascii="Calibri" w:eastAsia="Times New Roman" w:hAnsi="Calibri" w:cs="Times New Roman"/>
          <w:lang w:eastAsia="da-DK"/>
        </w:rPr>
        <w:t xml:space="preserve"> </w:t>
      </w:r>
      <w:r w:rsidRPr="006E6AAA">
        <w:rPr>
          <w:rFonts w:ascii="Calibri" w:eastAsia="Times New Roman" w:hAnsi="Calibri" w:cs="Times New Roman"/>
          <w:lang w:val="en-GB" w:eastAsia="da-DK"/>
        </w:rPr>
        <w:t xml:space="preserve">advocate for the application of the future free legal aid scheme to the mobile court system; </w:t>
      </w:r>
    </w:p>
    <w:p w:rsidR="006E6AAA" w:rsidRPr="006E6AAA" w:rsidRDefault="006E6AAA" w:rsidP="006E6AAA">
      <w:pPr>
        <w:numPr>
          <w:ilvl w:val="0"/>
          <w:numId w:val="1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Explore the opportunity of re-establishing a UNDP funded legal aid scheme</w:t>
      </w:r>
      <w:r w:rsidRPr="006E6AAA">
        <w:rPr>
          <w:rFonts w:ascii="Calibri" w:eastAsia="Times New Roman" w:hAnsi="Calibri" w:cs="Times New Roman"/>
          <w:lang w:eastAsia="da-DK"/>
        </w:rPr>
        <w:t xml:space="preserve"> and/or support a few lawyers to establish their practice in some key districts</w:t>
      </w:r>
      <w:r w:rsidRPr="006E6AAA">
        <w:rPr>
          <w:rFonts w:ascii="Calibri" w:eastAsia="Times New Roman" w:hAnsi="Calibri" w:cs="Times New Roman"/>
          <w:lang w:val="en-GB" w:eastAsia="da-DK"/>
        </w:rPr>
        <w:t>, with the specific objective to support courts on circuit and within the framework that is being developed by the Legal Aid Board;</w:t>
      </w:r>
    </w:p>
    <w:p w:rsidR="006E6AAA" w:rsidRPr="006E6AAA" w:rsidRDefault="006E6AAA" w:rsidP="006E6AAA">
      <w:pPr>
        <w:numPr>
          <w:ilvl w:val="0"/>
          <w:numId w:val="1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Support </w:t>
      </w:r>
      <w:r w:rsidRPr="006E6AAA">
        <w:rPr>
          <w:rFonts w:ascii="Calibri" w:eastAsia="Times New Roman" w:hAnsi="Calibri" w:cs="Times New Roman"/>
          <w:lang w:val="en-GB" w:eastAsia="da-DK"/>
        </w:rPr>
        <w:t>a network of community-based paralegals to raise awareness among the population about the role and objectives of circuit courts and assist lawyers with witness tracking services.</w:t>
      </w:r>
    </w:p>
    <w:p w:rsidR="006E6AAA" w:rsidRPr="006E6AAA" w:rsidRDefault="006E6AAA" w:rsidP="006E6AAA">
      <w:pPr>
        <w:numPr>
          <w:ilvl w:val="0"/>
          <w:numId w:val="1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Advocate for the use of Krio in Magistrate Courts and/or the provision of additional interpreters</w:t>
      </w:r>
    </w:p>
    <w:p w:rsidR="006E6AAA" w:rsidRPr="006E6AAA" w:rsidRDefault="006E6AAA" w:rsidP="006E6AAA">
      <w:pPr>
        <w:spacing w:after="0" w:line="280" w:lineRule="exact"/>
        <w:ind w:left="288"/>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eastAsia="da-DK"/>
        </w:rPr>
        <w:t>Reduce adjournment rates and promote the presence of witnesses in court</w:t>
      </w:r>
    </w:p>
    <w:p w:rsidR="006E6AAA" w:rsidRPr="006E6AAA" w:rsidRDefault="006E6AAA" w:rsidP="006E6AAA">
      <w:pPr>
        <w:spacing w:after="0" w:line="280" w:lineRule="exact"/>
        <w:jc w:val="both"/>
        <w:rPr>
          <w:rFonts w:ascii="Times New Roman" w:eastAsia="Times New Roman" w:hAnsi="Times New Roman" w:cs="Times New Roman"/>
          <w:sz w:val="23"/>
          <w:szCs w:val="20"/>
          <w:lang w:eastAsia="da-DK"/>
        </w:rPr>
      </w:pPr>
    </w:p>
    <w:p w:rsidR="006E6AAA" w:rsidRPr="006E6AAA" w:rsidRDefault="006E6AAA" w:rsidP="006E6AAA">
      <w:pPr>
        <w:numPr>
          <w:ilvl w:val="0"/>
          <w:numId w:val="1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Continue to support the UNDP programme to reimburse travel expenses for witnesses of the Saturday Court and clarify the modalities and the criteria to extend the service to circuit courts.  </w:t>
      </w:r>
    </w:p>
    <w:p w:rsidR="006E6AAA" w:rsidRPr="006E6AAA" w:rsidRDefault="006E6AAA" w:rsidP="006E6AAA">
      <w:pPr>
        <w:numPr>
          <w:ilvl w:val="0"/>
          <w:numId w:val="16"/>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Include in future statistics from the Judiciary and planning tools a specific indicator about court adjournment rates.</w:t>
      </w:r>
    </w:p>
    <w:p w:rsidR="006E6AAA" w:rsidRPr="006E6AAA" w:rsidRDefault="006E6AAA" w:rsidP="006E6AAA">
      <w:pPr>
        <w:spacing w:after="0" w:line="280" w:lineRule="exact"/>
        <w:jc w:val="both"/>
        <w:rPr>
          <w:rFonts w:ascii="Times New Roman" w:eastAsia="Times New Roman" w:hAnsi="Times New Roman" w:cs="Times New Roman"/>
          <w:sz w:val="23"/>
          <w:szCs w:val="20"/>
          <w:lang w:val="en-GB"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val="en-GB" w:eastAsia="da-DK"/>
        </w:rPr>
        <w:t>Improve communication</w:t>
      </w: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p>
    <w:p w:rsidR="006E6AAA" w:rsidRPr="006E6AAA" w:rsidRDefault="006E6AAA" w:rsidP="006E6AAA">
      <w:pPr>
        <w:numPr>
          <w:ilvl w:val="0"/>
          <w:numId w:val="10"/>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Ensure that the population and the parties to the cases are informed in a timely manner about the arrival of the circuit court and ensure that the schedule is respected.</w:t>
      </w:r>
    </w:p>
    <w:p w:rsidR="006E6AAA" w:rsidRPr="006E6AAA" w:rsidRDefault="006E6AAA" w:rsidP="006E6AAA">
      <w:pPr>
        <w:numPr>
          <w:ilvl w:val="0"/>
          <w:numId w:val="10"/>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Engage in disseminating information about the objectives, role and achievements of mobile courts among the international community.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val="en-GB" w:eastAsia="da-DK"/>
        </w:rPr>
        <w:t>Continue to promote the international partnership</w:t>
      </w: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p>
    <w:p w:rsidR="006E6AAA" w:rsidRPr="006E6AAA" w:rsidRDefault="006E6AAA" w:rsidP="006E6AAA">
      <w:pPr>
        <w:numPr>
          <w:ilvl w:val="0"/>
          <w:numId w:val="9"/>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Agree to</w:t>
      </w:r>
      <w:r w:rsidRPr="006E6AAA">
        <w:rPr>
          <w:rFonts w:ascii="Calibri" w:eastAsia="Times New Roman" w:hAnsi="Calibri" w:cs="Times New Roman"/>
          <w:lang w:eastAsia="da-DK"/>
        </w:rPr>
        <w:t xml:space="preserve"> a joint UNDP/GIZ/DFID strategy for the support of mobile courts in the 3 provinces;</w:t>
      </w:r>
    </w:p>
    <w:p w:rsidR="006E6AAA" w:rsidRPr="006E6AAA" w:rsidRDefault="006E6AAA" w:rsidP="006E6AAA">
      <w:pPr>
        <w:numPr>
          <w:ilvl w:val="0"/>
          <w:numId w:val="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Finalise the harmonisation of allowance policies among the 3 international partners</w:t>
      </w:r>
    </w:p>
    <w:p w:rsidR="006E6AAA" w:rsidRPr="006E6AAA" w:rsidRDefault="006E6AAA" w:rsidP="006E6AAA">
      <w:pPr>
        <w:numPr>
          <w:ilvl w:val="0"/>
          <w:numId w:val="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Disseminate jointly the results achieved in the 3 provinces in order to illustrate regional trends.</w:t>
      </w:r>
    </w:p>
    <w:p w:rsidR="006E6AAA" w:rsidRPr="006E6AAA" w:rsidRDefault="006E6AAA" w:rsidP="006E6AAA">
      <w:pPr>
        <w:spacing w:after="0" w:line="280" w:lineRule="exact"/>
        <w:jc w:val="both"/>
        <w:rPr>
          <w:rFonts w:ascii="Arial" w:eastAsia="Times New Roman" w:hAnsi="Arial" w:cs="Arial"/>
          <w:sz w:val="18"/>
          <w:szCs w:val="18"/>
          <w:lang w:val="en-GB"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val="en-GB" w:eastAsia="da-DK"/>
        </w:rPr>
        <w:t>Continue to support court monitors</w:t>
      </w: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p>
    <w:p w:rsidR="006E6AAA" w:rsidRPr="006E6AAA" w:rsidRDefault="006E6AAA" w:rsidP="006E6AAA">
      <w:pPr>
        <w:numPr>
          <w:ilvl w:val="0"/>
          <w:numId w:val="17"/>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Promote a closer </w:t>
      </w:r>
      <w:r w:rsidRPr="006E6AAA">
        <w:rPr>
          <w:rFonts w:ascii="Calibri" w:eastAsia="Times New Roman" w:hAnsi="Calibri" w:cs="Times New Roman"/>
          <w:lang w:eastAsia="da-DK"/>
        </w:rPr>
        <w:t xml:space="preserve">coordination among the different national NGOs that provide court monitoring services with the objective to share best practices, harmonize approaches and better advocate for changes in the judicial system. </w:t>
      </w:r>
    </w:p>
    <w:p w:rsidR="006E6AAA" w:rsidRPr="006E6AAA" w:rsidRDefault="006E6AAA" w:rsidP="006E6AAA">
      <w:pPr>
        <w:numPr>
          <w:ilvl w:val="0"/>
          <w:numId w:val="17"/>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Ensure that court monitors reports present disaggregated data about courts on circuit and eventually extend their mandate to High Courts.</w:t>
      </w:r>
    </w:p>
    <w:p w:rsidR="006E6AAA" w:rsidRPr="006E6AAA" w:rsidRDefault="006E6AAA" w:rsidP="006E6AAA">
      <w:pPr>
        <w:numPr>
          <w:ilvl w:val="0"/>
          <w:numId w:val="1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Continue to explore the possibility of supporting UNDP Court monitors to attend the training required to become certified paralegals, as provided for by the legal aid bill. </w:t>
      </w:r>
    </w:p>
    <w:p w:rsidR="006E6AAA" w:rsidRPr="006E6AAA" w:rsidRDefault="006E6AAA" w:rsidP="006E6AAA">
      <w:pPr>
        <w:spacing w:after="0" w:line="280" w:lineRule="exact"/>
        <w:jc w:val="both"/>
        <w:rPr>
          <w:rFonts w:ascii="Arial" w:eastAsia="Times New Roman" w:hAnsi="Arial" w:cs="Arial"/>
          <w:color w:val="000080"/>
          <w:sz w:val="18"/>
          <w:szCs w:val="18"/>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r w:rsidRPr="006E6AAA">
        <w:rPr>
          <w:rFonts w:ascii="Arial" w:eastAsia="Times New Roman" w:hAnsi="Arial" w:cs="Arial"/>
          <w:color w:val="000080"/>
          <w:sz w:val="18"/>
          <w:szCs w:val="18"/>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b/>
          <w:color w:val="000080"/>
          <w:u w:val="single"/>
          <w:lang w:eastAsia="da-DK"/>
        </w:rPr>
        <w:t>Support the Judiciary’s strategy to complete the institutionalization of circuit courts</w:t>
      </w:r>
    </w:p>
    <w:p w:rsidR="006E6AAA" w:rsidRPr="006E6AAA" w:rsidRDefault="006E6AAA" w:rsidP="006E6AAA">
      <w:pPr>
        <w:spacing w:after="0" w:line="280" w:lineRule="exact"/>
        <w:jc w:val="both"/>
        <w:rPr>
          <w:rFonts w:ascii="Calibri" w:eastAsia="Times New Roman" w:hAnsi="Calibri" w:cs="Times New Roman"/>
          <w:b/>
          <w:color w:val="000080"/>
          <w:u w:val="single"/>
          <w:lang w:eastAsia="da-DK"/>
        </w:rPr>
      </w:pPr>
    </w:p>
    <w:p w:rsidR="006E6AAA" w:rsidRPr="006E6AAA" w:rsidRDefault="006E6AAA" w:rsidP="006E6AAA">
      <w:pPr>
        <w:numPr>
          <w:ilvl w:val="0"/>
          <w:numId w:val="1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Support the strategy of the Judiciary to develop Magistrate circuit courts into a permanent institution, (more resident Magistrates covering a reduced number of circuit stations) by providing assistance to promote the legal profession, sustainably improve the conditions of service for Magistrates and recruit additional ones.  </w:t>
      </w:r>
    </w:p>
    <w:p w:rsidR="006E6AAA" w:rsidRPr="006E6AAA" w:rsidRDefault="006E6AAA" w:rsidP="006E6AAA">
      <w:pPr>
        <w:numPr>
          <w:ilvl w:val="0"/>
          <w:numId w:val="1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Promote a discussion about the timeline for withdrawal of international support and define an exit strategy.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r w:rsidRPr="006E6AAA">
        <w:rPr>
          <w:rFonts w:ascii="Arial" w:eastAsia="Times New Roman" w:hAnsi="Arial" w:cs="Arial"/>
          <w:color w:val="000080"/>
          <w:sz w:val="18"/>
          <w:szCs w:val="18"/>
          <w:lang w:eastAsia="da-DK"/>
        </w:rPr>
        <w:t xml:space="preserve">► </w:t>
      </w:r>
      <w:r w:rsidRPr="006E6AAA">
        <w:rPr>
          <w:rFonts w:ascii="Calibri" w:eastAsia="Times New Roman" w:hAnsi="Calibri" w:cs="Times New Roman"/>
          <w:b/>
          <w:color w:val="000080"/>
          <w:u w:val="single"/>
          <w:lang w:val="en-GB" w:eastAsia="da-DK"/>
        </w:rPr>
        <w:t xml:space="preserve">Additional Areas </w:t>
      </w: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p>
    <w:p w:rsidR="006E6AAA" w:rsidRPr="006E6AAA" w:rsidRDefault="006E6AAA" w:rsidP="006E6AAA">
      <w:pPr>
        <w:numPr>
          <w:ilvl w:val="0"/>
          <w:numId w:val="19"/>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Improve the logistical aspects of the initiative, such as the introduction of stenographers or modern transcription facilities; the creation of a library with basic laws; the improvement of transportation and accommodation for judges and magistrates on circuit</w:t>
      </w:r>
    </w:p>
    <w:p w:rsidR="006E6AAA" w:rsidRPr="006E6AAA" w:rsidRDefault="006E6AAA" w:rsidP="006E6AAA">
      <w:pPr>
        <w:numPr>
          <w:ilvl w:val="0"/>
          <w:numId w:val="18"/>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R</w:t>
      </w:r>
      <w:r w:rsidRPr="006E6AAA">
        <w:rPr>
          <w:rFonts w:ascii="Calibri" w:eastAsia="Times New Roman" w:hAnsi="Calibri" w:cs="Times New Roman"/>
          <w:lang w:eastAsia="da-DK"/>
        </w:rPr>
        <w:t xml:space="preserve">e-establish the 2 JPs in Moyamba and ensure their training. </w:t>
      </w:r>
    </w:p>
    <w:p w:rsidR="006E6AAA" w:rsidRPr="006E6AAA" w:rsidRDefault="006E6AAA" w:rsidP="006E6AAA">
      <w:pPr>
        <w:numPr>
          <w:ilvl w:val="0"/>
          <w:numId w:val="18"/>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Continue</w:t>
      </w:r>
      <w:r w:rsidRPr="006E6AAA">
        <w:rPr>
          <w:rFonts w:ascii="Calibri" w:eastAsia="Times New Roman" w:hAnsi="Calibri" w:cs="Times New Roman"/>
          <w:lang w:val="en-GB" w:eastAsia="da-DK"/>
        </w:rPr>
        <w:t xml:space="preserve"> to support Local Courts and  add a special focus on promoting coordination mechanisms and a better communication between Local Courts and Magistrate Courts on circuit.</w:t>
      </w: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r w:rsidRPr="006E6AAA">
        <w:rPr>
          <w:rFonts w:ascii="Times New Roman" w:eastAsia="Times New Roman" w:hAnsi="Times New Roman" w:cs="Times New Roman"/>
          <w:sz w:val="23"/>
          <w:szCs w:val="20"/>
          <w:lang w:eastAsia="da-DK"/>
        </w:rPr>
        <w:br w:type="page"/>
      </w:r>
    </w:p>
    <w:p w:rsidR="006E6AAA" w:rsidRPr="006E6AAA" w:rsidRDefault="006E6AAA" w:rsidP="006E6AAA">
      <w:pPr>
        <w:autoSpaceDE w:val="0"/>
        <w:autoSpaceDN w:val="0"/>
        <w:adjustRightInd w:val="0"/>
        <w:spacing w:after="0" w:line="240" w:lineRule="auto"/>
        <w:rPr>
          <w:rFonts w:ascii="Calibri" w:eastAsia="Times New Roman" w:hAnsi="Calibri" w:cs="CG Omega"/>
          <w:b/>
          <w:color w:val="000080"/>
          <w:sz w:val="28"/>
          <w:szCs w:val="28"/>
          <w:u w:val="single"/>
          <w:lang w:eastAsia="it-IT"/>
        </w:rPr>
      </w:pPr>
      <w:r w:rsidRPr="006E6AAA">
        <w:rPr>
          <w:rFonts w:ascii="Calibri" w:eastAsia="Times New Roman" w:hAnsi="Calibri" w:cs="CG Omega"/>
          <w:b/>
          <w:color w:val="000080"/>
          <w:sz w:val="28"/>
          <w:szCs w:val="28"/>
          <w:u w:val="single"/>
          <w:lang w:eastAsia="it-IT"/>
        </w:rPr>
        <w:t>ANNEX 1: Reviewed literature</w:t>
      </w:r>
    </w:p>
    <w:p w:rsidR="006E6AAA" w:rsidRPr="006E6AAA" w:rsidRDefault="006E6AAA" w:rsidP="006E6AAA">
      <w:pPr>
        <w:autoSpaceDE w:val="0"/>
        <w:autoSpaceDN w:val="0"/>
        <w:adjustRightInd w:val="0"/>
        <w:spacing w:after="0" w:line="240" w:lineRule="auto"/>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Consulted documents are available on the shared folder created on Dropbox for the present evaluation:</w:t>
      </w:r>
    </w:p>
    <w:p w:rsidR="006E6AAA" w:rsidRPr="006E6AAA" w:rsidRDefault="006E6AAA" w:rsidP="006E6AAA">
      <w:pPr>
        <w:spacing w:after="0" w:line="270" w:lineRule="atLeast"/>
        <w:rPr>
          <w:rFonts w:ascii="Calibri" w:eastAsia="Times New Roman" w:hAnsi="Calibri" w:cs="Times New Roman"/>
          <w:i/>
          <w:lang w:eastAsia="da-DK"/>
        </w:rPr>
      </w:pPr>
      <w:hyperlink r:id="rId25" w:history="1">
        <w:r w:rsidRPr="006E6AAA">
          <w:rPr>
            <w:rFonts w:ascii="Times New Roman" w:eastAsia="Times New Roman" w:hAnsi="Times New Roman" w:cs="Times New Roman"/>
            <w:i/>
            <w:color w:val="0062A0"/>
            <w:u w:val="single"/>
            <w:bdr w:val="none" w:sz="0" w:space="0" w:color="auto" w:frame="1"/>
            <w:lang w:eastAsia="da-DK"/>
          </w:rPr>
          <w:t>https://www.dropbox.com/sh/kn177z4dddfvgyp/AbtqXNN4Ai</w:t>
        </w:r>
      </w:hyperlink>
    </w:p>
    <w:p w:rsidR="006E6AAA" w:rsidRPr="006E6AAA" w:rsidRDefault="006E6AAA" w:rsidP="006E6AAA">
      <w:pPr>
        <w:autoSpaceDE w:val="0"/>
        <w:autoSpaceDN w:val="0"/>
        <w:adjustRightInd w:val="0"/>
        <w:spacing w:after="0" w:line="240" w:lineRule="auto"/>
        <w:rPr>
          <w:rFonts w:ascii="Calibri" w:eastAsia="Times New Roman" w:hAnsi="Calibri" w:cs="Times New Roman"/>
          <w:b/>
          <w:lang w:val="fr-FR" w:eastAsia="it-IT"/>
        </w:rPr>
      </w:pPr>
    </w:p>
    <w:p w:rsidR="006E6AAA" w:rsidRPr="006E6AAA" w:rsidRDefault="006E6AAA" w:rsidP="006E6AAA">
      <w:pPr>
        <w:autoSpaceDE w:val="0"/>
        <w:autoSpaceDN w:val="0"/>
        <w:adjustRightInd w:val="0"/>
        <w:spacing w:after="0" w:line="240" w:lineRule="auto"/>
        <w:rPr>
          <w:rFonts w:ascii="Calibri" w:eastAsia="Times New Roman" w:hAnsi="Calibri" w:cs="Times New Roman"/>
          <w:b/>
          <w:lang w:val="en-GB" w:eastAsia="it-IT"/>
        </w:rPr>
      </w:pPr>
      <w:r w:rsidRPr="006E6AAA">
        <w:rPr>
          <w:rFonts w:ascii="Calibri" w:eastAsia="Times New Roman" w:hAnsi="Calibri" w:cs="Times New Roman"/>
          <w:b/>
          <w:lang w:val="en-GB" w:eastAsia="it-IT"/>
        </w:rPr>
        <w:t>1. Articles</w:t>
      </w:r>
    </w:p>
    <w:p w:rsidR="006E6AAA" w:rsidRPr="006E6AAA" w:rsidRDefault="006E6AAA" w:rsidP="006E6AAA">
      <w:pPr>
        <w:autoSpaceDE w:val="0"/>
        <w:autoSpaceDN w:val="0"/>
        <w:adjustRightInd w:val="0"/>
        <w:spacing w:after="0" w:line="270" w:lineRule="atLeast"/>
        <w:rPr>
          <w:rFonts w:ascii="Calibri" w:eastAsia="Times New Roman" w:hAnsi="Calibri" w:cs="Times New Roman"/>
          <w:lang w:val="en-GB" w:eastAsia="da-DK"/>
        </w:rPr>
      </w:pP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Betty Alimamy Sesay, “</w:t>
      </w:r>
      <w:r w:rsidRPr="006E6AAA">
        <w:rPr>
          <w:rFonts w:ascii="Calibri" w:eastAsia="Times New Roman" w:hAnsi="Calibri" w:cs="Times New Roman"/>
          <w:i/>
          <w:lang w:val="en-GB" w:eastAsia="da-DK"/>
        </w:rPr>
        <w:t>Filling the Gaps in the Justice Sector: More Resident Magistrates Needed in Sierra Leone</w:t>
      </w:r>
      <w:r w:rsidRPr="006E6AAA">
        <w:rPr>
          <w:rFonts w:ascii="Calibri" w:eastAsia="Times New Roman" w:hAnsi="Calibri" w:cs="Times New Roman"/>
          <w:lang w:val="en-GB" w:eastAsia="da-DK"/>
        </w:rPr>
        <w:t>”, CARL, 2011</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Braima Koroma “</w:t>
      </w:r>
      <w:r w:rsidRPr="006E6AAA">
        <w:rPr>
          <w:rFonts w:ascii="Calibri" w:eastAsia="Times New Roman" w:hAnsi="Calibri" w:cs="Times New Roman"/>
          <w:i/>
          <w:lang w:val="en-GB" w:eastAsia="da-DK"/>
        </w:rPr>
        <w:t>A cost benefit analysis of itinerant courts in the Moyamba district</w:t>
      </w:r>
      <w:r w:rsidRPr="006E6AAA">
        <w:rPr>
          <w:rFonts w:ascii="Calibri" w:eastAsia="Times New Roman" w:hAnsi="Calibri" w:cs="Times New Roman"/>
          <w:lang w:val="en-GB" w:eastAsia="da-DK"/>
        </w:rPr>
        <w:t>”, 2008</w:t>
      </w:r>
    </w:p>
    <w:p w:rsidR="006E6AAA" w:rsidRPr="006E6AAA" w:rsidRDefault="006E6AAA" w:rsidP="006E6AAA">
      <w:pPr>
        <w:numPr>
          <w:ilvl w:val="0"/>
          <w:numId w:val="4"/>
        </w:numPr>
        <w:autoSpaceDE w:val="0"/>
        <w:autoSpaceDN w:val="0"/>
        <w:adjustRightInd w:val="0"/>
        <w:spacing w:after="0" w:line="241"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Caroline Roseveare “</w:t>
      </w:r>
      <w:r w:rsidRPr="006E6AAA">
        <w:rPr>
          <w:rFonts w:ascii="Calibri" w:eastAsia="Times New Roman" w:hAnsi="Calibri" w:cs="Times New Roman"/>
          <w:i/>
          <w:lang w:val="en-GB" w:eastAsia="da-DK"/>
        </w:rPr>
        <w:t>Sierra Leone access to justice for survivors of sexual and domestic violence</w:t>
      </w:r>
      <w:r w:rsidRPr="006E6AAA">
        <w:rPr>
          <w:rFonts w:ascii="Calibri" w:eastAsia="Times New Roman" w:hAnsi="Calibri" w:cs="Times New Roman"/>
          <w:lang w:val="en-GB" w:eastAsia="da-DK"/>
        </w:rPr>
        <w:t xml:space="preserve">” IRC/Timap,  2012 </w:t>
      </w:r>
    </w:p>
    <w:p w:rsidR="006E6AAA" w:rsidRPr="006E6AAA" w:rsidRDefault="006E6AAA" w:rsidP="006E6AAA">
      <w:pPr>
        <w:numPr>
          <w:ilvl w:val="0"/>
          <w:numId w:val="4"/>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Centre for the Study of African Economies, Oxford University “</w:t>
      </w:r>
      <w:r w:rsidRPr="006E6AAA">
        <w:rPr>
          <w:rFonts w:ascii="Calibri" w:eastAsia="Times New Roman" w:hAnsi="Calibri" w:cs="Times New Roman"/>
          <w:i/>
          <w:lang w:val="en-GB" w:eastAsia="da-DK"/>
        </w:rPr>
        <w:t>Timap Criminal Justice Pilot: Baseline Evaluation Report</w:t>
      </w:r>
      <w:r w:rsidRPr="006E6AAA">
        <w:rPr>
          <w:rFonts w:ascii="Calibri" w:eastAsia="Times New Roman" w:hAnsi="Calibri" w:cs="Times New Roman"/>
          <w:lang w:val="en-GB" w:eastAsia="da-DK"/>
        </w:rPr>
        <w:t>”, 2010</w:t>
      </w:r>
    </w:p>
    <w:p w:rsidR="006E6AAA" w:rsidRPr="006E6AAA" w:rsidRDefault="006E6AAA" w:rsidP="006E6AAA">
      <w:pPr>
        <w:numPr>
          <w:ilvl w:val="0"/>
          <w:numId w:val="4"/>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Clare Castillejo, “</w:t>
      </w:r>
      <w:r w:rsidRPr="006E6AAA">
        <w:rPr>
          <w:rFonts w:ascii="Calibri" w:eastAsia="Times New Roman" w:hAnsi="Calibri" w:cs="Times New Roman"/>
          <w:i/>
          <w:lang w:val="en-GB" w:eastAsia="da-DK"/>
        </w:rPr>
        <w:t>Building Accountable Justice in Sierra Leone</w:t>
      </w:r>
      <w:r w:rsidRPr="006E6AAA">
        <w:rPr>
          <w:rFonts w:ascii="Calibri" w:eastAsia="Times New Roman" w:hAnsi="Calibri" w:cs="Times New Roman"/>
          <w:lang w:val="en-GB" w:eastAsia="da-DK"/>
        </w:rPr>
        <w:t>”, Friede 2009</w:t>
      </w:r>
    </w:p>
    <w:p w:rsidR="006E6AAA" w:rsidRPr="006E6AAA" w:rsidRDefault="006E6AAA" w:rsidP="006E6AAA">
      <w:pPr>
        <w:numPr>
          <w:ilvl w:val="0"/>
          <w:numId w:val="4"/>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Clare Castillejo, “</w:t>
      </w:r>
      <w:r w:rsidRPr="006E6AAA">
        <w:rPr>
          <w:rFonts w:ascii="Calibri" w:eastAsia="Times New Roman" w:hAnsi="Calibri" w:cs="Times New Roman"/>
          <w:i/>
          <w:lang w:val="en-GB" w:eastAsia="da-DK"/>
        </w:rPr>
        <w:t>Strengthening women’s citizenship in the context of state-building: the experience of Sierra Leone</w:t>
      </w:r>
      <w:r w:rsidRPr="006E6AAA">
        <w:rPr>
          <w:rFonts w:ascii="Calibri" w:eastAsia="Times New Roman" w:hAnsi="Calibri" w:cs="Times New Roman"/>
          <w:lang w:val="en-GB" w:eastAsia="da-DK"/>
        </w:rPr>
        <w:t>”, Friede 2008</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Commonwealth Human rights Initiative, “</w:t>
      </w:r>
      <w:r w:rsidRPr="006E6AAA">
        <w:rPr>
          <w:rFonts w:ascii="Calibri" w:eastAsia="Times New Roman" w:hAnsi="Calibri" w:cs="Times New Roman"/>
          <w:i/>
          <w:lang w:val="en-GB" w:eastAsia="da-DK"/>
        </w:rPr>
        <w:t>In pursuit of justice: a report on the Judiciary in Sierra leone</w:t>
      </w:r>
      <w:r w:rsidRPr="006E6AAA">
        <w:rPr>
          <w:rFonts w:ascii="Calibri" w:eastAsia="Times New Roman" w:hAnsi="Calibri" w:cs="Times New Roman"/>
          <w:lang w:val="en-GB" w:eastAsia="da-DK"/>
        </w:rPr>
        <w:t>”,2002</w:t>
      </w:r>
    </w:p>
    <w:p w:rsidR="006E6AAA" w:rsidRPr="006E6AAA" w:rsidRDefault="006E6AAA" w:rsidP="006E6AAA">
      <w:pPr>
        <w:numPr>
          <w:ilvl w:val="0"/>
          <w:numId w:val="4"/>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Namvula Rennie, JSPD, “</w:t>
      </w:r>
      <w:r w:rsidRPr="006E6AAA">
        <w:rPr>
          <w:rFonts w:ascii="Calibri" w:eastAsia="Times New Roman" w:hAnsi="Calibri" w:cs="Times New Roman"/>
          <w:i/>
          <w:lang w:val="en-GB" w:eastAsia="da-DK"/>
        </w:rPr>
        <w:t>Silenced Injustices in Moyamba District</w:t>
      </w:r>
      <w:r w:rsidRPr="006E6AAA">
        <w:rPr>
          <w:rFonts w:ascii="Calibri" w:eastAsia="Times New Roman" w:hAnsi="Calibri" w:cs="Times New Roman"/>
          <w:lang w:val="en-GB" w:eastAsia="da-DK"/>
        </w:rPr>
        <w:t>”, 2006</w:t>
      </w:r>
    </w:p>
    <w:p w:rsidR="006E6AAA" w:rsidRPr="006E6AAA" w:rsidRDefault="006E6AAA" w:rsidP="006E6AAA">
      <w:pPr>
        <w:numPr>
          <w:ilvl w:val="0"/>
          <w:numId w:val="4"/>
        </w:numPr>
        <w:autoSpaceDE w:val="0"/>
        <w:autoSpaceDN w:val="0"/>
        <w:adjustRightInd w:val="0"/>
        <w:spacing w:after="0" w:line="240" w:lineRule="auto"/>
        <w:rPr>
          <w:rFonts w:ascii="Calibri" w:eastAsia="Times New Roman" w:hAnsi="Calibri" w:cs="Times New Roman"/>
          <w:lang w:val="en-GB" w:eastAsia="it-IT"/>
        </w:rPr>
      </w:pPr>
      <w:r w:rsidRPr="006E6AAA">
        <w:rPr>
          <w:rFonts w:ascii="Calibri" w:eastAsia="Times New Roman" w:hAnsi="Calibri" w:cs="Times New Roman"/>
          <w:lang w:val="en-GB" w:eastAsia="it-IT"/>
        </w:rPr>
        <w:t>Pamela Dale  “</w:t>
      </w:r>
      <w:r w:rsidRPr="006E6AAA">
        <w:rPr>
          <w:rFonts w:ascii="Calibri" w:eastAsia="Times New Roman" w:hAnsi="Calibri" w:cs="Times New Roman"/>
          <w:i/>
          <w:lang w:val="en-GB" w:eastAsia="it-IT"/>
        </w:rPr>
        <w:t>Access to Justice in Sierra Leone: A Review of the Literature</w:t>
      </w:r>
      <w:r w:rsidRPr="006E6AAA">
        <w:rPr>
          <w:rFonts w:ascii="Calibri" w:eastAsia="Times New Roman" w:hAnsi="Calibri" w:cs="Times New Roman"/>
          <w:lang w:val="en-GB" w:eastAsia="it-IT"/>
        </w:rPr>
        <w:t>” World Bank’s Justice for the Poor program , May 2008</w:t>
      </w:r>
    </w:p>
    <w:p w:rsidR="006E6AAA" w:rsidRPr="006E6AAA" w:rsidRDefault="006E6AAA" w:rsidP="006E6AAA">
      <w:pPr>
        <w:numPr>
          <w:ilvl w:val="0"/>
          <w:numId w:val="4"/>
        </w:numPr>
        <w:autoSpaceDE w:val="0"/>
        <w:autoSpaceDN w:val="0"/>
        <w:adjustRightInd w:val="0"/>
        <w:spacing w:after="0" w:line="241"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Peter Albrecht “</w:t>
      </w:r>
      <w:r w:rsidRPr="006E6AAA">
        <w:rPr>
          <w:rFonts w:ascii="Calibri" w:eastAsia="Times New Roman" w:hAnsi="Calibri" w:cs="Times New Roman"/>
          <w:i/>
          <w:lang w:val="en-GB" w:eastAsia="da-DK"/>
        </w:rPr>
        <w:t>Betwixt and between – chiefs and reform of Sierra Leone’s justice sector</w:t>
      </w:r>
      <w:r w:rsidRPr="006E6AAA">
        <w:rPr>
          <w:rFonts w:ascii="Calibri" w:eastAsia="Times New Roman" w:hAnsi="Calibri" w:cs="Times New Roman"/>
          <w:lang w:val="en-GB" w:eastAsia="da-DK"/>
        </w:rPr>
        <w:t>” DIIS Working Paper, 2010</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Resolve Group “ </w:t>
      </w:r>
      <w:r w:rsidRPr="006E6AAA">
        <w:rPr>
          <w:rFonts w:ascii="Calibri" w:eastAsia="Times New Roman" w:hAnsi="Calibri" w:cs="Times New Roman"/>
          <w:i/>
          <w:lang w:val="en-GB" w:eastAsia="da-DK"/>
        </w:rPr>
        <w:t>The feasibility of a legal aid system in Sierra Leone</w:t>
      </w:r>
      <w:r w:rsidRPr="006E6AAA">
        <w:rPr>
          <w:rFonts w:ascii="Calibri" w:eastAsia="Times New Roman" w:hAnsi="Calibri" w:cs="Times New Roman"/>
          <w:lang w:val="en-GB" w:eastAsia="da-DK"/>
        </w:rPr>
        <w:t>”, 2007</w:t>
      </w:r>
    </w:p>
    <w:p w:rsidR="006E6AAA" w:rsidRPr="006E6AAA" w:rsidRDefault="006E6AAA" w:rsidP="006E6AAA">
      <w:pPr>
        <w:numPr>
          <w:ilvl w:val="0"/>
          <w:numId w:val="4"/>
        </w:numPr>
        <w:shd w:val="clear" w:color="auto" w:fill="FFFFFF"/>
        <w:spacing w:after="72" w:line="240" w:lineRule="auto"/>
        <w:outlineLvl w:val="1"/>
        <w:rPr>
          <w:rFonts w:ascii="Calibri" w:eastAsia="Times New Roman" w:hAnsi="Calibri" w:cs="Times New Roman"/>
          <w:lang w:val="en-GB" w:eastAsia="it-IT"/>
        </w:rPr>
      </w:pPr>
      <w:r w:rsidRPr="006E6AAA">
        <w:rPr>
          <w:rFonts w:ascii="Calibri" w:eastAsia="Times New Roman" w:hAnsi="Calibri" w:cs="Times New Roman"/>
          <w:lang w:val="en-GB" w:eastAsia="it-IT"/>
        </w:rPr>
        <w:t>Sheku Koroma and John Shangai Koroma “</w:t>
      </w:r>
      <w:r w:rsidRPr="006E6AAA">
        <w:rPr>
          <w:rFonts w:ascii="Calibri" w:eastAsia="Times New Roman" w:hAnsi="Calibri" w:cs="Times New Roman"/>
          <w:i/>
          <w:lang w:val="en-GB" w:eastAsia="it-IT"/>
        </w:rPr>
        <w:t>Addressing the Issue of Interpretation in District Magistrate Court in Sierra Leones</w:t>
      </w:r>
      <w:r w:rsidRPr="006E6AAA">
        <w:rPr>
          <w:rFonts w:ascii="Calibri" w:eastAsia="Times New Roman" w:hAnsi="Calibri" w:cs="Times New Roman"/>
          <w:lang w:val="en-GB" w:eastAsia="it-IT"/>
        </w:rPr>
        <w:t xml:space="preserve">”, CARL, 2006 </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Sigall Horovits “</w:t>
      </w:r>
      <w:r w:rsidRPr="006E6AAA">
        <w:rPr>
          <w:rFonts w:ascii="Calibri" w:eastAsia="Times New Roman" w:hAnsi="Calibri" w:cs="Times New Roman"/>
          <w:i/>
          <w:lang w:val="en-GB" w:eastAsia="da-DK"/>
        </w:rPr>
        <w:t>Sierra Leone: interaction between national and international responses to the mass atrocities</w:t>
      </w:r>
      <w:r w:rsidRPr="006E6AAA">
        <w:rPr>
          <w:rFonts w:ascii="Calibri" w:eastAsia="Times New Roman" w:hAnsi="Calibri" w:cs="Times New Roman"/>
          <w:lang w:val="en-GB" w:eastAsia="da-DK"/>
        </w:rPr>
        <w:t>”, 2009</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Varvaloucas, Koroma, Turay and Siddiqi “</w:t>
      </w:r>
      <w:r w:rsidRPr="006E6AAA">
        <w:rPr>
          <w:rFonts w:ascii="Calibri" w:eastAsia="Times New Roman" w:hAnsi="Calibri" w:cs="Times New Roman"/>
          <w:i/>
          <w:lang w:val="en-GB" w:eastAsia="da-DK"/>
        </w:rPr>
        <w:t>Improving the justice sector: law and institution building in Sierra Leone</w:t>
      </w:r>
      <w:r w:rsidRPr="006E6AAA">
        <w:rPr>
          <w:rFonts w:ascii="Calibri" w:eastAsia="Times New Roman" w:hAnsi="Calibri" w:cs="Times New Roman"/>
          <w:lang w:val="en-GB" w:eastAsia="da-DK"/>
        </w:rPr>
        <w:t>”, 2012</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World Bank, “</w:t>
      </w:r>
      <w:r w:rsidRPr="006E6AAA">
        <w:rPr>
          <w:rFonts w:ascii="Calibri" w:eastAsia="Times New Roman" w:hAnsi="Calibri" w:cs="Times New Roman"/>
          <w:i/>
          <w:lang w:val="en-GB" w:eastAsia="da-DK"/>
        </w:rPr>
        <w:t>Sierra Leone: legal and judicial sector assessment</w:t>
      </w:r>
      <w:r w:rsidRPr="006E6AAA">
        <w:rPr>
          <w:rFonts w:ascii="Calibri" w:eastAsia="Times New Roman" w:hAnsi="Calibri" w:cs="Times New Roman"/>
          <w:lang w:val="en-GB" w:eastAsia="da-DK"/>
        </w:rPr>
        <w:t>”, 2004</w:t>
      </w:r>
    </w:p>
    <w:p w:rsidR="006E6AAA" w:rsidRPr="006E6AAA" w:rsidRDefault="006E6AAA" w:rsidP="006E6AAA">
      <w:pPr>
        <w:numPr>
          <w:ilvl w:val="0"/>
          <w:numId w:val="4"/>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UNIPSIL/OHCHR, “</w:t>
      </w:r>
      <w:r w:rsidRPr="006E6AAA">
        <w:rPr>
          <w:rFonts w:ascii="Calibri" w:eastAsia="Times New Roman" w:hAnsi="Calibri" w:cs="Times New Roman"/>
          <w:i/>
          <w:lang w:val="en-GB" w:eastAsia="da-DK"/>
        </w:rPr>
        <w:t>The situation of detention in Sierra Leone</w:t>
      </w:r>
      <w:r w:rsidRPr="006E6AAA">
        <w:rPr>
          <w:rFonts w:ascii="Calibri" w:eastAsia="Times New Roman" w:hAnsi="Calibri" w:cs="Times New Roman"/>
          <w:lang w:val="en-GB" w:eastAsia="da-DK"/>
        </w:rPr>
        <w:t>”, 2012</w:t>
      </w:r>
    </w:p>
    <w:p w:rsidR="006E6AAA" w:rsidRPr="006E6AAA" w:rsidRDefault="006E6AAA" w:rsidP="006E6AAA">
      <w:pPr>
        <w:autoSpaceDE w:val="0"/>
        <w:autoSpaceDN w:val="0"/>
        <w:adjustRightInd w:val="0"/>
        <w:spacing w:after="0" w:line="240" w:lineRule="auto"/>
        <w:rPr>
          <w:rFonts w:ascii="Calibri" w:eastAsia="Times New Roman" w:hAnsi="Calibri" w:cs="Times New Roman"/>
          <w:lang w:val="en-GB" w:eastAsia="it-IT"/>
        </w:rPr>
      </w:pPr>
    </w:p>
    <w:p w:rsidR="006E6AAA" w:rsidRPr="006E6AAA" w:rsidRDefault="006E6AAA" w:rsidP="006E6AAA">
      <w:pPr>
        <w:autoSpaceDE w:val="0"/>
        <w:autoSpaceDN w:val="0"/>
        <w:adjustRightInd w:val="0"/>
        <w:spacing w:after="0" w:line="240" w:lineRule="auto"/>
        <w:rPr>
          <w:rFonts w:ascii="Calibri" w:eastAsia="Times New Roman" w:hAnsi="Calibri" w:cs="Times New Roman"/>
          <w:b/>
          <w:lang w:val="en-GB" w:eastAsia="it-IT"/>
        </w:rPr>
      </w:pPr>
      <w:r w:rsidRPr="006E6AAA">
        <w:rPr>
          <w:rFonts w:ascii="Calibri" w:eastAsia="Times New Roman" w:hAnsi="Calibri" w:cs="Times New Roman"/>
          <w:b/>
          <w:lang w:val="en-GB" w:eastAsia="it-IT"/>
        </w:rPr>
        <w:t xml:space="preserve">2. Legislation and other documents </w:t>
      </w: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ASJP/DFID, Loa for itinerant courts, 2011</w:t>
      </w:r>
    </w:p>
    <w:p w:rsidR="006E6AAA" w:rsidRPr="006E6AAA" w:rsidRDefault="006E6AAA" w:rsidP="006E6AAA">
      <w:pPr>
        <w:numPr>
          <w:ilvl w:val="0"/>
          <w:numId w:val="5"/>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Auditor General report, 2013</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JSDP, Inception Report, 2005</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JSDP, Justice sector survey, 2008</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JSDP, “</w:t>
      </w:r>
      <w:r w:rsidRPr="006E6AAA">
        <w:rPr>
          <w:rFonts w:ascii="Calibri" w:eastAsia="Times New Roman" w:hAnsi="Calibri" w:cs="Times New Roman"/>
          <w:i/>
          <w:lang w:val="en-GB" w:eastAsia="da-DK"/>
        </w:rPr>
        <w:t>Criminal case management</w:t>
      </w:r>
      <w:r w:rsidRPr="006E6AAA">
        <w:rPr>
          <w:rFonts w:ascii="Calibri" w:eastAsia="Times New Roman" w:hAnsi="Calibri" w:cs="Times New Roman"/>
          <w:lang w:val="en-GB" w:eastAsia="da-DK"/>
        </w:rPr>
        <w:t xml:space="preserve"> </w:t>
      </w:r>
      <w:r w:rsidRPr="006E6AAA">
        <w:rPr>
          <w:rFonts w:ascii="Calibri" w:eastAsia="Times New Roman" w:hAnsi="Calibri" w:cs="Times New Roman"/>
          <w:i/>
          <w:lang w:val="en-GB" w:eastAsia="da-DK"/>
        </w:rPr>
        <w:t>handbook</w:t>
      </w:r>
      <w:r w:rsidRPr="006E6AAA">
        <w:rPr>
          <w:rFonts w:ascii="Calibri" w:eastAsia="Times New Roman" w:hAnsi="Calibri" w:cs="Times New Roman"/>
          <w:lang w:val="en-GB" w:eastAsia="da-DK"/>
        </w:rPr>
        <w:t>” 2006</w:t>
      </w:r>
    </w:p>
    <w:p w:rsidR="006E6AAA" w:rsidRPr="006E6AAA" w:rsidRDefault="006E6AAA" w:rsidP="006E6AAA">
      <w:pPr>
        <w:numPr>
          <w:ilvl w:val="0"/>
          <w:numId w:val="5"/>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Judiciary of Sierra Leone, Annual reports on itinerant courts, 2010, 2011</w:t>
      </w:r>
    </w:p>
    <w:p w:rsidR="006E6AAA" w:rsidRPr="006E6AAA" w:rsidRDefault="006E6AAA" w:rsidP="006E6AAA">
      <w:pPr>
        <w:numPr>
          <w:ilvl w:val="0"/>
          <w:numId w:val="5"/>
        </w:numPr>
        <w:autoSpaceDE w:val="0"/>
        <w:autoSpaceDN w:val="0"/>
        <w:adjustRightInd w:val="0"/>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Judiciary of Sierra Leone, Justice Sector Reform Strategy and investment plan II,  2011-2014</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courts Act, 1965 </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The criminal procedure Act, 1965</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The domestic violence Act, 2007</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The sexual offences Act, 2012</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UNDP Project document “</w:t>
      </w:r>
      <w:r w:rsidRPr="006E6AAA">
        <w:rPr>
          <w:rFonts w:ascii="Calibri" w:eastAsia="Times New Roman" w:hAnsi="Calibri" w:cs="Times New Roman"/>
          <w:i/>
          <w:lang w:val="en-GB" w:eastAsia="da-DK"/>
        </w:rPr>
        <w:t>Access to justice is Sierra Leone</w:t>
      </w:r>
      <w:r w:rsidRPr="006E6AAA">
        <w:rPr>
          <w:rFonts w:ascii="Calibri" w:eastAsia="Times New Roman" w:hAnsi="Calibri" w:cs="Times New Roman"/>
          <w:lang w:val="en-GB" w:eastAsia="da-DK"/>
        </w:rPr>
        <w:t>”, 2011</w:t>
      </w:r>
    </w:p>
    <w:p w:rsidR="006E6AAA" w:rsidRPr="006E6AAA" w:rsidRDefault="006E6AAA" w:rsidP="006E6AAA">
      <w:pPr>
        <w:numPr>
          <w:ilvl w:val="0"/>
          <w:numId w:val="5"/>
        </w:numPr>
        <w:autoSpaceDE w:val="0"/>
        <w:autoSpaceDN w:val="0"/>
        <w:adjustRightInd w:val="0"/>
        <w:spacing w:after="0" w:line="240" w:lineRule="auto"/>
        <w:rPr>
          <w:rFonts w:ascii="Calibri" w:eastAsia="Times New Roman" w:hAnsi="Calibri" w:cs="Times New Roman"/>
          <w:lang w:val="en-GB" w:eastAsia="it-IT"/>
        </w:rPr>
      </w:pPr>
      <w:r w:rsidRPr="006E6AAA">
        <w:rPr>
          <w:rFonts w:ascii="Calibri" w:eastAsia="Times New Roman" w:hAnsi="Calibri" w:cs="Times New Roman"/>
          <w:lang w:val="en-GB" w:eastAsia="it-IT"/>
        </w:rPr>
        <w:t>UNDP, annual report, 2011</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UNDP, court monitors reports, 3rd quarter, 2012</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UNDP, LoA to support mobile courts, 2010 and 2012</w:t>
      </w:r>
    </w:p>
    <w:p w:rsidR="006E6AAA" w:rsidRPr="006E6AAA" w:rsidRDefault="006E6AAA" w:rsidP="006E6AAA">
      <w:pPr>
        <w:numPr>
          <w:ilvl w:val="0"/>
          <w:numId w:val="5"/>
        </w:numPr>
        <w:spacing w:after="0" w:line="24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Universal Periodic Review - Sierra Leone (Compilation of UN information), 2011</w:t>
      </w:r>
    </w:p>
    <w:p w:rsidR="006E6AAA" w:rsidRPr="006E6AAA" w:rsidRDefault="006E6AAA" w:rsidP="006E6AAA">
      <w:pPr>
        <w:spacing w:after="0" w:line="240" w:lineRule="auto"/>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40" w:lineRule="auto"/>
        <w:rPr>
          <w:rFonts w:ascii="Calibri" w:eastAsia="Times New Roman" w:hAnsi="Calibri" w:cs="CG Omega"/>
          <w:b/>
          <w:color w:val="000080"/>
          <w:sz w:val="28"/>
          <w:szCs w:val="28"/>
          <w:u w:val="single"/>
          <w:lang w:eastAsia="it-IT"/>
        </w:rPr>
      </w:pPr>
      <w:r w:rsidRPr="006E6AAA">
        <w:rPr>
          <w:rFonts w:ascii="Calibri" w:eastAsia="Times New Roman" w:hAnsi="Calibri" w:cs="CG Omega"/>
          <w:b/>
          <w:color w:val="000080"/>
          <w:sz w:val="28"/>
          <w:szCs w:val="28"/>
          <w:u w:val="single"/>
          <w:lang w:eastAsia="it-IT"/>
        </w:rPr>
        <w:t>ANNEX 2: List of interviewed persons</w:t>
      </w:r>
    </w:p>
    <w:p w:rsidR="006E6AAA" w:rsidRPr="006E6AAA" w:rsidRDefault="006E6AAA" w:rsidP="006E6AAA">
      <w:pPr>
        <w:spacing w:after="0" w:line="270" w:lineRule="atLeast"/>
        <w:rPr>
          <w:rFonts w:ascii="Calibri" w:eastAsia="Times New Roman" w:hAnsi="Calibri" w:cs="Times New Roman"/>
          <w:b/>
          <w:lang w:val="en-GB" w:eastAsia="da-DK"/>
        </w:rPr>
      </w:pP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Abdul Tucker, Bailiff - </w:t>
      </w:r>
      <w:r w:rsidRPr="006E6AAA">
        <w:rPr>
          <w:rFonts w:ascii="Calibri" w:eastAsia="Times New Roman" w:hAnsi="Calibri" w:cs="Times New Roman"/>
          <w:lang w:val="en-GB" w:eastAsia="da-DK"/>
        </w:rPr>
        <w:t>Magistrate court of Moyamba</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Alie B. Sesay</w:t>
      </w:r>
      <w:r w:rsidRPr="006E6AAA">
        <w:rPr>
          <w:rFonts w:ascii="Calibri" w:eastAsia="Times New Roman" w:hAnsi="Calibri" w:cs="Times New Roman"/>
          <w:lang w:val="en-GB" w:eastAsia="da-DK"/>
        </w:rPr>
        <w:t xml:space="preserve">, Rule of Law Officer - UNDP </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Andrew Mondeh, </w:t>
      </w:r>
      <w:r w:rsidRPr="006E6AAA">
        <w:rPr>
          <w:rFonts w:ascii="Calibri" w:eastAsia="Times New Roman" w:hAnsi="Calibri" w:cs="Times New Roman"/>
          <w:lang w:val="en-GB" w:eastAsia="da-DK"/>
        </w:rPr>
        <w:t>Investigator -  Police Family Support Unit (FSU).</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Charles Nbowe, </w:t>
      </w:r>
      <w:r w:rsidRPr="006E6AAA">
        <w:rPr>
          <w:rFonts w:ascii="Calibri" w:eastAsia="Times New Roman" w:hAnsi="Calibri" w:cs="Times New Roman"/>
          <w:lang w:val="en-GB" w:eastAsia="da-DK"/>
        </w:rPr>
        <w:t>Executive director - Dignity now (court monitoring CSO)</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Christopher Will </w:t>
      </w:r>
      <w:r w:rsidRPr="006E6AAA">
        <w:rPr>
          <w:rFonts w:ascii="Calibri" w:eastAsia="Times New Roman" w:hAnsi="Calibri" w:cs="Times New Roman"/>
          <w:lang w:val="en-GB" w:eastAsia="da-DK"/>
        </w:rPr>
        <w:t>Project Manager, Rule of Law and Justice Programme - GIZ</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Daniel Harding, </w:t>
      </w:r>
      <w:r w:rsidRPr="006E6AAA">
        <w:rPr>
          <w:rFonts w:ascii="Calibri" w:eastAsia="Times New Roman" w:hAnsi="Calibri" w:cs="Times New Roman"/>
          <w:lang w:val="en-GB" w:eastAsia="da-DK"/>
        </w:rPr>
        <w:t>Chairman - Human Rights committee of Moyamba</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Deanne Evans, </w:t>
      </w:r>
      <w:r w:rsidRPr="006E6AAA">
        <w:rPr>
          <w:rFonts w:ascii="Calibri" w:eastAsia="Times New Roman" w:hAnsi="Calibri" w:cs="Times New Roman"/>
          <w:lang w:val="en-GB" w:eastAsia="da-DK"/>
        </w:rPr>
        <w:t>GBV programme coordinator - IRC</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Emmanuel S. Cole - </w:t>
      </w:r>
      <w:r w:rsidRPr="006E6AAA">
        <w:rPr>
          <w:rFonts w:ascii="Calibri" w:eastAsia="Times New Roman" w:hAnsi="Calibri" w:cs="Times New Roman"/>
          <w:lang w:val="en-GB" w:eastAsia="da-DK"/>
        </w:rPr>
        <w:t>head of High Court jurors ( meeting attended by 5 jurors)</w:t>
      </w:r>
      <w:r w:rsidRPr="006E6AAA">
        <w:rPr>
          <w:rFonts w:ascii="Calibri" w:eastAsia="Times New Roman" w:hAnsi="Calibri" w:cs="Times New Roman"/>
          <w:b/>
          <w:lang w:val="en-GB" w:eastAsia="da-DK"/>
        </w:rPr>
        <w:t xml:space="preserve"> </w:t>
      </w:r>
    </w:p>
    <w:p w:rsidR="006E6AAA" w:rsidRPr="006E6AAA" w:rsidRDefault="006E6AAA" w:rsidP="006E6AAA">
      <w:pPr>
        <w:numPr>
          <w:ilvl w:val="0"/>
          <w:numId w:val="20"/>
        </w:numPr>
        <w:spacing w:after="0" w:line="320" w:lineRule="atLeast"/>
        <w:rPr>
          <w:rFonts w:ascii="Times New Roman" w:eastAsia="Times New Roman" w:hAnsi="Times New Roman" w:cs="Times New Roman"/>
          <w:sz w:val="23"/>
          <w:szCs w:val="20"/>
          <w:lang w:val="en-GB" w:eastAsia="da-DK"/>
        </w:rPr>
      </w:pPr>
      <w:r w:rsidRPr="006E6AAA">
        <w:rPr>
          <w:rFonts w:ascii="Calibri" w:eastAsia="Times New Roman" w:hAnsi="Calibri" w:cs="Times New Roman"/>
          <w:b/>
          <w:lang w:val="en-GB" w:eastAsia="da-DK"/>
        </w:rPr>
        <w:t xml:space="preserve">Fabundeh Ansumana, </w:t>
      </w:r>
      <w:r w:rsidRPr="006E6AAA">
        <w:rPr>
          <w:rFonts w:ascii="Calibri" w:eastAsia="Times New Roman" w:hAnsi="Calibri" w:cs="Times New Roman"/>
          <w:lang w:val="en-GB" w:eastAsia="da-DK"/>
        </w:rPr>
        <w:t>Human rights Officer – National Human Rights Commission</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George Amorat, </w:t>
      </w:r>
      <w:r w:rsidRPr="006E6AAA">
        <w:rPr>
          <w:rFonts w:ascii="Calibri" w:eastAsia="Times New Roman" w:hAnsi="Calibri" w:cs="Times New Roman"/>
          <w:lang w:val="en-GB" w:eastAsia="da-DK"/>
        </w:rPr>
        <w:t>Deputy prison director - Prison of Moyamba</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George Harding, </w:t>
      </w:r>
      <w:r w:rsidRPr="006E6AAA">
        <w:rPr>
          <w:rFonts w:ascii="Calibri" w:eastAsia="Times New Roman" w:hAnsi="Calibri" w:cs="Times New Roman"/>
          <w:lang w:val="en-GB" w:eastAsia="da-DK"/>
        </w:rPr>
        <w:t>Local Court supervisor – Local Court</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George Thomson, judge – </w:t>
      </w:r>
      <w:r w:rsidRPr="006E6AAA">
        <w:rPr>
          <w:rFonts w:ascii="Calibri" w:eastAsia="Times New Roman" w:hAnsi="Calibri" w:cs="Times New Roman"/>
          <w:lang w:val="en-GB" w:eastAsia="da-DK"/>
        </w:rPr>
        <w:t>High Court on circuit in Moyamba</w:t>
      </w:r>
      <w:r w:rsidRPr="006E6AAA">
        <w:rPr>
          <w:rFonts w:ascii="Calibri" w:eastAsia="Times New Roman" w:hAnsi="Calibri" w:cs="Times New Roman"/>
          <w:b/>
          <w:lang w:val="en-GB" w:eastAsia="da-DK"/>
        </w:rPr>
        <w:t xml:space="preserve"> </w:t>
      </w:r>
      <w:r w:rsidRPr="006E6AAA">
        <w:rPr>
          <w:rFonts w:ascii="Calibri" w:eastAsia="Times New Roman" w:hAnsi="Calibri" w:cs="Times New Roman"/>
          <w:lang w:val="en-GB" w:eastAsia="da-DK"/>
        </w:rPr>
        <w:t>(meeting attended by the State Counsel and Registrar)</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Ibrahim Tommy, </w:t>
      </w:r>
      <w:r w:rsidRPr="006E6AAA">
        <w:rPr>
          <w:rFonts w:ascii="Calibri" w:eastAsia="Times New Roman" w:hAnsi="Calibri" w:cs="Times New Roman"/>
          <w:lang w:val="en-GB" w:eastAsia="da-DK"/>
        </w:rPr>
        <w:t xml:space="preserve">Executive director - Centre for accountability and the rule of law (CARL) .  </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Interview with 5 parties to cases (3 women and 2 men) </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James Nunan</w:t>
      </w:r>
      <w:r w:rsidRPr="006E6AAA">
        <w:rPr>
          <w:rFonts w:ascii="Calibri" w:eastAsia="Times New Roman" w:hAnsi="Calibri" w:cs="Times New Roman"/>
          <w:lang w:val="en-GB" w:eastAsia="da-DK"/>
        </w:rPr>
        <w:t>, A2J Project manager - UNDP</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Julia Sarkodie-Mensah, </w:t>
      </w:r>
      <w:r w:rsidRPr="006E6AAA">
        <w:rPr>
          <w:rFonts w:ascii="Calibri" w:eastAsia="Times New Roman" w:hAnsi="Calibri" w:cs="Times New Roman"/>
          <w:lang w:val="en-GB" w:eastAsia="da-DK"/>
        </w:rPr>
        <w:t>Master and Registrar - Judiciary</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Lars Andersen</w:t>
      </w:r>
      <w:r w:rsidRPr="006E6AAA">
        <w:rPr>
          <w:rFonts w:ascii="Calibri" w:eastAsia="Times New Roman" w:hAnsi="Calibri" w:cs="Times New Roman"/>
          <w:lang w:val="en-GB" w:eastAsia="da-DK"/>
        </w:rPr>
        <w:t>, Chief of Outreach and Public Affairs - Special Court for Sierra Leone</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Lebbie</w:t>
      </w:r>
      <w:r w:rsidRPr="006E6AAA">
        <w:rPr>
          <w:rFonts w:ascii="Calibri" w:eastAsia="Times New Roman" w:hAnsi="Calibri" w:cs="Times New Roman"/>
          <w:lang w:val="en-GB" w:eastAsia="da-DK"/>
        </w:rPr>
        <w:t xml:space="preserve"> Human Rights Officer - UNIPSIL/OHCHR</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Mark Aiken </w:t>
      </w:r>
      <w:r w:rsidRPr="006E6AAA">
        <w:rPr>
          <w:rFonts w:ascii="Calibri" w:eastAsia="Times New Roman" w:hAnsi="Calibri" w:cs="Times New Roman"/>
          <w:lang w:val="en-GB" w:eastAsia="da-DK"/>
        </w:rPr>
        <w:t>Justice Advisor, ASJP - DFID</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Matilda Anthoney</w:t>
      </w:r>
      <w:r w:rsidRPr="006E6AAA">
        <w:rPr>
          <w:rFonts w:ascii="Calibri" w:eastAsia="Times New Roman" w:hAnsi="Calibri" w:cs="Times New Roman"/>
          <w:lang w:val="en-GB" w:eastAsia="da-DK"/>
        </w:rPr>
        <w:t>, Line Manager - Police FSU</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Meeting with 5 Court Monitors </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Mia Seppo, </w:t>
      </w:r>
      <w:r w:rsidRPr="006E6AAA">
        <w:rPr>
          <w:rFonts w:ascii="Calibri" w:eastAsia="Times New Roman" w:hAnsi="Calibri" w:cs="Times New Roman"/>
          <w:lang w:val="en-GB" w:eastAsia="da-DK"/>
        </w:rPr>
        <w:t>UNDP Country Director</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Michal Kahn, </w:t>
      </w:r>
      <w:r w:rsidRPr="006E6AAA">
        <w:rPr>
          <w:rFonts w:ascii="Calibri" w:eastAsia="Times New Roman" w:hAnsi="Calibri" w:cs="Times New Roman"/>
          <w:lang w:val="en-GB" w:eastAsia="da-DK"/>
        </w:rPr>
        <w:t xml:space="preserve">Chairman – Local Court </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Mohammad Abchir</w:t>
      </w:r>
      <w:r w:rsidRPr="006E6AAA">
        <w:rPr>
          <w:rFonts w:ascii="Calibri" w:eastAsia="Times New Roman" w:hAnsi="Calibri" w:cs="Times New Roman"/>
          <w:lang w:val="en-GB" w:eastAsia="da-DK"/>
        </w:rPr>
        <w:t>, DCDP - UNDP</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Monfred Sesay</w:t>
      </w:r>
      <w:r w:rsidRPr="006E6AAA">
        <w:rPr>
          <w:rFonts w:ascii="Calibri" w:eastAsia="Times New Roman" w:hAnsi="Calibri" w:cs="Times New Roman"/>
          <w:lang w:val="en-GB" w:eastAsia="da-DK"/>
        </w:rPr>
        <w:t xml:space="preserve"> Principal State Counsel - Ministry of Justice</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Patrik Johnbull, </w:t>
      </w:r>
      <w:r w:rsidRPr="006E6AAA">
        <w:rPr>
          <w:rFonts w:ascii="Calibri" w:eastAsia="Times New Roman" w:hAnsi="Calibri" w:cs="Times New Roman"/>
          <w:lang w:val="en-GB" w:eastAsia="da-DK"/>
        </w:rPr>
        <w:t>Legal Aid lawyer – Center for access to justice and human rights</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Prince K. Kallon, </w:t>
      </w:r>
      <w:r w:rsidRPr="006E6AAA">
        <w:rPr>
          <w:rFonts w:ascii="Calibri" w:eastAsia="Times New Roman" w:hAnsi="Calibri" w:cs="Times New Roman"/>
          <w:lang w:val="en-GB" w:eastAsia="da-DK"/>
        </w:rPr>
        <w:t>Coordinator - Human rights Youth Coalition (court monitoring CSO)</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Rakel Larsen</w:t>
      </w:r>
      <w:r w:rsidRPr="006E6AAA">
        <w:rPr>
          <w:rFonts w:ascii="Calibri" w:eastAsia="Times New Roman" w:hAnsi="Calibri" w:cs="Times New Roman"/>
          <w:lang w:val="en-GB" w:eastAsia="da-DK"/>
        </w:rPr>
        <w:t>, ROL officer - UNDP</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Rosina M’balu Mahoi, </w:t>
      </w:r>
      <w:r w:rsidRPr="006E6AAA">
        <w:rPr>
          <w:rFonts w:ascii="Calibri" w:eastAsia="Times New Roman" w:hAnsi="Calibri" w:cs="Times New Roman"/>
          <w:lang w:val="en-GB" w:eastAsia="da-DK"/>
        </w:rPr>
        <w:t>child protection specialist - UNICEF</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Sabrina Mathani</w:t>
      </w:r>
      <w:r w:rsidRPr="006E6AAA">
        <w:rPr>
          <w:rFonts w:ascii="Calibri" w:eastAsia="Times New Roman" w:hAnsi="Calibri" w:cs="Times New Roman"/>
          <w:lang w:val="en-GB" w:eastAsia="da-DK"/>
        </w:rPr>
        <w:t>, Executive Director - AdvocAid</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Sahr Kekura, </w:t>
      </w:r>
      <w:r w:rsidRPr="006E6AAA">
        <w:rPr>
          <w:rFonts w:ascii="Calibri" w:eastAsia="Times New Roman" w:hAnsi="Calibri" w:cs="Times New Roman"/>
          <w:lang w:val="en-GB" w:eastAsia="da-DK"/>
        </w:rPr>
        <w:t>Magistrate on circuit in Gbangbatok (meeting attended by registrar, police prosecutor and prison officer) – Moyamba Magistrate Court</w:t>
      </w:r>
    </w:p>
    <w:p w:rsidR="006E6AAA" w:rsidRPr="006E6AAA" w:rsidRDefault="006E6AAA" w:rsidP="006E6AAA">
      <w:pPr>
        <w:numPr>
          <w:ilvl w:val="0"/>
          <w:numId w:val="20"/>
        </w:numPr>
        <w:spacing w:after="0" w:line="320" w:lineRule="atLeast"/>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Simeon Koroma,  </w:t>
      </w:r>
      <w:r w:rsidRPr="006E6AAA">
        <w:rPr>
          <w:rFonts w:ascii="Calibri" w:eastAsia="Times New Roman" w:hAnsi="Calibri" w:cs="Times New Roman"/>
          <w:lang w:val="en-GB" w:eastAsia="da-DK"/>
        </w:rPr>
        <w:t>Director - TiMAP for Justice</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Sinead Walsh, </w:t>
      </w:r>
      <w:r w:rsidRPr="006E6AAA">
        <w:rPr>
          <w:rFonts w:ascii="Calibri" w:eastAsia="Times New Roman" w:hAnsi="Calibri" w:cs="Times New Roman"/>
          <w:lang w:val="en-GB" w:eastAsia="da-DK"/>
        </w:rPr>
        <w:t>Charge d’affaires, Irish aid, Embassy of Ireland</w:t>
      </w:r>
    </w:p>
    <w:p w:rsidR="006E6AAA" w:rsidRPr="006E6AAA" w:rsidRDefault="006E6AAA" w:rsidP="006E6AAA">
      <w:pPr>
        <w:numPr>
          <w:ilvl w:val="0"/>
          <w:numId w:val="20"/>
        </w:numPr>
        <w:spacing w:after="0" w:line="320" w:lineRule="atLeast"/>
        <w:rPr>
          <w:rFonts w:ascii="Calibri" w:eastAsia="Times New Roman" w:hAnsi="Calibri" w:cs="Times New Roman"/>
          <w:b/>
          <w:lang w:val="en-GB" w:eastAsia="da-DK"/>
        </w:rPr>
      </w:pPr>
      <w:r w:rsidRPr="006E6AAA">
        <w:rPr>
          <w:rFonts w:ascii="Calibri" w:eastAsia="Times New Roman" w:hAnsi="Calibri" w:cs="Times New Roman"/>
          <w:b/>
          <w:lang w:val="en-GB" w:eastAsia="da-DK"/>
        </w:rPr>
        <w:t xml:space="preserve">Sonkita Conteh, </w:t>
      </w:r>
      <w:r w:rsidRPr="006E6AAA">
        <w:rPr>
          <w:rFonts w:ascii="Calibri" w:eastAsia="Times New Roman" w:hAnsi="Calibri" w:cs="Times New Roman"/>
          <w:lang w:val="en-GB" w:eastAsia="da-DK"/>
        </w:rPr>
        <w:t>Director - Namati</w:t>
      </w:r>
    </w:p>
    <w:p w:rsidR="006E6AAA" w:rsidRPr="006E6AAA" w:rsidRDefault="006E6AAA" w:rsidP="006E6AAA">
      <w:pPr>
        <w:spacing w:after="0" w:line="240" w:lineRule="auto"/>
        <w:rPr>
          <w:rFonts w:ascii="Calibri" w:eastAsia="Times New Roman" w:hAnsi="Calibri" w:cs="Times New Roman"/>
          <w:lang w:val="en-GB" w:eastAsia="da-DK"/>
        </w:rPr>
      </w:pPr>
    </w:p>
    <w:p w:rsidR="006E6AAA" w:rsidRPr="006E6AAA" w:rsidRDefault="006E6AAA" w:rsidP="006E6AAA">
      <w:pPr>
        <w:spacing w:after="0" w:line="240" w:lineRule="auto"/>
        <w:rPr>
          <w:rFonts w:ascii="Calibri" w:eastAsia="Times New Roman" w:hAnsi="Calibri" w:cs="Times New Roman"/>
          <w:color w:val="000080"/>
          <w:lang w:val="en-GB" w:eastAsia="da-DK"/>
        </w:rPr>
      </w:pPr>
      <w:r w:rsidRPr="006E6AAA">
        <w:rPr>
          <w:rFonts w:ascii="Calibri" w:eastAsia="Times New Roman" w:hAnsi="Calibri" w:cs="Times New Roman"/>
          <w:lang w:val="en-GB" w:eastAsia="da-DK"/>
        </w:rPr>
        <w:br w:type="page"/>
      </w:r>
      <w:r w:rsidRPr="006E6AAA">
        <w:rPr>
          <w:rFonts w:ascii="Calibri" w:eastAsia="Times New Roman" w:hAnsi="Calibri" w:cs="Times New Roman"/>
          <w:b/>
          <w:color w:val="000080"/>
          <w:sz w:val="28"/>
          <w:szCs w:val="28"/>
          <w:u w:val="single"/>
          <w:lang w:val="en-GB" w:eastAsia="da-DK"/>
        </w:rPr>
        <w:t>ANNEX 3: Map of circuit courts in Sierra Leone</w:t>
      </w:r>
    </w:p>
    <w:p w:rsidR="006E6AAA" w:rsidRPr="006E6AAA" w:rsidRDefault="006E6AAA" w:rsidP="006E6AAA">
      <w:pPr>
        <w:spacing w:after="0" w:line="240" w:lineRule="auto"/>
        <w:rPr>
          <w:rFonts w:ascii="Calibri" w:eastAsia="Times New Roman" w:hAnsi="Calibri" w:cs="Times New Roman"/>
          <w:lang w:val="en-GB" w:eastAsia="da-DK"/>
        </w:rPr>
      </w:pPr>
    </w:p>
    <w:p w:rsidR="006E6AAA" w:rsidRPr="006E6AAA" w:rsidRDefault="006E6AAA" w:rsidP="006E6AAA">
      <w:pPr>
        <w:spacing w:after="0" w:line="240" w:lineRule="auto"/>
        <w:rPr>
          <w:rFonts w:ascii="Calibri" w:eastAsia="Times New Roman" w:hAnsi="Calibri" w:cs="Times New Roman"/>
          <w:lang w:val="en-GB" w:eastAsia="da-DK"/>
        </w:rPr>
      </w:pPr>
    </w:p>
    <w:p w:rsidR="006E6AAA" w:rsidRPr="006E6AAA" w:rsidRDefault="006E6AAA" w:rsidP="006E6AAA">
      <w:pPr>
        <w:spacing w:after="0" w:line="240" w:lineRule="auto"/>
        <w:rPr>
          <w:rFonts w:ascii="Calibri" w:eastAsia="Times New Roman" w:hAnsi="Calibri" w:cs="Times New Roman"/>
          <w:lang w:val="en-GB" w:eastAsia="da-DK"/>
        </w:rPr>
      </w:pPr>
      <w:r>
        <w:rPr>
          <w:rFonts w:ascii="Calibri" w:eastAsia="Times New Roman" w:hAnsi="Calibri" w:cs="Times New Roman"/>
          <w:noProof/>
        </w:rPr>
        <w:drawing>
          <wp:inline distT="0" distB="0" distL="0" distR="0">
            <wp:extent cx="6249670" cy="6657340"/>
            <wp:effectExtent l="19050" t="19050" r="17780" b="10160"/>
            <wp:docPr id="2" name="Picture 2" descr="sierra_leone_map professionalresize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erra_leone_map professionalresizee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9670" cy="6657340"/>
                    </a:xfrm>
                    <a:prstGeom prst="rect">
                      <a:avLst/>
                    </a:prstGeom>
                    <a:noFill/>
                    <a:ln w="6350" cmpd="sng">
                      <a:solidFill>
                        <a:srgbClr val="000000"/>
                      </a:solidFill>
                      <a:miter lim="800000"/>
                      <a:headEnd/>
                      <a:tailEnd/>
                    </a:ln>
                    <a:effectLst/>
                  </pic:spPr>
                </pic:pic>
              </a:graphicData>
            </a:graphic>
          </wp:inline>
        </w:drawing>
      </w:r>
    </w:p>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p w:rsidR="006E6AAA" w:rsidRPr="006E6AAA" w:rsidRDefault="006E6AAA" w:rsidP="006E6AAA">
      <w:pPr>
        <w:spacing w:after="0" w:line="270" w:lineRule="atLeast"/>
        <w:rPr>
          <w:rFonts w:ascii="Calibri" w:eastAsia="Times New Roman" w:hAnsi="Calibri" w:cs="CG Omega"/>
          <w:color w:val="000080"/>
          <w:sz w:val="28"/>
          <w:szCs w:val="28"/>
          <w:u w:val="single"/>
          <w:lang w:eastAsia="it-IT"/>
        </w:rPr>
      </w:pPr>
      <w:r w:rsidRPr="006E6AAA">
        <w:rPr>
          <w:rFonts w:ascii="Times New Roman" w:eastAsia="Times New Roman" w:hAnsi="Times New Roman" w:cs="Times New Roman"/>
          <w:sz w:val="23"/>
          <w:szCs w:val="20"/>
          <w:lang w:eastAsia="da-DK"/>
        </w:rPr>
        <w:br w:type="page"/>
      </w:r>
      <w:r w:rsidRPr="006E6AAA">
        <w:rPr>
          <w:rFonts w:ascii="Calibri" w:eastAsia="Times New Roman" w:hAnsi="Calibri" w:cs="CG Omega"/>
          <w:b/>
          <w:color w:val="000080"/>
          <w:sz w:val="28"/>
          <w:szCs w:val="28"/>
          <w:u w:val="single"/>
          <w:lang w:eastAsia="it-IT"/>
        </w:rPr>
        <w:t>ANNEX 4</w:t>
      </w:r>
      <w:r w:rsidRPr="006E6AAA">
        <w:rPr>
          <w:rFonts w:ascii="Calibri" w:eastAsia="Times New Roman" w:hAnsi="Calibri" w:cs="CG Omega"/>
          <w:color w:val="000080"/>
          <w:sz w:val="28"/>
          <w:szCs w:val="28"/>
          <w:u w:val="single"/>
          <w:lang w:eastAsia="it-IT"/>
        </w:rPr>
        <w:t xml:space="preserve">: </w:t>
      </w:r>
      <w:r w:rsidRPr="006E6AAA">
        <w:rPr>
          <w:rFonts w:ascii="Calibri" w:eastAsia="Times New Roman" w:hAnsi="Calibri" w:cs="Times New Roman"/>
          <w:color w:val="000080"/>
          <w:sz w:val="28"/>
          <w:szCs w:val="28"/>
          <w:u w:val="single"/>
          <w:lang w:eastAsia="da-DK"/>
        </w:rPr>
        <w:t>Chief Justice Order for the appointment of High Court circuit sessions</w:t>
      </w:r>
    </w:p>
    <w:p w:rsidR="006E6AAA" w:rsidRPr="006E6AAA" w:rsidRDefault="006E6AAA" w:rsidP="006E6AAA">
      <w:pPr>
        <w:spacing w:after="0" w:line="270" w:lineRule="atLeast"/>
        <w:rPr>
          <w:rFonts w:ascii="Calibri" w:eastAsia="Times New Roman" w:hAnsi="Calibri" w:cs="CG Omega"/>
          <w:b/>
          <w:color w:val="000000"/>
          <w:sz w:val="28"/>
          <w:szCs w:val="28"/>
          <w:u w:val="single"/>
          <w:lang w:eastAsia="it-IT"/>
        </w:rPr>
      </w:pP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r>
        <w:rPr>
          <w:rFonts w:ascii="Times New Roman" w:eastAsia="Times New Roman" w:hAnsi="Times New Roman" w:cs="Times New Roman"/>
          <w:noProof/>
          <w:sz w:val="23"/>
          <w:szCs w:val="20"/>
        </w:rPr>
        <w:drawing>
          <wp:inline distT="0" distB="0" distL="0" distR="0">
            <wp:extent cx="6118225" cy="8413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8225" cy="8413750"/>
                    </a:xfrm>
                    <a:prstGeom prst="rect">
                      <a:avLst/>
                    </a:prstGeom>
                    <a:noFill/>
                    <a:ln>
                      <a:noFill/>
                    </a:ln>
                  </pic:spPr>
                </pic:pic>
              </a:graphicData>
            </a:graphic>
          </wp:inline>
        </w:drawing>
      </w: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r w:rsidRPr="006E6AAA">
        <w:rPr>
          <w:rFonts w:ascii="Calibri" w:eastAsia="Times New Roman" w:hAnsi="Calibri" w:cs="CG Omega"/>
          <w:b/>
          <w:color w:val="000080"/>
          <w:sz w:val="28"/>
          <w:szCs w:val="28"/>
          <w:u w:val="single"/>
          <w:lang w:eastAsia="it-IT"/>
        </w:rPr>
        <w:t xml:space="preserve">ANNEX 5: Evaluation Matrix </w:t>
      </w: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p>
    <w:p w:rsidR="006E6AAA" w:rsidRPr="006E6AAA" w:rsidRDefault="006E6AAA" w:rsidP="006E6AAA">
      <w:pPr>
        <w:spacing w:after="0" w:line="270" w:lineRule="atLeast"/>
        <w:rPr>
          <w:rFonts w:ascii="Calibri" w:eastAsia="Times New Roman" w:hAnsi="Calibri" w:cs="Times New Roman"/>
          <w:b/>
          <w:lang w:val="en-GB"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651"/>
        <w:gridCol w:w="1411"/>
        <w:gridCol w:w="481"/>
        <w:gridCol w:w="1957"/>
      </w:tblGrid>
      <w:tr w:rsidR="006E6AAA" w:rsidRPr="006E6AAA" w:rsidTr="00C8613A">
        <w:tc>
          <w:tcPr>
            <w:tcW w:w="9846" w:type="dxa"/>
            <w:gridSpan w:val="5"/>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jc w:val="center"/>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Evaluation of UNDP support to mobile courts arrangements in post-conflict situations</w:t>
            </w:r>
          </w:p>
          <w:p w:rsidR="006E6AAA" w:rsidRPr="006E6AAA" w:rsidRDefault="006E6AAA" w:rsidP="006E6AAA">
            <w:pPr>
              <w:spacing w:after="0" w:line="270" w:lineRule="atLeast"/>
              <w:jc w:val="center"/>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EVALUATION MATRIX</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9846" w:type="dxa"/>
            <w:gridSpan w:val="5"/>
            <w:tcBorders>
              <w:bottom w:val="single" w:sz="4" w:space="0" w:color="auto"/>
            </w:tcBorders>
            <w:shd w:val="clear" w:color="auto" w:fill="E7EDF5"/>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1. RELEVANCE</w:t>
            </w:r>
          </w:p>
        </w:tc>
      </w:tr>
      <w:tr w:rsidR="006E6AAA" w:rsidRPr="006E6AAA" w:rsidTr="00C8613A">
        <w:tc>
          <w:tcPr>
            <w:tcW w:w="5861"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1933"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052"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861" w:type="dxa"/>
            <w:gridSpan w:val="2"/>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Q.1.1. To what extent do the mobile courts’ support interventions respond to the priorities outlined in national strategies?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legal basis for implementing mobile courts?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a national strategy and a national budget available for MC?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Is there an MOU between UNDP and the Judiciary/MOJ to support mobile courts?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Has the Judiciary implemented MC without the support of international donors? If so, what were the results?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does the country legal system (civil/common law, pluralistic..) influence mobile courts arrangements?</w:t>
            </w:r>
          </w:p>
        </w:tc>
        <w:tc>
          <w:tcPr>
            <w:tcW w:w="1933"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National legislation</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National Justice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Sector strategies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MOU between        UNDP and Judiciary</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052"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Online research</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Interviews: judicial authorities.. </w:t>
            </w:r>
          </w:p>
        </w:tc>
      </w:tr>
      <w:tr w:rsidR="006E6AAA" w:rsidRPr="006E6AAA" w:rsidTr="00C8613A">
        <w:tc>
          <w:tcPr>
            <w:tcW w:w="5861" w:type="dxa"/>
            <w:gridSpan w:val="2"/>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Q.1.2. How well do programming and implementation modalities match the needs of the population and national partners?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influenced UNDP’s decisions on where, how and to what extent to engage in supporting mobile courts? Was the decision discussed with relevant stakeholders?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Was a needs assessment conducted before launching the mobile court intervention? Was the Judiciary  involved?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Which are the most vulnerable groups in the country? Are they targeted by mobile courts interventions?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To what extent were issues related to the restorative v. retributive conception of justice in remote areas taken into consideration?</w:t>
            </w:r>
          </w:p>
        </w:tc>
        <w:tc>
          <w:tcPr>
            <w:tcW w:w="1933"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Needs assessment or baseline analysis reports (by UNDP, Judiciary  or other actors)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research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tc>
        <w:tc>
          <w:tcPr>
            <w:tcW w:w="2052"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Online research</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MOJ, judicial authorities, UNDP staff..</w:t>
            </w:r>
          </w:p>
        </w:tc>
      </w:tr>
      <w:tr w:rsidR="006E6AAA" w:rsidRPr="006E6AAA" w:rsidTr="00C8613A">
        <w:tc>
          <w:tcPr>
            <w:tcW w:w="5861"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Q.1.3. What was the relevance of mobile courts assistance for other priorities of UNDP Rule of Law programmes and the cross-cutting areas of gender equality, capacity building and national ownership?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synergies established between MC and other components of UNDP Rule of law programmes?  (Legal aid, Paralegalism, Policing, …), If so, what was the added value of a mobile court component?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was gender mainstreamed across the mobile court intervention?</w:t>
            </w:r>
          </w:p>
          <w:p w:rsidR="006E6AAA" w:rsidRPr="006E6AAA" w:rsidRDefault="006E6AAA" w:rsidP="006E6AAA">
            <w:pPr>
              <w:numPr>
                <w:ilvl w:val="1"/>
                <w:numId w:val="27"/>
              </w:numPr>
              <w:spacing w:after="0" w:line="240" w:lineRule="auto"/>
              <w:rPr>
                <w:rFonts w:ascii="Verdana" w:eastAsia="Times New Roman" w:hAnsi="Verdana" w:cs="Times New Roman"/>
                <w:color w:val="FF0000"/>
                <w:sz w:val="11"/>
                <w:szCs w:val="11"/>
                <w:lang w:eastAsia="da-DK"/>
              </w:rPr>
            </w:pPr>
            <w:r w:rsidRPr="006E6AAA">
              <w:rPr>
                <w:rFonts w:ascii="Calibri" w:eastAsia="Times New Roman" w:hAnsi="Calibri" w:cs="Times New Roman"/>
                <w:sz w:val="20"/>
                <w:szCs w:val="20"/>
                <w:lang w:eastAsia="da-DK"/>
              </w:rPr>
              <w:t>Have mobile courts interventions utilized existing local capacities of rights holders and duty bearers to achieve their results? How were their capacities strengthened?</w:t>
            </w:r>
          </w:p>
        </w:tc>
        <w:tc>
          <w:tcPr>
            <w:tcW w:w="1933"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UNDP documents: CPAP/UNDP project documents /BCPR field visits reports/ BCPR integrated projects/ evaluation reports…</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 reported opinions from key informants</w:t>
            </w:r>
          </w:p>
        </w:tc>
        <w:tc>
          <w:tcPr>
            <w:tcW w:w="2052"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 Interviews:   UNDP staff..</w:t>
            </w: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2. EFFECTIVENESS</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Q.2.1: What model of MC emerges from the CO practice?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is the composition of the MC? How are the judges/prosecutors/lawyers selected to participate?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jurisdiction of mobile courts with regards to subject matters, litigants and geographical coverage?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average distance between the permanent tribunal and the mobile court?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long does the mobile court session last and how often does it visit the same area per year?</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To what extent have interventions addressed transitional justice process and impunity of international crimes? </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Databases /statistics</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Map of the judiciary</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Q.2.2: What results (quantitative and qualitative) were achieved in each phase of mobile court interventions?</w:t>
            </w: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r w:rsidRPr="006E6AAA">
              <w:rPr>
                <w:rFonts w:ascii="Calibri" w:eastAsia="Times New Roman" w:hAnsi="Calibri" w:cs="Times New Roman"/>
                <w:smallCaps/>
                <w:u w:val="single"/>
                <w:lang w:eastAsia="da-DK"/>
              </w:rPr>
              <w:t>phase 1: before mobile court sessions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support did UNDP ensure to the logistical aspects of mobile courts (transport, courtroom, accommodation, office and legal material for judges on circuit)?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the population and local authorities informed about the arrival of the mobile court in an appropriate and timely manner?</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investigations in criminal cases effectively conducted? Were eventual pretrial detention issues addressed? Were linkages between Prosecutors and Police promoted?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notifications of procedural acts issued and communicated in a timely manner?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specific trainings for mobile court staff organized? (knowledge of the local culture and traditional law practices, gender/child rights…)</w:t>
            </w:r>
          </w:p>
          <w:p w:rsidR="006E6AAA" w:rsidRPr="006E6AAA" w:rsidRDefault="006E6AAA" w:rsidP="006E6AAA">
            <w:pPr>
              <w:spacing w:after="0" w:line="270" w:lineRule="atLeast"/>
              <w:rPr>
                <w:rFonts w:ascii="Calibri" w:eastAsia="Times New Roman" w:hAnsi="Calibri" w:cs="Times New Roman"/>
                <w:smallCaps/>
                <w:u w:val="single"/>
                <w:lang w:eastAsia="da-DK"/>
              </w:rPr>
            </w:pP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r w:rsidRPr="006E6AAA">
              <w:rPr>
                <w:rFonts w:ascii="Calibri" w:eastAsia="Times New Roman" w:hAnsi="Calibri" w:cs="Times New Roman"/>
                <w:smallCaps/>
                <w:u w:val="single"/>
                <w:lang w:eastAsia="da-DK"/>
              </w:rPr>
              <w:t>phase 2: during mobile court sessions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many and what cases received free legal aid from a lawyer? Was the Bar Association involved?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many witnesses appeared before the mobile court? Which measures were in place to protect witnesses and victims, and in particular SGBV victims? Is there a “travel cost reimbursement program” to assist witnesses and victims to appear in court?</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hearings translated into local languages?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many people participated in the public hearings? Were they assisted in better understanding the hearings?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mechanisms in place to ensure the security of mobile court staff?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the proceedings adequately recorded? Are there higher rates of adjournment for MC proceedings?</w:t>
            </w:r>
          </w:p>
          <w:p w:rsidR="006E6AAA" w:rsidRPr="006E6AAA" w:rsidRDefault="006E6AAA" w:rsidP="006E6AAA">
            <w:pPr>
              <w:spacing w:after="0" w:line="240" w:lineRule="auto"/>
              <w:ind w:left="144"/>
              <w:rPr>
                <w:rFonts w:ascii="Calibri" w:eastAsia="Times New Roman" w:hAnsi="Calibri" w:cs="Times New Roman"/>
                <w:smallCaps/>
                <w:u w:val="single"/>
                <w:lang w:eastAsia="da-DK"/>
              </w:rPr>
            </w:pP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r w:rsidRPr="006E6AAA">
              <w:rPr>
                <w:rFonts w:ascii="Calibri" w:eastAsia="Times New Roman" w:hAnsi="Calibri" w:cs="Times New Roman"/>
                <w:smallCaps/>
                <w:u w:val="single"/>
                <w:lang w:eastAsia="da-DK"/>
              </w:rPr>
              <w:t>phase 3: after mobile court sessions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How many judgments were enforced (criminal/civil)?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mechanisms in place to enforce prison sentences in the absence of local prison facilities?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rate of appeal of MC decisions?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Are there mechanisms in place to ensure the communication of MC decisions to the rest of the justice chain to ensure decision enforcement and information sharing?</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parties assisted to collect eventual financial compensation that they were awarded?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If alternative sanctions to imprisonment were applied (community services), was a follow up ensured?</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Project performance indicators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Databases/ statistics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MC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Judiciary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Research studies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Ministry of Justice, judicial authorities, police, prison staff, traditional authorities, lawyers, other implementing partners, UNDP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Focus group with beneficiaries</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Q.2.3: Were planning and monitoring procedures appropriate to achieve results and ensure accountability?</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Is a clear results framework with SMART indicators, targets and risks analysis available?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monitoring tools are available? Are court statistics available?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national partners involved in monitoring activities?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Is there a system in place for trial observation?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Is feedback from mobile court users collected to assess needs and adjust services accordingly?</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is the quality of mobile court judgments assessed?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landmark cases identified and disseminated? </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 and results framework</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evaluation reports of broader ROL projects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reports drafted by MC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Q.2.4: What were the reasons for achievement and non-achievement of results and the factors contributing or hindering their achievement?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How can UNDP build upon or replicate the achievements?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How can the shortcomings be overcome?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are the lessons learned?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there any unanticipated events, opportunities or constraints?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could be done differently in the future?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were the unintended results (positive/negative)</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Judiciary reports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Mobile court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3. EFFICIENCY</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Q.3.1: Has the MC intervention been implemented within its cost estimates and is it cost-effective?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sufficient resources allocated for mobile courts’ support interventions? Is the national government contributing to the budget for MC?</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the expenditures for MC proportionate to the number of cases and broader indicators as the number of participants in public hearings?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are the costs per trial? would it be cheaper to build court rooms and provide staff in remote areas?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Are perdiems for judges and MC staff in line with local market?</w:t>
            </w: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Resource frameworks, budgets, AWP,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MOJ reports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Q.3.2: Has UNDP promoted a partnership strategy at the global, regional and national level to implement MC interventions? If so, was it effective and appropriate?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was the nature and added value of these partnerships?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Did such partnerships promote an integrated approach aiming at addressing complementary aspects of mobile courts interventions (legal awareness for the population; support to police and prisons; linkages with traditional justice …)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UNDP’s comparative advantages perceived/ interpreted and were these reflected in the division of responsibilities?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If the Judiciary received specific support for mobile courts interventions from several donors, were the initiatives efficiently coordinated?</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UNDAF</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partnership agreements/MOU</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Protection cluster, UN agencies and INGOs, civil society organisations, universities…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Q.3.3: What effect did UNDP technical assistance and management arrangements have on the quality of mobile courts interventions in terms of programming, delivery and monitoring for results?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the project management structure and the administrative modalities appropriate and effective?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Was the support from UNDP staff effective and timely?</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 and monitoring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Mobile court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Q.3.4: Did mobile courts interventions focus on the set of activities that were expected to produce significant results?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all the planned activities implemented? Should additional activities be planned?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mobile courts ensuring the implementation of the international standards of fair trial? Would some of the fair trial rights need more attention? </w:t>
            </w: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tc>
        <w:tc>
          <w:tcPr>
            <w:tcW w:w="2108"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international standards on fair trial</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68"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other implementing partners…</w:t>
            </w: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4. SUSTAINABILITY</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 xml:space="preserve">Q.4.1: To what extent were sustainability considerations taken into account in the design and implementation of interventions?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exit strategies for mobile courts interventions appropriately defined and implemented?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steps were taken to ensure that the effects of the intervention would continue beyond UNDP’s support?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Has the development of partnerships contributed to the sustainability of results?</w:t>
            </w: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Judiciary other implementing partners…</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Q.4.2: How were different stakeholders engaged designing, monitoring and implementing mobile courts interventions</w:t>
            </w:r>
            <w:r w:rsidRPr="006E6AAA">
              <w:rPr>
                <w:rFonts w:ascii="Calibri" w:eastAsia="Times New Roman" w:hAnsi="Calibri" w:cs="Times New Roman"/>
                <w:sz w:val="20"/>
                <w:szCs w:val="20"/>
                <w:lang w:eastAsia="da-DK"/>
              </w:rPr>
              <w:t xml:space="preserv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Has UNDP promoted and facilitated the coordination among local justice and security actors (Police, Prisons, Traditional justice, local authorities…) ?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Have linkages been established between mobile courts and ADR mechanisms? (for example to establish mandatory court annexed mediations). </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Judiciary, Ministry of Justice, Police, Prison staff, traditional authorities, local authorities…</w:t>
            </w: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5. IMPACT</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Q.5.1: What changes did mobile courts interventions bring for rights holders in terms of making justice more accessible to them?</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MC interventions promoted a better confidence in the justice system? Is there a perception that impunity is being addressed?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Are vulnerable groups in remote areas more aware of their rights and do they have a better understanding of the formal justice system?</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Do MC provide an alternative to traditional justice?</w:t>
            </w:r>
          </w:p>
          <w:p w:rsidR="006E6AAA" w:rsidRPr="006E6AAA" w:rsidRDefault="006E6AAA" w:rsidP="006E6AAA">
            <w:pPr>
              <w:spacing w:after="0" w:line="270" w:lineRule="atLeast"/>
              <w:rPr>
                <w:rFonts w:ascii="Calibri" w:eastAsia="Times New Roman" w:hAnsi="Calibri" w:cs="Times New Roman"/>
                <w:color w:val="333333"/>
                <w:lang w:eastAsia="da-DK"/>
              </w:rPr>
            </w:pP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Reported opinions from key informants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Focus groups with  beneficiaries and interviews with their lawyers / Eventual users perception survey</w:t>
            </w:r>
          </w:p>
        </w:tc>
      </w:tr>
      <w:tr w:rsidR="006E6AAA" w:rsidRPr="006E6AAA" w:rsidTr="00C8613A">
        <w:tc>
          <w:tcPr>
            <w:tcW w:w="517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Q.5.2: What changes did mobile courts interventions bring for duty bearers in terms of making them more effective in responding to justice need of conflict affected populations in remote/underserved areas?</w:t>
            </w:r>
            <w:r w:rsidRPr="006E6AAA">
              <w:rPr>
                <w:rFonts w:ascii="Calibri" w:eastAsia="Times New Roman" w:hAnsi="Calibri" w:cs="Times New Roman"/>
                <w:sz w:val="20"/>
                <w:szCs w:val="20"/>
                <w:lang w:eastAsia="da-DK"/>
              </w:rPr>
              <w:t xml:space="preserv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impact of MCs on ordinary courts? (in terms of  case backlog, promoting case management systems, costs)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was the impact on ordinary courts of assigning judges and other judicial staff to mobile courts?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MC interventions led to the re-establishment of the justice system eventually in conflict-affected areas?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MC interventions promoted closer coordination among the different actors in the justice chain?</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judicial authorities acquired additional skills and knowledge in terms of managing a MC intervention?</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Reported opinions from key informants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Interviews: Judicial authorities and Ministry of Justice, Police, Prison staff, traditional authorities</w:t>
            </w:r>
          </w:p>
        </w:tc>
      </w:tr>
    </w:tbl>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r w:rsidRPr="006E6AAA">
        <w:rPr>
          <w:rFonts w:ascii="Calibri" w:eastAsia="Times New Roman" w:hAnsi="Calibri" w:cs="CG Omega"/>
          <w:b/>
          <w:color w:val="000080"/>
          <w:sz w:val="28"/>
          <w:szCs w:val="28"/>
          <w:u w:val="single"/>
          <w:lang w:eastAsia="it-IT"/>
        </w:rPr>
        <w:t>ANNEX 6 Terms of reference</w:t>
      </w: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tbl>
      <w:tblPr>
        <w:tblW w:w="0" w:type="auto"/>
        <w:tblCellSpacing w:w="30" w:type="dxa"/>
        <w:tblCellMar>
          <w:top w:w="15" w:type="dxa"/>
          <w:left w:w="15" w:type="dxa"/>
          <w:bottom w:w="15" w:type="dxa"/>
          <w:right w:w="15" w:type="dxa"/>
        </w:tblCellMar>
        <w:tblLook w:val="0000" w:firstRow="0" w:lastRow="0" w:firstColumn="0" w:lastColumn="0" w:noHBand="0" w:noVBand="0"/>
      </w:tblPr>
      <w:tblGrid>
        <w:gridCol w:w="5136"/>
        <w:gridCol w:w="4184"/>
      </w:tblGrid>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t>EVALUATION CONSULTANT: SUPPORT TO MOBILE COURT ARRANGEMENTS IN POST-CONFLICT SITUATIONS</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Location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Home-based with travel to selected countries</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Application Deadline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22-Aug-12</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Type of Contract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Individual Contract</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Post Level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International Consultant</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Languages Required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English </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b/>
                <w:bCs/>
                <w:color w:val="333333"/>
                <w:sz w:val="10"/>
                <w:szCs w:val="10"/>
                <w:lang w:val="en-GB" w:eastAsia="da-DK"/>
              </w:rPr>
              <w:t>Starting Date :</w:t>
            </w:r>
            <w:r w:rsidRPr="006E6AAA">
              <w:rPr>
                <w:rFonts w:ascii="Verdana" w:eastAsia="Times New Roman" w:hAnsi="Verdana" w:cs="Times New Roman"/>
                <w:color w:val="333333"/>
                <w:sz w:val="10"/>
                <w:szCs w:val="10"/>
                <w:lang w:eastAsia="da-DK"/>
              </w:rPr>
              <w:br/>
              <w:t>(date when the selected candidate is expected to start)</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24-Sep-2012</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Expected Duration of Assignment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50 working days spread over 3 months</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jc w:val="right"/>
              <w:rPr>
                <w:rFonts w:ascii="Verdana" w:eastAsia="Times New Roman" w:hAnsi="Verdana" w:cs="Times New Roman"/>
                <w:color w:val="333333"/>
                <w:sz w:val="10"/>
                <w:szCs w:val="10"/>
                <w:lang w:eastAsia="da-DK"/>
              </w:rPr>
            </w:pPr>
            <w:hyperlink r:id="rId28" w:history="1">
              <w:r w:rsidRPr="006E6AAA">
                <w:rPr>
                  <w:rFonts w:ascii="Trebuchet MS" w:eastAsia="Times New Roman" w:hAnsi="Trebuchet MS" w:cs="Times New Roman"/>
                  <w:caps/>
                  <w:color w:val="0062A0"/>
                  <w:spacing w:val="19"/>
                  <w:sz w:val="8"/>
                  <w:szCs w:val="8"/>
                  <w:u w:val="single"/>
                  <w:bdr w:val="single" w:sz="4" w:space="0" w:color="336699" w:frame="1"/>
                  <w:shd w:val="clear" w:color="auto" w:fill="E9F0F6"/>
                  <w:lang w:eastAsia="da-DK"/>
                </w:rPr>
                <w:t>Refer a Friend</w:t>
              </w:r>
            </w:hyperlink>
            <w:r w:rsidRPr="006E6AAA">
              <w:rPr>
                <w:rFonts w:ascii="Verdana" w:eastAsia="Times New Roman" w:hAnsi="Verdana" w:cs="Times New Roman"/>
                <w:color w:val="333333"/>
                <w:sz w:val="10"/>
                <w:szCs w:val="10"/>
                <w:lang w:eastAsia="da-DK"/>
              </w:rPr>
              <w:t xml:space="preserve"> </w:t>
            </w:r>
            <w:hyperlink r:id="rId29" w:history="1">
              <w:r w:rsidRPr="006E6AAA">
                <w:rPr>
                  <w:rFonts w:ascii="Trebuchet MS" w:eastAsia="Times New Roman" w:hAnsi="Trebuchet MS" w:cs="Times New Roman"/>
                  <w:caps/>
                  <w:color w:val="0062A0"/>
                  <w:spacing w:val="19"/>
                  <w:sz w:val="8"/>
                  <w:szCs w:val="8"/>
                  <w:u w:val="single"/>
                  <w:bdr w:val="single" w:sz="4" w:space="0" w:color="336699" w:frame="1"/>
                  <w:shd w:val="clear" w:color="auto" w:fill="E9F0F6"/>
                  <w:lang w:eastAsia="da-DK"/>
                </w:rPr>
                <w:t>Apply Now</w:t>
              </w:r>
            </w:hyperlink>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t>Background</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Background and Context:</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UNDP provides rule of law support to over 100 countries, including 37 crisis-affected and fragile situations. Particular attention is paid to 21 priority countries supported through the Global Rule of Law Programme (2008-2011) which provides support to the implementation justice and security programmes in those countries. Recently, UNDP launched the second phase (2012-2015) of the Global Programme (GP) “Strengthening the rule of law in crisis-affected and fragile situations”.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The rule of law programmes in countries supported by the GP are focusing on enhancing access to justice and improved justice and security service delivery, tackling impunity for sexual and gender-based violence (SGBV), strengthening security sector governance, and supporting transitional justice processes. This assistance responds to urgent needs for justice and security, and simultaneously lays the foundations for recovery and long term development. The GP also provides support to joint programmes with DPKO, UNHCR, UNODC and UN Women which continue to deepen impact on the ground where it is most needed, particularly in UN mission areas such as Haiti, Liberia, South Sudan and Timor-Leste.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Barriers to access justice exist in many societies but they are especially pervasive in conflict and post-conflict contexts. The administration of justice system might have been disrupted and the population displaced as a consequence of the conflict. Consequently, for many people the formal justice system is too far away. UNDP programmes assist people to find their through the justice system by supporting legal aid and by bringing justice closer to conflict-affected populations through the establishment of mobile courts.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Support to mobile courts is provided in the aftermath of conflict to provide population to access to justice and seek redress for their grievances. In some countries, support to mobile courts arrangements is provided in the context of the UN’s support to transitional justice processes.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UNDP provided support to mobile courts in several countries, including in DRC, Central African Republic, Sierra Leone, Guinea-Bissau and Timor-Leste. In some countries this support was provided jointly with DPKO, OHCHR as well as civil society organizations. UNDP is now conducting a study to evaluate the impact of the UNDP support provided to mobile court arrangements in countries supported by the Global Programme.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Evaluation Purpose:</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The purpose of this evaluation is to assess the progress, achievements and lessons learned, including challenges faced with regard to the support to mobile courts’ systems in the framework of UNDP RoL programmes. The evaluation will review the impact of such activities and interventions at the sub-regional and national levels within the wider context of the technical and financial assistance provided by UNDP and its partners on RoL. In particular, the evaluation will measure the impact UNDP’s support regarding the facilitation of mobile court sessions and capacity development to bring justice closer to conflict-affected population and increase the access to justice of vulnerable people. In a second step, the evaluation will assess the impact of UNDP supported mobile court system for conflict-affected population to seek redress for their grievances and the consequences this might have for transitional justice and peace building and reconciliation efforts.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findings and conclusions of this evaluation will help generate lessons learned and identify best practices and strategies for UNDP’s (and its partners) RoL programming in post conflict-countries and for the continued engagement of UNDP in supporting development of mobile court’s systems and their relevance for legal/justice programming post conflict transitions..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Evaluation Scope and Objectives: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The evaluation will review components of RoL programmes supporting mobile courts project components in DRC, Central African Republic, Sierra Leone, Guinea-Bissau and Timor-Leste in terms of their contributions to improve access to justice for the conflict-affected population and increased justice service delivery at the sub-regional and national level in these countries. The evaluation will specifically focus on the mobile courts’ impact for the population i) to seek redress for their grievances and ii) the consequences this might have for transitional justice processes and iii) for peace building and reconciliation efforts. The evaluation will examine the relevance of mobile courts project components in the context of their contributions towards improved justice service delivery and capacity development of justice institutions.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Specific objectives of the evaluation are as follows: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assess the extent to which the mobile courts’ assistance interventions met their intended objectives and contributed to the achievement of outcomes/outputs;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systematically review the implementation modalities, capacity development efforts, knowledge management and considerations for access to justice for vulnerable groups including women and in particular survivors of sexual violence;</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determine the extent to which support to mobile courts has contributed to increasing access to or decentralizing provision of justice services;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extent to which mobile courts contribute towards developing and strengthening long term national capacities and strategies;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Assess the exit strategy for UNDP’s support to the mobile courts given their temporary nature;</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present key findings, generate lessons learned, and provide a set of clear and forward-looking recommendations for enhancing the quality of future engagement of UNDP and its partners in supporting mobile courts’ arrangements.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evaluation will assess programme performance against the following criteria: relevance, effectiveness, efficiency and sustainability.</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Evaluation Questions: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This paragraph includes suggested evaluation questions against the 5 criteria listed below:</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Relevance</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what extent do the mobile courts’ support interventions respond to the priorities outlined in the national development strategies (or similar plans/strategies)? </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How does the support for mobile courts’ arrangements contribute to the longer term development results in terms of approaches, capacities, policies and strategies in the Rule of Law/Justice provision.</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How well do programming mix and support modalities match the needs of the population and national partners?</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has influenced UNDP’s decisions on where, how and to what extent to engage in supporting decentralization of justice service delivery through mobile courts assistance?</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What was the relevance of and possible synergies between mobile courts assistance and other priorities identified in the Rule of Law programmes and the cross-cutting areas of gender equality, capacity building and national ownership? </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Efficiency </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Has the programme been implemented within its deadline and cost estimates?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Did the mobile courts’ support interventions focus on the set of activities that were expected to produce significant results?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Was there any identified synergy between UNDP-funded mobile courts’ support interventions and other similar interventions that contributed to reducing costs while supporting results?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Has there been over expenditure or under expenditure of the mobile courts’ support interventions?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eastAsia="da-DK"/>
              </w:rPr>
              <w:t xml:space="preserve">Were there any unanticipated events, opportunities or constraints? Were the anticipated policy influences achieved? Did alternative ones emerge? </w:t>
            </w:r>
            <w:r w:rsidRPr="006E6AAA">
              <w:rPr>
                <w:rFonts w:ascii="Verdana" w:eastAsia="Times New Roman" w:hAnsi="Verdana" w:cs="Times New Roman"/>
                <w:color w:val="333333"/>
                <w:sz w:val="10"/>
                <w:szCs w:val="10"/>
                <w:lang w:val="en-GB" w:eastAsia="da-DK"/>
              </w:rPr>
              <w:t xml:space="preserve">What could be done differently in the future? </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Were there sufficient resources allocated towards achievement of the objectives of the mobile courts’ support interventions? How well did the mobile courts’ support interventions leverage non-core resources towards achievement of results? </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effect did management and institutional arrangements have on the quality of mobile courts’ support interventions in terms of programming, delivery and monitoring for results? What measures were taken to assure the quality of development results and management practices, both in relation to process and products, and to partnership strategies? What monitoring and evaluation procedures were applied by UNDP and partners to ensure greater accountability?</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Effectiveness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Have the expected development (quantitative and qualitative) results been achieved and what were the supporting or impeding factors? </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the approaches, resources, models and conceptual frameworks relevant to achieve intended outcomes and outputs?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are the main lessons learned from the partnership strategies and what are the possibilities of replication?</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UNDP’s comparative advantages perceived/interpreted and were these reflected in the division of responsibilities?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what extent have interventions addressed transitional justice process and impunity of international crimes?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Which aspects of the interventions had the greatest achievements? What have been the supporting factors? How can UNDP build upon or replicate these achievements? </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In which areas does the project component have the least achievements? What have been the constraining factors and why? How can they be overcome? </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the approaches, resources, models and conceptual frameworks used for mobile courts support relevant to the achievement of planned outcomes/outputs?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were the unintended results (positive/negative) of mobile courts assistance interventions?</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Sustainability </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what extent was the timeframe/timeline of support to mobile courts as an immediate measure to improve access to justice of the conflict-affected population taken into account? </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what extent were sustainability considerations were taken into account in the design and implementation of interventions? How was this concern reflected in the design of the project component, in the implementation of activities at different levels, in the delivery of outputs and the achievement of outcomes? </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exit strategies for mobile courts’ support interventions appropriately defined and implemented, and what steps have been taken to ensure sustainability of results?</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How the development of partnerships at the global, regional and national level contributed to sustainability of the results?</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How different stakeholders been engaged in the design and implementation of mobile courts’ support interventions? Have interventions been implemented with appropriate and effective inter-agency and partnership strategies? What has been the nature and added value of these partnerships? </w:t>
            </w:r>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t>Duties and Responsibilities</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Inception: Based on the indicative questions listed in the above section, project component and content specific questions will be elaborated further by the evaluation consultant in the inception report. The inception report should contain an evaluation matrix that displays for each of the evaluation criteria the questions and sub-questions that the evaluation will answer, and for each question, the primary and secondary data that will be collected.</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Data collection: In view of the complexity of the evaluation, the consultant will seek to obtain data from a range of sources, including desk reviews and document analyses, surveys and questionnaires, stakeholder consultations, interviews and focus group discussions at UNDP Headquarters and in a range of programme countries, UN agencies, international organizations, and other relevant institutions. The rationale for using a range of data sources (data, perceptions, evidence) is to triangulate findings in a situation where much of the data, due to the very complex nature of interventions, is qualitative, and its interpretation thus critically dependent on the evaluators’ judgment. Triangulation provides an important tool in filtering evidence by using different data sources to inform the analysis of specific issues. The evaluators will provide empirical evidence to support all conclusions and recommendations, and the evidence will be validated from multiple sources. Where possible and appropriate, the evaluation should seek to obtain evidence as to what might or might not have occurred in the absence of these interventions. A three-phased approach will be adopted in conducting the evaluation: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First phase (Initial briefings/ meetings in New York and desk reviews):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During this phase, the Evaluation consultant will conduct a desk review of relevant project documents and related documentation such as routine monitoring reports, project progress reports, and relevant review and evaluation reports, other analytical studies. The desk review will enable the consultant to: i) examine the quality of results baselines and indicators established for the projects; ii) assess the adequacy of the response strategies as reflected in the results framework; iii) review the quality of project baselines and indicators as well as existing monitoring mechanisms and resources (financial and human), and iv) conduct an initial assessment of progress towards results and/or impact as reflected in available progress reports. During the first two weeks of this phase the Evaluation Consultant will participate in briefings and meetings in UNDP and other UN agencies based in New York and interviews with the members of the Evaluation Reference Group. Within the first two weeks of the assignment the Evaluation Consultant will submit the inception report, describing the methodological/analytical framework for the evaluation and overall timeframe.</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second phase (country visits):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in-country evaluations will require extensive review of existing documentation with particular attention to evaluations and studies, consultations with senior and operational managers and field staff, as well as consultations/interviews with a sample of beneficiaries. This will also include review of existing UNDP programme evaluations and assessments, studies, research and evaluations conducted by other development partners, and other relevant documentation. The Evaluation Consultant will conduct individual country visits to validate the documentary data against actual results on the ground. The focus will be to triangulate information from documents and interviews by gathering objective data on key achievements and areas for improvement. At the end of each country visit, the Evaluation Consultant is expected to present initial findings to the concerned country offices for validation of factual information and findings.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third phase (finalizing reports):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third phase of the evaluation will include finalization of the evaluation report, presentation of its findings to the Evaluation Reference Group and dissemination of lessons learned through existing UNDP mechanisms. The report should specifically highlight key lessons learned and good practices that could be replicated in future programs.</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Evaluation Products / Deliverables:</w:t>
            </w:r>
          </w:p>
          <w:p w:rsidR="006E6AAA" w:rsidRPr="006E6AAA" w:rsidRDefault="006E6AAA" w:rsidP="006E6AAA">
            <w:pPr>
              <w:numPr>
                <w:ilvl w:val="0"/>
                <w:numId w:val="33"/>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Inception report— detailing the evaluators’ understanding of what is being evaluated and why, showing how each evaluation question will be answered by way of: proposed methods, proposed sources of data and data collection procedures. The inception report will also include a proposed schedule of tasks, activities and deliverables, designating a team member with the lead responsibility for each task or product;</w:t>
            </w:r>
          </w:p>
          <w:p w:rsidR="006E6AAA" w:rsidRPr="006E6AAA" w:rsidRDefault="006E6AAA" w:rsidP="006E6AAA">
            <w:pPr>
              <w:numPr>
                <w:ilvl w:val="0"/>
                <w:numId w:val="33"/>
              </w:numPr>
              <w:spacing w:before="100" w:beforeAutospacing="1" w:after="100" w:afterAutospacing="1" w:line="240" w:lineRule="auto"/>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Draft evaluation report; and</w:t>
            </w:r>
          </w:p>
          <w:p w:rsidR="006E6AAA" w:rsidRPr="006E6AAA" w:rsidRDefault="006E6AAA" w:rsidP="006E6AAA">
            <w:pPr>
              <w:numPr>
                <w:ilvl w:val="0"/>
                <w:numId w:val="33"/>
              </w:numPr>
              <w:spacing w:before="100" w:beforeAutospacing="1" w:after="100" w:afterAutospacing="1" w:line="240" w:lineRule="auto"/>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Final evaluation report. </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Evaluatiuon Ethics: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evaluation will be conducted in accordance with the principles outlined in the UNEG “Ethical Guidelines for Evaluation” and evaluators must address, in the design and implementation of the evaluation critical issues, critical issues including evaluation ethics and procedures to safeguard the rights and confidentiality of information providers, such for example: measures to ensure compliance with legal codes governing areas such as provisions to collect and report data, particularly permissions needed to interview or obtain information about children and young people; provisions to store and maintain security of collected information; and protocols to ensure anonymity and confidentiality.</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Implementation Arrangements: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ROL Team and the Monitoring and Evaluation team (M&amp;E) of the Bureau for Crisis Prevention and Recovery (BCPR) will jointly manage the evaluation process and ensure the coordination and liaison with concerned agencies at the headquarter level as well as the country level. An Evaluation Reference Group will be established at the outset of the evaluation, consisting of key stakeholders and partners, i.e. focal points/representative from UN agencies, multilateral development banks (the World Bank), academia, as well as client countries’ representatives and implementing partners. The Reference Group will play an important role in providing strategic, methodological and substantive inputs into the evaluation process, as well as feedback on the inception and final evaluation report. In addition, the reference group will ensure that the evaluation results are appropriately disseminated and discussed within their respective organizations.</w:t>
            </w:r>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t>Competencies</w:t>
            </w:r>
          </w:p>
        </w:tc>
      </w:tr>
      <w:tr w:rsidR="006E6AAA" w:rsidRPr="006E6AAA" w:rsidTr="00C8613A">
        <w:trPr>
          <w:tblCellSpacing w:w="30" w:type="dxa"/>
        </w:trPr>
        <w:tc>
          <w:tcPr>
            <w:tcW w:w="0" w:type="auto"/>
            <w:gridSpan w:val="2"/>
            <w:vAlign w:val="center"/>
          </w:tcPr>
          <w:p w:rsidR="006E6AAA" w:rsidRPr="006E6AAA" w:rsidRDefault="006E6AAA" w:rsidP="006E6AAA">
            <w:pPr>
              <w:numPr>
                <w:ilvl w:val="0"/>
                <w:numId w:val="34"/>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Superior leadership and strategic management skills with an excellent understanding of international development issues and knowledge of the UN system;</w:t>
            </w:r>
          </w:p>
          <w:p w:rsidR="006E6AAA" w:rsidRPr="006E6AAA" w:rsidRDefault="006E6AAA" w:rsidP="006E6AAA">
            <w:pPr>
              <w:numPr>
                <w:ilvl w:val="0"/>
                <w:numId w:val="34"/>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Strong written and verbal communication skills, in a multi-cultural setting; ability to conduct results-based management and reporting, objectivity and ability to analyze large multi-country data sets in short period;</w:t>
            </w:r>
          </w:p>
          <w:p w:rsidR="006E6AAA" w:rsidRPr="006E6AAA" w:rsidRDefault="006E6AAA" w:rsidP="006E6AAA">
            <w:pPr>
              <w:numPr>
                <w:ilvl w:val="0"/>
                <w:numId w:val="34"/>
              </w:numPr>
              <w:spacing w:before="100" w:beforeAutospacing="1" w:after="100" w:afterAutospacing="1"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Experience working collaboratively in small teams with tight deadlines. </w:t>
            </w:r>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Required Skills and Experience</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Education: </w:t>
            </w:r>
          </w:p>
          <w:p w:rsidR="006E6AAA" w:rsidRPr="006E6AAA" w:rsidRDefault="006E6AAA" w:rsidP="006E6AAA">
            <w:pPr>
              <w:numPr>
                <w:ilvl w:val="0"/>
                <w:numId w:val="35"/>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Masters or PhD in law or other relevant fields.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Experience:</w:t>
            </w:r>
          </w:p>
          <w:p w:rsidR="006E6AAA" w:rsidRPr="006E6AAA" w:rsidRDefault="006E6AAA" w:rsidP="006E6AAA">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At least 7 years of international development experience or well established and well-functioning organization with at least 5 years of experience in project/programme design and implementation; </w:t>
            </w:r>
          </w:p>
          <w:p w:rsidR="006E6AAA" w:rsidRPr="006E6AAA" w:rsidRDefault="006E6AAA" w:rsidP="006E6AAA">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Relevant professional experience in evaluation of rule of law or other relevant programmes – at national, regional, and global levels; </w:t>
            </w:r>
          </w:p>
          <w:p w:rsidR="006E6AAA" w:rsidRPr="006E6AAA" w:rsidRDefault="006E6AAA" w:rsidP="006E6AAA">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Strong monitoring and evaluation background, sound methodological skills and knowledge of evaluation methods and techniques; </w:t>
            </w:r>
          </w:p>
          <w:p w:rsidR="006E6AAA" w:rsidRPr="006E6AAA" w:rsidRDefault="006E6AAA" w:rsidP="006E6AAA">
            <w:pPr>
              <w:numPr>
                <w:ilvl w:val="0"/>
                <w:numId w:val="36"/>
              </w:numPr>
              <w:spacing w:before="100" w:beforeAutospacing="1" w:after="100" w:afterAutospacing="1"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Extensive experience in working with the UN/multilateral development agencies, UNDP country offices and/or regional centres is an asset. </w:t>
            </w:r>
          </w:p>
        </w:tc>
      </w:tr>
    </w:tbl>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p>
    <w:p w:rsidR="006E6AAA" w:rsidRDefault="006E6AAA">
      <w:r>
        <w:br w:type="page"/>
      </w:r>
    </w:p>
    <w:p w:rsidR="008770F1" w:rsidRDefault="008770F1"/>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spacing w:after="0" w:line="270" w:lineRule="atLeast"/>
        <w:rPr>
          <w:rFonts w:ascii="Calibri" w:eastAsia="Times New Roman" w:hAnsi="Calibri" w:cs="Times New Roman"/>
          <w:sz w:val="28"/>
          <w:szCs w:val="28"/>
          <w:lang w:val="en-GB" w:eastAsia="da-DK"/>
        </w:rPr>
      </w:pPr>
    </w:p>
    <w:p w:rsidR="006E6AAA" w:rsidRPr="006E6AAA" w:rsidRDefault="006E6AAA" w:rsidP="006E6AAA">
      <w:pPr>
        <w:spacing w:after="0" w:line="270" w:lineRule="atLeast"/>
        <w:ind w:left="-1080"/>
        <w:jc w:val="right"/>
        <w:rPr>
          <w:rFonts w:ascii="Calibri" w:eastAsia="Times New Roman" w:hAnsi="Calibri" w:cs="Times New Roman"/>
          <w:sz w:val="28"/>
          <w:szCs w:val="28"/>
          <w:lang w:val="en-GB" w:eastAsia="da-DK"/>
        </w:rPr>
      </w:pPr>
    </w:p>
    <w:p w:rsidR="006E6AAA" w:rsidRPr="006E6AAA" w:rsidRDefault="006E6AAA" w:rsidP="006E6AAA">
      <w:pPr>
        <w:spacing w:after="0" w:line="270" w:lineRule="atLeast"/>
        <w:jc w:val="center"/>
        <w:rPr>
          <w:rFonts w:ascii="Calibri" w:eastAsia="Times New Roman" w:hAnsi="Calibri" w:cs="Times New Roman"/>
          <w:sz w:val="28"/>
          <w:szCs w:val="28"/>
          <w:lang w:val="en-GB" w:eastAsia="da-DK"/>
        </w:rPr>
      </w:pPr>
      <w:r>
        <w:rPr>
          <w:rFonts w:ascii="Times New Roman" w:eastAsia="Times New Roman" w:hAnsi="Times New Roman" w:cs="Times New Roman"/>
          <w:noProof/>
          <w:sz w:val="23"/>
          <w:szCs w:val="20"/>
        </w:rPr>
        <w:drawing>
          <wp:inline distT="0" distB="0" distL="0" distR="0">
            <wp:extent cx="238125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6E6AAA" w:rsidRPr="006E6AAA" w:rsidRDefault="006E6AAA" w:rsidP="006E6AAA">
      <w:pPr>
        <w:spacing w:after="0" w:line="270" w:lineRule="atLeast"/>
        <w:ind w:left="2124"/>
        <w:rPr>
          <w:rFonts w:ascii="Calibri" w:eastAsia="Times New Roman" w:hAnsi="Calibri" w:cs="Times New Roman"/>
          <w:i/>
          <w:sz w:val="18"/>
          <w:szCs w:val="18"/>
          <w:lang w:val="en-GB" w:eastAsia="da-DK"/>
        </w:rPr>
      </w:pPr>
      <w:r w:rsidRPr="006E6AAA">
        <w:rPr>
          <w:rFonts w:ascii="Calibri" w:eastAsia="Times New Roman" w:hAnsi="Calibri" w:cs="Times New Roman"/>
          <w:i/>
          <w:sz w:val="18"/>
          <w:szCs w:val="18"/>
          <w:lang w:val="en-GB" w:eastAsia="da-DK"/>
        </w:rPr>
        <w:t xml:space="preserve">        </w:t>
      </w:r>
    </w:p>
    <w:p w:rsidR="006E6AAA" w:rsidRPr="006E6AAA" w:rsidRDefault="006E6AAA" w:rsidP="006E6AAA">
      <w:pPr>
        <w:spacing w:after="0" w:line="270" w:lineRule="atLeast"/>
        <w:ind w:left="2124"/>
        <w:rPr>
          <w:rFonts w:ascii="Calibri" w:eastAsia="Times New Roman" w:hAnsi="Calibri" w:cs="Tahoma"/>
          <w:i/>
          <w:color w:val="FF0000"/>
          <w:sz w:val="18"/>
          <w:szCs w:val="18"/>
          <w:lang w:eastAsia="da-DK"/>
        </w:rPr>
      </w:pPr>
      <w:r w:rsidRPr="006E6AAA">
        <w:rPr>
          <w:rFonts w:ascii="Calibri" w:eastAsia="Times New Roman" w:hAnsi="Calibri" w:cs="Times New Roman"/>
          <w:i/>
          <w:sz w:val="18"/>
          <w:szCs w:val="18"/>
          <w:lang w:val="en-GB" w:eastAsia="da-DK"/>
        </w:rPr>
        <w:t xml:space="preserve">       Watch </w:t>
      </w:r>
      <w:r w:rsidRPr="006E6AAA">
        <w:rPr>
          <w:rFonts w:ascii="Calibri" w:eastAsia="Times New Roman" w:hAnsi="Calibri" w:cs="Tahoma"/>
          <w:i/>
          <w:color w:val="2A2A2A"/>
          <w:sz w:val="18"/>
          <w:szCs w:val="18"/>
          <w:lang w:eastAsia="da-DK"/>
        </w:rPr>
        <w:t>the video produced by UNDP on Mobile Courts in Somalia</w:t>
      </w:r>
    </w:p>
    <w:p w:rsidR="006E6AAA" w:rsidRPr="006E6AAA" w:rsidRDefault="006E6AAA" w:rsidP="006E6AAA">
      <w:pPr>
        <w:spacing w:after="0" w:line="270" w:lineRule="atLeast"/>
        <w:rPr>
          <w:rFonts w:ascii="Calibri" w:eastAsia="Times New Roman" w:hAnsi="Calibri" w:cs="Times New Roman"/>
          <w:sz w:val="28"/>
          <w:szCs w:val="28"/>
          <w:lang w:val="en-GB" w:eastAsia="da-DK"/>
        </w:rPr>
      </w:pPr>
    </w:p>
    <w:p w:rsidR="006E6AAA" w:rsidRPr="006E6AAA" w:rsidRDefault="006E6AAA" w:rsidP="006E6AAA">
      <w:pPr>
        <w:spacing w:after="0" w:line="270" w:lineRule="atLeast"/>
        <w:ind w:left="720"/>
        <w:rPr>
          <w:rFonts w:ascii="Constantia" w:eastAsia="Times New Roman" w:hAnsi="Constantia" w:cs="Kalinga"/>
          <w:sz w:val="36"/>
          <w:szCs w:val="36"/>
          <w:u w:val="single"/>
          <w:lang w:val="en-GB" w:eastAsia="da-DK"/>
        </w:rPr>
      </w:pP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p w:rsidR="006E6AAA" w:rsidRPr="006E6AAA" w:rsidRDefault="006E6AAA" w:rsidP="006E6AAA">
      <w:pPr>
        <w:shd w:val="clear" w:color="auto" w:fill="800000"/>
        <w:spacing w:after="0" w:line="270" w:lineRule="atLeast"/>
        <w:ind w:left="-1080" w:right="-1134"/>
        <w:jc w:val="center"/>
        <w:rPr>
          <w:rFonts w:ascii="Constantia" w:eastAsia="Times New Roman" w:hAnsi="Constantia" w:cs="Kalinga"/>
          <w:b/>
          <w:color w:val="FFFFFF"/>
          <w:sz w:val="44"/>
          <w:szCs w:val="44"/>
          <w:lang w:val="en-GB" w:eastAsia="da-DK"/>
        </w:rPr>
      </w:pPr>
    </w:p>
    <w:p w:rsidR="006E6AAA" w:rsidRPr="006E6AAA" w:rsidRDefault="006E6AAA" w:rsidP="006E6AAA">
      <w:pPr>
        <w:shd w:val="clear" w:color="auto" w:fill="800000"/>
        <w:spacing w:after="0" w:line="270" w:lineRule="atLeast"/>
        <w:ind w:left="-1080" w:right="-1134"/>
        <w:jc w:val="center"/>
        <w:rPr>
          <w:rFonts w:ascii="Constantia" w:eastAsia="Times New Roman" w:hAnsi="Constantia" w:cs="Kalinga"/>
          <w:b/>
          <w:color w:val="FFFFFF"/>
          <w:sz w:val="44"/>
          <w:szCs w:val="44"/>
          <w:lang w:val="en-GB" w:eastAsia="da-DK"/>
        </w:rPr>
      </w:pPr>
      <w:r w:rsidRPr="006E6AAA">
        <w:rPr>
          <w:rFonts w:ascii="Constantia" w:eastAsia="Times New Roman" w:hAnsi="Constantia" w:cs="Kalinga"/>
          <w:b/>
          <w:color w:val="FFFFFF"/>
          <w:sz w:val="44"/>
          <w:szCs w:val="44"/>
          <w:lang w:val="en-GB" w:eastAsia="da-DK"/>
        </w:rPr>
        <w:t>UNDP supported mobile courts interventions</w:t>
      </w:r>
    </w:p>
    <w:p w:rsidR="006E6AAA" w:rsidRPr="006E6AAA" w:rsidRDefault="006E6AAA" w:rsidP="006E6AAA">
      <w:pPr>
        <w:shd w:val="clear" w:color="auto" w:fill="800000"/>
        <w:spacing w:after="0" w:line="270" w:lineRule="atLeast"/>
        <w:ind w:left="-1080" w:right="-1134"/>
        <w:jc w:val="center"/>
        <w:rPr>
          <w:rFonts w:ascii="Constantia" w:eastAsia="Times New Roman" w:hAnsi="Constantia" w:cs="Kalinga"/>
          <w:b/>
          <w:smallCaps/>
          <w:color w:val="FFFFFF"/>
          <w:spacing w:val="60"/>
          <w:sz w:val="48"/>
          <w:szCs w:val="48"/>
          <w:lang w:val="en-GB" w:eastAsia="da-DK"/>
        </w:rPr>
      </w:pPr>
      <w:r w:rsidRPr="006E6AAA">
        <w:rPr>
          <w:rFonts w:ascii="Constantia" w:eastAsia="Times New Roman" w:hAnsi="Constantia" w:cs="Kalinga"/>
          <w:b/>
          <w:smallCaps/>
          <w:color w:val="FFFFFF"/>
          <w:spacing w:val="60"/>
          <w:sz w:val="48"/>
          <w:szCs w:val="48"/>
          <w:lang w:val="en-GB" w:eastAsia="da-DK"/>
        </w:rPr>
        <w:t>evaluation report</w:t>
      </w:r>
    </w:p>
    <w:p w:rsidR="006E6AAA" w:rsidRPr="006E6AAA" w:rsidRDefault="006E6AAA" w:rsidP="006E6AAA">
      <w:pPr>
        <w:shd w:val="clear" w:color="auto" w:fill="800000"/>
        <w:spacing w:after="0" w:line="270" w:lineRule="atLeast"/>
        <w:ind w:left="-1080" w:right="-1134"/>
        <w:jc w:val="center"/>
        <w:rPr>
          <w:rFonts w:ascii="Constantia" w:eastAsia="Times New Roman" w:hAnsi="Constantia" w:cs="Kalinga"/>
          <w:b/>
          <w:color w:val="FFFFFF"/>
          <w:sz w:val="44"/>
          <w:szCs w:val="44"/>
          <w:lang w:val="en-GB" w:eastAsia="da-DK"/>
        </w:rPr>
      </w:pPr>
    </w:p>
    <w:p w:rsidR="006E6AAA" w:rsidRPr="006E6AAA" w:rsidRDefault="006E6AAA" w:rsidP="006E6AAA">
      <w:pPr>
        <w:spacing w:after="0" w:line="270" w:lineRule="atLeast"/>
        <w:ind w:left="720"/>
        <w:rPr>
          <w:rFonts w:ascii="Constantia" w:eastAsia="Times New Roman" w:hAnsi="Constantia" w:cs="Kalinga"/>
          <w:smallCaps/>
          <w:spacing w:val="60"/>
          <w:sz w:val="48"/>
          <w:szCs w:val="48"/>
          <w:lang w:val="en-GB" w:eastAsia="da-DK"/>
        </w:rPr>
      </w:pPr>
    </w:p>
    <w:p w:rsidR="006E6AAA" w:rsidRPr="006E6AAA" w:rsidRDefault="006E6AAA" w:rsidP="006E6AAA">
      <w:pPr>
        <w:spacing w:after="0" w:line="270" w:lineRule="atLeast"/>
        <w:ind w:left="720"/>
        <w:rPr>
          <w:rFonts w:ascii="Constantia" w:eastAsia="Times New Roman" w:hAnsi="Constantia" w:cs="Kalinga"/>
          <w:sz w:val="36"/>
          <w:szCs w:val="36"/>
          <w:u w:val="single"/>
          <w:lang w:val="en-GB" w:eastAsia="da-DK"/>
        </w:rPr>
      </w:pPr>
    </w:p>
    <w:p w:rsidR="006E6AAA" w:rsidRPr="006E6AAA" w:rsidRDefault="006E6AAA" w:rsidP="006E6AAA">
      <w:pPr>
        <w:spacing w:after="0" w:line="270" w:lineRule="atLeast"/>
        <w:ind w:left="720"/>
        <w:rPr>
          <w:rFonts w:ascii="Constantia" w:eastAsia="Times New Roman" w:hAnsi="Constantia" w:cs="Kalinga"/>
          <w:b/>
          <w:sz w:val="36"/>
          <w:szCs w:val="36"/>
          <w:u w:val="single"/>
          <w:lang w:val="en-GB" w:eastAsia="da-DK"/>
        </w:rPr>
      </w:pPr>
      <w:r w:rsidRPr="006E6AAA">
        <w:rPr>
          <w:rFonts w:ascii="Constantia" w:eastAsia="Times New Roman" w:hAnsi="Constantia" w:cs="Kalinga"/>
          <w:b/>
          <w:sz w:val="36"/>
          <w:szCs w:val="36"/>
          <w:u w:val="single"/>
          <w:lang w:val="en-GB" w:eastAsia="da-DK"/>
        </w:rPr>
        <w:t>Country report n.3</w:t>
      </w:r>
    </w:p>
    <w:p w:rsidR="006E6AAA" w:rsidRPr="006E6AAA" w:rsidRDefault="006E6AAA" w:rsidP="006E6AAA">
      <w:pPr>
        <w:spacing w:after="0" w:line="270" w:lineRule="atLeast"/>
        <w:ind w:left="720"/>
        <w:rPr>
          <w:rFonts w:ascii="Constantia" w:eastAsia="Times New Roman" w:hAnsi="Constantia" w:cs="Kalinga"/>
          <w:sz w:val="36"/>
          <w:szCs w:val="36"/>
          <w:u w:val="single"/>
          <w:lang w:val="en-GB" w:eastAsia="da-DK"/>
        </w:rPr>
      </w:pPr>
    </w:p>
    <w:p w:rsidR="006E6AAA" w:rsidRPr="006E6AAA" w:rsidRDefault="006E6AAA" w:rsidP="006E6AAA">
      <w:pPr>
        <w:spacing w:after="0" w:line="270" w:lineRule="atLeast"/>
        <w:ind w:left="720"/>
        <w:rPr>
          <w:rFonts w:ascii="Constantia" w:eastAsia="Times New Roman" w:hAnsi="Constantia" w:cs="Kalinga"/>
          <w:b/>
          <w:i/>
          <w:color w:val="800000"/>
          <w:sz w:val="44"/>
          <w:szCs w:val="44"/>
          <w:lang w:val="en-GB" w:eastAsia="da-DK"/>
        </w:rPr>
      </w:pPr>
      <w:r w:rsidRPr="006E6AAA">
        <w:rPr>
          <w:rFonts w:ascii="Constantia" w:eastAsia="Times New Roman" w:hAnsi="Constantia" w:cs="Kalinga"/>
          <w:b/>
          <w:i/>
          <w:color w:val="800000"/>
          <w:sz w:val="44"/>
          <w:szCs w:val="44"/>
          <w:lang w:val="en-GB" w:eastAsia="da-DK"/>
        </w:rPr>
        <w:t>Mobile Courts in Somaliland</w:t>
      </w:r>
    </w:p>
    <w:p w:rsidR="006E6AAA" w:rsidRPr="006E6AAA" w:rsidRDefault="006E6AAA" w:rsidP="006E6AAA">
      <w:pPr>
        <w:spacing w:after="0" w:line="270" w:lineRule="atLeast"/>
        <w:ind w:left="720"/>
        <w:rPr>
          <w:rFonts w:ascii="Constantia" w:eastAsia="Times New Roman" w:hAnsi="Constantia" w:cs="Kalinga"/>
          <w:b/>
          <w:i/>
          <w:sz w:val="44"/>
          <w:szCs w:val="44"/>
          <w:lang w:val="en-GB" w:eastAsia="da-DK"/>
        </w:rPr>
      </w:pPr>
    </w:p>
    <w:p w:rsidR="006E6AAA" w:rsidRPr="006E6AAA" w:rsidRDefault="006E6AAA" w:rsidP="006E6AAA">
      <w:pPr>
        <w:spacing w:after="0" w:line="270" w:lineRule="atLeast"/>
        <w:ind w:left="720"/>
        <w:rPr>
          <w:rFonts w:ascii="Calibri" w:eastAsia="Times New Roman" w:hAnsi="Calibri" w:cs="Times New Roman"/>
          <w:sz w:val="28"/>
          <w:szCs w:val="28"/>
          <w:lang w:val="en-GB" w:eastAsia="da-DK"/>
        </w:rPr>
      </w:pPr>
    </w:p>
    <w:p w:rsidR="006E6AAA" w:rsidRPr="006E6AAA" w:rsidRDefault="006E6AAA" w:rsidP="006E6AAA">
      <w:pPr>
        <w:spacing w:after="0" w:line="300" w:lineRule="exact"/>
        <w:ind w:firstLine="708"/>
        <w:rPr>
          <w:rFonts w:ascii="Constantia" w:eastAsia="Times New Roman" w:hAnsi="Constantia" w:cs="Kalinga"/>
          <w:sz w:val="24"/>
          <w:szCs w:val="24"/>
          <w:lang w:val="en-GB" w:eastAsia="da-DK"/>
        </w:rPr>
      </w:pPr>
      <w:r w:rsidRPr="006E6AAA">
        <w:rPr>
          <w:rFonts w:ascii="Constantia" w:eastAsia="Times New Roman" w:hAnsi="Constantia" w:cs="Kalinga"/>
          <w:b/>
          <w:sz w:val="24"/>
          <w:szCs w:val="24"/>
          <w:lang w:val="en-GB" w:eastAsia="da-DK"/>
        </w:rPr>
        <w:t>Commissioned by:</w:t>
      </w:r>
      <w:r w:rsidRPr="006E6AAA">
        <w:rPr>
          <w:rFonts w:ascii="Constantia" w:eastAsia="Times New Roman" w:hAnsi="Constantia" w:cs="Kalinga"/>
          <w:sz w:val="24"/>
          <w:szCs w:val="24"/>
          <w:lang w:val="en-GB" w:eastAsia="da-DK"/>
        </w:rPr>
        <w:t xml:space="preserve"> UNDP/Bureau for Crisis Prevention and Recovery (BCPR)</w:t>
      </w:r>
    </w:p>
    <w:p w:rsidR="006E6AAA" w:rsidRPr="006E6AAA" w:rsidRDefault="006E6AAA" w:rsidP="006E6AAA">
      <w:pPr>
        <w:spacing w:after="0" w:line="300" w:lineRule="exact"/>
        <w:ind w:left="720"/>
        <w:rPr>
          <w:rFonts w:ascii="Constantia" w:eastAsia="Times New Roman" w:hAnsi="Constantia" w:cs="Kalinga"/>
          <w:sz w:val="24"/>
          <w:szCs w:val="24"/>
          <w:lang w:val="en-GB" w:eastAsia="da-DK"/>
        </w:rPr>
      </w:pPr>
      <w:r w:rsidRPr="006E6AAA">
        <w:rPr>
          <w:rFonts w:ascii="Constantia" w:eastAsia="Times New Roman" w:hAnsi="Constantia" w:cs="Kalinga"/>
          <w:b/>
          <w:sz w:val="24"/>
          <w:szCs w:val="24"/>
          <w:lang w:val="en-GB" w:eastAsia="da-DK"/>
        </w:rPr>
        <w:t>Conducted by:</w:t>
      </w:r>
      <w:r w:rsidRPr="006E6AAA">
        <w:rPr>
          <w:rFonts w:ascii="Constantia" w:eastAsia="Times New Roman" w:hAnsi="Constantia" w:cs="Kalinga"/>
          <w:sz w:val="24"/>
          <w:szCs w:val="24"/>
          <w:lang w:val="en-GB" w:eastAsia="da-DK"/>
        </w:rPr>
        <w:t xml:space="preserve"> Monica Rispo </w:t>
      </w:r>
    </w:p>
    <w:p w:rsidR="006E6AAA" w:rsidRPr="006E6AAA" w:rsidRDefault="006E6AAA" w:rsidP="006E6AAA">
      <w:pPr>
        <w:spacing w:after="0" w:line="280" w:lineRule="exact"/>
        <w:ind w:left="720"/>
        <w:rPr>
          <w:rFonts w:ascii="Constantia" w:eastAsia="Times New Roman" w:hAnsi="Constantia" w:cs="Kalinga"/>
          <w:sz w:val="24"/>
          <w:szCs w:val="24"/>
          <w:lang w:val="en-GB" w:eastAsia="da-DK"/>
        </w:rPr>
      </w:pPr>
    </w:p>
    <w:p w:rsidR="006E6AAA" w:rsidRPr="006E6AAA" w:rsidRDefault="006E6AAA" w:rsidP="006E6AAA">
      <w:pPr>
        <w:spacing w:after="0" w:line="270" w:lineRule="atLeast"/>
        <w:rPr>
          <w:rFonts w:ascii="Constantia" w:eastAsia="Times New Roman" w:hAnsi="Constantia" w:cs="Kalinga"/>
          <w:sz w:val="23"/>
          <w:szCs w:val="20"/>
          <w:lang w:val="en-GB" w:eastAsia="da-DK"/>
        </w:rPr>
      </w:pPr>
    </w:p>
    <w:p w:rsidR="006E6AAA" w:rsidRPr="006E6AAA" w:rsidRDefault="006E6AAA" w:rsidP="006E6AAA">
      <w:pPr>
        <w:spacing w:after="0" w:line="270" w:lineRule="atLeast"/>
        <w:ind w:left="5664" w:firstLine="708"/>
        <w:jc w:val="center"/>
        <w:rPr>
          <w:rFonts w:ascii="Constantia" w:eastAsia="Times New Roman" w:hAnsi="Constantia" w:cs="Kalinga"/>
          <w:sz w:val="32"/>
          <w:szCs w:val="32"/>
          <w:lang w:val="en-GB" w:eastAsia="da-DK"/>
        </w:rPr>
      </w:pPr>
      <w:r w:rsidRPr="006E6AAA">
        <w:rPr>
          <w:rFonts w:ascii="Constantia" w:eastAsia="Times New Roman" w:hAnsi="Constantia" w:cs="Kalinga"/>
          <w:sz w:val="32"/>
          <w:szCs w:val="32"/>
          <w:lang w:val="en-GB" w:eastAsia="da-DK"/>
        </w:rPr>
        <w:t>June 2013</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70" w:lineRule="atLeast"/>
        <w:rPr>
          <w:rFonts w:ascii="Calibri" w:eastAsia="Times New Roman" w:hAnsi="Calibri" w:cs="Times New Roman"/>
          <w:b/>
          <w:i/>
          <w:sz w:val="32"/>
          <w:szCs w:val="32"/>
          <w:lang w:val="en-GB" w:eastAsia="da-DK"/>
        </w:rPr>
      </w:pPr>
    </w:p>
    <w:p w:rsidR="006E6AAA" w:rsidRPr="006E6AAA" w:rsidRDefault="006E6AAA" w:rsidP="006E6AAA">
      <w:pPr>
        <w:spacing w:after="0" w:line="270" w:lineRule="atLeast"/>
        <w:rPr>
          <w:rFonts w:ascii="Calibri" w:eastAsia="Times New Roman" w:hAnsi="Calibri" w:cs="Times New Roman"/>
          <w:b/>
          <w:i/>
          <w:sz w:val="32"/>
          <w:szCs w:val="32"/>
          <w:lang w:val="en-GB" w:eastAsia="da-DK"/>
        </w:rPr>
      </w:pPr>
      <w:r w:rsidRPr="006E6AAA">
        <w:rPr>
          <w:rFonts w:ascii="Calibri" w:eastAsia="Times New Roman" w:hAnsi="Calibri" w:cs="Times New Roman"/>
          <w:b/>
          <w:i/>
          <w:sz w:val="32"/>
          <w:szCs w:val="32"/>
          <w:lang w:val="en-GB" w:eastAsia="da-DK"/>
        </w:rPr>
        <w:t>Contents</w:t>
      </w: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tabs>
          <w:tab w:val="left" w:pos="8280"/>
        </w:tabs>
        <w:spacing w:after="0" w:line="270"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Acronyms and abbreviations ……………………………………………………………………………………………..</w:t>
      </w:r>
      <w:r w:rsidRPr="006E6AAA">
        <w:rPr>
          <w:rFonts w:ascii="Calibri" w:eastAsia="Times New Roman" w:hAnsi="Calibri" w:cs="Times New Roman"/>
          <w:lang w:val="en-GB" w:eastAsia="da-DK"/>
        </w:rPr>
        <w:tab/>
      </w:r>
      <w:r w:rsidRPr="006E6AAA">
        <w:rPr>
          <w:rFonts w:ascii="Calibri" w:eastAsia="Times New Roman" w:hAnsi="Calibri" w:cs="Times New Roman"/>
          <w:lang w:val="en-GB" w:eastAsia="da-DK"/>
        </w:rPr>
        <w:tab/>
        <w:t>p. 3</w:t>
      </w:r>
    </w:p>
    <w:p w:rsidR="006E6AAA" w:rsidRPr="006E6AAA" w:rsidRDefault="006E6AAA" w:rsidP="006E6AAA">
      <w:pPr>
        <w:tabs>
          <w:tab w:val="left" w:pos="8280"/>
        </w:tabs>
        <w:spacing w:after="0" w:line="270" w:lineRule="atLeast"/>
        <w:rPr>
          <w:rFonts w:ascii="Calibri" w:eastAsia="Times New Roman" w:hAnsi="Calibri" w:cs="Times New Roman"/>
          <w:lang w:val="en-GB" w:eastAsia="da-DK"/>
        </w:rPr>
      </w:pPr>
      <w:r w:rsidRPr="006E6AAA">
        <w:rPr>
          <w:rFonts w:ascii="Calibri" w:eastAsia="Times New Roman" w:hAnsi="Calibri" w:cs="Times New Roman"/>
          <w:i/>
          <w:lang w:val="en-GB" w:eastAsia="da-DK"/>
        </w:rPr>
        <w:t>Executive summary ………………………………………………………………………………………</w:t>
      </w:r>
      <w:r w:rsidRPr="006E6AAA">
        <w:rPr>
          <w:rFonts w:ascii="Calibri" w:eastAsia="Times New Roman" w:hAnsi="Calibri" w:cs="Times New Roman"/>
          <w:lang w:val="en-GB" w:eastAsia="da-DK"/>
        </w:rPr>
        <w:t>…………………….</w:t>
      </w:r>
      <w:r w:rsidRPr="006E6AAA">
        <w:rPr>
          <w:rFonts w:ascii="Calibri" w:eastAsia="Times New Roman" w:hAnsi="Calibri" w:cs="Times New Roman"/>
          <w:lang w:val="en-GB" w:eastAsia="da-DK"/>
        </w:rPr>
        <w:tab/>
      </w:r>
      <w:r w:rsidRPr="006E6AAA">
        <w:rPr>
          <w:rFonts w:ascii="Calibri" w:eastAsia="Times New Roman" w:hAnsi="Calibri" w:cs="Times New Roman"/>
          <w:lang w:val="en-GB" w:eastAsia="da-DK"/>
        </w:rPr>
        <w:tab/>
        <w:t>p. 4</w:t>
      </w:r>
    </w:p>
    <w:p w:rsidR="006E6AAA" w:rsidRPr="006E6AAA" w:rsidRDefault="006E6AAA" w:rsidP="006E6AAA">
      <w:pPr>
        <w:spacing w:after="0" w:line="270" w:lineRule="atLeast"/>
        <w:rPr>
          <w:rFonts w:ascii="Calibri" w:eastAsia="Times New Roman" w:hAnsi="Calibri" w:cs="Times New Roman"/>
          <w:i/>
          <w:lang w:eastAsia="da-DK"/>
        </w:rPr>
      </w:pPr>
    </w:p>
    <w:p w:rsidR="006E6AAA" w:rsidRPr="006E6AAA" w:rsidRDefault="006E6AAA" w:rsidP="006E6AAA">
      <w:pPr>
        <w:spacing w:after="0" w:line="270" w:lineRule="atLeast"/>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PART I: INTRODUCTION</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1</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 xml:space="preserve">Background and rationale ………………………………………………………………………………………  </w:t>
      </w:r>
      <w:r w:rsidRPr="006E6AAA">
        <w:rPr>
          <w:rFonts w:ascii="Calibri" w:eastAsia="Times New Roman" w:hAnsi="Calibri" w:cs="Times New Roman"/>
          <w:lang w:eastAsia="da-DK"/>
        </w:rPr>
        <w:tab/>
        <w:t xml:space="preserve">p.7 </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2.</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Purpose and scope of work ……………………………………………………………………………………</w:t>
      </w:r>
      <w:r w:rsidRPr="006E6AAA">
        <w:rPr>
          <w:rFonts w:ascii="Calibri" w:eastAsia="Times New Roman" w:hAnsi="Calibri" w:cs="Times New Roman"/>
          <w:lang w:eastAsia="da-DK"/>
        </w:rPr>
        <w:tab/>
        <w:t>p.7</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3.</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Methodology and limitations …………………………………………………………………………………..</w:t>
      </w:r>
      <w:r w:rsidRPr="006E6AAA">
        <w:rPr>
          <w:rFonts w:ascii="Calibri" w:eastAsia="Times New Roman" w:hAnsi="Calibri" w:cs="Times New Roman"/>
          <w:lang w:eastAsia="da-DK"/>
        </w:rPr>
        <w:tab/>
        <w:t>p.7</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4.</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 xml:space="preserve">Description of the evaluated intervention...…………………………………………………………….. </w:t>
      </w:r>
      <w:r w:rsidRPr="006E6AAA">
        <w:rPr>
          <w:rFonts w:ascii="Calibri" w:eastAsia="Times New Roman" w:hAnsi="Calibri" w:cs="Times New Roman"/>
          <w:lang w:eastAsia="da-DK"/>
        </w:rPr>
        <w:tab/>
        <w:t>p.8</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5.</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 xml:space="preserve">The structure of the formal court system in Somaliland ………………………………………….. </w:t>
      </w:r>
      <w:r w:rsidRPr="006E6AAA">
        <w:rPr>
          <w:rFonts w:ascii="Calibri" w:eastAsia="Times New Roman" w:hAnsi="Calibri" w:cs="Times New Roman"/>
          <w:lang w:eastAsia="da-DK"/>
        </w:rPr>
        <w:tab/>
        <w:t>p.9</w:t>
      </w:r>
    </w:p>
    <w:p w:rsidR="006E6AAA" w:rsidRPr="006E6AAA" w:rsidRDefault="006E6AAA" w:rsidP="006E6AAA">
      <w:pPr>
        <w:spacing w:after="0" w:line="270" w:lineRule="atLeast"/>
        <w:rPr>
          <w:rFonts w:ascii="Calibri" w:eastAsia="Times New Roman" w:hAnsi="Calibri" w:cs="Calibri"/>
          <w:color w:val="000000"/>
          <w:lang w:eastAsia="it-IT"/>
        </w:rPr>
      </w:pPr>
      <w:r w:rsidRPr="006E6AAA">
        <w:rPr>
          <w:rFonts w:ascii="Calibri" w:eastAsia="Times New Roman" w:hAnsi="Calibri" w:cs="Calibri"/>
          <w:b/>
          <w:color w:val="000080"/>
          <w:lang w:eastAsia="it-IT"/>
        </w:rPr>
        <w:t>6.</w:t>
      </w:r>
      <w:r w:rsidRPr="006E6AAA">
        <w:rPr>
          <w:rFonts w:ascii="Calibri" w:eastAsia="Times New Roman" w:hAnsi="Calibri" w:cs="Calibri"/>
          <w:color w:val="000080"/>
          <w:lang w:eastAsia="it-IT"/>
        </w:rPr>
        <w:t xml:space="preserve"> </w:t>
      </w:r>
      <w:r w:rsidRPr="006E6AAA">
        <w:rPr>
          <w:rFonts w:ascii="Calibri" w:eastAsia="Times New Roman" w:hAnsi="Calibri" w:cs="Calibri"/>
          <w:color w:val="000080"/>
          <w:lang w:eastAsia="it-IT"/>
        </w:rPr>
        <w:tab/>
      </w:r>
      <w:r w:rsidRPr="006E6AAA">
        <w:rPr>
          <w:rFonts w:ascii="Calibri" w:eastAsia="Times New Roman" w:hAnsi="Calibri" w:cs="Calibri"/>
          <w:color w:val="000000"/>
          <w:lang w:eastAsia="it-IT"/>
        </w:rPr>
        <w:t>Critical background factors ……………………………………………………………………………………….</w:t>
      </w:r>
      <w:r w:rsidRPr="006E6AAA">
        <w:rPr>
          <w:rFonts w:ascii="Calibri" w:eastAsia="Times New Roman" w:hAnsi="Calibri" w:cs="Calibri"/>
          <w:color w:val="000000"/>
          <w:lang w:eastAsia="it-IT"/>
        </w:rPr>
        <w:tab/>
        <w:t>p.9</w:t>
      </w: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spacing w:after="0" w:line="270" w:lineRule="atLeast"/>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PART II: EVALUATION FINDINGS</w:t>
      </w:r>
    </w:p>
    <w:p w:rsidR="006E6AAA" w:rsidRPr="006E6AAA" w:rsidRDefault="006E6AAA" w:rsidP="006E6AAA">
      <w:pPr>
        <w:tabs>
          <w:tab w:val="left" w:pos="540"/>
          <w:tab w:val="left" w:pos="720"/>
        </w:tabs>
        <w:spacing w:after="0" w:line="270" w:lineRule="atLeast"/>
        <w:outlineLvl w:val="0"/>
        <w:rPr>
          <w:rFonts w:ascii="Calibri" w:eastAsia="Times New Roman" w:hAnsi="Calibri" w:cs="Times New Roman"/>
          <w:lang w:eastAsia="da-DK"/>
        </w:rPr>
      </w:pPr>
    </w:p>
    <w:p w:rsidR="006E6AAA" w:rsidRPr="006E6AAA" w:rsidRDefault="006E6AAA" w:rsidP="006E6AAA">
      <w:pPr>
        <w:tabs>
          <w:tab w:val="left" w:pos="540"/>
          <w:tab w:val="left" w:pos="72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1</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relevance</w:t>
      </w:r>
    </w:p>
    <w:p w:rsidR="006E6AAA" w:rsidRPr="006E6AAA" w:rsidRDefault="006E6AAA" w:rsidP="006E6AAA">
      <w:pPr>
        <w:tabs>
          <w:tab w:val="left" w:pos="540"/>
          <w:tab w:val="left" w:pos="72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ab/>
        <w:t xml:space="preserve">1.1. </w:t>
      </w:r>
      <w:r w:rsidRPr="006E6AAA">
        <w:rPr>
          <w:rFonts w:ascii="Calibri" w:eastAsia="Times New Roman" w:hAnsi="Calibri" w:cs="Times New Roman"/>
          <w:lang w:eastAsia="da-DK"/>
        </w:rPr>
        <w:t>The Somaliland mobile court model ……………………………………………………………………….</w:t>
      </w:r>
      <w:r w:rsidRPr="006E6AAA">
        <w:rPr>
          <w:rFonts w:ascii="Calibri" w:eastAsia="Times New Roman" w:hAnsi="Calibri" w:cs="Times New Roman"/>
          <w:lang w:eastAsia="da-DK"/>
        </w:rPr>
        <w:tab/>
        <w:t>p.11</w:t>
      </w:r>
    </w:p>
    <w:p w:rsidR="006E6AAA" w:rsidRPr="006E6AAA" w:rsidRDefault="006E6AAA" w:rsidP="006E6AAA">
      <w:pPr>
        <w:tabs>
          <w:tab w:val="left" w:pos="540"/>
          <w:tab w:val="left" w:pos="720"/>
          <w:tab w:val="left" w:pos="8460"/>
        </w:tabs>
        <w:spacing w:after="0" w:line="270" w:lineRule="atLeast"/>
        <w:ind w:left="540"/>
        <w:rPr>
          <w:rFonts w:ascii="Calibri" w:eastAsia="Times New Roman" w:hAnsi="Calibri" w:cs="Times New Roman"/>
          <w:lang w:eastAsia="da-DK"/>
        </w:rPr>
      </w:pPr>
      <w:r w:rsidRPr="006E6AAA">
        <w:rPr>
          <w:rFonts w:ascii="Calibri" w:eastAsia="Times New Roman" w:hAnsi="Calibri" w:cs="Times New Roman"/>
          <w:b/>
          <w:color w:val="000080"/>
          <w:lang w:eastAsia="da-DK"/>
        </w:rPr>
        <w:t>1.2.</w:t>
      </w:r>
      <w:r w:rsidRPr="006E6AAA">
        <w:rPr>
          <w:rFonts w:ascii="Calibri" w:eastAsia="Times New Roman" w:hAnsi="Calibri" w:cs="Times New Roman"/>
          <w:color w:val="000080"/>
          <w:lang w:eastAsia="da-DK"/>
        </w:rPr>
        <w:t xml:space="preserve"> </w:t>
      </w:r>
      <w:r w:rsidRPr="006E6AAA">
        <w:rPr>
          <w:rFonts w:ascii="Calibri" w:eastAsia="Times New Roman" w:hAnsi="Calibri" w:cs="Times New Roman"/>
          <w:lang w:eastAsia="da-DK"/>
        </w:rPr>
        <w:t>Relevance to national justice sector strategies and national ownership ………………..</w:t>
      </w:r>
      <w:r w:rsidRPr="006E6AAA">
        <w:rPr>
          <w:rFonts w:ascii="Calibri" w:eastAsia="Times New Roman" w:hAnsi="Calibri" w:cs="Times New Roman"/>
          <w:lang w:eastAsia="da-DK"/>
        </w:rPr>
        <w:tab/>
        <w:t>p.13</w:t>
      </w:r>
    </w:p>
    <w:p w:rsidR="006E6AAA" w:rsidRPr="006E6AAA" w:rsidRDefault="006E6AAA" w:rsidP="006E6AAA">
      <w:pPr>
        <w:tabs>
          <w:tab w:val="left" w:pos="540"/>
          <w:tab w:val="left" w:pos="720"/>
          <w:tab w:val="left" w:pos="8460"/>
        </w:tabs>
        <w:spacing w:after="0" w:line="270" w:lineRule="atLeast"/>
        <w:ind w:left="540"/>
        <w:rPr>
          <w:rFonts w:ascii="Calibri" w:eastAsia="Times New Roman" w:hAnsi="Calibri" w:cs="Times New Roman"/>
          <w:lang w:eastAsia="da-DK"/>
        </w:rPr>
      </w:pPr>
      <w:r w:rsidRPr="006E6AAA">
        <w:rPr>
          <w:rFonts w:ascii="Calibri" w:eastAsia="Times New Roman" w:hAnsi="Calibri" w:cs="Times New Roman"/>
          <w:b/>
          <w:color w:val="000080"/>
          <w:lang w:eastAsia="da-DK"/>
        </w:rPr>
        <w:t>1.3</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Relevance to the needs of the population, with a particular focus on women ……….</w:t>
      </w:r>
      <w:r w:rsidRPr="006E6AAA">
        <w:rPr>
          <w:rFonts w:ascii="Calibri" w:eastAsia="Times New Roman" w:hAnsi="Calibri" w:cs="Times New Roman"/>
          <w:lang w:eastAsia="da-DK"/>
        </w:rPr>
        <w:tab/>
        <w:t>p.14</w:t>
      </w:r>
    </w:p>
    <w:p w:rsidR="006E6AAA" w:rsidRPr="006E6AAA" w:rsidRDefault="006E6AAA" w:rsidP="006E6AAA">
      <w:pPr>
        <w:spacing w:after="0" w:line="270" w:lineRule="atLeast"/>
        <w:ind w:left="360"/>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2</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effectiveness</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2.1. </w:t>
      </w:r>
      <w:r w:rsidRPr="006E6AAA">
        <w:rPr>
          <w:rFonts w:ascii="Calibri" w:eastAsia="Times New Roman" w:hAnsi="Calibri" w:cs="Times New Roman"/>
          <w:lang w:eastAsia="da-DK"/>
        </w:rPr>
        <w:t>Planning and monitoring …………………………………………………………………………………………</w:t>
      </w:r>
      <w:r w:rsidRPr="006E6AAA">
        <w:rPr>
          <w:rFonts w:ascii="Calibri" w:eastAsia="Times New Roman" w:hAnsi="Calibri" w:cs="Times New Roman"/>
          <w:lang w:eastAsia="da-DK"/>
        </w:rPr>
        <w:tab/>
        <w:t>p.17</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2.2. </w:t>
      </w:r>
      <w:r w:rsidRPr="006E6AAA">
        <w:rPr>
          <w:rFonts w:ascii="Calibri" w:eastAsia="Times New Roman" w:hAnsi="Calibri" w:cs="Times New Roman"/>
          <w:lang w:eastAsia="da-DK"/>
        </w:rPr>
        <w:t>The achieved results ……………………………………………………………………………………………….</w:t>
      </w:r>
      <w:r w:rsidRPr="006E6AAA">
        <w:rPr>
          <w:rFonts w:ascii="Calibri" w:eastAsia="Times New Roman" w:hAnsi="Calibri" w:cs="Times New Roman"/>
          <w:lang w:eastAsia="da-DK"/>
        </w:rPr>
        <w:tab/>
        <w:t>p.24</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2.3</w:t>
      </w:r>
      <w:r w:rsidRPr="006E6AAA">
        <w:rPr>
          <w:rFonts w:ascii="Calibri" w:eastAsia="Times New Roman" w:hAnsi="Calibri" w:cs="Times New Roman"/>
          <w:lang w:eastAsia="da-DK"/>
        </w:rPr>
        <w:t>. Challenges in the implementation of a fair trial ………………………………………………………</w:t>
      </w:r>
      <w:r w:rsidRPr="006E6AAA">
        <w:rPr>
          <w:rFonts w:ascii="Calibri" w:eastAsia="Times New Roman" w:hAnsi="Calibri" w:cs="Times New Roman"/>
          <w:lang w:eastAsia="da-DK"/>
        </w:rPr>
        <w:tab/>
        <w:t>p.28</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2.4</w:t>
      </w:r>
      <w:r w:rsidRPr="006E6AAA">
        <w:rPr>
          <w:rFonts w:ascii="Calibri" w:eastAsia="Times New Roman" w:hAnsi="Calibri" w:cs="Times New Roman"/>
          <w:lang w:eastAsia="da-DK"/>
        </w:rPr>
        <w:t>. Observation of mobile court sessions …………………………………………………………………….</w:t>
      </w:r>
      <w:r w:rsidRPr="006E6AAA">
        <w:rPr>
          <w:rFonts w:ascii="Calibri" w:eastAsia="Times New Roman" w:hAnsi="Calibri" w:cs="Times New Roman"/>
          <w:lang w:eastAsia="da-DK"/>
        </w:rPr>
        <w:tab/>
        <w:t>p.32</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3</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efficiency</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3.1. </w:t>
      </w:r>
      <w:r w:rsidRPr="006E6AAA">
        <w:rPr>
          <w:rFonts w:ascii="Calibri" w:eastAsia="Times New Roman" w:hAnsi="Calibri" w:cs="Times New Roman"/>
          <w:lang w:eastAsia="da-DK"/>
        </w:rPr>
        <w:t>Cost-effectiveness …………………………………………………………………………………………………</w:t>
      </w:r>
      <w:r w:rsidRPr="006E6AAA">
        <w:rPr>
          <w:rFonts w:ascii="Calibri" w:eastAsia="Times New Roman" w:hAnsi="Calibri" w:cs="Times New Roman"/>
          <w:lang w:eastAsia="da-DK"/>
        </w:rPr>
        <w:tab/>
        <w:t>p.33</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3.2. </w:t>
      </w:r>
      <w:r w:rsidRPr="006E6AAA">
        <w:rPr>
          <w:rFonts w:ascii="Calibri" w:eastAsia="Times New Roman" w:hAnsi="Calibri" w:cs="Times New Roman"/>
          <w:lang w:eastAsia="da-DK"/>
        </w:rPr>
        <w:t>Internal coordination and synergies among justice and security actors ………………..</w:t>
      </w:r>
      <w:r w:rsidRPr="006E6AAA">
        <w:rPr>
          <w:rFonts w:ascii="Calibri" w:eastAsia="Times New Roman" w:hAnsi="Calibri" w:cs="Times New Roman"/>
          <w:lang w:eastAsia="da-DK"/>
        </w:rPr>
        <w:tab/>
        <w:t>p.35</w:t>
      </w: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3.3</w:t>
      </w:r>
      <w:r w:rsidRPr="006E6AAA">
        <w:rPr>
          <w:rFonts w:ascii="Calibri" w:eastAsia="Times New Roman" w:hAnsi="Calibri" w:cs="Times New Roman"/>
          <w:lang w:eastAsia="da-DK"/>
        </w:rPr>
        <w:t>. Challenges …………………………………………………………………………………………………………….</w:t>
      </w:r>
      <w:r w:rsidRPr="006E6AAA">
        <w:rPr>
          <w:rFonts w:ascii="Calibri" w:eastAsia="Times New Roman" w:hAnsi="Calibri" w:cs="Times New Roman"/>
          <w:lang w:eastAsia="da-DK"/>
        </w:rPr>
        <w:tab/>
        <w:t>p.36</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3.4.</w:t>
      </w:r>
      <w:r w:rsidRPr="006E6AAA">
        <w:rPr>
          <w:rFonts w:ascii="Calibri" w:eastAsia="Times New Roman" w:hAnsi="Calibri" w:cs="Times New Roman"/>
          <w:lang w:eastAsia="da-DK"/>
        </w:rPr>
        <w:t xml:space="preserve"> Best practices ……………………………………………………………………………………………………….</w:t>
      </w:r>
      <w:r w:rsidRPr="006E6AAA">
        <w:rPr>
          <w:rFonts w:ascii="Calibri" w:eastAsia="Times New Roman" w:hAnsi="Calibri" w:cs="Times New Roman"/>
          <w:lang w:eastAsia="da-DK"/>
        </w:rPr>
        <w:tab/>
        <w:t>p.37</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4</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 xml:space="preserve">sustainability </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t>p.37</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p>
    <w:p w:rsidR="006E6AAA" w:rsidRPr="006E6AAA" w:rsidRDefault="006E6AAA" w:rsidP="006E6AAA">
      <w:pPr>
        <w:tabs>
          <w:tab w:val="left" w:pos="540"/>
        </w:tabs>
        <w:spacing w:after="0" w:line="270" w:lineRule="atLeast"/>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5</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lang w:eastAsia="da-DK"/>
        </w:rPr>
        <w:tab/>
      </w:r>
      <w:r w:rsidRPr="006E6AAA">
        <w:rPr>
          <w:rFonts w:ascii="Calibri" w:eastAsia="Times New Roman" w:hAnsi="Calibri" w:cs="Times New Roman"/>
          <w:b/>
          <w:smallCaps/>
          <w:color w:val="000080"/>
          <w:lang w:eastAsia="da-DK"/>
        </w:rPr>
        <w:t>impact</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5.1.</w:t>
      </w:r>
      <w:r w:rsidRPr="006E6AAA">
        <w:rPr>
          <w:rFonts w:ascii="Calibri" w:eastAsia="Times New Roman" w:hAnsi="Calibri" w:cs="Times New Roman"/>
          <w:b/>
          <w:lang w:eastAsia="da-DK"/>
        </w:rPr>
        <w:t xml:space="preserve"> </w:t>
      </w:r>
      <w:r w:rsidRPr="006E6AAA">
        <w:rPr>
          <w:rFonts w:ascii="Calibri" w:eastAsia="Times New Roman" w:hAnsi="Calibri" w:cs="Times New Roman"/>
          <w:lang w:eastAsia="da-DK"/>
        </w:rPr>
        <w:t>Changes for the population and the justice system</w:t>
      </w:r>
      <w:r w:rsidRPr="006E6AAA">
        <w:rPr>
          <w:rFonts w:ascii="Calibri" w:eastAsia="Times New Roman" w:hAnsi="Calibri" w:cs="Times New Roman"/>
          <w:b/>
          <w:color w:val="000080"/>
          <w:lang w:eastAsia="da-DK"/>
        </w:rPr>
        <w:t xml:space="preserve"> </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p.38</w:t>
      </w:r>
    </w:p>
    <w:p w:rsidR="006E6AAA" w:rsidRPr="006E6AAA" w:rsidRDefault="006E6AAA" w:rsidP="006E6AAA">
      <w:pPr>
        <w:tabs>
          <w:tab w:val="left" w:pos="540"/>
          <w:tab w:val="left" w:pos="8460"/>
        </w:tabs>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r w:rsidRPr="006E6AAA">
        <w:rPr>
          <w:rFonts w:ascii="Calibri" w:eastAsia="Times New Roman" w:hAnsi="Calibri" w:cs="Times New Roman"/>
          <w:b/>
          <w:color w:val="000080"/>
          <w:lang w:eastAsia="da-DK"/>
        </w:rPr>
        <w:t xml:space="preserve">5.2. </w:t>
      </w:r>
      <w:r w:rsidRPr="006E6AAA">
        <w:rPr>
          <w:rFonts w:ascii="Calibri" w:eastAsia="Times New Roman" w:hAnsi="Calibri" w:cs="Times New Roman"/>
          <w:lang w:eastAsia="da-DK"/>
        </w:rPr>
        <w:t>Impact on the prosecution of international crimes ………………………………………………</w:t>
      </w:r>
      <w:r w:rsidRPr="006E6AAA">
        <w:rPr>
          <w:rFonts w:ascii="Calibri" w:eastAsia="Times New Roman" w:hAnsi="Calibri" w:cs="Times New Roman"/>
          <w:lang w:eastAsia="da-DK"/>
        </w:rPr>
        <w:tab/>
        <w:t>p.39</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ab/>
      </w:r>
    </w:p>
    <w:p w:rsidR="006E6AAA" w:rsidRPr="006E6AAA" w:rsidRDefault="006E6AAA" w:rsidP="006E6AAA">
      <w:pPr>
        <w:spacing w:after="0" w:line="270" w:lineRule="atLeast"/>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PART II: CONCLUSIONS AND RECCOMANDATIONS</w:t>
      </w: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b/>
          <w:color w:val="000080"/>
          <w:lang w:eastAsia="da-DK"/>
        </w:rPr>
        <w:t xml:space="preserve">6. </w:t>
      </w:r>
      <w:r w:rsidRPr="006E6AAA">
        <w:rPr>
          <w:rFonts w:ascii="Calibri" w:eastAsia="Times New Roman" w:hAnsi="Calibri" w:cs="Times New Roman"/>
          <w:b/>
          <w:color w:val="000080"/>
          <w:lang w:eastAsia="da-DK"/>
        </w:rPr>
        <w:tab/>
      </w:r>
      <w:r w:rsidRPr="006E6AAA">
        <w:rPr>
          <w:rFonts w:ascii="Calibri" w:eastAsia="Times New Roman" w:hAnsi="Calibri" w:cs="Times New Roman"/>
          <w:b/>
          <w:smallCaps/>
          <w:color w:val="000080"/>
          <w:lang w:eastAsia="da-DK"/>
        </w:rPr>
        <w:t xml:space="preserve">conclusions </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p.42</w:t>
      </w:r>
    </w:p>
    <w:p w:rsidR="006E6AAA" w:rsidRPr="006E6AAA" w:rsidRDefault="006E6AAA" w:rsidP="006E6AAA">
      <w:pPr>
        <w:spacing w:after="0" w:line="270" w:lineRule="atLeast"/>
        <w:rPr>
          <w:rFonts w:ascii="Calibri" w:eastAsia="Times New Roman" w:hAnsi="Calibri" w:cs="Times New Roman"/>
          <w:b/>
          <w:smallCaps/>
          <w:color w:val="000080"/>
          <w:lang w:eastAsia="da-DK"/>
        </w:rPr>
      </w:pPr>
      <w:r w:rsidRPr="006E6AAA">
        <w:rPr>
          <w:rFonts w:ascii="Calibri" w:eastAsia="Times New Roman" w:hAnsi="Calibri" w:cs="Times New Roman"/>
          <w:b/>
          <w:color w:val="000080"/>
          <w:lang w:eastAsia="da-DK"/>
        </w:rPr>
        <w:t xml:space="preserve">7. </w:t>
      </w:r>
      <w:r w:rsidRPr="006E6AAA">
        <w:rPr>
          <w:rFonts w:ascii="Calibri" w:eastAsia="Times New Roman" w:hAnsi="Calibri" w:cs="Times New Roman"/>
          <w:b/>
          <w:color w:val="000080"/>
          <w:lang w:eastAsia="da-DK"/>
        </w:rPr>
        <w:tab/>
      </w:r>
      <w:r w:rsidRPr="006E6AAA">
        <w:rPr>
          <w:rFonts w:ascii="Calibri" w:eastAsia="Times New Roman" w:hAnsi="Calibri" w:cs="Times New Roman"/>
          <w:b/>
          <w:smallCaps/>
          <w:color w:val="000080"/>
          <w:lang w:eastAsia="da-DK"/>
        </w:rPr>
        <w:t xml:space="preserve">reccomandations </w:t>
      </w:r>
      <w:r w:rsidRPr="006E6AAA">
        <w:rPr>
          <w:rFonts w:ascii="Calibri" w:eastAsia="Times New Roman" w:hAnsi="Calibri" w:cs="Times New Roman"/>
          <w:lang w:eastAsia="da-DK"/>
        </w:rPr>
        <w:t>…………………………………………………………………………………………………...</w:t>
      </w:r>
      <w:r w:rsidRPr="006E6AAA">
        <w:rPr>
          <w:rFonts w:ascii="Calibri" w:eastAsia="Times New Roman" w:hAnsi="Calibri" w:cs="Times New Roman"/>
          <w:lang w:eastAsia="da-DK"/>
        </w:rPr>
        <w:tab/>
        <w:t>p.43</w:t>
      </w:r>
    </w:p>
    <w:p w:rsidR="006E6AAA" w:rsidRPr="006E6AAA" w:rsidRDefault="006E6AAA" w:rsidP="006E6AAA">
      <w:pPr>
        <w:spacing w:after="0" w:line="270" w:lineRule="atLeast"/>
        <w:rPr>
          <w:rFonts w:ascii="Calibri" w:eastAsia="Times New Roman" w:hAnsi="Calibri" w:cs="Times New Roman"/>
          <w:b/>
          <w:color w:val="000080"/>
          <w:lang w:eastAsia="da-DK"/>
        </w:rPr>
      </w:pPr>
    </w:p>
    <w:p w:rsidR="006E6AAA" w:rsidRPr="006E6AAA" w:rsidRDefault="006E6AAA" w:rsidP="006E6AAA">
      <w:pPr>
        <w:spacing w:after="0" w:line="270" w:lineRule="atLeast"/>
        <w:rPr>
          <w:rFonts w:ascii="Calibri" w:eastAsia="Times New Roman" w:hAnsi="Calibri" w:cs="Times New Roman"/>
          <w:b/>
          <w:color w:val="000080"/>
          <w:u w:val="single"/>
          <w:lang w:eastAsia="da-DK"/>
        </w:rPr>
      </w:pPr>
      <w:r w:rsidRPr="006E6AAA">
        <w:rPr>
          <w:rFonts w:ascii="Calibri" w:eastAsia="Times New Roman" w:hAnsi="Calibri" w:cs="Times New Roman"/>
          <w:b/>
          <w:color w:val="000080"/>
          <w:u w:val="single"/>
          <w:lang w:eastAsia="da-DK"/>
        </w:rPr>
        <w:t xml:space="preserve">ANNEXES: </w:t>
      </w:r>
    </w:p>
    <w:p w:rsidR="006E6AAA" w:rsidRPr="006E6AAA" w:rsidRDefault="006E6AAA" w:rsidP="006E6AAA">
      <w:pPr>
        <w:numPr>
          <w:ilvl w:val="0"/>
          <w:numId w:val="22"/>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1. List of reviewed literature</w:t>
      </w:r>
    </w:p>
    <w:p w:rsidR="006E6AAA" w:rsidRPr="006E6AAA" w:rsidRDefault="006E6AAA" w:rsidP="006E6AAA">
      <w:pPr>
        <w:numPr>
          <w:ilvl w:val="0"/>
          <w:numId w:val="22"/>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 xml:space="preserve">2. List of interviewed persons </w:t>
      </w:r>
    </w:p>
    <w:p w:rsidR="006E6AAA" w:rsidRPr="006E6AAA" w:rsidRDefault="006E6AAA" w:rsidP="006E6AAA">
      <w:pPr>
        <w:numPr>
          <w:ilvl w:val="0"/>
          <w:numId w:val="22"/>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3. Map of Somaliland Courts</w:t>
      </w:r>
    </w:p>
    <w:p w:rsidR="006E6AAA" w:rsidRPr="006E6AAA" w:rsidRDefault="006E6AAA" w:rsidP="006E6AAA">
      <w:pPr>
        <w:numPr>
          <w:ilvl w:val="0"/>
          <w:numId w:val="22"/>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 xml:space="preserve">4. Evaluation matrix </w:t>
      </w:r>
    </w:p>
    <w:p w:rsidR="006E6AAA" w:rsidRPr="006E6AAA" w:rsidRDefault="006E6AAA" w:rsidP="006E6AAA">
      <w:pPr>
        <w:numPr>
          <w:ilvl w:val="0"/>
          <w:numId w:val="22"/>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5. TOR</w:t>
      </w:r>
    </w:p>
    <w:p w:rsidR="006E6AAA" w:rsidRPr="006E6AAA" w:rsidRDefault="006E6AAA" w:rsidP="006E6AAA">
      <w:p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br w:type="page"/>
      </w:r>
      <w:r w:rsidRPr="006E6AAA">
        <w:rPr>
          <w:rFonts w:ascii="Calibri" w:eastAsia="Times New Roman" w:hAnsi="Calibri" w:cs="Times New Roman"/>
          <w:b/>
          <w:sz w:val="24"/>
          <w:szCs w:val="24"/>
          <w:u w:val="single"/>
          <w:lang w:val="en-GB" w:eastAsia="da-DK"/>
        </w:rPr>
        <w:t>Acronyms and abbreviations</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 xml:space="preserve">A2J </w:t>
      </w:r>
      <w:r w:rsidRPr="006E6AAA">
        <w:rPr>
          <w:rFonts w:ascii="Calibri" w:eastAsia="Times New Roman" w:hAnsi="Calibri" w:cs="Times New Roman"/>
          <w:lang w:eastAsia="da-DK"/>
        </w:rPr>
        <w:t>Access to Justice</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 xml:space="preserve">BCPR </w:t>
      </w:r>
      <w:r w:rsidRPr="006E6AAA">
        <w:rPr>
          <w:rFonts w:ascii="Calibri" w:eastAsia="Times New Roman" w:hAnsi="Calibri" w:cs="Times New Roman"/>
          <w:lang w:eastAsia="da-DK"/>
        </w:rPr>
        <w:t>Bureau for Crisis Prevention and recovery</w:t>
      </w:r>
    </w:p>
    <w:p w:rsidR="006E6AAA" w:rsidRPr="006E6AAA" w:rsidRDefault="006E6AAA" w:rsidP="006E6AAA">
      <w:pPr>
        <w:spacing w:after="0" w:line="360" w:lineRule="auto"/>
        <w:rPr>
          <w:rFonts w:ascii="Calibri" w:eastAsia="Times New Roman" w:hAnsi="Calibri" w:cs="Times New Roman"/>
          <w:lang w:val="it-IT" w:eastAsia="da-DK"/>
        </w:rPr>
      </w:pPr>
      <w:r w:rsidRPr="006E6AAA">
        <w:rPr>
          <w:rFonts w:ascii="Calibri" w:eastAsia="Times New Roman" w:hAnsi="Calibri" w:cs="Times New Roman"/>
          <w:b/>
          <w:lang w:val="it-IT" w:eastAsia="da-DK"/>
        </w:rPr>
        <w:t>CESVI</w:t>
      </w:r>
      <w:r w:rsidRPr="006E6AAA">
        <w:rPr>
          <w:rFonts w:ascii="Calibri" w:eastAsia="Times New Roman" w:hAnsi="Calibri" w:cs="Times New Roman"/>
          <w:lang w:val="it-IT" w:eastAsia="da-DK"/>
        </w:rPr>
        <w:t xml:space="preserve"> Cooperazione e Sviluppo</w:t>
      </w:r>
    </w:p>
    <w:p w:rsidR="006E6AAA" w:rsidRPr="006E6AAA" w:rsidRDefault="006E6AAA" w:rsidP="006E6AAA">
      <w:pPr>
        <w:spacing w:after="0" w:line="360" w:lineRule="auto"/>
        <w:rPr>
          <w:rFonts w:ascii="Calibri" w:eastAsia="Times New Roman" w:hAnsi="Calibri" w:cs="Times New Roman"/>
          <w:lang w:val="it-IT" w:eastAsia="da-DK"/>
        </w:rPr>
      </w:pPr>
      <w:r w:rsidRPr="006E6AAA">
        <w:rPr>
          <w:rFonts w:ascii="Calibri" w:eastAsia="Times New Roman" w:hAnsi="Calibri" w:cs="Times New Roman"/>
          <w:b/>
          <w:lang w:val="it-IT" w:eastAsia="da-DK"/>
        </w:rPr>
        <w:t>CO</w:t>
      </w:r>
      <w:r w:rsidRPr="006E6AAA">
        <w:rPr>
          <w:rFonts w:ascii="Calibri" w:eastAsia="Times New Roman" w:hAnsi="Calibri" w:cs="Times New Roman"/>
          <w:lang w:val="it-IT" w:eastAsia="da-DK"/>
        </w:rPr>
        <w:t xml:space="preserve"> Country Office</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DRC</w:t>
      </w:r>
      <w:r w:rsidRPr="006E6AAA">
        <w:rPr>
          <w:rFonts w:ascii="Calibri" w:eastAsia="Times New Roman" w:hAnsi="Calibri" w:cs="Times New Roman"/>
          <w:lang w:eastAsia="da-DK"/>
        </w:rPr>
        <w:t xml:space="preserve"> Democratic Republic of Congo</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GBV</w:t>
      </w:r>
      <w:r w:rsidRPr="006E6AAA">
        <w:rPr>
          <w:rFonts w:ascii="Calibri" w:eastAsia="Times New Roman" w:hAnsi="Calibri" w:cs="Times New Roman"/>
          <w:lang w:eastAsia="da-DK"/>
        </w:rPr>
        <w:t xml:space="preserve"> Gender Based Violence</w:t>
      </w:r>
      <w:r w:rsidRPr="006E6AAA">
        <w:rPr>
          <w:rFonts w:ascii="Calibri" w:eastAsia="Times New Roman" w:hAnsi="Calibri" w:cs="Times New Roman"/>
          <w:lang w:eastAsia="da-DK"/>
        </w:rPr>
        <w:br/>
      </w:r>
      <w:r w:rsidRPr="006E6AAA">
        <w:rPr>
          <w:rFonts w:ascii="Calibri" w:eastAsia="Times New Roman" w:hAnsi="Calibri" w:cs="Times New Roman"/>
          <w:b/>
          <w:lang w:eastAsia="da-DK"/>
        </w:rPr>
        <w:t>AWP</w:t>
      </w:r>
      <w:r w:rsidRPr="006E6AAA">
        <w:rPr>
          <w:rFonts w:ascii="Calibri" w:eastAsia="Times New Roman" w:hAnsi="Calibri" w:cs="Times New Roman"/>
          <w:lang w:eastAsia="da-DK"/>
        </w:rPr>
        <w:t xml:space="preserve"> Annual Workplan</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HRW</w:t>
      </w:r>
      <w:r w:rsidRPr="006E6AAA">
        <w:rPr>
          <w:rFonts w:ascii="Calibri" w:eastAsia="Times New Roman" w:hAnsi="Calibri" w:cs="Times New Roman"/>
          <w:lang w:eastAsia="da-DK"/>
        </w:rPr>
        <w:t xml:space="preserve"> Human Rights Watch</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 xml:space="preserve">ICC </w:t>
      </w:r>
      <w:r w:rsidRPr="006E6AAA">
        <w:rPr>
          <w:rFonts w:ascii="Calibri" w:eastAsia="Times New Roman" w:hAnsi="Calibri" w:cs="Times New Roman"/>
          <w:lang w:eastAsia="da-DK"/>
        </w:rPr>
        <w:t>International Criminal Court</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 xml:space="preserve">IDP </w:t>
      </w:r>
      <w:r w:rsidRPr="006E6AAA">
        <w:rPr>
          <w:rFonts w:ascii="Calibri" w:eastAsia="Times New Roman" w:hAnsi="Calibri" w:cs="Times New Roman"/>
          <w:lang w:eastAsia="da-DK"/>
        </w:rPr>
        <w:t>Internally Displaced Persons</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LOA</w:t>
      </w:r>
      <w:r w:rsidRPr="006E6AAA">
        <w:rPr>
          <w:rFonts w:ascii="Calibri" w:eastAsia="Times New Roman" w:hAnsi="Calibri" w:cs="Times New Roman"/>
          <w:lang w:eastAsia="da-DK"/>
        </w:rPr>
        <w:t xml:space="preserve"> Letter of Agreement</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MC</w:t>
      </w:r>
      <w:r w:rsidRPr="006E6AAA">
        <w:rPr>
          <w:rFonts w:ascii="Calibri" w:eastAsia="Times New Roman" w:hAnsi="Calibri" w:cs="Times New Roman"/>
          <w:lang w:eastAsia="da-DK"/>
        </w:rPr>
        <w:t xml:space="preserve"> Mobile Court</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MOJ</w:t>
      </w:r>
      <w:r w:rsidRPr="006E6AAA">
        <w:rPr>
          <w:rFonts w:ascii="Calibri" w:eastAsia="Times New Roman" w:hAnsi="Calibri" w:cs="Times New Roman"/>
          <w:lang w:eastAsia="da-DK"/>
        </w:rPr>
        <w:t xml:space="preserve"> Ministry of Justice</w:t>
      </w:r>
    </w:p>
    <w:p w:rsidR="006E6AAA" w:rsidRPr="006E6AAA" w:rsidRDefault="006E6AAA" w:rsidP="006E6AAA">
      <w:pPr>
        <w:spacing w:after="0" w:line="360" w:lineRule="auto"/>
        <w:rPr>
          <w:rFonts w:ascii="Times New Roman" w:eastAsia="Times New Roman" w:hAnsi="Times New Roman" w:cs="Times New Roman"/>
          <w:sz w:val="23"/>
          <w:szCs w:val="20"/>
          <w:lang w:val="en-GB" w:eastAsia="da-DK"/>
        </w:rPr>
      </w:pPr>
      <w:r w:rsidRPr="006E6AAA">
        <w:rPr>
          <w:rFonts w:ascii="Calibri" w:eastAsia="Times New Roman" w:hAnsi="Calibri" w:cs="Times New Roman"/>
          <w:b/>
          <w:lang w:eastAsia="da-DK"/>
        </w:rPr>
        <w:t>RBM</w:t>
      </w:r>
      <w:r w:rsidRPr="006E6AAA">
        <w:rPr>
          <w:rFonts w:ascii="Calibri" w:eastAsia="Times New Roman" w:hAnsi="Calibri" w:cs="Times New Roman"/>
          <w:lang w:eastAsia="da-DK"/>
        </w:rPr>
        <w:t xml:space="preserve"> Result Based Management</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ROL</w:t>
      </w:r>
      <w:r w:rsidRPr="006E6AAA">
        <w:rPr>
          <w:rFonts w:ascii="Calibri" w:eastAsia="Times New Roman" w:hAnsi="Calibri" w:cs="Times New Roman"/>
          <w:lang w:eastAsia="da-DK"/>
        </w:rPr>
        <w:t xml:space="preserve"> Rule of Law</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 xml:space="preserve">SGBV </w:t>
      </w:r>
      <w:r w:rsidRPr="006E6AAA">
        <w:rPr>
          <w:rFonts w:ascii="Calibri" w:eastAsia="Times New Roman" w:hAnsi="Calibri" w:cs="Times New Roman"/>
          <w:lang w:eastAsia="da-DK"/>
        </w:rPr>
        <w:t>Sexual and Gender Based Violence</w:t>
      </w:r>
      <w:r w:rsidRPr="006E6AAA">
        <w:rPr>
          <w:rFonts w:ascii="Calibri" w:eastAsia="Times New Roman" w:hAnsi="Calibri" w:cs="Times New Roman"/>
          <w:lang w:eastAsia="da-DK"/>
        </w:rPr>
        <w:br/>
      </w:r>
      <w:r w:rsidRPr="006E6AAA">
        <w:rPr>
          <w:rFonts w:ascii="Calibri" w:eastAsia="Times New Roman" w:hAnsi="Calibri" w:cs="Times New Roman"/>
          <w:b/>
          <w:lang w:eastAsia="da-DK"/>
        </w:rPr>
        <w:t>CSO</w:t>
      </w:r>
      <w:r w:rsidRPr="006E6AAA">
        <w:rPr>
          <w:rFonts w:ascii="Calibri" w:eastAsia="Times New Roman" w:hAnsi="Calibri" w:cs="Times New Roman"/>
          <w:lang w:eastAsia="da-DK"/>
        </w:rPr>
        <w:t xml:space="preserve"> Civil Society Organization</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SMART</w:t>
      </w:r>
      <w:r w:rsidRPr="006E6AAA">
        <w:rPr>
          <w:rFonts w:ascii="Calibri" w:eastAsia="Times New Roman" w:hAnsi="Calibri" w:cs="Times New Roman"/>
          <w:lang w:eastAsia="da-DK"/>
        </w:rPr>
        <w:t xml:space="preserve"> Specific, Measurable, Achievable, Relevant and Time-bound</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SOLLA</w:t>
      </w:r>
      <w:r w:rsidRPr="006E6AAA">
        <w:rPr>
          <w:rFonts w:ascii="Calibri" w:eastAsia="Times New Roman" w:hAnsi="Calibri" w:cs="Times New Roman"/>
          <w:lang w:eastAsia="da-DK"/>
        </w:rPr>
        <w:t xml:space="preserve"> Somaliland Lawyers Association</w:t>
      </w:r>
      <w:r w:rsidRPr="006E6AAA">
        <w:rPr>
          <w:rFonts w:ascii="Calibri" w:eastAsia="Times New Roman" w:hAnsi="Calibri" w:cs="Times New Roman"/>
          <w:lang w:eastAsia="da-DK"/>
        </w:rPr>
        <w:br/>
      </w:r>
      <w:r w:rsidRPr="006E6AAA">
        <w:rPr>
          <w:rFonts w:ascii="Calibri" w:eastAsia="Times New Roman" w:hAnsi="Calibri" w:cs="Times New Roman"/>
          <w:b/>
          <w:lang w:eastAsia="da-DK"/>
        </w:rPr>
        <w:t>SOMSAT</w:t>
      </w:r>
      <w:r w:rsidRPr="006E6AAA">
        <w:rPr>
          <w:rFonts w:ascii="Calibri" w:eastAsia="Times New Roman" w:hAnsi="Calibri" w:cs="Times New Roman"/>
          <w:lang w:eastAsia="da-DK"/>
        </w:rPr>
        <w:t xml:space="preserve"> Somali Satelite TV</w:t>
      </w:r>
      <w:r w:rsidRPr="006E6AAA">
        <w:rPr>
          <w:rFonts w:ascii="Calibri" w:eastAsia="Times New Roman" w:hAnsi="Calibri" w:cs="Times New Roman"/>
          <w:lang w:eastAsia="da-DK"/>
        </w:rPr>
        <w:br/>
      </w:r>
      <w:r w:rsidRPr="006E6AAA">
        <w:rPr>
          <w:rFonts w:ascii="Calibri" w:eastAsia="Times New Roman" w:hAnsi="Calibri" w:cs="Times New Roman"/>
          <w:b/>
          <w:lang w:eastAsia="da-DK"/>
        </w:rPr>
        <w:t>UNODC</w:t>
      </w:r>
      <w:r w:rsidRPr="006E6AAA">
        <w:rPr>
          <w:rFonts w:ascii="Calibri" w:eastAsia="Times New Roman" w:hAnsi="Calibri" w:cs="Times New Roman"/>
          <w:lang w:eastAsia="da-DK"/>
        </w:rPr>
        <w:t xml:space="preserve"> UN Office for Drugs and Crime</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SPU</w:t>
      </w:r>
      <w:r w:rsidRPr="006E6AAA">
        <w:rPr>
          <w:rFonts w:ascii="Calibri" w:eastAsia="Times New Roman" w:hAnsi="Calibri" w:cs="Times New Roman"/>
          <w:lang w:eastAsia="da-DK"/>
        </w:rPr>
        <w:t xml:space="preserve"> Special Police Unit</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SWLA</w:t>
      </w:r>
      <w:r w:rsidRPr="006E6AAA">
        <w:rPr>
          <w:rFonts w:ascii="Calibri" w:eastAsia="Times New Roman" w:hAnsi="Calibri" w:cs="Times New Roman"/>
          <w:lang w:eastAsia="da-DK"/>
        </w:rPr>
        <w:t xml:space="preserve"> Somaliland Women Lawyers Association</w:t>
      </w:r>
    </w:p>
    <w:p w:rsidR="006E6AAA" w:rsidRPr="006E6AAA" w:rsidRDefault="006E6AAA" w:rsidP="006E6AAA">
      <w:pPr>
        <w:spacing w:after="0" w:line="360" w:lineRule="auto"/>
        <w:rPr>
          <w:rFonts w:ascii="Calibri" w:eastAsia="Times New Roman" w:hAnsi="Calibri" w:cs="Times New Roman"/>
          <w:lang w:eastAsia="da-DK"/>
        </w:rPr>
      </w:pPr>
      <w:r w:rsidRPr="006E6AAA">
        <w:rPr>
          <w:rFonts w:ascii="Calibri" w:eastAsia="Times New Roman" w:hAnsi="Calibri" w:cs="Times New Roman"/>
          <w:b/>
          <w:lang w:eastAsia="da-DK"/>
        </w:rPr>
        <w:t>UNDP</w:t>
      </w:r>
      <w:r w:rsidRPr="006E6AAA">
        <w:rPr>
          <w:rFonts w:ascii="Calibri" w:eastAsia="Times New Roman" w:hAnsi="Calibri" w:cs="Times New Roman"/>
          <w:lang w:eastAsia="da-DK"/>
        </w:rPr>
        <w:t xml:space="preserve"> United Nations Development Programme</w:t>
      </w: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rPr>
          <w:rFonts w:ascii="Calibri" w:eastAsia="Times New Roman" w:hAnsi="Calibri" w:cs="Times New Roman"/>
          <w:b/>
          <w:i/>
          <w:u w:val="single"/>
          <w:lang w:val="en-GB" w:eastAsia="da-DK"/>
        </w:rPr>
      </w:pPr>
      <w:r w:rsidRPr="006E6AAA">
        <w:rPr>
          <w:rFonts w:ascii="Calibri" w:eastAsia="Times New Roman" w:hAnsi="Calibri" w:cs="Times New Roman"/>
          <w:b/>
          <w:i/>
          <w:u w:val="single"/>
          <w:lang w:val="en-GB" w:eastAsia="da-DK"/>
        </w:rPr>
        <w:t>Acknowledgments</w:t>
      </w:r>
    </w:p>
    <w:p w:rsidR="006E6AAA" w:rsidRPr="006E6AAA" w:rsidRDefault="006E6AAA" w:rsidP="006E6AAA">
      <w:pPr>
        <w:spacing w:after="0" w:line="270" w:lineRule="atLeast"/>
        <w:rPr>
          <w:rFonts w:ascii="Calibri" w:eastAsia="Times New Roman" w:hAnsi="Calibri" w:cs="Times New Roman"/>
          <w:b/>
          <w:i/>
          <w:u w:val="single"/>
          <w:lang w:val="en-GB" w:eastAsia="da-DK"/>
        </w:rPr>
      </w:pPr>
    </w:p>
    <w:p w:rsidR="006E6AAA" w:rsidRPr="006E6AAA" w:rsidRDefault="006E6AAA" w:rsidP="006E6AAA">
      <w:pPr>
        <w:spacing w:after="0" w:line="270" w:lineRule="atLeast"/>
        <w:jc w:val="both"/>
        <w:rPr>
          <w:rFonts w:ascii="Times New Roman" w:eastAsia="Times New Roman" w:hAnsi="Times New Roman" w:cs="Times New Roman"/>
          <w:i/>
          <w:sz w:val="23"/>
          <w:szCs w:val="23"/>
          <w:lang w:eastAsia="da-DK"/>
        </w:rPr>
      </w:pPr>
      <w:r w:rsidRPr="006E6AAA">
        <w:rPr>
          <w:rFonts w:ascii="Times New Roman" w:eastAsia="Times New Roman" w:hAnsi="Times New Roman" w:cs="Times New Roman"/>
          <w:i/>
          <w:lang w:eastAsia="da-DK"/>
        </w:rPr>
        <w:t xml:space="preserve">It is with sincere gratitude that the consultant acknowledges the contributions of all the persons met during the evaluation process. Thanks are due to the UNDP Somalia staff for their </w:t>
      </w:r>
      <w:r w:rsidRPr="006E6AAA">
        <w:rPr>
          <w:rFonts w:ascii="Times New Roman" w:eastAsia="Times New Roman" w:hAnsi="Times New Roman" w:cs="Times New Roman"/>
          <w:i/>
          <w:sz w:val="23"/>
          <w:szCs w:val="23"/>
          <w:lang w:eastAsia="da-DK"/>
        </w:rPr>
        <w:t>support, commitment, good humor and the valuable comments and clarifications provided; most grateful appreciation is extended to the Somaliland partners and interviewees for their warm hospitality and for sharing their experiences.</w:t>
      </w:r>
    </w:p>
    <w:p w:rsidR="006E6AAA" w:rsidRPr="006E6AAA" w:rsidRDefault="006E6AAA" w:rsidP="006E6AAA">
      <w:pPr>
        <w:autoSpaceDE w:val="0"/>
        <w:autoSpaceDN w:val="0"/>
        <w:adjustRightInd w:val="0"/>
        <w:spacing w:after="0" w:line="360" w:lineRule="auto"/>
        <w:rPr>
          <w:rFonts w:ascii="Calibri" w:eastAsia="Times New Roman" w:hAnsi="Calibri" w:cs="Times New Roman"/>
          <w:b/>
          <w:color w:val="000080"/>
          <w:sz w:val="28"/>
          <w:szCs w:val="28"/>
          <w:u w:val="single"/>
          <w:lang w:eastAsia="da-DK"/>
        </w:rPr>
      </w:pPr>
      <w:r w:rsidRPr="006E6AAA">
        <w:rPr>
          <w:rFonts w:ascii="Calibri" w:eastAsia="Times New Roman" w:hAnsi="Calibri" w:cs="Times New Roman"/>
          <w:i/>
          <w:lang w:eastAsia="da-DK"/>
        </w:rPr>
        <w:br w:type="page"/>
      </w:r>
      <w:r w:rsidRPr="006E6AAA">
        <w:rPr>
          <w:rFonts w:ascii="Calibri" w:eastAsia="Times New Roman" w:hAnsi="Calibri" w:cs="Times New Roman"/>
          <w:b/>
          <w:color w:val="000080"/>
          <w:sz w:val="28"/>
          <w:szCs w:val="28"/>
          <w:u w:val="single"/>
          <w:lang w:eastAsia="da-DK"/>
        </w:rPr>
        <w:t>Executive Summary</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The present report is part of a broader evaluation commissioned by UNDP/BCPR to assess results, identify good practices and lessons learned in supporting mobile courts interventions across UNDP RoL programmes in post-conflict settings. In this framework mobile courts are defined as “formal courts that conduct proceedings in locations other than their home offices, usually in remote areas where no justice services are available”.</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 xml:space="preserve">As set forth in the </w:t>
      </w:r>
      <w:r w:rsidRPr="006E6AAA">
        <w:rPr>
          <w:rFonts w:ascii="Calibri" w:eastAsia="Times New Roman" w:hAnsi="Calibri" w:cs="ACaslon-Regular"/>
          <w:i/>
          <w:lang w:eastAsia="it-IT"/>
        </w:rPr>
        <w:t>TOR and further detailed in the Inception Report</w:t>
      </w:r>
      <w:r w:rsidRPr="006E6AAA">
        <w:rPr>
          <w:rFonts w:ascii="Calibri" w:eastAsia="Times New Roman" w:hAnsi="Calibri" w:cs="Times New Roman"/>
          <w:i/>
          <w:lang w:eastAsia="da-DK"/>
        </w:rPr>
        <w:t>, the evaluation includes a field visit of an international consultant to 3 selected COs (Sierra Leone, DRC and Somalia) and a</w:t>
      </w:r>
      <w:r w:rsidRPr="006E6AAA">
        <w:rPr>
          <w:rFonts w:ascii="Calibri" w:eastAsia="Times New Roman" w:hAnsi="Calibri" w:cs="Times New Roman"/>
          <w:i/>
          <w:lang w:val="en-GB" w:eastAsia="da-DK"/>
        </w:rPr>
        <w:t xml:space="preserve"> desk study on additional COs that are supporting Mobile Courts (Timor Leste and Central Africa).  </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b/>
          <w:i/>
          <w:lang w:eastAsia="da-DK"/>
        </w:rPr>
        <w:t>The present report presents the findings of the field visit to Somaliland</w:t>
      </w:r>
      <w:r w:rsidRPr="006E6AAA">
        <w:rPr>
          <w:rFonts w:ascii="Calibri" w:eastAsia="Times New Roman" w:hAnsi="Calibri" w:cs="Times New Roman"/>
          <w:i/>
          <w:lang w:eastAsia="da-DK"/>
        </w:rPr>
        <w:t>.</w:t>
      </w: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 xml:space="preserve">The 2003 “Law on the organization of the Judiciary” represents the </w:t>
      </w:r>
      <w:r w:rsidRPr="006E6AAA">
        <w:rPr>
          <w:rFonts w:ascii="Calibri" w:eastAsia="Times New Roman" w:hAnsi="Calibri" w:cs="Times New Roman"/>
          <w:b/>
          <w:i/>
          <w:lang w:eastAsia="da-DK"/>
        </w:rPr>
        <w:t>legal basis for mobile courts</w:t>
      </w:r>
      <w:r w:rsidRPr="006E6AAA">
        <w:rPr>
          <w:rFonts w:ascii="Calibri" w:eastAsia="Times New Roman" w:hAnsi="Calibri" w:cs="Times New Roman"/>
          <w:i/>
          <w:lang w:eastAsia="da-DK"/>
        </w:rPr>
        <w:t xml:space="preserve"> in Somaliland: it gives authority to the Supreme Court, the 6 Appeal Courts and the 6 Regional Courts to “hear cases in any place with in its territorial jurisdiction”. </w:t>
      </w:r>
      <w:r w:rsidRPr="006E6AAA">
        <w:rPr>
          <w:rFonts w:ascii="Calibri" w:eastAsia="Times New Roman" w:hAnsi="Calibri" w:cs="Times New Roman"/>
          <w:i/>
          <w:lang w:val="en-GB" w:eastAsia="da-DK"/>
        </w:rPr>
        <w:t xml:space="preserve">The legal basis could be strengthened by further detailing the modalities of the intervention on the model of the DRC 2013 “law on the organization of the Judiciary” that dedicates an entire Section to mobile courts. </w:t>
      </w: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spacing w:after="0" w:line="270" w:lineRule="atLeast"/>
        <w:jc w:val="both"/>
        <w:rPr>
          <w:rFonts w:ascii="Calibri" w:eastAsia="Times New Roman" w:hAnsi="Calibri" w:cs="Times New Roman"/>
          <w:b/>
          <w:i/>
          <w:lang w:eastAsia="da-DK"/>
        </w:rPr>
      </w:pPr>
      <w:r w:rsidRPr="006E6AAA">
        <w:rPr>
          <w:rFonts w:ascii="Calibri" w:eastAsia="Times New Roman" w:hAnsi="Calibri" w:cs="Times New Roman"/>
          <w:i/>
          <w:lang w:eastAsia="da-DK"/>
        </w:rPr>
        <w:t xml:space="preserve">UNDP is supporting mobile courts in 5 of the 6 regions of Somaliland and has to this end signed </w:t>
      </w:r>
      <w:r w:rsidRPr="006E6AAA">
        <w:rPr>
          <w:rFonts w:ascii="Calibri" w:eastAsia="Times New Roman" w:hAnsi="Calibri" w:cs="Times New Roman"/>
          <w:b/>
          <w:i/>
          <w:lang w:eastAsia="da-DK"/>
        </w:rPr>
        <w:t>4 Letters of Agreement</w:t>
      </w:r>
      <w:r w:rsidRPr="006E6AAA">
        <w:rPr>
          <w:rFonts w:ascii="Calibri" w:eastAsia="Times New Roman" w:hAnsi="Calibri" w:cs="Times New Roman"/>
          <w:i/>
          <w:lang w:eastAsia="da-DK"/>
        </w:rPr>
        <w:t xml:space="preserve"> (LoA) with the national partner (initially the Ministry of Justice and subsequently the Supreme Court). The total amount specifically allocated for mobile justice during the period 2008 -2012 is 321.000</w:t>
      </w:r>
      <w:r w:rsidRPr="006E6AAA">
        <w:rPr>
          <w:rFonts w:ascii="Calibri" w:eastAsia="Times New Roman" w:hAnsi="Calibri" w:cs="Times New Roman"/>
          <w:b/>
          <w:i/>
          <w:lang w:eastAsia="da-DK"/>
        </w:rPr>
        <w:t xml:space="preserve"> USD.</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Mobile courts in Somaliland are not following a regular and pre-established circuit of places to visit as in Sierra Leone, but </w:t>
      </w:r>
      <w:r w:rsidRPr="006E6AAA">
        <w:rPr>
          <w:rFonts w:ascii="Calibri" w:eastAsia="Times New Roman" w:hAnsi="Calibri" w:cs="Times New Roman"/>
          <w:b/>
          <w:i/>
          <w:lang w:eastAsia="da-DK"/>
        </w:rPr>
        <w:t xml:space="preserve">are organized on an ad hoc basis, as a response to specific needs. </w:t>
      </w:r>
      <w:r w:rsidRPr="006E6AAA">
        <w:rPr>
          <w:rFonts w:ascii="Calibri" w:eastAsia="Times New Roman" w:hAnsi="Calibri" w:cs="Times New Roman"/>
          <w:i/>
          <w:lang w:eastAsia="da-DK"/>
        </w:rPr>
        <w:t>Mobile courts hear in priority criminal cases (indicatively 80% of the caseload), but civil cases are also adjudicated, in particular land disputes.</w:t>
      </w:r>
    </w:p>
    <w:p w:rsidR="006E6AAA" w:rsidRPr="006E6AAA" w:rsidRDefault="006E6AAA" w:rsidP="006E6AAA">
      <w:pPr>
        <w:spacing w:after="0" w:line="270" w:lineRule="atLeast"/>
        <w:jc w:val="both"/>
        <w:rPr>
          <w:rFonts w:ascii="Calibri" w:eastAsia="Times New Roman" w:hAnsi="Calibri" w:cs="Times New Roman"/>
          <w:i/>
          <w:lang w:eastAsia="da-DK"/>
        </w:rPr>
      </w:pPr>
      <w:r w:rsidRPr="006E6AAA">
        <w:rPr>
          <w:rFonts w:ascii="Calibri" w:eastAsia="Times New Roman" w:hAnsi="Calibri" w:cs="Times New Roman"/>
          <w:i/>
          <w:lang w:eastAsia="da-DK"/>
        </w:rPr>
        <w:t>UNDP is the only international partner supporting mobile courts in Somaliland.</w:t>
      </w:r>
    </w:p>
    <w:p w:rsidR="006E6AAA" w:rsidRPr="006E6AAA" w:rsidRDefault="006E6AAA" w:rsidP="006E6AAA">
      <w:pPr>
        <w:spacing w:after="0" w:line="270" w:lineRule="atLeas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initiative has developed some </w:t>
      </w:r>
      <w:r w:rsidRPr="006E6AAA">
        <w:rPr>
          <w:rFonts w:ascii="Calibri" w:eastAsia="Times New Roman" w:hAnsi="Calibri" w:cs="Times New Roman"/>
          <w:b/>
          <w:i/>
          <w:u w:val="single"/>
          <w:lang w:eastAsia="da-DK"/>
        </w:rPr>
        <w:t>good practices</w:t>
      </w:r>
      <w:r w:rsidRPr="006E6AAA">
        <w:rPr>
          <w:rFonts w:ascii="Calibri" w:eastAsia="Times New Roman" w:hAnsi="Calibri" w:cs="Times New Roman"/>
          <w:i/>
          <w:lang w:eastAsia="da-DK"/>
        </w:rPr>
        <w:t>; to be noted the strong focus on monitoring activities, the good cooperation with the informal justice system (Xeer) and the excellent synergy with other UNDP A2J project components.</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Times New Roman" w:eastAsia="Times New Roman" w:hAnsi="Times New Roman" w:cs="Times New Roman"/>
          <w:i/>
          <w:sz w:val="23"/>
          <w:szCs w:val="20"/>
          <w:lang w:eastAsia="da-DK"/>
        </w:rPr>
      </w:pPr>
      <w:r w:rsidRPr="006E6AAA">
        <w:rPr>
          <w:rFonts w:ascii="Calibri" w:eastAsia="Times New Roman" w:hAnsi="Calibri" w:cs="Times New Roman"/>
          <w:b/>
          <w:i/>
          <w:u w:val="single"/>
          <w:lang w:eastAsia="da-DK"/>
        </w:rPr>
        <w:t>Challenges</w:t>
      </w:r>
      <w:r w:rsidRPr="006E6AAA">
        <w:rPr>
          <w:rFonts w:ascii="Calibri" w:eastAsia="Times New Roman" w:hAnsi="Calibri" w:cs="Times New Roman"/>
          <w:i/>
          <w:lang w:eastAsia="da-DK"/>
        </w:rPr>
        <w:t xml:space="preserve"> to the implementation of mobile courts include the lack of a national strategy as well as financial contribution from the Somaliland government; the frequent lack of legal representation and weak legal awareness of court users; the occasional interference of the elders in court decisions.</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70" w:lineRule="atLeast"/>
        <w:jc w:val="both"/>
        <w:rPr>
          <w:rFonts w:ascii="Calibri" w:eastAsia="Times New Roman" w:hAnsi="Calibri" w:cs="Times New Roman"/>
          <w:i/>
          <w:lang w:eastAsia="da-DK"/>
        </w:rPr>
      </w:pPr>
      <w:r w:rsidRPr="006E6AAA">
        <w:rPr>
          <w:rFonts w:ascii="Calibri" w:eastAsia="Times New Roman" w:hAnsi="Calibri" w:cs="Times New Roman"/>
          <w:i/>
          <w:u w:val="single"/>
          <w:lang w:eastAsia="da-DK"/>
        </w:rPr>
        <w:t>Key</w:t>
      </w:r>
      <w:r w:rsidRPr="006E6AAA">
        <w:rPr>
          <w:rFonts w:ascii="Calibri" w:eastAsia="Times New Roman" w:hAnsi="Calibri" w:cs="Times New Roman"/>
          <w:b/>
          <w:i/>
          <w:u w:val="single"/>
          <w:lang w:eastAsia="da-DK"/>
        </w:rPr>
        <w:t xml:space="preserve"> lessons learned</w:t>
      </w:r>
      <w:r w:rsidRPr="006E6AAA">
        <w:rPr>
          <w:rFonts w:ascii="Calibri" w:eastAsia="Times New Roman" w:hAnsi="Calibri" w:cs="Times New Roman"/>
          <w:i/>
          <w:lang w:eastAsia="da-DK"/>
        </w:rPr>
        <w:t xml:space="preserve"> include: </w:t>
      </w:r>
      <w:r w:rsidRPr="006E6AAA">
        <w:rPr>
          <w:rFonts w:ascii="Calibri" w:eastAsia="Times New Roman" w:hAnsi="Calibri" w:cs="Times New Roman"/>
          <w:b/>
          <w:i/>
          <w:lang w:eastAsia="da-DK"/>
        </w:rPr>
        <w:t>1)</w:t>
      </w:r>
      <w:r w:rsidRPr="006E6AAA">
        <w:rPr>
          <w:rFonts w:ascii="Calibri" w:eastAsia="Times New Roman" w:hAnsi="Calibri" w:cs="Times New Roman"/>
          <w:i/>
          <w:lang w:eastAsia="da-DK"/>
        </w:rPr>
        <w:t xml:space="preserve"> Mobile courts contribute to promote the development the formal justice system in remote areas where traditional justice is strongly prevalent; key to this achievement is the close cooperation with traditional leaders </w:t>
      </w:r>
      <w:r w:rsidRPr="006E6AAA">
        <w:rPr>
          <w:rFonts w:ascii="Calibri" w:eastAsia="Times New Roman" w:hAnsi="Calibri" w:cs="Times New Roman"/>
          <w:b/>
          <w:i/>
          <w:lang w:eastAsia="da-DK"/>
        </w:rPr>
        <w:t>2)</w:t>
      </w:r>
      <w:r w:rsidRPr="006E6AAA">
        <w:rPr>
          <w:rFonts w:ascii="Calibri" w:eastAsia="Times New Roman" w:hAnsi="Calibri" w:cs="Times New Roman"/>
          <w:i/>
          <w:lang w:eastAsia="da-DK"/>
        </w:rPr>
        <w:t xml:space="preserve"> Mobile trials are opportunities to introduce formal justice mechanisms to the communities and to offer an alternative to the traditional justice system </w:t>
      </w:r>
      <w:r w:rsidRPr="006E6AAA">
        <w:rPr>
          <w:rFonts w:ascii="Calibri" w:eastAsia="Times New Roman" w:hAnsi="Calibri" w:cs="Times New Roman"/>
          <w:b/>
          <w:i/>
          <w:lang w:eastAsia="da-DK"/>
        </w:rPr>
        <w:t>3)</w:t>
      </w:r>
      <w:r w:rsidRPr="006E6AAA">
        <w:rPr>
          <w:rFonts w:ascii="Calibri" w:eastAsia="Times New Roman" w:hAnsi="Calibri" w:cs="Times New Roman"/>
          <w:i/>
          <w:lang w:eastAsia="da-DK"/>
        </w:rPr>
        <w:t xml:space="preserve"> the inclusion of  female staff among mobile court teams encourages women to access mobile courts and inspires changes in the cultural norms that restrict the participation of Somali women in public life and decision making  </w:t>
      </w:r>
      <w:r w:rsidRPr="006E6AAA">
        <w:rPr>
          <w:rFonts w:ascii="Calibri" w:eastAsia="Times New Roman" w:hAnsi="Calibri" w:cs="Times New Roman"/>
          <w:b/>
          <w:i/>
          <w:lang w:eastAsia="da-DK"/>
        </w:rPr>
        <w:t>4)</w:t>
      </w:r>
      <w:r w:rsidRPr="006E6AAA">
        <w:rPr>
          <w:rFonts w:ascii="Calibri" w:eastAsia="Times New Roman" w:hAnsi="Calibri" w:cs="Times New Roman"/>
          <w:i/>
          <w:lang w:eastAsia="da-DK"/>
        </w:rPr>
        <w:t xml:space="preserve"> annual “mobile court review workshop” where justice actors operating in different Regions meet and share experiences are effective fora to strengthen coordination within the Judiciary.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Calibri"/>
          <w:i/>
          <w:lang w:eastAsia="da-DK"/>
        </w:rPr>
      </w:pPr>
      <w:r w:rsidRPr="006E6AAA">
        <w:rPr>
          <w:rFonts w:ascii="Calibri" w:eastAsia="Times New Roman" w:hAnsi="Calibri" w:cs="Times New Roman"/>
          <w:i/>
          <w:lang w:eastAsia="da-DK"/>
        </w:rPr>
        <w:t xml:space="preserve">The evaluation concludes that UNDP’s support to mobile courts in Somaliland is contributing to gradually improve decentralized justice service delivery, although the focus on </w:t>
      </w:r>
      <w:r w:rsidRPr="006E6AAA">
        <w:rPr>
          <w:rFonts w:ascii="Calibri" w:eastAsia="Times New Roman" w:hAnsi="Calibri" w:cs="Calibri"/>
          <w:i/>
          <w:lang w:eastAsia="da-DK"/>
        </w:rPr>
        <w:t xml:space="preserve">activities targeting mobile court users to better understand their rights and legal procedures could be reinforced in a stronger access to justice approach.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w:t>
      </w:r>
      <w:r w:rsidRPr="006E6AAA">
        <w:rPr>
          <w:rFonts w:ascii="Calibri" w:eastAsia="Times New Roman" w:hAnsi="Calibri" w:cs="Times New Roman"/>
          <w:b/>
          <w:i/>
          <w:u w:val="single"/>
          <w:lang w:eastAsia="da-DK"/>
        </w:rPr>
        <w:t>main findings</w:t>
      </w:r>
      <w:r w:rsidRPr="006E6AAA">
        <w:rPr>
          <w:rFonts w:ascii="Calibri" w:eastAsia="Times New Roman" w:hAnsi="Calibri" w:cs="Times New Roman"/>
          <w:i/>
          <w:lang w:eastAsia="da-DK"/>
        </w:rPr>
        <w:t xml:space="preserve"> for each evaluation criteria are summarized below. </w:t>
      </w:r>
    </w:p>
    <w:p w:rsidR="006E6AAA" w:rsidRPr="006E6AAA" w:rsidRDefault="006E6AAA" w:rsidP="006E6AAA">
      <w:pPr>
        <w:spacing w:after="0" w:line="280" w:lineRule="exact"/>
        <w:jc w:val="both"/>
        <w:rPr>
          <w:rFonts w:ascii="Calibri" w:eastAsia="Times New Roman" w:hAnsi="Calibri" w:cs="Times New Roman"/>
          <w:b/>
          <w:smallCaps/>
          <w:lang w:eastAsia="da-DK"/>
        </w:rPr>
      </w:pPr>
    </w:p>
    <w:p w:rsidR="006E6AAA" w:rsidRPr="006E6AAA" w:rsidRDefault="006E6AAA" w:rsidP="006E6AAA">
      <w:pPr>
        <w:spacing w:after="0" w:line="280" w:lineRule="exact"/>
        <w:jc w:val="both"/>
        <w:rPr>
          <w:rFonts w:ascii="Calibri" w:eastAsia="Times New Roman" w:hAnsi="Calibri" w:cs="Times New Roman"/>
          <w:b/>
          <w:i/>
          <w:smallCaps/>
          <w:color w:val="333399"/>
          <w:sz w:val="28"/>
          <w:szCs w:val="28"/>
          <w:lang w:eastAsia="da-DK"/>
        </w:rPr>
      </w:pPr>
      <w:r w:rsidRPr="006E6AAA">
        <w:rPr>
          <w:rFonts w:ascii="Calibri" w:eastAsia="Times New Roman" w:hAnsi="Calibri" w:cs="Times New Roman"/>
          <w:b/>
          <w:i/>
          <w:smallCaps/>
          <w:color w:val="333399"/>
          <w:sz w:val="28"/>
          <w:szCs w:val="28"/>
          <w:lang w:eastAsia="da-DK"/>
        </w:rPr>
        <w:t>relevance</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Mobile courts are aligned with national justice sector strategies</w:t>
      </w:r>
      <w:r w:rsidRPr="006E6AAA">
        <w:rPr>
          <w:rFonts w:ascii="Calibri" w:eastAsia="Times New Roman" w:hAnsi="Calibri" w:cs="Times New Roman"/>
          <w:i/>
          <w:lang w:val="en-GB" w:eastAsia="da-DK"/>
        </w:rPr>
        <w:t xml:space="preserve"> and they are rooted in the Somaliland legal system; the legal basis could be further detailed. </w:t>
      </w:r>
      <w:r w:rsidRPr="006E6AAA">
        <w:rPr>
          <w:rFonts w:ascii="Calibri" w:eastAsia="Times New Roman" w:hAnsi="Calibri" w:cs="Times New Roman"/>
          <w:i/>
          <w:lang w:eastAsia="da-DK"/>
        </w:rPr>
        <w:t xml:space="preserve">Mobile courts have been supported in full respect of the principle of national ownership and were found to be relevant by partners and other key stakeholders. </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val="en-GB" w:eastAsia="da-DK"/>
        </w:rPr>
        <w:t xml:space="preserve">The context in which MC operate seems to gradually become more responsive to women needs; </w:t>
      </w:r>
      <w:r w:rsidRPr="006E6AAA">
        <w:rPr>
          <w:rFonts w:ascii="Calibri" w:eastAsia="Times New Roman" w:hAnsi="Calibri" w:cs="Times New Roman"/>
          <w:i/>
          <w:lang w:eastAsia="da-DK"/>
        </w:rPr>
        <w:t>the role of women in accessing MC and the presence of female legal professionals is still to be strengthened</w:t>
      </w:r>
      <w:r w:rsidRPr="006E6AAA">
        <w:rPr>
          <w:rFonts w:ascii="Calibri" w:eastAsia="Times New Roman" w:hAnsi="Calibri" w:cs="Times New Roman"/>
          <w:i/>
          <w:lang w:val="en-GB" w:eastAsia="da-DK"/>
        </w:rPr>
        <w:t>. For SGBV cases the biggest challenge is the withdrawal from the courts in order to be settled by the elders outside the formal system; the option of establishing gender mobile courts does not seem to be appropriate for the Somali context.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smallCaps/>
          <w:color w:val="333399"/>
          <w:sz w:val="28"/>
          <w:szCs w:val="28"/>
          <w:lang w:eastAsia="da-DK"/>
        </w:rPr>
      </w:pPr>
      <w:r w:rsidRPr="006E6AAA">
        <w:rPr>
          <w:rFonts w:ascii="Calibri" w:eastAsia="Times New Roman" w:hAnsi="Calibri" w:cs="Times New Roman"/>
          <w:b/>
          <w:i/>
          <w:smallCaps/>
          <w:color w:val="333399"/>
          <w:sz w:val="28"/>
          <w:szCs w:val="28"/>
          <w:lang w:eastAsia="da-DK"/>
        </w:rPr>
        <w:t>effectiveness</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 xml:space="preserve">MC are supported by UNDP since 2008 and have been planned in the framework of 4 consecutive Letters of Agreement (LoA). The current MC model </w:t>
      </w:r>
      <w:r w:rsidRPr="006E6AAA">
        <w:rPr>
          <w:rFonts w:ascii="Calibri" w:eastAsia="Times New Roman" w:hAnsi="Calibri" w:cs="Times New Roman"/>
          <w:i/>
          <w:lang w:val="en-GB" w:eastAsia="da-DK"/>
        </w:rPr>
        <w:t xml:space="preserve">“on demand” has not allowed to plan the initiative as effectively as in “circuit court” models. Important efforts were undertaken in monitoring the system; the lack of a database to consolidate the collected information remains a challenge to </w:t>
      </w:r>
      <w:r w:rsidRPr="006E6AAA">
        <w:rPr>
          <w:rFonts w:ascii="Calibri" w:eastAsia="Times New Roman" w:hAnsi="Calibri" w:cs="Times New Roman"/>
          <w:i/>
          <w:lang w:eastAsia="da-DK"/>
        </w:rPr>
        <w:t>measure progress towards set targets.</w:t>
      </w:r>
    </w:p>
    <w:p w:rsidR="006E6AAA" w:rsidRPr="006E6AAA" w:rsidRDefault="006E6AAA" w:rsidP="006E6AAA">
      <w:pPr>
        <w:spacing w:after="0" w:line="280" w:lineRule="exact"/>
        <w:jc w:val="both"/>
        <w:rPr>
          <w:rFonts w:ascii="Calibri" w:eastAsia="Times New Roman" w:hAnsi="Calibri" w:cs="Times New Roman"/>
          <w:i/>
          <w:lang w:val="en" w:eastAsia="da-DK"/>
        </w:rPr>
      </w:pPr>
      <w:r w:rsidRPr="006E6AAA">
        <w:rPr>
          <w:rFonts w:ascii="Calibri" w:eastAsia="Times New Roman" w:hAnsi="Calibri" w:cs="Times New Roman"/>
          <w:i/>
          <w:lang w:val="en-GB" w:eastAsia="da-DK"/>
        </w:rPr>
        <w:t>Satisfactory results</w:t>
      </w:r>
      <w:r w:rsidRPr="006E6AAA">
        <w:rPr>
          <w:rFonts w:ascii="Calibri" w:eastAsia="Times New Roman" w:hAnsi="Calibri" w:cs="Times New Roman"/>
          <w:i/>
          <w:lang w:eastAsia="da-DK"/>
        </w:rPr>
        <w:t xml:space="preserve"> have been achieved. </w:t>
      </w:r>
      <w:r w:rsidRPr="006E6AAA">
        <w:rPr>
          <w:rFonts w:ascii="Calibri" w:eastAsia="Times New Roman" w:hAnsi="Calibri" w:cs="Times New Roman"/>
          <w:b/>
          <w:i/>
          <w:lang w:val="en-GB" w:eastAsia="da-DK"/>
        </w:rPr>
        <w:t xml:space="preserve">1.579 cases were filed </w:t>
      </w:r>
      <w:r w:rsidRPr="006E6AAA">
        <w:rPr>
          <w:rFonts w:ascii="Calibri" w:eastAsia="Times New Roman" w:hAnsi="Calibri" w:cs="Times New Roman"/>
          <w:i/>
          <w:lang w:val="en-GB" w:eastAsia="da-DK"/>
        </w:rPr>
        <w:t xml:space="preserve">by the MC system since the beginning of the project in 2008 and the total number of cases heard by mobile courts in the five regions </w:t>
      </w:r>
      <w:r w:rsidRPr="006E6AAA">
        <w:rPr>
          <w:rFonts w:ascii="Calibri" w:eastAsia="Times New Roman" w:hAnsi="Calibri" w:cs="Times New Roman"/>
          <w:b/>
          <w:i/>
          <w:lang w:val="en-GB" w:eastAsia="da-DK"/>
        </w:rPr>
        <w:t>increased by 57% from 2009 to 2012</w:t>
      </w:r>
      <w:r w:rsidRPr="006E6AAA">
        <w:rPr>
          <w:rFonts w:ascii="Calibri" w:eastAsia="Times New Roman" w:hAnsi="Calibri" w:cs="Times New Roman"/>
          <w:i/>
          <w:lang w:val="en-GB" w:eastAsia="da-DK"/>
        </w:rPr>
        <w:t xml:space="preserve">. In 2010 the MC caseload represented 6.5 % of the total caseload for the formal justice system in Somaliland.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 xml:space="preserve">The campaign conducted by </w:t>
      </w:r>
      <w:r w:rsidRPr="006E6AAA">
        <w:rPr>
          <w:rFonts w:ascii="Calibri" w:eastAsia="Times New Roman" w:hAnsi="Calibri" w:cs="Times New Roman"/>
          <w:i/>
          <w:lang w:val="en-GB" w:eastAsia="da-DK"/>
        </w:rPr>
        <w:t>the University of Hargeisa (4 sessions of 7 days each in 2012) is to be noted as an exemplary coordination among the different components of the A2J project.</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The following aspects of the MC procedures could be improved: i) presence of defense lawyers ii) legal awareness of court users iii) coordination with police and prisons iv) policy for court fees exemption </w:t>
      </w:r>
    </w:p>
    <w:p w:rsidR="006E6AAA" w:rsidRPr="006E6AAA" w:rsidRDefault="006E6AAA" w:rsidP="006E6AAA">
      <w:pPr>
        <w:spacing w:after="0" w:line="280" w:lineRule="exact"/>
        <w:jc w:val="both"/>
        <w:rPr>
          <w:rFonts w:ascii="Calibri" w:eastAsia="Times New Roman" w:hAnsi="Calibri" w:cs="Times New Roman"/>
          <w:i/>
          <w:lang w:eastAsia="da-DK"/>
        </w:rPr>
      </w:pPr>
    </w:p>
    <w:p w:rsidR="006E6AAA" w:rsidRPr="006E6AAA" w:rsidRDefault="006E6AAA" w:rsidP="006E6AAA">
      <w:pPr>
        <w:spacing w:after="0" w:line="280" w:lineRule="exact"/>
        <w:jc w:val="both"/>
        <w:rPr>
          <w:rFonts w:ascii="Calibri" w:eastAsia="Times New Roman" w:hAnsi="Calibri" w:cs="Times New Roman"/>
          <w:b/>
          <w:i/>
          <w:smallCaps/>
          <w:color w:val="333399"/>
          <w:sz w:val="28"/>
          <w:szCs w:val="28"/>
          <w:lang w:eastAsia="da-DK"/>
        </w:rPr>
      </w:pPr>
      <w:r w:rsidRPr="006E6AAA">
        <w:rPr>
          <w:rFonts w:ascii="Calibri" w:eastAsia="Times New Roman" w:hAnsi="Calibri" w:cs="Times New Roman"/>
          <w:b/>
          <w:i/>
          <w:smallCaps/>
          <w:color w:val="333399"/>
          <w:sz w:val="28"/>
          <w:szCs w:val="28"/>
          <w:lang w:eastAsia="da-DK"/>
        </w:rPr>
        <w:t>efficiency</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Despite a clear engagement from the Somaliland government to financially contribute to the MC initiative, the system is currently dependent on UNDP for 90% of its budget. The MC initiative is cost- effective, although the financial resources could be allocated in a more effective way, in particular with regards to </w:t>
      </w:r>
      <w:r w:rsidRPr="006E6AAA">
        <w:rPr>
          <w:rFonts w:ascii="Calibri" w:eastAsia="Times New Roman" w:hAnsi="Calibri" w:cs="Times New Roman"/>
          <w:i/>
          <w:lang w:val="en-GB" w:eastAsia="da-DK"/>
        </w:rPr>
        <w:t xml:space="preserve">fuel, which represents 75% (241.000 USD) of the total UNDP contribution.. </w:t>
      </w:r>
      <w:r w:rsidRPr="006E6AAA">
        <w:rPr>
          <w:rFonts w:ascii="Calibri" w:eastAsia="Times New Roman" w:hAnsi="Calibri" w:cs="Times New Roman"/>
          <w:i/>
          <w:lang w:eastAsia="da-DK"/>
        </w:rPr>
        <w:t>Notable</w:t>
      </w:r>
      <w:r w:rsidRPr="006E6AAA">
        <w:rPr>
          <w:rFonts w:ascii="Calibri" w:eastAsia="Times New Roman" w:hAnsi="Calibri" w:cs="Times New Roman"/>
          <w:i/>
          <w:lang w:val="en-GB" w:eastAsia="da-DK"/>
        </w:rPr>
        <w:t xml:space="preserve"> efforts were undertaken to build the capacities of the Judiciary in financial reporting.</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val="en-GB" w:eastAsia="da-DK"/>
        </w:rPr>
        <w:t xml:space="preserve">UNDP is the only international partner that is supporting MC in Somalia. Exemplary coordination is in place among the different components of the UNDP A2J project. </w:t>
      </w:r>
      <w:r w:rsidRPr="006E6AAA">
        <w:rPr>
          <w:rFonts w:ascii="Calibri" w:eastAsia="Times New Roman" w:hAnsi="Calibri" w:cs="Times New Roman"/>
          <w:i/>
          <w:lang w:eastAsia="da-DK"/>
        </w:rPr>
        <w:t xml:space="preserve">Coordination among justice and security actors appears weak and no formal mechanism to promote linkages seems in place. </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Synergies</w:t>
      </w:r>
      <w:r w:rsidRPr="006E6AAA">
        <w:rPr>
          <w:rFonts w:ascii="Calibri" w:eastAsia="Times New Roman" w:hAnsi="Calibri" w:cs="Times New Roman"/>
          <w:i/>
          <w:lang w:val="en-GB" w:eastAsia="da-DK"/>
        </w:rPr>
        <w:t xml:space="preserve"> and mutual cooperation with the elders have been promoted by MC teams and should </w:t>
      </w:r>
      <w:r w:rsidRPr="006E6AAA">
        <w:rPr>
          <w:rFonts w:ascii="Calibri" w:eastAsia="Times New Roman" w:hAnsi="Calibri" w:cs="Times New Roman"/>
          <w:i/>
          <w:lang w:eastAsia="da-DK"/>
        </w:rPr>
        <w:t>be noted, in terms of coordination, as one of the best practices of the Somaliland experience.</w:t>
      </w:r>
    </w:p>
    <w:p w:rsidR="006E6AAA" w:rsidRPr="006E6AAA" w:rsidRDefault="006E6AAA" w:rsidP="006E6AAA">
      <w:pPr>
        <w:spacing w:after="0" w:line="280" w:lineRule="exact"/>
        <w:jc w:val="both"/>
        <w:rPr>
          <w:rFonts w:ascii="Calibri" w:eastAsia="Times New Roman" w:hAnsi="Calibri" w:cs="Times New Roman"/>
          <w:b/>
          <w:i/>
          <w:smallCaps/>
          <w:lang w:val="en-GB" w:eastAsia="da-DK"/>
        </w:rPr>
      </w:pPr>
    </w:p>
    <w:p w:rsidR="006E6AAA" w:rsidRPr="006E6AAA" w:rsidRDefault="006E6AAA" w:rsidP="006E6AAA">
      <w:pPr>
        <w:spacing w:after="0" w:line="280" w:lineRule="exact"/>
        <w:jc w:val="both"/>
        <w:rPr>
          <w:rFonts w:ascii="Calibri" w:eastAsia="Times New Roman" w:hAnsi="Calibri" w:cs="Times New Roman"/>
          <w:b/>
          <w:i/>
          <w:smallCaps/>
          <w:color w:val="333399"/>
          <w:sz w:val="28"/>
          <w:szCs w:val="28"/>
          <w:lang w:eastAsia="da-DK"/>
        </w:rPr>
      </w:pPr>
      <w:r w:rsidRPr="006E6AAA">
        <w:rPr>
          <w:rFonts w:ascii="Calibri" w:eastAsia="Times New Roman" w:hAnsi="Calibri" w:cs="Times New Roman"/>
          <w:b/>
          <w:i/>
          <w:smallCaps/>
          <w:color w:val="333399"/>
          <w:sz w:val="28"/>
          <w:szCs w:val="28"/>
          <w:lang w:eastAsia="da-DK"/>
        </w:rPr>
        <w:t xml:space="preserve">sustanablity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Some of the preconditions for the MC system to continue without international support are in place, in particular the fact that they are implemented independently under the lead of the Judiciary and having recourse to only local capacities; in addition MC are well accepted by the elders and rooted in the Somali traditions.</w:t>
      </w:r>
    </w:p>
    <w:p w:rsidR="006E6AAA" w:rsidRPr="006E6AAA" w:rsidRDefault="006E6AAA" w:rsidP="006E6AAA">
      <w:pPr>
        <w:spacing w:after="0" w:line="280" w:lineRule="exact"/>
        <w:jc w:val="both"/>
        <w:rPr>
          <w:rFonts w:ascii="Calibri" w:eastAsia="Times New Roman" w:hAnsi="Calibri" w:cs="Times New Roman"/>
          <w:b/>
          <w:i/>
          <w:lang w:eastAsia="da-DK"/>
        </w:rPr>
      </w:pPr>
      <w:r w:rsidRPr="006E6AAA">
        <w:rPr>
          <w:rFonts w:ascii="Calibri" w:eastAsia="Times New Roman" w:hAnsi="Calibri" w:cs="Times New Roman"/>
          <w:i/>
          <w:lang w:eastAsia="da-DK"/>
        </w:rPr>
        <w:t>MCs are gradually evolving towards a sustainable initiative from a technical point of view; however in practice, due to the lack of financial contributions from the government, it is unlikely that MC will continue independently from UNDP’s support in the coming years, at least to the same extent as the current system.</w:t>
      </w:r>
    </w:p>
    <w:p w:rsidR="006E6AAA" w:rsidRPr="006E6AAA" w:rsidRDefault="006E6AAA" w:rsidP="006E6AAA">
      <w:pPr>
        <w:spacing w:after="0" w:line="280" w:lineRule="exact"/>
        <w:jc w:val="both"/>
        <w:rPr>
          <w:rFonts w:ascii="Calibri" w:eastAsia="Times New Roman" w:hAnsi="Calibri" w:cs="Times New Roman"/>
          <w:b/>
          <w:i/>
          <w:smallCaps/>
          <w:lang w:eastAsia="da-DK"/>
        </w:rPr>
      </w:pPr>
    </w:p>
    <w:p w:rsidR="006E6AAA" w:rsidRPr="006E6AAA" w:rsidRDefault="006E6AAA" w:rsidP="006E6AAA">
      <w:pPr>
        <w:spacing w:after="0" w:line="280" w:lineRule="exact"/>
        <w:jc w:val="both"/>
        <w:rPr>
          <w:rFonts w:ascii="Calibri" w:eastAsia="Times New Roman" w:hAnsi="Calibri" w:cs="Times New Roman"/>
          <w:b/>
          <w:i/>
          <w:smallCaps/>
          <w:lang w:eastAsia="da-DK"/>
        </w:rPr>
      </w:pPr>
    </w:p>
    <w:p w:rsidR="006E6AAA" w:rsidRPr="006E6AAA" w:rsidRDefault="006E6AAA" w:rsidP="006E6AAA">
      <w:pPr>
        <w:spacing w:after="0" w:line="280" w:lineRule="exact"/>
        <w:jc w:val="both"/>
        <w:rPr>
          <w:rFonts w:ascii="Calibri" w:eastAsia="Times New Roman" w:hAnsi="Calibri" w:cs="Times New Roman"/>
          <w:b/>
          <w:i/>
          <w:smallCaps/>
          <w:color w:val="333399"/>
          <w:sz w:val="28"/>
          <w:szCs w:val="28"/>
          <w:lang w:eastAsia="da-DK"/>
        </w:rPr>
      </w:pPr>
      <w:r w:rsidRPr="006E6AAA">
        <w:rPr>
          <w:rFonts w:ascii="Calibri" w:eastAsia="Times New Roman" w:hAnsi="Calibri" w:cs="Times New Roman"/>
          <w:b/>
          <w:i/>
          <w:smallCaps/>
          <w:color w:val="333399"/>
          <w:sz w:val="28"/>
          <w:szCs w:val="28"/>
          <w:lang w:eastAsia="da-DK"/>
        </w:rPr>
        <w:t xml:space="preserve">impact </w:t>
      </w: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eastAsia="da-DK"/>
        </w:rPr>
        <w:t>MC have fostered positive changes for the population, included: reduced conflict in the communities, reduced costs of travelling to courts,</w:t>
      </w:r>
      <w:r w:rsidRPr="006E6AAA">
        <w:rPr>
          <w:rFonts w:ascii="Calibri" w:eastAsia="Times New Roman" w:hAnsi="Calibri" w:cs="Times New Roman"/>
          <w:i/>
          <w:lang w:val="en-GB" w:eastAsia="da-DK"/>
        </w:rPr>
        <w:t xml:space="preserve"> </w:t>
      </w:r>
      <w:r w:rsidRPr="006E6AAA">
        <w:rPr>
          <w:rFonts w:ascii="Calibri" w:eastAsia="Times New Roman" w:hAnsi="Calibri" w:cs="Times New Roman"/>
          <w:i/>
          <w:lang w:eastAsia="da-DK"/>
        </w:rPr>
        <w:t>possibility of an alternative</w:t>
      </w:r>
      <w:r w:rsidRPr="006E6AAA">
        <w:rPr>
          <w:rFonts w:ascii="Calibri" w:eastAsia="Times New Roman" w:hAnsi="Calibri" w:cs="Times New Roman"/>
          <w:i/>
          <w:lang w:val="en-GB" w:eastAsia="da-DK"/>
        </w:rPr>
        <w:t xml:space="preserve"> to the dispute resolution mechanisms overseen by the elders. </w:t>
      </w:r>
      <w:r w:rsidRPr="006E6AAA">
        <w:rPr>
          <w:rFonts w:ascii="Calibri" w:eastAsia="Times New Roman" w:hAnsi="Calibri" w:cs="Times New Roman"/>
          <w:i/>
          <w:lang w:eastAsia="da-DK"/>
        </w:rPr>
        <w:t>Mobile courts have yet had a limited, although growing, impact on increasing legal awareness among the rural population.</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val="en-GB" w:eastAsia="da-DK"/>
        </w:rPr>
        <w:t xml:space="preserve">The technical competences of the MC team members have improved and MC review workshops were important opportunities for the Judicial staff to meet as a group. </w:t>
      </w:r>
      <w:r w:rsidRPr="006E6AAA">
        <w:rPr>
          <w:rFonts w:ascii="Calibri" w:eastAsia="Times New Roman" w:hAnsi="Calibri" w:cs="Times New Roman"/>
          <w:i/>
          <w:lang w:eastAsia="da-DK"/>
        </w:rPr>
        <w:t xml:space="preserve">The role of the formal justice system in remote areas has been strengthened. </w:t>
      </w: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val="en-GB" w:eastAsia="da-DK"/>
        </w:rPr>
        <w:t>The contribution</w:t>
      </w:r>
      <w:r w:rsidRPr="006E6AAA">
        <w:rPr>
          <w:rFonts w:ascii="Calibri" w:eastAsia="Times New Roman" w:hAnsi="Calibri" w:cs="Times New Roman"/>
          <w:i/>
          <w:lang w:eastAsia="da-DK"/>
        </w:rPr>
        <w:t xml:space="preserve"> of MCs to the prosecution of international crimes is limited as the issue is not relevant for Somaliland and currently at a very early stage in South Central.    </w:t>
      </w:r>
    </w:p>
    <w:p w:rsidR="006E6AAA" w:rsidRPr="006E6AAA" w:rsidRDefault="006E6AAA" w:rsidP="006E6AAA">
      <w:pPr>
        <w:autoSpaceDE w:val="0"/>
        <w:autoSpaceDN w:val="0"/>
        <w:adjustRightInd w:val="0"/>
        <w:spacing w:after="0" w:line="280" w:lineRule="exact"/>
        <w:jc w:val="both"/>
        <w:rPr>
          <w:rFonts w:ascii="Calibri" w:eastAsia="Times New Roman" w:hAnsi="Calibri" w:cs="Utopia-Regular"/>
          <w:b/>
          <w:i/>
          <w:sz w:val="24"/>
          <w:szCs w:val="24"/>
          <w:u w:val="single"/>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 xml:space="preserve">Key </w:t>
      </w:r>
      <w:r w:rsidRPr="006E6AAA">
        <w:rPr>
          <w:rFonts w:ascii="Calibri" w:eastAsia="Times New Roman" w:hAnsi="Calibri" w:cs="Times New Roman"/>
          <w:b/>
          <w:i/>
          <w:u w:val="single"/>
          <w:lang w:eastAsia="da-DK"/>
        </w:rPr>
        <w:t>recommendations</w:t>
      </w:r>
      <w:r w:rsidRPr="006E6AAA">
        <w:rPr>
          <w:rFonts w:ascii="Calibri" w:eastAsia="Times New Roman" w:hAnsi="Calibri" w:cs="Times New Roman"/>
          <w:i/>
          <w:lang w:eastAsia="da-DK"/>
        </w:rPr>
        <w:t xml:space="preserve"> directed at UNDP and the Judiciary are further detailed in the body of the report and include:</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Strengthen the legal basis for MC</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Improve the planning of MC, gradually shaping them as a circuit court model</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Complete the monitoring framework</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Promote legal awareness and understating of MC procedures for the population</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Improve the quality of MC services</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Continue to promote the sustainability of the MC system</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Strengthen the prosecution of SGBV cases and gender/child mainstreaming</w:t>
      </w:r>
    </w:p>
    <w:p w:rsidR="006E6AAA" w:rsidRPr="006E6AAA" w:rsidRDefault="006E6AAA" w:rsidP="006E6AAA">
      <w:pPr>
        <w:numPr>
          <w:ilvl w:val="0"/>
          <w:numId w:val="57"/>
        </w:numPr>
        <w:spacing w:after="0" w:line="270" w:lineRule="atLeast"/>
        <w:rPr>
          <w:rFonts w:ascii="Calibri" w:eastAsia="Times New Roman" w:hAnsi="Calibri" w:cs="Times New Roman"/>
          <w:i/>
          <w:lang w:eastAsia="da-DK"/>
        </w:rPr>
      </w:pPr>
      <w:r w:rsidRPr="006E6AAA">
        <w:rPr>
          <w:rFonts w:ascii="Calibri" w:eastAsia="Times New Roman" w:hAnsi="Calibri" w:cs="Times New Roman"/>
          <w:i/>
          <w:lang w:eastAsia="da-DK"/>
        </w:rPr>
        <w:t xml:space="preserve">Assess the role of MCs in prosecuting international crimes </w:t>
      </w:r>
    </w:p>
    <w:p w:rsidR="006E6AAA" w:rsidRPr="006E6AAA" w:rsidRDefault="006E6AAA" w:rsidP="006E6AAA">
      <w:pPr>
        <w:spacing w:after="0" w:line="270" w:lineRule="atLeast"/>
        <w:rPr>
          <w:rFonts w:ascii="Calibri" w:eastAsia="Times New Roman" w:hAnsi="Calibri" w:cs="Times New Roman"/>
          <w:sz w:val="24"/>
          <w:szCs w:val="24"/>
          <w:lang w:eastAsia="da-DK"/>
        </w:rPr>
      </w:pPr>
      <w:r w:rsidRPr="006E6AAA">
        <w:rPr>
          <w:rFonts w:ascii="Calibri" w:eastAsia="Times New Roman" w:hAnsi="Calibri" w:cs="Times New Roman"/>
          <w:i/>
          <w:lang w:eastAsia="da-DK"/>
        </w:rPr>
        <w:br w:type="page"/>
      </w:r>
      <w:r w:rsidRPr="006E6AAA">
        <w:rPr>
          <w:rFonts w:ascii="Calibri" w:eastAsia="Times New Roman" w:hAnsi="Calibri" w:cs="Times New Roman"/>
          <w:b/>
          <w:color w:val="000080"/>
          <w:sz w:val="24"/>
          <w:szCs w:val="24"/>
          <w:lang w:eastAsia="da-DK"/>
        </w:rPr>
        <w:t>PART I: INTRODUCTION</w:t>
      </w: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70" w:lineRule="atLeast"/>
        <w:jc w:val="both"/>
        <w:rPr>
          <w:rFonts w:ascii="Calibri" w:eastAsia="Times New Roman" w:hAnsi="Calibri" w:cs="Times New Roman"/>
          <w:lang w:eastAsia="da-DK"/>
        </w:rPr>
      </w:pPr>
      <w:r w:rsidRPr="006E6AAA">
        <w:rPr>
          <w:rFonts w:ascii="Calibri" w:eastAsia="Times New Roman" w:hAnsi="Calibri" w:cs="Times New Roman"/>
          <w:b/>
          <w:color w:val="000080"/>
          <w:lang w:eastAsia="da-DK"/>
        </w:rPr>
        <w:t>§ 1</w:t>
      </w:r>
      <w:r w:rsidRPr="006E6AAA">
        <w:rPr>
          <w:rFonts w:ascii="Calibri" w:eastAsia="Times New Roman" w:hAnsi="Calibri" w:cs="Times New Roman"/>
          <w:b/>
          <w:lang w:eastAsia="da-DK"/>
        </w:rPr>
        <w:t>. Background and rationale</w:t>
      </w:r>
      <w:r w:rsidRPr="006E6AAA">
        <w:rPr>
          <w:rFonts w:ascii="Calibri" w:eastAsia="Times New Roman" w:hAnsi="Calibri" w:cs="Times New Roman"/>
          <w:lang w:eastAsia="da-DK"/>
        </w:rPr>
        <w:t xml:space="preserve"> </w:t>
      </w: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Mobile Courts are defined for the purpose of the present report as “</w:t>
      </w:r>
      <w:r w:rsidRPr="006E6AAA">
        <w:rPr>
          <w:rFonts w:ascii="Calibri" w:eastAsia="Times New Roman" w:hAnsi="Calibri" w:cs="Times New Roman"/>
          <w:i/>
          <w:lang w:eastAsia="da-DK"/>
        </w:rPr>
        <w:t>formal courts that conduct proceedings in locations other than their home offices, usually in remote areas where no justice services are available</w:t>
      </w:r>
      <w:r w:rsidRPr="006E6AAA">
        <w:rPr>
          <w:rFonts w:ascii="Calibri" w:eastAsia="Times New Roman" w:hAnsi="Calibri" w:cs="Times New Roman"/>
          <w:lang w:eastAsia="da-DK"/>
        </w:rPr>
        <w:t xml:space="preserve">”. Trials are organized closer to the population by transferring the required justice actors (judge, prosecutor, court clerk, police officer and eventually legal aid lawyers) to remote locations with the main objective to facilitate access to justice, particularly for vulnerable groups who would not otherwise have the possibility to bring their cases before a formal court, often located miles away from their villages.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w:t>
      </w:r>
      <w:r w:rsidRPr="006E6AAA">
        <w:rPr>
          <w:rFonts w:ascii="Calibri" w:eastAsia="Times New Roman" w:hAnsi="Calibri" w:cs="Times New Roman"/>
          <w:lang w:val="en-GB" w:eastAsia="da-DK"/>
        </w:rPr>
        <w:t xml:space="preserve"> growing number of UNDP Country Offices (COs) that are supporting Mobile Courts interventions and the </w:t>
      </w:r>
      <w:r w:rsidRPr="006E6AAA">
        <w:rPr>
          <w:rFonts w:ascii="Calibri" w:eastAsia="Times New Roman" w:hAnsi="Calibri" w:cs="Times New Roman"/>
          <w:lang w:eastAsia="da-DK"/>
        </w:rPr>
        <w:t>lack of comprehensive studies specifically dedicated to this topic,</w:t>
      </w:r>
      <w:r w:rsidRPr="006E6AAA">
        <w:rPr>
          <w:rFonts w:ascii="Calibri" w:eastAsia="Times New Roman" w:hAnsi="Calibri" w:cs="Times New Roman"/>
          <w:lang w:val="en-GB" w:eastAsia="da-DK"/>
        </w:rPr>
        <w:t xml:space="preserve"> suggest that</w:t>
      </w:r>
      <w:r w:rsidRPr="006E6AAA">
        <w:rPr>
          <w:rFonts w:ascii="Calibri" w:eastAsia="Times New Roman" w:hAnsi="Calibri" w:cs="Times New Roman"/>
          <w:lang w:eastAsia="da-DK"/>
        </w:rPr>
        <w:t xml:space="preserve"> further analysis of the functioning and impact of mobile courts interventions and how UNDP supports these initiatives would be needed.</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Within this framework, BCPR is conducting an evaluation to </w:t>
      </w:r>
      <w:r w:rsidRPr="006E6AAA">
        <w:rPr>
          <w:rFonts w:ascii="Calibri" w:eastAsia="Times New Roman" w:hAnsi="Calibri" w:cs="Times New Roman"/>
          <w:lang w:eastAsia="da-DK"/>
        </w:rPr>
        <w:t xml:space="preserve">assess results, identify good practices and lessons learned in supporting mobile courts interventions across UNDP RoL programmes in post-conflict settings.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As set forth in the </w:t>
      </w:r>
      <w:r w:rsidRPr="006E6AAA">
        <w:rPr>
          <w:rFonts w:ascii="Calibri" w:eastAsia="Times New Roman" w:hAnsi="Calibri" w:cs="ACaslon-Regular"/>
          <w:lang w:eastAsia="it-IT"/>
        </w:rPr>
        <w:t>TOR</w:t>
      </w:r>
      <w:r w:rsidRPr="006E6AAA">
        <w:rPr>
          <w:rFonts w:ascii="Calibri" w:eastAsia="Times New Roman" w:hAnsi="Calibri" w:cs="ACaslon-Regular"/>
          <w:vertAlign w:val="superscript"/>
          <w:lang w:eastAsia="it-IT"/>
        </w:rPr>
        <w:footnoteReference w:id="73"/>
      </w:r>
      <w:r w:rsidRPr="006E6AAA">
        <w:rPr>
          <w:rFonts w:ascii="Calibri" w:eastAsia="Times New Roman" w:hAnsi="Calibri" w:cs="ACaslon-Regular"/>
          <w:lang w:eastAsia="it-IT"/>
        </w:rPr>
        <w:t xml:space="preserve"> and further detailed in the Inception Report</w:t>
      </w:r>
      <w:r w:rsidRPr="006E6AAA">
        <w:rPr>
          <w:rFonts w:ascii="Calibri" w:eastAsia="Times New Roman" w:hAnsi="Calibri" w:cs="Times New Roman"/>
          <w:vertAlign w:val="superscript"/>
          <w:lang w:eastAsia="da-DK"/>
        </w:rPr>
        <w:footnoteReference w:id="74"/>
      </w:r>
      <w:r w:rsidRPr="006E6AAA">
        <w:rPr>
          <w:rFonts w:ascii="Calibri" w:eastAsia="Times New Roman" w:hAnsi="Calibri" w:cs="Times New Roman"/>
          <w:lang w:eastAsia="da-DK"/>
        </w:rPr>
        <w:t>, the evaluation includes a field visit of an international consultant to 3 selected COs (Sierra Leone, DRC and Somalia) and a comprehensive</w:t>
      </w:r>
      <w:r w:rsidRPr="006E6AAA">
        <w:rPr>
          <w:rFonts w:ascii="Calibri" w:eastAsia="Times New Roman" w:hAnsi="Calibri" w:cs="Times New Roman"/>
          <w:lang w:val="en-GB" w:eastAsia="da-DK"/>
        </w:rPr>
        <w:t xml:space="preserve"> desk study on additional COs that are supporting Mobile Courts.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 present report presents the findings of the field visit to Somaliland.</w:t>
      </w: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70" w:lineRule="atLeas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2.</w:t>
      </w:r>
      <w:r w:rsidRPr="006E6AAA">
        <w:rPr>
          <w:rFonts w:ascii="Calibri" w:eastAsia="Times New Roman" w:hAnsi="Calibri" w:cs="Times New Roman"/>
          <w:b/>
          <w:lang w:eastAsia="da-DK"/>
        </w:rPr>
        <w:t xml:space="preserve"> Purpose and scope of work</w:t>
      </w: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present report is directed to UNDP/BCPR staff, the Judiciary, donors and has two main objectives:</w:t>
      </w:r>
    </w:p>
    <w:p w:rsidR="006E6AAA" w:rsidRPr="006E6AAA" w:rsidRDefault="006E6AAA" w:rsidP="006E6AAA">
      <w:pPr>
        <w:numPr>
          <w:ilvl w:val="0"/>
          <w:numId w:val="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Promoting joint accountability of the UNDP Country Office and the Somaliland government, respectively in supporting and implementing mobile courts interventions. </w:t>
      </w:r>
    </w:p>
    <w:p w:rsidR="006E6AAA" w:rsidRPr="006E6AAA" w:rsidRDefault="006E6AAA" w:rsidP="006E6AAA">
      <w:pPr>
        <w:numPr>
          <w:ilvl w:val="0"/>
          <w:numId w:val="3"/>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Building knowledge for better application of mobile courts interventions across BCPR’s Global ROL programme.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report is structured in 3 parts: the </w:t>
      </w:r>
      <w:r w:rsidRPr="006E6AAA">
        <w:rPr>
          <w:rFonts w:ascii="Calibri" w:eastAsia="Times New Roman" w:hAnsi="Calibri" w:cs="Times New Roman"/>
          <w:b/>
          <w:lang w:eastAsia="da-DK"/>
        </w:rPr>
        <w:t>first part</w:t>
      </w:r>
      <w:r w:rsidRPr="006E6AAA">
        <w:rPr>
          <w:rFonts w:ascii="Calibri" w:eastAsia="Times New Roman" w:hAnsi="Calibri" w:cs="Times New Roman"/>
          <w:lang w:eastAsia="da-DK"/>
        </w:rPr>
        <w:t xml:space="preserve"> presents a description of the methodology and a brief overview of the context; the </w:t>
      </w:r>
      <w:r w:rsidRPr="006E6AAA">
        <w:rPr>
          <w:rFonts w:ascii="Calibri" w:eastAsia="Times New Roman" w:hAnsi="Calibri" w:cs="Times New Roman"/>
          <w:b/>
          <w:lang w:eastAsia="da-DK"/>
        </w:rPr>
        <w:t>second part</w:t>
      </w:r>
      <w:r w:rsidRPr="006E6AAA">
        <w:rPr>
          <w:rFonts w:ascii="Calibri" w:eastAsia="Times New Roman" w:hAnsi="Calibri" w:cs="Times New Roman"/>
          <w:lang w:eastAsia="da-DK"/>
        </w:rPr>
        <w:t xml:space="preserve"> assesses the interventions against the criteria of relevance, effectiveness, efficiency, sustainability and impact; the </w:t>
      </w:r>
      <w:r w:rsidRPr="006E6AAA">
        <w:rPr>
          <w:rFonts w:ascii="Calibri" w:eastAsia="Times New Roman" w:hAnsi="Calibri" w:cs="Times New Roman"/>
          <w:b/>
          <w:lang w:eastAsia="da-DK"/>
        </w:rPr>
        <w:t>third part</w:t>
      </w:r>
      <w:r w:rsidRPr="006E6AAA">
        <w:rPr>
          <w:rFonts w:ascii="Calibri" w:eastAsia="Times New Roman" w:hAnsi="Calibri" w:cs="Times New Roman"/>
          <w:lang w:eastAsia="da-DK"/>
        </w:rPr>
        <w:t xml:space="preserve"> presents the conclusions and the recommendations.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3.</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 xml:space="preserve">Methodology and limitations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evaluation was conducted by an international consultant and consisted in a desk review phase followed by a mission to Somaliland from 06/05/2013 to 12/05/2013.</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desk review included an analysis of relevant documentation and discussions with the UNDP Project Manager to define the evaluation tools. (see list of reviewed literature in Annex 1)</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During the country visit, the consultant conducted interviews with about 20 key informants, including representatives of the Judiciary, Police and prison system, civil society organizations, international partners, mobile court users and UNDP staff. (see list of consulted persons in Annex 2)</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mission included a 1 day visit to </w:t>
      </w:r>
      <w:r w:rsidRPr="006E6AAA">
        <w:rPr>
          <w:rFonts w:ascii="Calibri" w:eastAsia="Times New Roman" w:hAnsi="Calibri" w:cs="Times New Roman"/>
          <w:i/>
          <w:lang w:val="en-GB" w:eastAsia="da-DK"/>
        </w:rPr>
        <w:t xml:space="preserve">Gabiley and Wajaale districts </w:t>
      </w:r>
      <w:r w:rsidRPr="006E6AAA">
        <w:rPr>
          <w:rFonts w:ascii="Calibri" w:eastAsia="Times New Roman" w:hAnsi="Calibri" w:cs="Times New Roman"/>
          <w:lang w:eastAsia="da-DK"/>
        </w:rPr>
        <w:t xml:space="preserve">to observe 3 mobile court sessions.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 draft report was submitted to the CO and BCPR for comments.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methodology of the evaluation was set out the Inception Report and consisted in a mixture of qualitative and quantitative research methods.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evaluation questions and sub-questions are defined in the Evaluation Matrix (see Annex 4) on the basis of the TOR and reflect the 5 criteria of relevance, effectiveness, efficiency, sustainability and impact.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Some constraints have affected the analysis of the project results, in particular:</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numPr>
          <w:ilvl w:val="0"/>
          <w:numId w:val="4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Despite a strong engagement of both UNDP and the Supreme Court in monitoring activities, a tool to consolidate court statistics is not yet available, so a detailed analysis of project results has not been possible for all project components.</w:t>
      </w:r>
    </w:p>
    <w:p w:rsidR="006E6AAA" w:rsidRPr="006E6AAA" w:rsidRDefault="006E6AAA" w:rsidP="006E6AAA">
      <w:pPr>
        <w:widowControl w:val="0"/>
        <w:numPr>
          <w:ilvl w:val="0"/>
          <w:numId w:val="41"/>
        </w:numPr>
        <w:spacing w:after="0" w:line="240" w:lineRule="auto"/>
        <w:contextualSpacing/>
        <w:jc w:val="both"/>
        <w:rPr>
          <w:rFonts w:ascii="Calibri" w:eastAsia="Calibri" w:hAnsi="Calibri" w:cs="Times New Roman"/>
          <w:i/>
          <w:lang w:val="en-GB"/>
        </w:rPr>
      </w:pPr>
      <w:r w:rsidRPr="006E6AAA">
        <w:rPr>
          <w:rFonts w:ascii="Calibri" w:eastAsia="Calibri" w:hAnsi="Calibri" w:cs="Times New Roman"/>
        </w:rPr>
        <w:t>Capacities in Somaliland are limited, although growing. A younger generation of legal practitioners is developing (</w:t>
      </w:r>
      <w:r w:rsidRPr="006E6AAA">
        <w:rPr>
          <w:rFonts w:ascii="Calibri" w:eastAsia="Calibri" w:hAnsi="Calibri" w:cs="Times New Roman"/>
          <w:i/>
        </w:rPr>
        <w:t>inter alia</w:t>
      </w:r>
      <w:r w:rsidRPr="006E6AAA">
        <w:rPr>
          <w:rFonts w:ascii="Calibri" w:eastAsia="Calibri" w:hAnsi="Calibri" w:cs="Times New Roman"/>
        </w:rPr>
        <w:t xml:space="preserve"> as a result of UNDP’s activities in the legal education field), but is yet still building its technical and management skills. In 2010 “</w:t>
      </w:r>
      <w:r w:rsidRPr="006E6AAA">
        <w:rPr>
          <w:rFonts w:ascii="Calibri" w:eastAsia="Calibri" w:hAnsi="Calibri" w:cs="Times New Roman"/>
          <w:i/>
          <w:lang w:val="en-GB"/>
        </w:rPr>
        <w:t xml:space="preserve">only 4% of the judiciary staff has received a formal legal education” </w:t>
      </w:r>
      <w:r w:rsidRPr="006E6AAA">
        <w:rPr>
          <w:rFonts w:ascii="Calibri" w:eastAsia="Calibri" w:hAnsi="Calibri" w:cs="Times New Roman"/>
          <w:i/>
          <w:vertAlign w:val="superscript"/>
          <w:lang w:val="en-GB"/>
        </w:rPr>
        <w:footnoteReference w:id="75"/>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70" w:lineRule="atLeas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4.</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Description of the evaluated intervention</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40" w:lineRule="auto"/>
        <w:jc w:val="both"/>
        <w:rPr>
          <w:rFonts w:ascii="Calibri" w:eastAsia="Times New Roman" w:hAnsi="Calibri" w:cs="Corbel"/>
          <w:lang w:eastAsia="it-IT"/>
        </w:rPr>
      </w:pPr>
      <w:r w:rsidRPr="006E6AAA">
        <w:rPr>
          <w:rFonts w:ascii="Calibri" w:eastAsia="Times New Roman" w:hAnsi="Calibri" w:cs="Times New Roman"/>
          <w:lang w:eastAsia="da-DK"/>
        </w:rPr>
        <w:t>UNDP’s support to mobile courts in Somalia is developed under the framework of the current “</w:t>
      </w:r>
      <w:r w:rsidRPr="006E6AAA">
        <w:rPr>
          <w:rFonts w:ascii="Calibri" w:eastAsia="Times New Roman" w:hAnsi="Calibri" w:cs="Times New Roman"/>
          <w:i/>
          <w:lang w:eastAsia="da-DK"/>
        </w:rPr>
        <w:t>Governance and rule of law programme in Somalia</w:t>
      </w:r>
      <w:r w:rsidRPr="006E6AAA">
        <w:rPr>
          <w:rFonts w:ascii="Calibri" w:eastAsia="Times New Roman" w:hAnsi="Calibri" w:cs="Times New Roman"/>
          <w:lang w:eastAsia="da-DK"/>
        </w:rPr>
        <w:t>”, and falls under the project “</w:t>
      </w:r>
      <w:r w:rsidRPr="006E6AAA">
        <w:rPr>
          <w:rFonts w:ascii="Calibri" w:eastAsia="Times New Roman" w:hAnsi="Calibri" w:cs="Times New Roman"/>
          <w:i/>
          <w:lang w:eastAsia="da-DK"/>
        </w:rPr>
        <w:t>Improving access to justice and the judicial system</w:t>
      </w:r>
      <w:r w:rsidRPr="006E6AAA">
        <w:rPr>
          <w:rFonts w:ascii="Calibri" w:eastAsia="Times New Roman" w:hAnsi="Calibri" w:cs="Times New Roman"/>
          <w:lang w:eastAsia="da-DK"/>
        </w:rPr>
        <w:t>”</w:t>
      </w:r>
      <w:r w:rsidRPr="006E6AAA">
        <w:rPr>
          <w:rFonts w:ascii="Calibri" w:eastAsia="Times New Roman" w:hAnsi="Calibri" w:cs="Times New Roman"/>
          <w:vertAlign w:val="superscript"/>
          <w:lang w:eastAsia="da-DK"/>
        </w:rPr>
        <w:footnoteReference w:id="76"/>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Mobile Courts have been implemented since 2008 with the support of UNDP in all three regions in Somalia, with distinct approaches that reflect the particular context of each region.</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r w:rsidRPr="006E6AAA">
        <w:rPr>
          <w:rFonts w:ascii="Calibri" w:eastAsia="Times New Roman" w:hAnsi="Calibri" w:cs="Times New Roman"/>
          <w:lang w:eastAsia="da-DK"/>
        </w:rPr>
        <w:t>In</w:t>
      </w:r>
      <w:r w:rsidRPr="006E6AAA">
        <w:rPr>
          <w:rFonts w:ascii="Calibri" w:eastAsia="Times New Roman" w:hAnsi="Calibri" w:cs="Times New Roman"/>
          <w:b/>
          <w:lang w:eastAsia="da-DK"/>
        </w:rPr>
        <w:t xml:space="preserve"> Somaliland</w:t>
      </w:r>
      <w:r w:rsidRPr="006E6AAA">
        <w:rPr>
          <w:rFonts w:ascii="Calibri" w:eastAsia="Times New Roman" w:hAnsi="Calibri" w:cs="Times New Roman"/>
          <w:lang w:eastAsia="da-DK"/>
        </w:rPr>
        <w:t xml:space="preserve">, where the context is most stable, MCs are implemented in the framework of a permanent court system established across the whole territory and under a National Justice Strategy. </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r w:rsidRPr="006E6AAA">
        <w:rPr>
          <w:rFonts w:ascii="Calibri" w:eastAsia="Times New Roman" w:hAnsi="Calibri" w:cs="Times New Roman"/>
          <w:lang w:eastAsia="da-DK"/>
        </w:rPr>
        <w:t xml:space="preserve">In </w:t>
      </w:r>
      <w:r w:rsidRPr="006E6AAA">
        <w:rPr>
          <w:rFonts w:ascii="Calibri" w:eastAsia="Times New Roman" w:hAnsi="Calibri" w:cs="Times New Roman"/>
          <w:b/>
          <w:lang w:eastAsia="da-DK"/>
        </w:rPr>
        <w:t>Puntland</w:t>
      </w:r>
      <w:r w:rsidRPr="006E6AAA">
        <w:rPr>
          <w:rFonts w:ascii="Calibri" w:eastAsia="Times New Roman" w:hAnsi="Calibri" w:cs="Times New Roman"/>
          <w:lang w:eastAsia="da-DK"/>
        </w:rPr>
        <w:t xml:space="preserve"> UNDP supports MC in a more fragile institutional framework as the basic justice structures are still being established and the security context is unstable.</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r w:rsidRPr="006E6AAA">
        <w:rPr>
          <w:rFonts w:ascii="Calibri" w:eastAsia="Times New Roman" w:hAnsi="Calibri" w:cs="Times New Roman"/>
          <w:lang w:eastAsia="da-DK"/>
        </w:rPr>
        <w:t xml:space="preserve">In </w:t>
      </w:r>
      <w:r w:rsidRPr="006E6AAA">
        <w:rPr>
          <w:rFonts w:ascii="Calibri" w:eastAsia="Times New Roman" w:hAnsi="Calibri" w:cs="Times New Roman"/>
          <w:b/>
          <w:lang w:eastAsia="da-DK"/>
        </w:rPr>
        <w:t>South Central</w:t>
      </w:r>
      <w:r w:rsidRPr="006E6AAA">
        <w:rPr>
          <w:rFonts w:ascii="Calibri" w:eastAsia="Times New Roman" w:hAnsi="Calibri" w:cs="Times New Roman"/>
          <w:lang w:eastAsia="da-DK"/>
        </w:rPr>
        <w:t xml:space="preserve"> MCs were successfully piloted in 2012 and are currently expanding as a stop-gap mechanism, meanwhile permanent courts are rehabilitated.</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scope of the present evaluation is limited to Somaliland and focuses on the specific activities identified under Letters of Agreement (LoA) signed between UNDP and the national partner (initially the Ministry of Justice and then the Supreme Court). </w:t>
      </w:r>
    </w:p>
    <w:p w:rsidR="006E6AAA" w:rsidRPr="006E6AAA" w:rsidRDefault="006E6AAA" w:rsidP="006E6AAA">
      <w:pPr>
        <w:autoSpaceDE w:val="0"/>
        <w:autoSpaceDN w:val="0"/>
        <w:adjustRightInd w:val="0"/>
        <w:spacing w:after="0" w:line="240" w:lineRule="auto"/>
        <w:jc w:val="both"/>
        <w:rPr>
          <w:rFonts w:ascii="Calibri" w:eastAsia="Times New Roman" w:hAnsi="Calibri" w:cs="Corbel"/>
          <w:lang w:eastAsia="it-IT"/>
        </w:rPr>
      </w:pPr>
      <w:r w:rsidRPr="006E6AAA">
        <w:rPr>
          <w:rFonts w:ascii="Calibri" w:eastAsia="Times New Roman" w:hAnsi="Calibri" w:cs="Times New Roman"/>
          <w:lang w:eastAsia="da-DK"/>
        </w:rPr>
        <w:t xml:space="preserve">4 LoA were signed between 2008 and 2012 for a total amount of </w:t>
      </w:r>
      <w:r w:rsidRPr="006E6AAA">
        <w:rPr>
          <w:rFonts w:ascii="Calibri" w:eastAsia="Times New Roman" w:hAnsi="Calibri" w:cs="Times New Roman"/>
          <w:b/>
          <w:lang w:eastAsia="da-DK"/>
        </w:rPr>
        <w:t xml:space="preserve">321.000 USD </w:t>
      </w:r>
      <w:r w:rsidRPr="006E6AAA">
        <w:rPr>
          <w:rFonts w:ascii="Calibri" w:eastAsia="Times New Roman" w:hAnsi="Calibri" w:cs="Times New Roman"/>
          <w:lang w:eastAsia="da-DK"/>
        </w:rPr>
        <w:t>specifically allocated for MC.</w:t>
      </w:r>
    </w:p>
    <w:p w:rsidR="006E6AAA" w:rsidRPr="006E6AAA" w:rsidRDefault="006E6AAA" w:rsidP="006E6AAA">
      <w:pPr>
        <w:autoSpaceDE w:val="0"/>
        <w:autoSpaceDN w:val="0"/>
        <w:adjustRightInd w:val="0"/>
        <w:spacing w:after="0" w:line="240" w:lineRule="auto"/>
        <w:jc w:val="both"/>
        <w:rPr>
          <w:rFonts w:ascii="Calibri" w:eastAsia="Times New Roman" w:hAnsi="Calibri" w:cs="Corbel"/>
          <w:lang w:eastAsia="it-IT"/>
        </w:rPr>
      </w:pPr>
    </w:p>
    <w:p w:rsidR="006E6AAA" w:rsidRPr="006E6AAA" w:rsidRDefault="006E6AAA" w:rsidP="006E6AAA">
      <w:pPr>
        <w:spacing w:after="0" w:line="270" w:lineRule="atLeast"/>
        <w:jc w:val="both"/>
        <w:rPr>
          <w:rFonts w:ascii="Calibri" w:eastAsia="Times New Roman" w:hAnsi="Calibri" w:cs="Times New Roman"/>
          <w:color w:val="FF0000"/>
          <w:lang w:val="en-GB" w:eastAsia="da-DK"/>
        </w:rPr>
      </w:pPr>
      <w:r w:rsidRPr="006E6AAA">
        <w:rPr>
          <w:rFonts w:ascii="Calibri" w:eastAsia="Times New Roman" w:hAnsi="Calibri" w:cs="Times New Roman"/>
          <w:lang w:eastAsia="da-DK"/>
        </w:rPr>
        <w:t>The main activities performed under the LoAs are summarized below.</w:t>
      </w:r>
      <w:r w:rsidRPr="006E6AAA">
        <w:rPr>
          <w:rFonts w:ascii="Calibri" w:eastAsia="Times New Roman" w:hAnsi="Calibri" w:cs="Times New Roman"/>
          <w:lang w:val="en-GB" w:eastAsia="da-DK"/>
        </w:rPr>
        <w:t xml:space="preserve"> </w:t>
      </w: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Supreme Court, 5 Appeal Courts and 5 Regional Courts ensure the implementation of Mobile Courts in their respective jurisdictions.</w:t>
      </w: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 delivers the required funds and technical assistance.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Somaliland government contributes to the MC budget</w:t>
      </w:r>
    </w:p>
    <w:p w:rsidR="006E6AAA" w:rsidRPr="006E6AAA" w:rsidRDefault="006E6AAA" w:rsidP="006E6AAA">
      <w:pPr>
        <w:numPr>
          <w:ilvl w:val="0"/>
          <w:numId w:val="21"/>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Supreme Court (MOJ during the first 2 LoAs) ensures the financial and narrative reporting.</w:t>
      </w:r>
    </w:p>
    <w:p w:rsidR="006E6AAA" w:rsidRPr="006E6AAA" w:rsidRDefault="006E6AAA" w:rsidP="006E6AAA">
      <w:pPr>
        <w:spacing w:after="0" w:line="280" w:lineRule="exact"/>
        <w:jc w:val="both"/>
        <w:rPr>
          <w:rFonts w:ascii="Calibri" w:eastAsia="Times New Roman" w:hAnsi="Calibri" w:cs="Times New Roman"/>
          <w:b/>
          <w:lang w:eastAsia="da-DK"/>
        </w:rPr>
      </w:pPr>
    </w:p>
    <w:p w:rsidR="006E6AAA" w:rsidRPr="006E6AAA" w:rsidRDefault="006E6AAA" w:rsidP="006E6AAA">
      <w:pPr>
        <w:spacing w:after="0" w:line="270" w:lineRule="atLeast"/>
        <w:jc w:val="both"/>
        <w:rPr>
          <w:rFonts w:ascii="Calibri" w:eastAsia="Times New Roman" w:hAnsi="Calibri" w:cs="Times New Roman"/>
          <w:lang w:eastAsia="da-DK"/>
        </w:rPr>
      </w:pPr>
    </w:p>
    <w:p w:rsidR="006E6AAA" w:rsidRPr="006E6AAA" w:rsidRDefault="006E6AAA" w:rsidP="006E6AAA">
      <w:pPr>
        <w:pBdr>
          <w:bottom w:val="single" w:sz="12" w:space="1" w:color="000080"/>
        </w:pBdr>
        <w:spacing w:after="0" w:line="270" w:lineRule="atLeas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5.</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The structure of the formal court system in Somaliland</w:t>
      </w:r>
    </w:p>
    <w:p w:rsidR="006E6AAA" w:rsidRPr="006E6AAA" w:rsidRDefault="006E6AAA" w:rsidP="006E6AAA">
      <w:pPr>
        <w:spacing w:after="0" w:line="270" w:lineRule="atLeast"/>
        <w:jc w:val="both"/>
        <w:rPr>
          <w:rFonts w:ascii="Calibri" w:eastAsia="Times New Roman" w:hAnsi="Calibri" w:cs="Times New Roman"/>
          <w:b/>
          <w:lang w:eastAsia="da-DK"/>
        </w:rPr>
      </w:pPr>
    </w:p>
    <w:p w:rsidR="006E6AAA" w:rsidRPr="006E6AAA" w:rsidRDefault="006E6AAA" w:rsidP="006E6AAA">
      <w:pPr>
        <w:spacing w:after="0" w:line="280" w:lineRule="exact"/>
        <w:jc w:val="both"/>
        <w:rPr>
          <w:rFonts w:ascii="Calibri" w:eastAsia="Times New Roman" w:hAnsi="Calibri" w:cs="KPDDDN+TimesNewRoman"/>
          <w:color w:val="000000"/>
          <w:lang w:val="en-GB" w:eastAsia="da-DK"/>
        </w:rPr>
      </w:pPr>
      <w:r w:rsidRPr="006E6AAA">
        <w:rPr>
          <w:rFonts w:ascii="Calibri" w:eastAsia="Times New Roman" w:hAnsi="Calibri" w:cs="KPDDDN+TimesNewRoman"/>
          <w:color w:val="000000"/>
          <w:lang w:val="en-GB" w:eastAsia="da-DK"/>
        </w:rPr>
        <w:t>Below is a brief overview of the structure of the Judiciary and the hierarchy of Courts in Somaliland. The judicial institutions supported to organise MC are highlighted in blue; District Courts are well represented on the territory, but they are currently not organizing MC sessions and fall therefore outside the scope of the present report.</w:t>
      </w:r>
    </w:p>
    <w:p w:rsidR="006E6AAA" w:rsidRPr="006E6AAA" w:rsidRDefault="006E6AAA" w:rsidP="006E6AAA">
      <w:pPr>
        <w:spacing w:after="0" w:line="280" w:lineRule="exact"/>
        <w:jc w:val="both"/>
        <w:rPr>
          <w:rFonts w:ascii="Calibri" w:eastAsia="Times New Roman" w:hAnsi="Calibri" w:cs="KPDDDN+TimesNewRoman"/>
          <w:lang w:val="en-GB" w:eastAsia="da-DK"/>
        </w:rPr>
      </w:pPr>
      <w:r w:rsidRPr="006E6AAA">
        <w:rPr>
          <w:rFonts w:ascii="Calibri" w:eastAsia="Times New Roman" w:hAnsi="Calibri" w:cs="KPDDDN+TimesNewRoman"/>
          <w:lang w:val="en-GB" w:eastAsia="da-DK"/>
        </w:rPr>
        <w:t>A map of the justice institution in Somaliland is available in Annex 3.</w:t>
      </w:r>
    </w:p>
    <w:p w:rsidR="006E6AAA" w:rsidRPr="006E6AAA" w:rsidRDefault="006E6AAA" w:rsidP="006E6AAA">
      <w:pPr>
        <w:spacing w:after="0" w:line="270" w:lineRule="atLeas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current Somaliland judiciary is structured as follows</w:t>
      </w:r>
      <w:r w:rsidRPr="006E6AAA">
        <w:rPr>
          <w:rFonts w:ascii="Calibri" w:eastAsia="Times New Roman" w:hAnsi="Calibri" w:cs="Times New Roman"/>
          <w:vertAlign w:val="superscript"/>
          <w:lang w:val="en-GB" w:eastAsia="da-DK"/>
        </w:rPr>
        <w:footnoteReference w:id="77"/>
      </w:r>
      <w:r w:rsidRPr="006E6AAA">
        <w:rPr>
          <w:rFonts w:ascii="Calibri" w:eastAsia="Times New Roman" w:hAnsi="Calibri" w:cs="Times New Roman"/>
          <w:lang w:val="en-GB" w:eastAsia="da-DK"/>
        </w:rPr>
        <w:t>:</w:t>
      </w:r>
    </w:p>
    <w:p w:rsidR="006E6AAA" w:rsidRPr="006E6AAA" w:rsidRDefault="006E6AAA" w:rsidP="006E6AAA">
      <w:pPr>
        <w:numPr>
          <w:ilvl w:val="0"/>
          <w:numId w:val="40"/>
        </w:numPr>
        <w:spacing w:after="0" w:line="240" w:lineRule="auto"/>
        <w:jc w:val="both"/>
        <w:rPr>
          <w:rFonts w:ascii="Calibri" w:eastAsia="Times New Roman" w:hAnsi="Calibri" w:cs="Times New Roman"/>
          <w:lang w:val="en-GB" w:eastAsia="da-DK"/>
        </w:rPr>
      </w:pPr>
      <w:r w:rsidRPr="006E6AAA">
        <w:rPr>
          <w:rFonts w:ascii="Calibri" w:eastAsia="Times New Roman" w:hAnsi="Calibri" w:cs="Times New Roman"/>
          <w:lang w:val="en-GB" w:eastAsia="da-DK"/>
        </w:rPr>
        <w:t>37 District Courts</w:t>
      </w:r>
    </w:p>
    <w:p w:rsidR="006E6AAA" w:rsidRPr="006E6AAA" w:rsidRDefault="006E6AAA" w:rsidP="006E6AAA">
      <w:pPr>
        <w:numPr>
          <w:ilvl w:val="0"/>
          <w:numId w:val="40"/>
        </w:numPr>
        <w:spacing w:after="0" w:line="240" w:lineRule="auto"/>
        <w:jc w:val="both"/>
        <w:rPr>
          <w:rFonts w:ascii="Calibri" w:eastAsia="Times New Roman" w:hAnsi="Calibri" w:cs="Times New Roman"/>
          <w:color w:val="000080"/>
          <w:lang w:val="en-GB" w:eastAsia="da-DK"/>
        </w:rPr>
      </w:pPr>
      <w:r w:rsidRPr="006E6AAA">
        <w:rPr>
          <w:rFonts w:ascii="Calibri" w:eastAsia="Times New Roman" w:hAnsi="Calibri" w:cs="Times New Roman"/>
          <w:color w:val="000080"/>
          <w:lang w:val="en-GB" w:eastAsia="da-DK"/>
        </w:rPr>
        <w:t>6 Regional Courts</w:t>
      </w:r>
    </w:p>
    <w:p w:rsidR="006E6AAA" w:rsidRPr="006E6AAA" w:rsidRDefault="006E6AAA" w:rsidP="006E6AAA">
      <w:pPr>
        <w:numPr>
          <w:ilvl w:val="0"/>
          <w:numId w:val="40"/>
        </w:numPr>
        <w:spacing w:after="0" w:line="240" w:lineRule="auto"/>
        <w:jc w:val="both"/>
        <w:rPr>
          <w:rFonts w:ascii="Calibri" w:eastAsia="Times New Roman" w:hAnsi="Calibri" w:cs="Times New Roman"/>
          <w:color w:val="000080"/>
          <w:lang w:val="en-GB" w:eastAsia="da-DK"/>
        </w:rPr>
      </w:pPr>
      <w:r w:rsidRPr="006E6AAA">
        <w:rPr>
          <w:rFonts w:ascii="Calibri" w:eastAsia="Times New Roman" w:hAnsi="Calibri" w:cs="Times New Roman"/>
          <w:color w:val="000080"/>
          <w:lang w:val="en-GB" w:eastAsia="da-DK"/>
        </w:rPr>
        <w:t xml:space="preserve">6 Appeal Courts </w:t>
      </w:r>
    </w:p>
    <w:p w:rsidR="006E6AAA" w:rsidRPr="006E6AAA" w:rsidRDefault="006E6AAA" w:rsidP="006E6AAA">
      <w:pPr>
        <w:numPr>
          <w:ilvl w:val="0"/>
          <w:numId w:val="40"/>
        </w:numPr>
        <w:spacing w:after="0" w:line="240" w:lineRule="auto"/>
        <w:jc w:val="both"/>
        <w:rPr>
          <w:rFonts w:ascii="Calibri" w:eastAsia="Times New Roman" w:hAnsi="Calibri" w:cs="Times New Roman"/>
          <w:lang w:val="en-GB" w:eastAsia="da-DK"/>
        </w:rPr>
      </w:pPr>
      <w:r w:rsidRPr="006E6AAA">
        <w:rPr>
          <w:rFonts w:ascii="Calibri" w:eastAsia="Times New Roman" w:hAnsi="Calibri" w:cs="Times New Roman"/>
          <w:color w:val="000080"/>
          <w:lang w:val="en-GB" w:eastAsia="da-DK"/>
        </w:rPr>
        <w:t>1 Supreme Court</w:t>
      </w:r>
      <w:r w:rsidRPr="006E6AAA">
        <w:rPr>
          <w:rFonts w:ascii="Calibri" w:eastAsia="Times New Roman" w:hAnsi="Calibri" w:cs="Times New Roman"/>
          <w:lang w:val="en-GB" w:eastAsia="da-DK"/>
        </w:rPr>
        <w:t xml:space="preserve"> (also serving as Constitutional Court)</w:t>
      </w:r>
    </w:p>
    <w:p w:rsidR="006E6AAA" w:rsidRPr="006E6AAA" w:rsidRDefault="006E6AAA" w:rsidP="006E6AAA">
      <w:pPr>
        <w:spacing w:after="0" w:line="270" w:lineRule="atLeas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b/>
          <w:lang w:val="en-GB" w:eastAsia="da-DK"/>
        </w:rPr>
      </w:pPr>
      <w:r w:rsidRPr="006E6AAA">
        <w:rPr>
          <w:rFonts w:ascii="Calibri" w:eastAsia="Times New Roman" w:hAnsi="Calibri" w:cs="Times New Roman"/>
          <w:b/>
          <w:lang w:val="en-GB" w:eastAsia="da-DK"/>
        </w:rPr>
        <w:t>District Courts</w:t>
      </w: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These are first instance courts and deal with the following legal matters:</w:t>
      </w:r>
    </w:p>
    <w:p w:rsidR="006E6AAA" w:rsidRPr="006E6AAA" w:rsidRDefault="006E6AAA" w:rsidP="006E6AAA">
      <w:pPr>
        <w:autoSpaceDE w:val="0"/>
        <w:autoSpaceDN w:val="0"/>
        <w:adjustRightInd w:val="0"/>
        <w:spacing w:after="22"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1. All claims based on </w:t>
      </w:r>
      <w:r w:rsidRPr="006E6AAA">
        <w:rPr>
          <w:rFonts w:ascii="Calibri" w:eastAsia="Times New Roman" w:hAnsi="Calibri" w:cs="Calibri"/>
          <w:i/>
          <w:color w:val="000000"/>
          <w:lang w:eastAsia="it-IT"/>
        </w:rPr>
        <w:t>Sharia</w:t>
      </w:r>
      <w:r w:rsidRPr="006E6AAA">
        <w:rPr>
          <w:rFonts w:ascii="Calibri" w:eastAsia="Times New Roman" w:hAnsi="Calibri" w:cs="Calibri"/>
          <w:color w:val="000000"/>
          <w:lang w:eastAsia="it-IT"/>
        </w:rPr>
        <w:t xml:space="preserve">, which are primarily matters relating to family matters and succession </w:t>
      </w:r>
    </w:p>
    <w:p w:rsidR="006E6AAA" w:rsidRPr="006E6AAA" w:rsidRDefault="006E6AAA" w:rsidP="006E6AAA">
      <w:pPr>
        <w:autoSpaceDE w:val="0"/>
        <w:autoSpaceDN w:val="0"/>
        <w:adjustRightInd w:val="0"/>
        <w:spacing w:after="22"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2. Civil litigation concerning suits for amounts up to 3 million Somaliland Shillings </w:t>
      </w:r>
    </w:p>
    <w:p w:rsidR="006E6AAA" w:rsidRPr="006E6AAA" w:rsidRDefault="006E6AAA" w:rsidP="006E6AAA">
      <w:pPr>
        <w:autoSpaceDE w:val="0"/>
        <w:autoSpaceDN w:val="0"/>
        <w:adjustRightInd w:val="0"/>
        <w:spacing w:after="0"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3. Criminal cases punishable by imprisonment for up to 3 years or fines up to 3 million Shillings </w:t>
      </w:r>
    </w:p>
    <w:p w:rsidR="006E6AAA" w:rsidRPr="006E6AAA" w:rsidRDefault="006E6AAA" w:rsidP="006E6AAA">
      <w:pPr>
        <w:autoSpaceDE w:val="0"/>
        <w:autoSpaceDN w:val="0"/>
        <w:adjustRightInd w:val="0"/>
        <w:spacing w:after="0" w:line="240" w:lineRule="auto"/>
        <w:jc w:val="both"/>
        <w:rPr>
          <w:rFonts w:ascii="Calibri" w:eastAsia="Times New Roman" w:hAnsi="Calibri" w:cs="Calibri"/>
          <w:b/>
          <w:bCs/>
          <w:color w:val="000000"/>
          <w:lang w:eastAsia="it-IT"/>
        </w:rPr>
      </w:pPr>
    </w:p>
    <w:p w:rsidR="006E6AAA" w:rsidRPr="006E6AAA" w:rsidRDefault="006E6AAA" w:rsidP="006E6AAA">
      <w:pPr>
        <w:autoSpaceDE w:val="0"/>
        <w:autoSpaceDN w:val="0"/>
        <w:adjustRightInd w:val="0"/>
        <w:spacing w:after="0" w:line="240" w:lineRule="auto"/>
        <w:jc w:val="both"/>
        <w:rPr>
          <w:rFonts w:ascii="Calibri" w:eastAsia="Times New Roman" w:hAnsi="Calibri" w:cs="Calibri"/>
          <w:color w:val="000080"/>
          <w:lang w:eastAsia="it-IT"/>
        </w:rPr>
      </w:pPr>
      <w:r w:rsidRPr="006E6AAA">
        <w:rPr>
          <w:rFonts w:ascii="Calibri" w:eastAsia="Times New Roman" w:hAnsi="Calibri" w:cs="Calibri"/>
          <w:b/>
          <w:bCs/>
          <w:color w:val="000080"/>
          <w:lang w:eastAsia="it-IT"/>
        </w:rPr>
        <w:t xml:space="preserve">Regional Courts </w:t>
      </w:r>
    </w:p>
    <w:p w:rsidR="006E6AAA" w:rsidRPr="006E6AAA" w:rsidRDefault="006E6AAA" w:rsidP="006E6AAA">
      <w:pPr>
        <w:autoSpaceDE w:val="0"/>
        <w:autoSpaceDN w:val="0"/>
        <w:adjustRightInd w:val="0"/>
        <w:spacing w:after="0"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Regional Courts are also first instance courts and deal with: </w:t>
      </w:r>
    </w:p>
    <w:p w:rsidR="006E6AAA" w:rsidRPr="006E6AAA" w:rsidRDefault="006E6AAA" w:rsidP="006E6AAA">
      <w:pPr>
        <w:autoSpaceDE w:val="0"/>
        <w:autoSpaceDN w:val="0"/>
        <w:adjustRightInd w:val="0"/>
        <w:spacing w:after="22"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1. All civil and criminal matters above the jurisdiction of the District Court </w:t>
      </w:r>
    </w:p>
    <w:p w:rsidR="006E6AAA" w:rsidRPr="006E6AAA" w:rsidRDefault="006E6AAA" w:rsidP="006E6AAA">
      <w:pPr>
        <w:autoSpaceDE w:val="0"/>
        <w:autoSpaceDN w:val="0"/>
        <w:adjustRightInd w:val="0"/>
        <w:spacing w:after="22"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3. All labour or employment law claims </w:t>
      </w:r>
    </w:p>
    <w:p w:rsidR="006E6AAA" w:rsidRPr="006E6AAA" w:rsidRDefault="006E6AAA" w:rsidP="006E6AAA">
      <w:pPr>
        <w:autoSpaceDE w:val="0"/>
        <w:autoSpaceDN w:val="0"/>
        <w:adjustRightInd w:val="0"/>
        <w:spacing w:after="22"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 xml:space="preserve">4. Any claims arising out of local district council government elections </w:t>
      </w:r>
    </w:p>
    <w:p w:rsidR="006E6AAA" w:rsidRPr="006E6AAA" w:rsidRDefault="006E6AAA" w:rsidP="006E6AAA">
      <w:pPr>
        <w:autoSpaceDE w:val="0"/>
        <w:autoSpaceDN w:val="0"/>
        <w:adjustRightInd w:val="0"/>
        <w:spacing w:after="22" w:line="240" w:lineRule="auto"/>
        <w:jc w:val="both"/>
        <w:rPr>
          <w:rFonts w:ascii="Calibri" w:eastAsia="Times New Roman" w:hAnsi="Calibri" w:cs="Calibri"/>
          <w:color w:val="000000"/>
          <w:lang w:eastAsia="it-IT"/>
        </w:rPr>
      </w:pPr>
    </w:p>
    <w:p w:rsidR="006E6AAA" w:rsidRPr="006E6AAA" w:rsidRDefault="006E6AAA" w:rsidP="006E6AAA">
      <w:pPr>
        <w:autoSpaceDE w:val="0"/>
        <w:autoSpaceDN w:val="0"/>
        <w:adjustRightInd w:val="0"/>
        <w:spacing w:after="0" w:line="240" w:lineRule="auto"/>
        <w:jc w:val="both"/>
        <w:rPr>
          <w:rFonts w:ascii="Calibri" w:eastAsia="Times New Roman" w:hAnsi="Calibri" w:cs="Calibri"/>
          <w:color w:val="000080"/>
          <w:lang w:eastAsia="it-IT"/>
        </w:rPr>
      </w:pPr>
      <w:r w:rsidRPr="006E6AAA">
        <w:rPr>
          <w:rFonts w:ascii="Calibri" w:eastAsia="Times New Roman" w:hAnsi="Calibri" w:cs="Calibri"/>
          <w:b/>
          <w:bCs/>
          <w:color w:val="000080"/>
          <w:lang w:eastAsia="it-IT"/>
        </w:rPr>
        <w:t xml:space="preserve">Appeal Courts </w:t>
      </w:r>
    </w:p>
    <w:p w:rsidR="006E6AAA" w:rsidRPr="006E6AAA" w:rsidRDefault="006E6AAA" w:rsidP="006E6AAA">
      <w:pPr>
        <w:spacing w:after="0" w:line="270" w:lineRule="atLeast"/>
        <w:jc w:val="both"/>
        <w:rPr>
          <w:rFonts w:ascii="Calibri" w:eastAsia="Times New Roman" w:hAnsi="Calibri" w:cs="Times New Roman"/>
          <w:i/>
          <w:iCs/>
          <w:lang w:eastAsia="da-DK"/>
        </w:rPr>
      </w:pPr>
      <w:r w:rsidRPr="006E6AAA">
        <w:rPr>
          <w:rFonts w:ascii="Calibri" w:eastAsia="Times New Roman" w:hAnsi="Calibri" w:cs="Times New Roman"/>
          <w:lang w:eastAsia="da-DK"/>
        </w:rPr>
        <w:t xml:space="preserve">Appeal Courts deal with all appeals from District and Regional Courts. The President of the Appeal Court in each region acts as the head of the Courts  in the region.  </w:t>
      </w:r>
    </w:p>
    <w:p w:rsidR="006E6AAA" w:rsidRPr="006E6AAA" w:rsidRDefault="006E6AAA" w:rsidP="006E6AAA">
      <w:pPr>
        <w:autoSpaceDE w:val="0"/>
        <w:autoSpaceDN w:val="0"/>
        <w:adjustRightInd w:val="0"/>
        <w:spacing w:after="0" w:line="240" w:lineRule="auto"/>
        <w:jc w:val="both"/>
        <w:rPr>
          <w:rFonts w:ascii="Calibri" w:eastAsia="Times New Roman" w:hAnsi="Calibri" w:cs="Calibri"/>
          <w:b/>
          <w:bCs/>
          <w:color w:val="000000"/>
          <w:lang w:eastAsia="it-IT"/>
        </w:rPr>
      </w:pPr>
    </w:p>
    <w:p w:rsidR="006E6AAA" w:rsidRPr="006E6AAA" w:rsidRDefault="006E6AAA" w:rsidP="006E6AAA">
      <w:pPr>
        <w:autoSpaceDE w:val="0"/>
        <w:autoSpaceDN w:val="0"/>
        <w:adjustRightInd w:val="0"/>
        <w:spacing w:after="0" w:line="240" w:lineRule="auto"/>
        <w:jc w:val="both"/>
        <w:rPr>
          <w:rFonts w:ascii="Calibri" w:eastAsia="Times New Roman" w:hAnsi="Calibri" w:cs="Calibri"/>
          <w:color w:val="000080"/>
          <w:lang w:eastAsia="it-IT"/>
        </w:rPr>
      </w:pPr>
      <w:r w:rsidRPr="006E6AAA">
        <w:rPr>
          <w:rFonts w:ascii="Calibri" w:eastAsia="Times New Roman" w:hAnsi="Calibri" w:cs="Calibri"/>
          <w:b/>
          <w:bCs/>
          <w:color w:val="000080"/>
          <w:lang w:eastAsia="it-IT"/>
        </w:rPr>
        <w:t xml:space="preserve">Supreme Court </w:t>
      </w:r>
    </w:p>
    <w:p w:rsidR="006E6AAA" w:rsidRPr="006E6AAA" w:rsidRDefault="006E6AAA" w:rsidP="006E6AAA">
      <w:pPr>
        <w:autoSpaceDE w:val="0"/>
        <w:autoSpaceDN w:val="0"/>
        <w:adjustRightInd w:val="0"/>
        <w:spacing w:after="0" w:line="240" w:lineRule="auto"/>
        <w:jc w:val="both"/>
        <w:rPr>
          <w:rFonts w:ascii="Calibri" w:eastAsia="Times New Roman" w:hAnsi="Calibri" w:cs="Calibri"/>
          <w:lang w:eastAsia="it-IT"/>
        </w:rPr>
      </w:pPr>
      <w:r w:rsidRPr="006E6AAA">
        <w:rPr>
          <w:rFonts w:ascii="Calibri" w:eastAsia="Times New Roman" w:hAnsi="Calibri" w:cs="Calibri"/>
          <w:color w:val="000000"/>
          <w:lang w:eastAsia="it-IT"/>
        </w:rPr>
        <w:t>The Supreme Court is the highest judicial body in the country and is composed of the Chairman and at least four judges. The Supreme Court deals with appeals from the Appeal Courts, electoral matters, administrative issues related to the final decisions of public bodies and</w:t>
      </w:r>
      <w:r w:rsidRPr="006E6AAA">
        <w:rPr>
          <w:rFonts w:ascii="Calibri" w:eastAsia="Times New Roman" w:hAnsi="Calibri" w:cs="Calibri"/>
          <w:color w:val="000000"/>
          <w:sz w:val="24"/>
          <w:szCs w:val="24"/>
          <w:lang w:eastAsia="it-IT"/>
        </w:rPr>
        <w:t xml:space="preserve"> </w:t>
      </w:r>
      <w:r w:rsidRPr="006E6AAA">
        <w:rPr>
          <w:rFonts w:ascii="Calibri" w:eastAsia="Times New Roman" w:hAnsi="Calibri" w:cs="Calibri"/>
          <w:color w:val="000000"/>
          <w:lang w:eastAsia="it-IT"/>
        </w:rPr>
        <w:t xml:space="preserve">acts as a </w:t>
      </w:r>
      <w:r w:rsidRPr="006E6AAA">
        <w:rPr>
          <w:rFonts w:ascii="Calibri" w:eastAsia="Times New Roman" w:hAnsi="Calibri" w:cs="Calibri"/>
          <w:lang w:eastAsia="it-IT"/>
        </w:rPr>
        <w:t>Constitutional Court.</w:t>
      </w:r>
    </w:p>
    <w:p w:rsidR="006E6AAA" w:rsidRPr="006E6AAA" w:rsidRDefault="006E6AAA" w:rsidP="006E6AAA">
      <w:pPr>
        <w:spacing w:after="0" w:line="270" w:lineRule="atLeast"/>
        <w:jc w:val="both"/>
        <w:rPr>
          <w:rFonts w:ascii="Calibri" w:eastAsia="Times New Roman" w:hAnsi="Calibri" w:cs="Times New Roman"/>
          <w:b/>
          <w:color w:val="000080"/>
          <w:lang w:eastAsia="da-DK"/>
        </w:rPr>
      </w:pPr>
    </w:p>
    <w:p w:rsidR="006E6AAA" w:rsidRPr="006E6AAA" w:rsidRDefault="006E6AAA" w:rsidP="006E6AAA">
      <w:pPr>
        <w:spacing w:after="0" w:line="270" w:lineRule="atLeast"/>
        <w:jc w:val="both"/>
        <w:rPr>
          <w:rFonts w:ascii="Calibri" w:eastAsia="Times New Roman" w:hAnsi="Calibri" w:cs="Times New Roman"/>
          <w:b/>
          <w:color w:val="000080"/>
          <w:lang w:eastAsia="da-DK"/>
        </w:rPr>
      </w:pPr>
    </w:p>
    <w:p w:rsidR="006E6AAA" w:rsidRPr="006E6AAA" w:rsidRDefault="006E6AAA" w:rsidP="006E6AAA">
      <w:pPr>
        <w:spacing w:after="0" w:line="270" w:lineRule="atLeas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spacing w:after="0" w:line="270" w:lineRule="atLeast"/>
        <w:jc w:val="both"/>
        <w:rPr>
          <w:rFonts w:ascii="Calibri" w:eastAsia="Times New Roman" w:hAnsi="Calibri" w:cs="Calibri"/>
          <w:b/>
          <w:color w:val="000000"/>
          <w:lang w:eastAsia="it-IT"/>
        </w:rPr>
      </w:pPr>
      <w:r w:rsidRPr="006E6AAA">
        <w:rPr>
          <w:rFonts w:ascii="Calibri" w:eastAsia="Times New Roman" w:hAnsi="Calibri" w:cs="Times New Roman"/>
          <w:b/>
          <w:color w:val="000080"/>
          <w:lang w:eastAsia="da-DK"/>
        </w:rPr>
        <w:t xml:space="preserve">§ </w:t>
      </w:r>
      <w:r w:rsidRPr="006E6AAA">
        <w:rPr>
          <w:rFonts w:ascii="Calibri" w:eastAsia="Times New Roman" w:hAnsi="Calibri" w:cs="Calibri"/>
          <w:b/>
          <w:color w:val="000080"/>
          <w:lang w:eastAsia="it-IT"/>
        </w:rPr>
        <w:t xml:space="preserve">6. </w:t>
      </w:r>
      <w:r w:rsidRPr="006E6AAA">
        <w:rPr>
          <w:rFonts w:ascii="Calibri" w:eastAsia="Times New Roman" w:hAnsi="Calibri" w:cs="Calibri"/>
          <w:b/>
          <w:color w:val="000000"/>
          <w:lang w:eastAsia="it-IT"/>
        </w:rPr>
        <w:t>Critical background factors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judicial system of Somaliland has been described and assessed in several reports, to which reference is made for further information</w:t>
      </w:r>
      <w:r w:rsidRPr="006E6AAA">
        <w:rPr>
          <w:rFonts w:ascii="Calibri" w:eastAsia="Times New Roman" w:hAnsi="Calibri" w:cs="Times New Roman"/>
          <w:vertAlign w:val="superscript"/>
          <w:lang w:val="en-GB" w:eastAsia="da-DK"/>
        </w:rPr>
        <w:footnoteReference w:id="78"/>
      </w:r>
      <w:r w:rsidRPr="006E6AAA">
        <w:rPr>
          <w:rFonts w:ascii="Calibri" w:eastAsia="Times New Roman" w:hAnsi="Calibri" w:cs="Times New Roman"/>
          <w:lang w:val="en-GB" w:eastAsia="da-DK"/>
        </w:rPr>
        <w:t xml:space="preserve">. </w:t>
      </w: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Below is a summary of key contextual issues that are affecting the mobile court system and should therefore be taken into consideration while reading the present report.</w:t>
      </w:r>
    </w:p>
    <w:p w:rsidR="006E6AAA" w:rsidRPr="006E6AAA" w:rsidRDefault="006E6AAA" w:rsidP="006E6AAA">
      <w:pPr>
        <w:spacing w:after="0" w:line="270" w:lineRule="atLeas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b/>
          <w:lang w:val="en-GB" w:eastAsia="da-DK"/>
        </w:rPr>
      </w:pPr>
      <w:r w:rsidRPr="006E6AAA">
        <w:rPr>
          <w:rFonts w:ascii="Calibri" w:eastAsia="Times New Roman" w:hAnsi="Calibri" w:cs="Times New Roman"/>
          <w:b/>
          <w:lang w:val="en-GB" w:eastAsia="da-DK"/>
        </w:rPr>
        <w:t>A) Strong prevalence of a traditional/clan-based justice system overseen by the elders (Xeer)</w:t>
      </w:r>
    </w:p>
    <w:p w:rsidR="006E6AAA" w:rsidRPr="006E6AAA" w:rsidRDefault="006E6AAA" w:rsidP="006E6AAA">
      <w:pPr>
        <w:spacing w:after="0" w:line="270" w:lineRule="atLeas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val="en-GB" w:eastAsia="da-DK"/>
        </w:rPr>
      </w:pPr>
      <w:r w:rsidRPr="006E6AAA">
        <w:rPr>
          <w:rFonts w:ascii="Calibri" w:eastAsia="Times New Roman" w:hAnsi="Calibri" w:cs="Times New Roman"/>
          <w:lang w:eastAsia="it-IT"/>
        </w:rPr>
        <w:t xml:space="preserve">The Somali legal framework has developed into a combination of three distinct legal traditions: statutory law, </w:t>
      </w:r>
      <w:r w:rsidRPr="006E6AAA">
        <w:rPr>
          <w:rFonts w:ascii="Calibri" w:eastAsia="Times New Roman" w:hAnsi="Calibri" w:cs="Times New Roman"/>
          <w:i/>
          <w:lang w:eastAsia="it-IT"/>
        </w:rPr>
        <w:t>sharia</w:t>
      </w:r>
      <w:r w:rsidRPr="006E6AAA">
        <w:rPr>
          <w:rFonts w:ascii="Calibri" w:eastAsia="Times New Roman" w:hAnsi="Calibri" w:cs="Times New Roman"/>
          <w:lang w:eastAsia="it-IT"/>
        </w:rPr>
        <w:t xml:space="preserve"> law and customary law (</w:t>
      </w:r>
      <w:r w:rsidRPr="006E6AAA">
        <w:rPr>
          <w:rFonts w:ascii="Calibri" w:eastAsia="Times New Roman" w:hAnsi="Calibri" w:cs="Times New Roman"/>
          <w:i/>
          <w:lang w:eastAsia="it-IT"/>
        </w:rPr>
        <w:t>Xeer</w:t>
      </w:r>
      <w:r w:rsidRPr="006E6AAA">
        <w:rPr>
          <w:rFonts w:ascii="Calibri" w:eastAsia="Times New Roman" w:hAnsi="Calibri" w:cs="Times New Roman"/>
          <w:lang w:eastAsia="it-IT"/>
        </w:rPr>
        <w:t xml:space="preserve">). The latter is prevalently applied in Somaliland where it is reported that </w:t>
      </w:r>
      <w:r w:rsidRPr="006E6AAA">
        <w:rPr>
          <w:rFonts w:ascii="Calibri" w:eastAsia="Times New Roman" w:hAnsi="Calibri" w:cs="Times New Roman"/>
          <w:lang w:val="en-GB" w:eastAsia="da-DK"/>
        </w:rPr>
        <w:t xml:space="preserve">90% of the disputes are settled by the elders according to </w:t>
      </w:r>
      <w:r w:rsidRPr="006E6AAA">
        <w:rPr>
          <w:rFonts w:ascii="Calibri" w:eastAsia="Times New Roman" w:hAnsi="Calibri" w:cs="Times New Roman"/>
          <w:i/>
          <w:lang w:val="en-GB" w:eastAsia="da-DK"/>
        </w:rPr>
        <w:t>Xeer</w:t>
      </w:r>
      <w:r w:rsidRPr="006E6AAA">
        <w:rPr>
          <w:rFonts w:ascii="Calibri" w:eastAsia="Times New Roman" w:hAnsi="Calibri" w:cs="Times New Roman"/>
          <w:lang w:val="en-GB" w:eastAsia="da-DK"/>
        </w:rPr>
        <w:t xml:space="preserve"> practices and only a limited number of cases reach the formal system (only 6.520 cases were filed by formal courts in 2010 in the whole country). </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eastAsia="it-IT"/>
        </w:rPr>
      </w:pPr>
      <w:r w:rsidRPr="006E6AAA">
        <w:rPr>
          <w:rFonts w:ascii="Calibri" w:eastAsia="Times New Roman" w:hAnsi="Calibri" w:cs="Times New Roman"/>
          <w:lang w:val="en-GB" w:eastAsia="da-DK"/>
        </w:rPr>
        <w:t xml:space="preserve">The importance of customary law in the Somali context is indisputable; it’s worth noting that it has not developed into a separate legal system, but the </w:t>
      </w:r>
      <w:r w:rsidRPr="006E6AAA">
        <w:rPr>
          <w:rFonts w:ascii="Calibri" w:eastAsia="Times New Roman" w:hAnsi="Calibri" w:cs="Times New Roman"/>
          <w:i/>
          <w:lang w:val="en-GB" w:eastAsia="da-DK"/>
        </w:rPr>
        <w:t xml:space="preserve">Xeer </w:t>
      </w:r>
      <w:r w:rsidRPr="006E6AAA">
        <w:rPr>
          <w:rFonts w:ascii="Calibri" w:eastAsia="Times New Roman" w:hAnsi="Calibri" w:cs="Times New Roman"/>
          <w:lang w:val="en-GB" w:eastAsia="da-DK"/>
        </w:rPr>
        <w:t xml:space="preserve">system </w:t>
      </w:r>
      <w:r w:rsidRPr="006E6AAA">
        <w:rPr>
          <w:rFonts w:ascii="Calibri" w:eastAsia="Times New Roman" w:hAnsi="Calibri" w:cs="Corbel"/>
          <w:lang w:eastAsia="it-IT"/>
        </w:rPr>
        <w:t>“</w:t>
      </w:r>
      <w:r w:rsidRPr="006E6AAA">
        <w:rPr>
          <w:rFonts w:ascii="Calibri" w:eastAsia="Times New Roman" w:hAnsi="Calibri" w:cs="Times New Roman"/>
          <w:i/>
          <w:lang w:eastAsia="it-IT"/>
        </w:rPr>
        <w:t>instead of competing with the formal system actually shapes its performance, including in urban centres notwithstanding the presence of courts and lawyers</w:t>
      </w:r>
      <w:r w:rsidRPr="006E6AAA">
        <w:rPr>
          <w:rFonts w:ascii="Calibri" w:eastAsia="Times New Roman" w:hAnsi="Calibri" w:cs="Times New Roman"/>
          <w:lang w:eastAsia="it-IT"/>
        </w:rPr>
        <w:t xml:space="preserve">”.  </w:t>
      </w:r>
    </w:p>
    <w:p w:rsidR="006E6AAA" w:rsidRPr="006E6AAA" w:rsidRDefault="006E6AAA" w:rsidP="006E6AAA">
      <w:pPr>
        <w:autoSpaceDE w:val="0"/>
        <w:autoSpaceDN w:val="0"/>
        <w:adjustRightInd w:val="0"/>
        <w:spacing w:after="0" w:line="240" w:lineRule="auto"/>
        <w:jc w:val="both"/>
        <w:rPr>
          <w:rFonts w:ascii="Calibri" w:eastAsia="Times New Roman" w:hAnsi="Calibri" w:cs="AGaramondPro-Regular"/>
          <w:i/>
          <w:lang w:eastAsia="it-IT"/>
        </w:rPr>
      </w:pPr>
      <w:r w:rsidRPr="006E6AAA">
        <w:rPr>
          <w:rFonts w:ascii="Calibri" w:eastAsia="Times New Roman" w:hAnsi="Calibri" w:cs="Times New Roman"/>
          <w:lang w:eastAsia="it-IT"/>
        </w:rPr>
        <w:t xml:space="preserve">This peculiar framework is clearly reflected in the MC system, where judges have established strong inter-linkages with the traditional clan-based system and are allowed to apply </w:t>
      </w:r>
      <w:r w:rsidRPr="006E6AAA">
        <w:rPr>
          <w:rFonts w:ascii="Calibri" w:eastAsia="Times New Roman" w:hAnsi="Calibri" w:cs="Times New Roman"/>
          <w:i/>
          <w:lang w:eastAsia="it-IT"/>
        </w:rPr>
        <w:t>Xeer</w:t>
      </w:r>
      <w:r w:rsidRPr="006E6AAA">
        <w:rPr>
          <w:rFonts w:ascii="Calibri" w:eastAsia="Times New Roman" w:hAnsi="Calibri" w:cs="Times New Roman"/>
          <w:lang w:eastAsia="it-IT"/>
        </w:rPr>
        <w:t xml:space="preserve"> principles in their decisions</w:t>
      </w:r>
      <w:r w:rsidRPr="006E6AAA">
        <w:rPr>
          <w:rFonts w:ascii="Calibri" w:eastAsia="Times New Roman" w:hAnsi="Calibri" w:cs="Times New Roman"/>
          <w:vertAlign w:val="superscript"/>
          <w:lang w:eastAsia="it-IT"/>
        </w:rPr>
        <w:footnoteReference w:id="79"/>
      </w:r>
      <w:r w:rsidRPr="006E6AAA">
        <w:rPr>
          <w:rFonts w:ascii="Calibri" w:eastAsia="Times New Roman" w:hAnsi="Calibri" w:cs="Times New Roman"/>
          <w:lang w:eastAsia="it-IT"/>
        </w:rPr>
        <w:t>. This set-up has generated some interesting best practices, but also occasionally created contradictory and inconsistent outcomes, in particular with regards to sentencing policies</w:t>
      </w:r>
      <w:r w:rsidRPr="006E6AAA">
        <w:rPr>
          <w:rFonts w:ascii="Calibri" w:eastAsia="Times New Roman" w:hAnsi="Calibri" w:cs="Times New Roman"/>
          <w:vertAlign w:val="superscript"/>
          <w:lang w:eastAsia="it-IT"/>
        </w:rPr>
        <w:footnoteReference w:id="80"/>
      </w:r>
      <w:r w:rsidRPr="006E6AAA">
        <w:rPr>
          <w:rFonts w:ascii="Calibri" w:eastAsia="Times New Roman" w:hAnsi="Calibri" w:cs="Times New Roman"/>
          <w:lang w:eastAsia="it-IT"/>
        </w:rPr>
        <w:t xml:space="preserve">. </w:t>
      </w:r>
    </w:p>
    <w:p w:rsidR="006E6AAA" w:rsidRPr="006E6AAA" w:rsidRDefault="006E6AAA" w:rsidP="006E6AAA">
      <w:pPr>
        <w:spacing w:after="0" w:line="270" w:lineRule="atLeast"/>
        <w:jc w:val="both"/>
        <w:rPr>
          <w:rFonts w:ascii="Calibri" w:eastAsia="Times New Roman" w:hAnsi="Calibri" w:cs="Times New Roman"/>
          <w:lang w:eastAsia="it-IT"/>
        </w:rPr>
      </w:pPr>
    </w:p>
    <w:p w:rsidR="006E6AAA" w:rsidRPr="006E6AAA" w:rsidRDefault="006E6AAA" w:rsidP="006E6AAA">
      <w:pPr>
        <w:spacing w:after="0" w:line="270" w:lineRule="atLeast"/>
        <w:jc w:val="both"/>
        <w:rPr>
          <w:rFonts w:ascii="Calibri" w:eastAsia="Times New Roman" w:hAnsi="Calibri" w:cs="Times New Roman"/>
          <w:lang w:eastAsia="it-IT"/>
        </w:rPr>
      </w:pPr>
      <w:r w:rsidRPr="006E6AAA">
        <w:rPr>
          <w:rFonts w:ascii="Calibri" w:eastAsia="Times New Roman" w:hAnsi="Calibri" w:cs="Times New Roman"/>
          <w:lang w:eastAsia="it-IT"/>
        </w:rPr>
        <w:t xml:space="preserve">MC Judges also apply </w:t>
      </w:r>
      <w:r w:rsidRPr="006E6AAA">
        <w:rPr>
          <w:rFonts w:ascii="Calibri" w:eastAsia="Times New Roman" w:hAnsi="Calibri" w:cs="Times New Roman"/>
          <w:i/>
          <w:lang w:eastAsia="it-IT"/>
        </w:rPr>
        <w:t>Sharia</w:t>
      </w:r>
      <w:r w:rsidRPr="006E6AAA">
        <w:rPr>
          <w:rFonts w:ascii="Calibri" w:eastAsia="Times New Roman" w:hAnsi="Calibri" w:cs="Times New Roman"/>
          <w:lang w:eastAsia="it-IT"/>
        </w:rPr>
        <w:t xml:space="preserve"> law as this is the primary source when it comes to personal status issues (marriage, divorce, and succession); according to article 5 of Constitution “</w:t>
      </w:r>
      <w:r w:rsidRPr="006E6AAA">
        <w:rPr>
          <w:rFonts w:ascii="Calibri" w:eastAsia="Times New Roman" w:hAnsi="Calibri" w:cs="Times New Roman"/>
          <w:i/>
          <w:lang w:eastAsia="it-IT"/>
        </w:rPr>
        <w:t>The laws of the nation shall be grounded on and shall not be contrary to Islamic Sharia</w:t>
      </w:r>
      <w:r w:rsidRPr="006E6AAA">
        <w:rPr>
          <w:rFonts w:ascii="Calibri" w:eastAsia="Times New Roman" w:hAnsi="Calibri" w:cs="Times New Roman"/>
          <w:lang w:eastAsia="it-IT"/>
        </w:rPr>
        <w:t>”.</w:t>
      </w:r>
    </w:p>
    <w:p w:rsidR="006E6AAA" w:rsidRPr="006E6AAA" w:rsidRDefault="006E6AAA" w:rsidP="006E6AAA">
      <w:pPr>
        <w:spacing w:after="0" w:line="270" w:lineRule="atLeast"/>
        <w:jc w:val="both"/>
        <w:rPr>
          <w:rFonts w:ascii="Calibri" w:eastAsia="Times New Roman" w:hAnsi="Calibri" w:cs="Times New Roman"/>
          <w:b/>
          <w:color w:val="FF0000"/>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B)</w:t>
      </w:r>
      <w:r w:rsidRPr="006E6AAA">
        <w:rPr>
          <w:rFonts w:ascii="Calibri" w:eastAsia="Times New Roman" w:hAnsi="Calibri" w:cs="Times New Roman"/>
          <w:lang w:val="en-GB" w:eastAsia="da-DK"/>
        </w:rPr>
        <w:t xml:space="preserve"> </w:t>
      </w:r>
      <w:r w:rsidRPr="006E6AAA">
        <w:rPr>
          <w:rFonts w:ascii="Calibri" w:eastAsia="Times New Roman" w:hAnsi="Calibri" w:cs="Times New Roman"/>
          <w:b/>
          <w:lang w:val="en-GB" w:eastAsia="da-DK"/>
        </w:rPr>
        <w:t>Gradual and recent development of the formal justice sector</w:t>
      </w:r>
      <w:r w:rsidRPr="006E6AAA">
        <w:rPr>
          <w:rFonts w:ascii="Calibri" w:eastAsia="Times New Roman" w:hAnsi="Calibri" w:cs="Times New Roman"/>
          <w:lang w:val="en-GB" w:eastAsia="da-DK"/>
        </w:rPr>
        <w:t xml:space="preserve"> </w:t>
      </w:r>
    </w:p>
    <w:p w:rsidR="006E6AAA" w:rsidRPr="006E6AAA" w:rsidRDefault="006E6AAA" w:rsidP="006E6AAA">
      <w:pPr>
        <w:spacing w:after="0" w:line="270" w:lineRule="atLeas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Calibri" w:hAnsi="Calibri" w:cs="Times New Roman"/>
          <w:lang w:eastAsia="it-IT"/>
        </w:rPr>
        <w:t xml:space="preserve">After the adoption of its first National Justice Strategy in 2008, Somaliland has achieved, </w:t>
      </w:r>
      <w:r w:rsidRPr="006E6AAA">
        <w:rPr>
          <w:rFonts w:ascii="Calibri" w:eastAsia="Calibri" w:hAnsi="Calibri" w:cs="Times New Roman"/>
          <w:i/>
          <w:lang w:eastAsia="it-IT"/>
        </w:rPr>
        <w:t>inter alia</w:t>
      </w:r>
      <w:r w:rsidRPr="006E6AAA">
        <w:rPr>
          <w:rFonts w:ascii="Calibri" w:eastAsia="Calibri" w:hAnsi="Calibri" w:cs="Times New Roman"/>
          <w:lang w:eastAsia="it-IT"/>
        </w:rPr>
        <w:t xml:space="preserve"> with the support of UNDP, remarkable achievements in the development of the formal justice sector. To be noted for the impact on the MC system, the establishment of permanent Courts </w:t>
      </w:r>
      <w:r w:rsidRPr="006E6AAA">
        <w:rPr>
          <w:rFonts w:ascii="Calibri" w:eastAsia="Times New Roman" w:hAnsi="Calibri" w:cs="Times New Roman"/>
          <w:lang w:val="en-GB" w:eastAsia="da-DK"/>
        </w:rPr>
        <w:t xml:space="preserve">across the whole territory of the country, the training of judges and judicial staff, the establishment of a court case management system and a legal aid scheme. </w:t>
      </w: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system is however still developing: the legal framework is outdated, capacities of justice actor are still weak and the Judiciary has not yet achieved an independent status, but is under the control of the Executive. </w:t>
      </w: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It’s worth noting that recent years have marked a strong focus on institutional reform, but less on the demand side of justice, so the population, especially in the rural areas where MC intervene, is not aware of its rights and has limited understanding of how the formal justice system works. </w:t>
      </w:r>
      <w:r w:rsidRPr="006E6AAA">
        <w:rPr>
          <w:rFonts w:ascii="Calibri" w:eastAsia="Times New Roman" w:hAnsi="Calibri" w:cs="Times New Roman"/>
          <w:vertAlign w:val="superscript"/>
          <w:lang w:val="en-GB" w:eastAsia="da-DK"/>
        </w:rPr>
        <w:footnoteReference w:id="81"/>
      </w:r>
    </w:p>
    <w:p w:rsidR="006E6AAA" w:rsidRPr="006E6AAA" w:rsidRDefault="006E6AAA" w:rsidP="006E6AAA">
      <w:pPr>
        <w:spacing w:after="0" w:line="270" w:lineRule="atLeast"/>
        <w:rPr>
          <w:rFonts w:ascii="Calibri" w:eastAsia="Times New Roman" w:hAnsi="Calibri" w:cs="Times New Roman"/>
          <w:b/>
          <w:color w:val="000080"/>
          <w:lang w:val="en-GB" w:eastAsia="da-DK"/>
        </w:rPr>
      </w:pPr>
    </w:p>
    <w:p w:rsidR="006E6AAA" w:rsidRPr="006E6AAA" w:rsidRDefault="006E6AAA" w:rsidP="006E6AAA">
      <w:pPr>
        <w:spacing w:after="0" w:line="270" w:lineRule="atLeast"/>
        <w:rPr>
          <w:rFonts w:ascii="Calibri" w:eastAsia="Times New Roman" w:hAnsi="Calibri" w:cs="Times New Roman"/>
          <w:b/>
          <w:color w:val="000080"/>
          <w:lang w:val="en-GB" w:eastAsia="da-DK"/>
        </w:rPr>
        <w:sectPr w:rsidR="006E6AAA" w:rsidRPr="006E6AAA" w:rsidSect="00211565">
          <w:headerReference w:type="even" r:id="rId31"/>
          <w:headerReference w:type="default" r:id="rId32"/>
          <w:footerReference w:type="default" r:id="rId33"/>
          <w:headerReference w:type="first" r:id="rId34"/>
          <w:pgSz w:w="11906" w:h="16838"/>
          <w:pgMar w:top="1411" w:right="1296" w:bottom="1138" w:left="1440" w:header="720" w:footer="720" w:gutter="0"/>
          <w:cols w:space="720"/>
          <w:docGrid w:linePitch="360"/>
        </w:sectPr>
      </w:pPr>
    </w:p>
    <w:p w:rsidR="006E6AAA" w:rsidRPr="006E6AAA" w:rsidRDefault="006E6AAA" w:rsidP="006E6AAA">
      <w:pPr>
        <w:spacing w:after="0" w:line="270" w:lineRule="atLeast"/>
        <w:rPr>
          <w:rFonts w:ascii="Calibri" w:eastAsia="Times New Roman" w:hAnsi="Calibri" w:cs="Times New Roman"/>
          <w:b/>
          <w:color w:val="000080"/>
          <w:sz w:val="24"/>
          <w:szCs w:val="24"/>
          <w:lang w:eastAsia="da-DK"/>
        </w:rPr>
      </w:pPr>
      <w:r w:rsidRPr="006E6AAA">
        <w:rPr>
          <w:rFonts w:ascii="Calibri" w:eastAsia="Times New Roman" w:hAnsi="Calibri" w:cs="Times New Roman"/>
          <w:b/>
          <w:color w:val="000080"/>
          <w:sz w:val="24"/>
          <w:szCs w:val="24"/>
          <w:lang w:eastAsia="da-DK"/>
        </w:rPr>
        <w:t>PART II: EVALUATION FINDINGS</w:t>
      </w:r>
    </w:p>
    <w:p w:rsidR="006E6AAA" w:rsidRPr="006E6AAA" w:rsidRDefault="006E6AAA" w:rsidP="006E6AAA">
      <w:pPr>
        <w:tabs>
          <w:tab w:val="left" w:pos="540"/>
          <w:tab w:val="left" w:pos="720"/>
        </w:tabs>
        <w:spacing w:after="0" w:line="270" w:lineRule="atLeast"/>
        <w:outlineLvl w:val="0"/>
        <w:rPr>
          <w:rFonts w:ascii="Calibri" w:eastAsia="Times New Roman" w:hAnsi="Calibri" w:cs="Times New Roman"/>
          <w:lang w:eastAsia="da-DK"/>
        </w:rPr>
      </w:pPr>
    </w:p>
    <w:p w:rsidR="006E6AAA" w:rsidRPr="006E6AAA" w:rsidRDefault="006E6AAA" w:rsidP="006E6AAA">
      <w:pPr>
        <w:tabs>
          <w:tab w:val="left" w:pos="540"/>
          <w:tab w:val="left" w:pos="720"/>
        </w:tabs>
        <w:spacing w:after="0" w:line="270" w:lineRule="atLeast"/>
        <w:outlineLvl w:val="0"/>
        <w:rPr>
          <w:rFonts w:ascii="Calibri" w:eastAsia="Times New Roman" w:hAnsi="Calibri" w:cs="Times New Roman"/>
          <w:lang w:eastAsia="da-DK"/>
        </w:rPr>
      </w:pPr>
    </w:p>
    <w:p w:rsidR="006E6AAA" w:rsidRPr="006E6AAA" w:rsidRDefault="006E6AAA" w:rsidP="006E6AAA">
      <w:pPr>
        <w:tabs>
          <w:tab w:val="left" w:pos="540"/>
          <w:tab w:val="left" w:pos="720"/>
        </w:tabs>
        <w:spacing w:after="0" w:line="280" w:lineRule="exact"/>
        <w:jc w:val="both"/>
        <w:outlineLvl w:val="0"/>
        <w:rPr>
          <w:rFonts w:ascii="Calibri" w:eastAsia="Times New Roman" w:hAnsi="Calibri" w:cs="Times New Roman"/>
          <w:b/>
          <w:smallCaps/>
          <w:color w:val="000080"/>
          <w:sz w:val="24"/>
          <w:szCs w:val="24"/>
          <w:lang w:eastAsia="da-DK"/>
        </w:rPr>
      </w:pPr>
      <w:r w:rsidRPr="006E6AAA">
        <w:rPr>
          <w:rFonts w:ascii="Calibri" w:eastAsia="Times New Roman" w:hAnsi="Calibri" w:cs="Times New Roman"/>
          <w:b/>
          <w:color w:val="000080"/>
          <w:sz w:val="24"/>
          <w:szCs w:val="24"/>
          <w:lang w:eastAsia="da-DK"/>
        </w:rPr>
        <w:t>1</w:t>
      </w:r>
      <w:r w:rsidRPr="006E6AAA">
        <w:rPr>
          <w:rFonts w:ascii="Calibri" w:eastAsia="Times New Roman" w:hAnsi="Calibri" w:cs="Times New Roman"/>
          <w:b/>
          <w:sz w:val="24"/>
          <w:szCs w:val="24"/>
          <w:lang w:eastAsia="da-DK"/>
        </w:rPr>
        <w:t>.</w:t>
      </w:r>
      <w:r w:rsidRPr="006E6AAA">
        <w:rPr>
          <w:rFonts w:ascii="Calibri" w:eastAsia="Times New Roman" w:hAnsi="Calibri" w:cs="Times New Roman"/>
          <w:sz w:val="24"/>
          <w:szCs w:val="24"/>
          <w:lang w:eastAsia="da-DK"/>
        </w:rPr>
        <w:t xml:space="preserve"> </w:t>
      </w:r>
      <w:r w:rsidRPr="006E6AAA">
        <w:rPr>
          <w:rFonts w:ascii="Calibri" w:eastAsia="Times New Roman" w:hAnsi="Calibri" w:cs="Times New Roman"/>
          <w:b/>
          <w:color w:val="000080"/>
          <w:sz w:val="24"/>
          <w:szCs w:val="24"/>
          <w:lang w:eastAsia="da-DK"/>
        </w:rPr>
        <w:t>RELEVANCE</w:t>
      </w:r>
    </w:p>
    <w:p w:rsidR="006E6AAA" w:rsidRPr="006E6AAA" w:rsidRDefault="006E6AAA" w:rsidP="006E6AAA">
      <w:pPr>
        <w:tabs>
          <w:tab w:val="left" w:pos="540"/>
          <w:tab w:val="left" w:pos="720"/>
        </w:tabs>
        <w:spacing w:after="0" w:line="280" w:lineRule="exact"/>
        <w:jc w:val="both"/>
        <w:outlineLvl w:val="0"/>
        <w:rPr>
          <w:rFonts w:ascii="Calibri" w:eastAsia="Times New Roman" w:hAnsi="Calibri" w:cs="Times New Roman"/>
          <w:lang w:eastAsia="da-DK"/>
        </w:rPr>
      </w:pPr>
    </w:p>
    <w:p w:rsidR="006E6AAA" w:rsidRPr="006E6AAA" w:rsidRDefault="006E6AAA" w:rsidP="006E6AAA">
      <w:pPr>
        <w:tabs>
          <w:tab w:val="left" w:pos="540"/>
          <w:tab w:val="left" w:pos="720"/>
        </w:tabs>
        <w:spacing w:after="0" w:line="280" w:lineRule="exact"/>
        <w:jc w:val="both"/>
        <w:outlineLvl w:val="0"/>
        <w:rPr>
          <w:rFonts w:ascii="Calibri" w:eastAsia="Times New Roman" w:hAnsi="Calibri" w:cs="Times New Roman"/>
          <w:lang w:eastAsia="da-DK"/>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xml:space="preserve">§ 1.1. </w:t>
      </w:r>
      <w:r w:rsidRPr="006E6AAA">
        <w:rPr>
          <w:rFonts w:ascii="Calibri" w:eastAsia="Times New Roman" w:hAnsi="Calibri" w:cs="Times New Roman"/>
          <w:b/>
          <w:lang w:eastAsia="da-DK"/>
        </w:rPr>
        <w:t>The Somaliland mobile court model</w:t>
      </w:r>
    </w:p>
    <w:p w:rsidR="006E6AAA" w:rsidRPr="006E6AAA" w:rsidRDefault="006E6AAA" w:rsidP="006E6AAA">
      <w:pPr>
        <w:autoSpaceDE w:val="0"/>
        <w:autoSpaceDN w:val="0"/>
        <w:adjustRightInd w:val="0"/>
        <w:spacing w:after="0" w:line="280" w:lineRule="exact"/>
        <w:jc w:val="both"/>
        <w:rPr>
          <w:rFonts w:ascii="Calibri" w:eastAsia="Times New Roman" w:hAnsi="Calibri" w:cs="Maiandra GD"/>
          <w:color w:val="000000"/>
          <w:lang w:eastAsia="it-IT"/>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Several key informants confirmed that MCs are not a new institution to the Somali context, but were already organized in the past,</w:t>
      </w:r>
      <w:r w:rsidRPr="006E6AAA">
        <w:rPr>
          <w:rFonts w:ascii="Calibri" w:eastAsia="Times New Roman" w:hAnsi="Calibri" w:cs="Times New Roman"/>
          <w:vertAlign w:val="superscript"/>
          <w:lang w:eastAsia="da-DK"/>
        </w:rPr>
        <w:footnoteReference w:id="82"/>
      </w:r>
      <w:r w:rsidRPr="006E6AAA">
        <w:rPr>
          <w:rFonts w:ascii="Calibri" w:eastAsia="Times New Roman" w:hAnsi="Calibri" w:cs="Times New Roman"/>
          <w:lang w:eastAsia="da-DK"/>
        </w:rPr>
        <w:t xml:space="preserve"> although it is only in 2008 that mobile courts were revamped with the support of UNDP.</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Articles 12(2), 11(2) and 8 (3) of the “</w:t>
      </w:r>
      <w:r w:rsidRPr="006E6AAA">
        <w:rPr>
          <w:rFonts w:ascii="Calibri" w:eastAsia="Times New Roman" w:hAnsi="Calibri" w:cs="Times New Roman"/>
          <w:i/>
          <w:lang w:val="en-GB" w:eastAsia="da-DK"/>
        </w:rPr>
        <w:t>Somaliland organisation of the Judiciary Law</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83"/>
      </w:r>
      <w:r w:rsidRPr="006E6AAA">
        <w:rPr>
          <w:rFonts w:ascii="Calibri" w:eastAsia="Times New Roman" w:hAnsi="Calibri" w:cs="Times New Roman"/>
          <w:lang w:val="en-GB" w:eastAsia="da-DK"/>
        </w:rPr>
        <w:t xml:space="preserve"> represent the legal basis for MC as they give authority to respectively the Supreme Court, the Appeal Court and the Regional Court to “</w:t>
      </w:r>
      <w:r w:rsidRPr="006E6AAA">
        <w:rPr>
          <w:rFonts w:ascii="Calibri" w:eastAsia="Times New Roman" w:hAnsi="Calibri" w:cs="Times New Roman"/>
          <w:i/>
          <w:lang w:val="en-GB" w:eastAsia="da-DK"/>
        </w:rPr>
        <w:t>hear cases in any place with in its territorial jurisdiction</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84"/>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One of the interviewed lawyers criticized the weak legal framework on the basis of which MC operate and believed that in some cases there were grounds to argue that a MC would not have territorial jurisdiction over a specific case.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The legal basis for MC</w:t>
      </w:r>
      <w:r w:rsidRPr="006E6AAA">
        <w:rPr>
          <w:rFonts w:ascii="Calibri" w:eastAsia="Times New Roman" w:hAnsi="Calibri" w:cs="Times New Roman"/>
          <w:lang w:val="en-GB" w:eastAsia="da-DK"/>
        </w:rPr>
        <w:t xml:space="preserve"> </w:t>
      </w:r>
      <w:r w:rsidRPr="006E6AAA">
        <w:rPr>
          <w:rFonts w:ascii="Calibri" w:eastAsia="Times New Roman" w:hAnsi="Calibri" w:cs="Times New Roman"/>
          <w:b/>
          <w:lang w:val="en-GB" w:eastAsia="da-DK"/>
        </w:rPr>
        <w:t>could be strengthened</w:t>
      </w:r>
      <w:r w:rsidRPr="006E6AAA">
        <w:rPr>
          <w:rFonts w:ascii="Calibri" w:eastAsia="Times New Roman" w:hAnsi="Calibri" w:cs="Times New Roman"/>
          <w:lang w:val="en-GB" w:eastAsia="da-DK"/>
        </w:rPr>
        <w:t xml:space="preserve"> by further detailing the modalities of the intervention. This is for example the solution adopted in Sierra Leone where circuit courts are mentioned in the Constitution as well as in specific legislation and further integrated by a Chief Justice order published on the Gazette every year to identify the locations included in the circuit. In DRC the 2013 law on the re-organisation of the Judiciary dedicates a whole section to MC. </w:t>
      </w:r>
      <w:r w:rsidRPr="006E6AAA">
        <w:rPr>
          <w:rFonts w:ascii="Calibri" w:eastAsia="Times New Roman" w:hAnsi="Calibri" w:cs="Times New Roman"/>
          <w:vertAlign w:val="superscript"/>
          <w:lang w:val="en-GB" w:eastAsia="da-DK"/>
        </w:rPr>
        <w:footnoteReference w:id="85"/>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The MC model developed in Somaliland functions “on demand”</w:t>
      </w:r>
      <w:r w:rsidRPr="006E6AAA">
        <w:rPr>
          <w:rFonts w:ascii="Calibri" w:eastAsia="Times New Roman" w:hAnsi="Calibri" w:cs="Times New Roman"/>
          <w:lang w:val="en-GB" w:eastAsia="da-DK"/>
        </w:rPr>
        <w:t xml:space="preserve">: MC are not following a regular and pre-established circuit of places to visit, but are organised as a response to specific requests.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As mentioned above, the Courts organising mobile sessions are the Appeal Court, the Regional Court and the Supreme Court; the latter has an oversight role of MC the system and, since January 2013, has appointed a dedicated staff (the MC Coordinator) mainly tasked to coordinate and consolidate the MC reporting.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When a case that would need the intervention of a MC arises (for example if a District Court is addressed for a case that is above its jurisdiction), a wide range of actors can contact the competent Court and request a MC. Such actors include District Courts, prison staff, elders, High Judicial Council inspection team, and even the victim can request a MC by directly calling the judicial authorities.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president of the Appeal Court in Hargeisa agreed it would be more effective to have an internal mechanism to receive and coordinate case referrals.</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interviewed judges reported that if additional and non-scheduled cases arise during the MC session, they tend not to hear them, but ask the District Court to assign the case and eventually come back.</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color w:val="FF0000"/>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composition of a MC depends on the type of bench: General Sections of Regional and Appeal Courts only require one judge, but for Assize sections a panel of 3 or more judges is required, including one or more assessor. Registrars, prosecutors and legal aid lawyers complete the MC team.</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Security is ensured by a number of police officers and eventually a Special Police Unit (SPU) escort, if a UNDP monitoring team is present.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It is common that several judges travel on a MC, but individually hear different cases so that several mobile court sessions are in operation simultaneously in the same location.</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President of the Hargeisa Appeal Court confirmed that when judges are on mission the permanent court continues to hear cases, “</w:t>
      </w:r>
      <w:r w:rsidRPr="006E6AAA">
        <w:rPr>
          <w:rFonts w:ascii="Calibri" w:eastAsia="Times New Roman" w:hAnsi="Calibri" w:cs="Times New Roman"/>
          <w:i/>
          <w:lang w:val="en-GB" w:eastAsia="da-DK"/>
        </w:rPr>
        <w:t>as there are enough judges in the system</w:t>
      </w:r>
      <w:r w:rsidRPr="006E6AAA">
        <w:rPr>
          <w:rFonts w:ascii="Calibri" w:eastAsia="Times New Roman" w:hAnsi="Calibri" w:cs="Times New Roman"/>
          <w:lang w:val="en-GB" w:eastAsia="da-DK"/>
        </w:rPr>
        <w:t xml:space="preserve">” and explained that specific judges are not assigned for MC, but the President of the Court assigns the case to any of the judges of the jurisdiction and fixes a date for the MC hearing.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Maiandra GD"/>
          <w:color w:val="000000"/>
          <w:lang w:val="en-GB" w:eastAsia="it-IT"/>
        </w:rPr>
      </w:pPr>
      <w:r w:rsidRPr="006E6AAA">
        <w:rPr>
          <w:rFonts w:ascii="Calibri" w:eastAsia="Times New Roman" w:hAnsi="Calibri" w:cs="Maiandra GD"/>
          <w:color w:val="000000"/>
          <w:lang w:val="en-GB" w:eastAsia="it-IT"/>
        </w:rPr>
        <w:t>A clear policy identifying the areas of intervention or the criteria to prioritise the cases that trigger a request for a MC is not available; however both the Chief Justice and the acting Attorney General mentioned that the following criteria are taken into consideration:</w:t>
      </w:r>
    </w:p>
    <w:p w:rsidR="006E6AAA" w:rsidRPr="006E6AAA" w:rsidRDefault="006E6AAA" w:rsidP="006E6AAA">
      <w:pPr>
        <w:numPr>
          <w:ilvl w:val="0"/>
          <w:numId w:val="37"/>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Cases that involve vulnerable groups;</w:t>
      </w:r>
    </w:p>
    <w:p w:rsidR="006E6AAA" w:rsidRPr="006E6AAA" w:rsidRDefault="006E6AAA" w:rsidP="006E6AAA">
      <w:pPr>
        <w:numPr>
          <w:ilvl w:val="0"/>
          <w:numId w:val="37"/>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Cases from particularly remote areas;</w:t>
      </w:r>
    </w:p>
    <w:p w:rsidR="006E6AAA" w:rsidRPr="006E6AAA" w:rsidRDefault="006E6AAA" w:rsidP="006E6AAA">
      <w:pPr>
        <w:numPr>
          <w:ilvl w:val="0"/>
          <w:numId w:val="37"/>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Cases of serious crimes, like rape and murder.</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 addition the MC LoA specifies that “</w:t>
      </w:r>
      <w:r w:rsidRPr="006E6AAA">
        <w:rPr>
          <w:rFonts w:ascii="Calibri" w:eastAsia="Times New Roman" w:hAnsi="Calibri" w:cs="Times New Roman"/>
          <w:i/>
          <w:lang w:val="en-GB" w:eastAsia="da-DK"/>
        </w:rPr>
        <w:t>in delivering MC services criminal cases shall be prioritized over civil cases and particularly cases related to women and children</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Not all 6 Somaliland Regions are covered by MC: due to the unstable security situation, MC are not supported in the region of Sool, on the border with Puntland</w:t>
      </w:r>
      <w:r w:rsidRPr="006E6AAA">
        <w:rPr>
          <w:rFonts w:ascii="Calibri" w:eastAsia="Times New Roman" w:hAnsi="Calibri" w:cs="Times New Roman"/>
          <w:vertAlign w:val="superscript"/>
          <w:lang w:val="en-GB" w:eastAsia="da-DK"/>
        </w:rPr>
        <w:footnoteReference w:id="86"/>
      </w:r>
      <w:r w:rsidRPr="006E6AAA">
        <w:rPr>
          <w:rFonts w:ascii="Calibri" w:eastAsia="Times New Roman" w:hAnsi="Calibri" w:cs="Times New Roman"/>
          <w:lang w:val="en-GB" w:eastAsia="da-DK"/>
        </w:rPr>
        <w:t>. The President of Sanaag Court of Appeal added that “</w:t>
      </w:r>
      <w:r w:rsidRPr="006E6AAA">
        <w:rPr>
          <w:rFonts w:ascii="Calibri" w:eastAsia="Times New Roman" w:hAnsi="Calibri" w:cs="Times New Roman"/>
          <w:i/>
          <w:lang w:val="en-GB" w:eastAsia="da-DK"/>
        </w:rPr>
        <w:t>there are certain parts of East of Erigavo, which are not safe.  The mobile courts can only go to closest and safest areas</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87"/>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“Nagaad Network” highlighted that most justice and security institutions are present in the western areas of Somaliland, although it’s in the eastern areas where justice needs are most urgent.</w:t>
      </w:r>
    </w:p>
    <w:p w:rsidR="006E6AAA" w:rsidRPr="006E6AAA" w:rsidRDefault="006E6AAA" w:rsidP="006E6AAA">
      <w:pPr>
        <w:autoSpaceDE w:val="0"/>
        <w:autoSpaceDN w:val="0"/>
        <w:adjustRightInd w:val="0"/>
        <w:spacing w:after="0" w:line="280" w:lineRule="exact"/>
        <w:jc w:val="both"/>
        <w:rPr>
          <w:rFonts w:ascii="Calibri" w:eastAsia="Times New Roman" w:hAnsi="Calibri" w:cs="Maiandra GD"/>
          <w:color w:val="000000"/>
          <w:lang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Somali culture facilitates the communication of court procedures to the parties to the cases. The interviewed judges explained that they have different means to reach the court users (a letter given to the elders, a telephone call), but they rarely face the issue of the absence of the accused in court as “</w:t>
      </w:r>
      <w:r w:rsidRPr="006E6AAA">
        <w:rPr>
          <w:rFonts w:ascii="Calibri" w:eastAsia="Times New Roman" w:hAnsi="Calibri" w:cs="Times New Roman"/>
          <w:i/>
          <w:lang w:val="en-GB" w:eastAsia="da-DK"/>
        </w:rPr>
        <w:t>Somalis know each other and the information reaches the parties in time</w:t>
      </w:r>
      <w:r w:rsidRPr="006E6AAA">
        <w:rPr>
          <w:rFonts w:ascii="Calibri" w:eastAsia="Times New Roman" w:hAnsi="Calibri" w:cs="Times New Roman"/>
          <w:lang w:val="en-GB" w:eastAsia="da-DK"/>
        </w:rPr>
        <w:t>”</w:t>
      </w:r>
    </w:p>
    <w:p w:rsidR="006E6AAA" w:rsidRPr="006E6AAA" w:rsidRDefault="006E6AAA" w:rsidP="006E6AAA">
      <w:pPr>
        <w:autoSpaceDE w:val="0"/>
        <w:autoSpaceDN w:val="0"/>
        <w:adjustRightInd w:val="0"/>
        <w:spacing w:after="0" w:line="280" w:lineRule="exact"/>
        <w:jc w:val="both"/>
        <w:rPr>
          <w:rFonts w:ascii="Calibri" w:eastAsia="Times New Roman" w:hAnsi="Calibri" w:cs="Maiandra GD"/>
          <w:color w:val="000000"/>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Maiandra GD"/>
          <w:color w:val="000000"/>
          <w:lang w:eastAsia="it-IT"/>
        </w:rPr>
      </w:pPr>
      <w:r w:rsidRPr="006E6AAA">
        <w:rPr>
          <w:rFonts w:ascii="Calibri" w:eastAsia="Times New Roman" w:hAnsi="Calibri" w:cs="Maiandra GD"/>
          <w:color w:val="000000"/>
          <w:lang w:eastAsia="it-IT"/>
        </w:rPr>
        <w:t xml:space="preserve">Support to MC only covers the trial phase, so investigations are conducted by the police and the Prosecution Office independently. </w:t>
      </w:r>
    </w:p>
    <w:p w:rsidR="006E6AAA" w:rsidRPr="006E6AAA" w:rsidRDefault="006E6AAA" w:rsidP="006E6AAA">
      <w:pPr>
        <w:autoSpaceDE w:val="0"/>
        <w:autoSpaceDN w:val="0"/>
        <w:adjustRightInd w:val="0"/>
        <w:spacing w:after="0" w:line="280" w:lineRule="exact"/>
        <w:jc w:val="both"/>
        <w:rPr>
          <w:rFonts w:ascii="Calibri" w:eastAsia="Times New Roman" w:hAnsi="Calibri" w:cs="Maiandra GD"/>
          <w:color w:val="000000"/>
          <w:lang w:eastAsia="it-IT"/>
        </w:rPr>
      </w:pPr>
      <w:r w:rsidRPr="006E6AAA">
        <w:rPr>
          <w:rFonts w:ascii="Calibri" w:eastAsia="Times New Roman" w:hAnsi="Calibri" w:cs="Maiandra GD"/>
          <w:color w:val="000000"/>
          <w:lang w:eastAsia="it-IT"/>
        </w:rPr>
        <w:t xml:space="preserve">On the contrary a complementary activity that is occasionally carried out by the MC team is to hold awareness raising sessions with the communities or eventually </w:t>
      </w:r>
      <w:r w:rsidRPr="006E6AAA">
        <w:rPr>
          <w:rFonts w:ascii="Calibri" w:eastAsia="Times New Roman" w:hAnsi="Calibri" w:cs="Times New Roman"/>
          <w:lang w:val="en-GB" w:eastAsia="da-DK"/>
        </w:rPr>
        <w:t>provide legal advice to persons other than the parties to the cases</w:t>
      </w:r>
      <w:r w:rsidRPr="006E6AAA">
        <w:rPr>
          <w:rFonts w:ascii="Calibri" w:eastAsia="Times New Roman" w:hAnsi="Calibri" w:cs="Times New Roman"/>
          <w:vertAlign w:val="superscript"/>
          <w:lang w:val="en-GB" w:eastAsia="da-DK"/>
        </w:rPr>
        <w:footnoteReference w:id="88"/>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Finally it is worth noting that 90% of the MC supported in Somaliland are structured as one-day missions; only in Saanag region are MCs organised for longer periods, in any case not exceeding 7 days.</w:t>
      </w: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xml:space="preserve">§ 1.2. </w:t>
      </w:r>
      <w:r w:rsidRPr="006E6AAA">
        <w:rPr>
          <w:rFonts w:ascii="Calibri" w:eastAsia="Times New Roman" w:hAnsi="Calibri" w:cs="Times New Roman"/>
          <w:b/>
          <w:lang w:eastAsia="da-DK"/>
        </w:rPr>
        <w:t>Relevance to national justice sector strategies and national ownership</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Mobile courts are expressly mentioned in the 2008 “</w:t>
      </w:r>
      <w:r w:rsidRPr="006E6AAA">
        <w:rPr>
          <w:rFonts w:ascii="Calibri" w:eastAsia="Times New Roman" w:hAnsi="Calibri" w:cs="Times New Roman"/>
          <w:i/>
          <w:lang w:val="en-GB" w:eastAsia="da-DK"/>
        </w:rPr>
        <w:t>National Justice Reform Strategy</w:t>
      </w:r>
      <w:r w:rsidRPr="006E6AAA">
        <w:rPr>
          <w:rFonts w:ascii="Calibri" w:eastAsia="Times New Roman" w:hAnsi="Calibri" w:cs="Times New Roman"/>
          <w:lang w:val="en-GB" w:eastAsia="da-DK"/>
        </w:rPr>
        <w:t>” and the 2009 “</w:t>
      </w:r>
      <w:r w:rsidRPr="006E6AAA">
        <w:rPr>
          <w:rFonts w:ascii="Calibri" w:eastAsia="Times New Roman" w:hAnsi="Calibri" w:cs="Times New Roman"/>
          <w:i/>
          <w:lang w:val="en-GB" w:eastAsia="da-DK"/>
        </w:rPr>
        <w:t>Action Plan for implementation</w:t>
      </w:r>
      <w:r w:rsidRPr="006E6AAA">
        <w:rPr>
          <w:rFonts w:ascii="Calibri" w:eastAsia="Times New Roman" w:hAnsi="Calibri" w:cs="Times New Roman"/>
          <w:lang w:val="en-GB" w:eastAsia="da-DK"/>
        </w:rPr>
        <w:t>”.</w:t>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Point </w:t>
      </w:r>
      <w:r w:rsidRPr="006E6AAA">
        <w:rPr>
          <w:rFonts w:ascii="Calibri" w:eastAsia="Times New Roman" w:hAnsi="Calibri" w:cs="Times New Roman"/>
          <w:b/>
          <w:lang w:val="en-GB" w:eastAsia="da-DK"/>
        </w:rPr>
        <w:t>7.10</w:t>
      </w:r>
      <w:r w:rsidRPr="006E6AAA">
        <w:rPr>
          <w:rFonts w:ascii="Calibri" w:eastAsia="Times New Roman" w:hAnsi="Calibri" w:cs="Times New Roman"/>
          <w:lang w:val="en-GB" w:eastAsia="da-DK"/>
        </w:rPr>
        <w:t xml:space="preserve"> of the Action Plan aims at “</w:t>
      </w:r>
      <w:r w:rsidRPr="006E6AAA">
        <w:rPr>
          <w:rFonts w:ascii="Calibri" w:eastAsia="Times New Roman" w:hAnsi="Calibri" w:cs="Times New Roman"/>
          <w:i/>
          <w:lang w:val="en-GB" w:eastAsia="da-DK"/>
        </w:rPr>
        <w:t>Strengthening and expanding the Mobile Court modality</w:t>
      </w:r>
      <w:r w:rsidRPr="006E6AAA">
        <w:rPr>
          <w:rFonts w:ascii="Calibri" w:eastAsia="Times New Roman" w:hAnsi="Calibri" w:cs="Times New Roman"/>
          <w:lang w:val="en-GB" w:eastAsia="da-DK"/>
        </w:rPr>
        <w:t xml:space="preserve">” and point </w:t>
      </w:r>
      <w:r w:rsidRPr="006E6AAA">
        <w:rPr>
          <w:rFonts w:ascii="Calibri" w:eastAsia="Times New Roman" w:hAnsi="Calibri" w:cs="Times New Roman"/>
          <w:b/>
          <w:lang w:val="en-GB" w:eastAsia="da-DK"/>
        </w:rPr>
        <w:t xml:space="preserve">7.11 </w:t>
      </w:r>
      <w:r w:rsidRPr="006E6AAA">
        <w:rPr>
          <w:rFonts w:ascii="Calibri" w:eastAsia="Times New Roman" w:hAnsi="Calibri" w:cs="Times New Roman"/>
          <w:lang w:val="en-GB" w:eastAsia="da-DK"/>
        </w:rPr>
        <w:t>recommends including a sexual violence specialist on Mobile Court Teams.</w:t>
      </w:r>
    </w:p>
    <w:p w:rsidR="006E6AAA" w:rsidRPr="006E6AAA" w:rsidRDefault="006E6AAA" w:rsidP="006E6AAA">
      <w:pPr>
        <w:autoSpaceDE w:val="0"/>
        <w:autoSpaceDN w:val="0"/>
        <w:adjustRightInd w:val="0"/>
        <w:spacing w:after="0" w:line="280" w:lineRule="exact"/>
        <w:jc w:val="both"/>
        <w:rPr>
          <w:rFonts w:ascii="Calibri" w:eastAsia="Times New Roman" w:hAnsi="Calibri" w:cs="Calibri"/>
          <w:color w:val="000000"/>
          <w:lang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Similarly the 2012 “</w:t>
      </w:r>
      <w:r w:rsidRPr="006E6AAA">
        <w:rPr>
          <w:rFonts w:ascii="Calibri" w:eastAsia="Times New Roman" w:hAnsi="Calibri" w:cs="Calibri"/>
          <w:i/>
          <w:color w:val="000000"/>
          <w:lang w:eastAsia="it-IT"/>
        </w:rPr>
        <w:t>Somaliland National Development Plan</w:t>
      </w:r>
      <w:r w:rsidRPr="006E6AAA">
        <w:rPr>
          <w:rFonts w:ascii="Calibri" w:eastAsia="Times New Roman" w:hAnsi="Calibri" w:cs="Calibri"/>
          <w:color w:val="000000"/>
          <w:lang w:eastAsia="it-IT"/>
        </w:rPr>
        <w:t>” highlights that increasing the mobile courts services is “</w:t>
      </w:r>
      <w:r w:rsidRPr="006E6AAA">
        <w:rPr>
          <w:rFonts w:ascii="Calibri" w:eastAsia="Times New Roman" w:hAnsi="Calibri" w:cs="Calibri"/>
          <w:i/>
          <w:color w:val="000000"/>
          <w:lang w:eastAsia="it-IT"/>
        </w:rPr>
        <w:t>among the most important planned projects and programs to be implemented for improving the justice delivery system in Somaliland</w:t>
      </w:r>
      <w:r w:rsidRPr="006E6AAA">
        <w:rPr>
          <w:rFonts w:ascii="Calibri" w:eastAsia="Times New Roman" w:hAnsi="Calibri" w:cs="Calibri"/>
          <w:color w:val="000000"/>
          <w:lang w:eastAsia="it-IT"/>
        </w:rPr>
        <w: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The Chief Justice is strongly committed to </w:t>
      </w:r>
      <w:r w:rsidRPr="006E6AAA">
        <w:rPr>
          <w:rFonts w:ascii="Calibri" w:eastAsia="Times New Roman" w:hAnsi="Calibri" w:cs="Times New Roman"/>
          <w:lang w:eastAsia="da-DK"/>
        </w:rPr>
        <w:t xml:space="preserve">bringing justice closer to the population but, while recognizing that MC are a priority for the development of the formal justice sector, he explains that so far a specific strategy for MC has not been developed.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 Chief Justice and the highest judicial authorities are highly supportive of UNDP’s activities and always present at the workshops organized by UNDP, in the framework of the MC initiative and other projects.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 positive development, particularly in terms of independence of the judges, has been the transfer of the MC project from the Minister of Justice to the Judiciary (Supreme Court) in 2011. In addition UNDP is assisting the relevant institutions to draft a MOU aimed at institutionalising the management of all courts by the Judiciary, because currently the lower courts are managed by the Ministry of Justice.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It is expected that this change, coupled with the strong political will of the current Chief Justice, will favour a positive development of the MC system.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One aspect that remains problematic is that, despite the strong political will and the increased independence of the Judiciary in managing the MC system, the financial aspects of the initiative are still under the responsibility of the MOJ. The Supreme Court is organising the MC, but the MOJ is managing the budget and paying the related costs, with subsequent frustrations among the judges due to the delays in the reimbursement of their mission expenses.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Finally it is worth noting that despite the Chief Justice has clearly committed in the last two LoAs to ensure that the Somaliland government would start contributing to the MC budget, in practice such contributions are not yet significant enough: </w:t>
      </w:r>
      <w:r w:rsidRPr="006E6AAA">
        <w:rPr>
          <w:rFonts w:ascii="Calibri" w:eastAsia="Times New Roman" w:hAnsi="Calibri" w:cs="Times New Roman"/>
          <w:b/>
          <w:lang w:val="en-GB" w:eastAsia="da-DK"/>
        </w:rPr>
        <w:t>80% of the MC budget is still provided for by UNDP</w:t>
      </w:r>
      <w:r w:rsidRPr="006E6AAA">
        <w:rPr>
          <w:rFonts w:ascii="Calibri" w:eastAsia="Times New Roman" w:hAnsi="Calibri" w:cs="Times New Roman"/>
          <w:lang w:val="en-GB" w:eastAsia="da-DK"/>
        </w:rPr>
        <w:t xml:space="preserve"> and the funds for the expanses that the Judiciary engaged to cover (</w:t>
      </w:r>
      <w:r w:rsidRPr="006E6AAA">
        <w:rPr>
          <w:rFonts w:ascii="Calibri" w:eastAsia="Times New Roman" w:hAnsi="Calibri" w:cs="Times New Roman"/>
          <w:i/>
          <w:lang w:val="en-GB" w:eastAsia="da-DK"/>
        </w:rPr>
        <w:t>perdiems</w:t>
      </w:r>
      <w:r w:rsidRPr="006E6AAA">
        <w:rPr>
          <w:rFonts w:ascii="Calibri" w:eastAsia="Times New Roman" w:hAnsi="Calibri" w:cs="Times New Roman"/>
          <w:lang w:val="en-GB" w:eastAsia="da-DK"/>
        </w:rPr>
        <w:t xml:space="preserve"> and stationary) are too limited to have an impact, as detailed in § 3.1.</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UNDP Project Manager explained that the above mentioned MOU currently under discussion could be an opportunity to address these issues and further the debate on the transfer of the MC initiative to the national partner.</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UNDP’s support to the mobile court system </w:t>
      </w:r>
      <w:r w:rsidRPr="006E6AAA">
        <w:rPr>
          <w:rFonts w:ascii="Calibri" w:eastAsia="Times New Roman" w:hAnsi="Calibri" w:cs="Times New Roman"/>
          <w:b/>
          <w:lang w:eastAsia="da-DK"/>
        </w:rPr>
        <w:t>reflects the principles of national ownership</w:t>
      </w:r>
      <w:r w:rsidRPr="006E6AAA">
        <w:rPr>
          <w:rFonts w:ascii="Calibri" w:eastAsia="Times New Roman" w:hAnsi="Calibri" w:cs="Times New Roman"/>
          <w:lang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intervention is </w:t>
      </w:r>
      <w:r w:rsidRPr="006E6AAA">
        <w:rPr>
          <w:rFonts w:ascii="Calibri" w:eastAsia="Times New Roman" w:hAnsi="Calibri" w:cs="Frutiger-Roman"/>
          <w:lang w:eastAsia="it-IT"/>
        </w:rPr>
        <w:t xml:space="preserve">grounded in national justice sector strategies and is </w:t>
      </w:r>
      <w:r w:rsidRPr="006E6AAA">
        <w:rPr>
          <w:rFonts w:ascii="Calibri" w:eastAsia="Times New Roman" w:hAnsi="Calibri" w:cs="Frutiger-Bold"/>
          <w:bCs/>
          <w:lang w:eastAsia="it-IT"/>
        </w:rPr>
        <w:t xml:space="preserve">nationally driven and owned: </w:t>
      </w:r>
      <w:r w:rsidRPr="006E6AAA">
        <w:rPr>
          <w:rFonts w:ascii="Calibri" w:eastAsia="Times New Roman" w:hAnsi="Calibri" w:cs="Times New Roman"/>
          <w:lang w:eastAsia="da-DK"/>
        </w:rPr>
        <w:t>the intervention fully</w:t>
      </w:r>
      <w:r w:rsidRPr="006E6AAA">
        <w:rPr>
          <w:rFonts w:ascii="Calibri" w:eastAsia="Times New Roman" w:hAnsi="Calibri" w:cs="Frutiger-Bold"/>
          <w:bCs/>
          <w:lang w:eastAsia="it-IT"/>
        </w:rPr>
        <w:t xml:space="preserve"> relies on national expertise and capacities as </w:t>
      </w:r>
      <w:r w:rsidRPr="006E6AAA">
        <w:rPr>
          <w:rFonts w:ascii="Calibri" w:eastAsia="Times New Roman" w:hAnsi="Calibri" w:cs="Times New Roman"/>
          <w:lang w:eastAsia="da-DK"/>
        </w:rPr>
        <w:t>mobile courts</w:t>
      </w:r>
      <w:r w:rsidRPr="006E6AAA">
        <w:rPr>
          <w:rFonts w:ascii="Calibri" w:eastAsia="Times New Roman" w:hAnsi="Calibri" w:cs="Frutiger-Bold"/>
          <w:bCs/>
          <w:lang w:eastAsia="it-IT"/>
        </w:rPr>
        <w:t xml:space="preserve"> are entirely run and managed by Somali judges</w:t>
      </w:r>
      <w:r w:rsidRPr="006E6AAA">
        <w:rPr>
          <w:rFonts w:ascii="Calibri" w:eastAsia="Times New Roman" w:hAnsi="Calibri" w:cs="Times New Roman"/>
          <w:lang w:eastAsia="da-DK"/>
        </w:rPr>
        <w:t xml:space="preserve">.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eastAsia="it-IT"/>
        </w:rPr>
      </w:pPr>
      <w:r w:rsidRPr="006E6AAA">
        <w:rPr>
          <w:rFonts w:ascii="Calibri" w:eastAsia="Times New Roman" w:hAnsi="Calibri" w:cs="Times New Roman"/>
          <w:lang w:eastAsia="it-IT"/>
        </w:rPr>
        <w:t xml:space="preserve">UNDP is committed to develop national capacities within the Judiciary and has organized in the past, within the framework of other UNDP initiatives, trainings for judges and magistrates: 3 of the interviewed judges had participated in the 9 months training for judicial staff supported by UNDP.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b/>
          <w:color w:val="000080"/>
          <w:lang w:eastAsia="da-DK"/>
        </w:rPr>
        <w:t>§ 1.3</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Relevance to the needs of the population, with a particular focus on women</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 baseline study was conducted by the University of Hargeisa and UNDP in July 2012 (hereafter </w:t>
      </w:r>
      <w:r w:rsidRPr="006E6AAA">
        <w:rPr>
          <w:rFonts w:ascii="Calibri" w:eastAsia="Times New Roman" w:hAnsi="Calibri" w:cs="Times New Roman"/>
          <w:i/>
          <w:lang w:val="en-GB" w:eastAsia="da-DK"/>
        </w:rPr>
        <w:t>Baseline study</w:t>
      </w:r>
      <w:r w:rsidRPr="006E6AAA">
        <w:rPr>
          <w:rFonts w:ascii="Calibri" w:eastAsia="Times New Roman" w:hAnsi="Calibri" w:cs="Times New Roman"/>
          <w:lang w:val="en-GB" w:eastAsia="da-DK"/>
        </w:rPr>
        <w:t xml:space="preserve">) to assess different aspects of the formal justice system, included the public perception and level of user satisfaction of the justice services, as well as community understanding of available judicial mechanisms.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Reference will therefore be made to this document to assess the relevance of MC with regards to the needs of the population.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most common legal issues identified by the respondents to the Baseline study were: 1) Fight (assault) 2) Inheritance disputes 3) Land disputes  4) Domestic violence.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Detailed MC statistics are not available, but it is confirmed that MC have heard both criminal and civil cases, and evaluation interviews reported that MC are often solving land disputes that the elders can not agree upon. Two of the interviewed beneficiaries (a man and a woman) were parties to a land case and were waiting the Regional MC to measure and demarcate their property. </w:t>
      </w: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There seems to be a clear understanding among justice actors and UNDP staff that the MC “</w:t>
      </w:r>
      <w:r w:rsidRPr="006E6AAA">
        <w:rPr>
          <w:rFonts w:ascii="Calibri" w:eastAsia="Times New Roman" w:hAnsi="Calibri" w:cs="Times New Roman"/>
          <w:i/>
          <w:lang w:val="en-GB" w:eastAsia="da-DK"/>
        </w:rPr>
        <w:t>shall benefit in priority vulnerable groups, including IDPs, women, juvenile offenders, minorities and the disabled, and those on remand or in police custody</w:t>
      </w:r>
      <w:r w:rsidRPr="006E6AAA">
        <w:rPr>
          <w:rFonts w:ascii="Calibri" w:eastAsia="Times New Roman" w:hAnsi="Calibri" w:cs="Times New Roman"/>
          <w:lang w:val="en-GB" w:eastAsia="da-DK"/>
        </w:rPr>
        <w:t>”.</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MC statistics are not reporting information on the status of the parties to the cases, so it is difficult to assess if MC are targeting marginalised groups; data is only available for cases filed by women: in 2012 an indicative number of 150 women have brought their cases before a MC.</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One of the most urgent gap unanimously highlighted during the interviews, is the </w:t>
      </w:r>
      <w:r w:rsidRPr="006E6AAA">
        <w:rPr>
          <w:rFonts w:ascii="Calibri" w:eastAsia="Times New Roman" w:hAnsi="Calibri" w:cs="Times New Roman"/>
          <w:b/>
          <w:lang w:val="en-GB" w:eastAsia="da-DK"/>
        </w:rPr>
        <w:t>limited awareness of the population</w:t>
      </w:r>
      <w:r w:rsidRPr="006E6AAA">
        <w:rPr>
          <w:rFonts w:ascii="Calibri" w:eastAsia="Times New Roman" w:hAnsi="Calibri" w:cs="Times New Roman"/>
          <w:lang w:val="en-GB" w:eastAsia="da-DK"/>
        </w:rPr>
        <w:t xml:space="preserve"> about their rights and the mechanisms available to seek redress.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interviewed MC users had little understanding of the court proceedings and all the interviewed judges recommended to increase the activities aimed at addressing this gap. One judge reported that due to the frequent questions from the communities the MC team ensures that some time is dedicated to explain their role.</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ahoma"/>
          <w:lang w:val="en-GB" w:eastAsia="da-DK"/>
        </w:rPr>
      </w:pPr>
      <w:r w:rsidRPr="006E6AAA">
        <w:rPr>
          <w:rFonts w:ascii="Calibri" w:eastAsia="Times New Roman" w:hAnsi="Calibri" w:cs="Times New Roman"/>
          <w:lang w:val="en-GB" w:eastAsia="da-DK"/>
        </w:rPr>
        <w:t>The UNDP monitoring reports demonstrate the attention that UNDP staff dedicates to include the point of view of the population. Observations tend however to be quite general and repeated over time, so it is recommended to focus on more detailed information and deepen the analysis to better understand the needs of the population. For example in addition to concluding that “</w:t>
      </w:r>
      <w:r w:rsidRPr="006E6AAA">
        <w:rPr>
          <w:rFonts w:ascii="Calibri" w:eastAsia="Times New Roman" w:hAnsi="Calibri" w:cs="Tahoma"/>
          <w:i/>
          <w:lang w:val="en-GB" w:eastAsia="da-DK"/>
        </w:rPr>
        <w:t>mobile courts saved time and money for our community”</w:t>
      </w:r>
      <w:r w:rsidRPr="006E6AAA">
        <w:rPr>
          <w:rFonts w:ascii="Calibri" w:eastAsia="Times New Roman" w:hAnsi="Calibri" w:cs="Tahoma"/>
          <w:vertAlign w:val="superscript"/>
          <w:lang w:val="en-GB" w:eastAsia="da-DK"/>
        </w:rPr>
        <w:t xml:space="preserve"> </w:t>
      </w:r>
      <w:r w:rsidRPr="006E6AAA">
        <w:rPr>
          <w:rFonts w:ascii="Calibri" w:eastAsia="Times New Roman" w:hAnsi="Calibri" w:cs="Tahoma"/>
          <w:vertAlign w:val="superscript"/>
          <w:lang w:val="en-GB" w:eastAsia="da-DK"/>
        </w:rPr>
        <w:footnoteReference w:id="89"/>
      </w:r>
      <w:r w:rsidRPr="006E6AAA">
        <w:rPr>
          <w:rFonts w:ascii="Calibri" w:eastAsia="Times New Roman" w:hAnsi="Calibri" w:cs="Tahoma"/>
          <w:i/>
          <w:lang w:val="en-GB" w:eastAsia="da-DK"/>
        </w:rPr>
        <w:t xml:space="preserve"> </w:t>
      </w:r>
      <w:r w:rsidRPr="006E6AAA">
        <w:rPr>
          <w:rFonts w:ascii="Calibri" w:eastAsia="Times New Roman" w:hAnsi="Calibri" w:cs="Tahoma"/>
          <w:lang w:val="en-GB" w:eastAsia="da-DK"/>
        </w:rPr>
        <w:t>it could be interesting to explore the following issues: how much money was spent? To whom was it given? In general are MC perceived as free of charge? If not, are they more expensive or less expensive than the dispute mechanisms overseen by elders?</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MetaPro-Norm"/>
          <w:lang w:eastAsia="it-IT"/>
        </w:rPr>
      </w:pPr>
      <w:r w:rsidRPr="006E6AAA">
        <w:rPr>
          <w:rFonts w:ascii="Calibri" w:eastAsia="Times New Roman" w:hAnsi="Calibri" w:cs="Times New Roman"/>
          <w:b/>
          <w:lang w:val="en-GB" w:eastAsia="da-DK"/>
        </w:rPr>
        <w:t>The issue of discrimination against minority clans</w:t>
      </w:r>
      <w:r w:rsidRPr="006E6AAA">
        <w:rPr>
          <w:rFonts w:ascii="Calibri" w:eastAsia="Times New Roman" w:hAnsi="Calibri" w:cs="Times New Roman"/>
          <w:lang w:val="en-GB" w:eastAsia="da-DK"/>
        </w:rPr>
        <w:t xml:space="preserve"> deserves particular attention, as it is reported that across Somalia such groups are not offered any protection under the </w:t>
      </w:r>
      <w:r w:rsidRPr="006E6AAA">
        <w:rPr>
          <w:rFonts w:ascii="Calibri" w:eastAsia="Times New Roman" w:hAnsi="Calibri" w:cs="Times New Roman"/>
          <w:i/>
          <w:lang w:val="en-GB" w:eastAsia="da-DK"/>
        </w:rPr>
        <w:t>Xeer</w:t>
      </w:r>
      <w:r w:rsidRPr="006E6AAA">
        <w:rPr>
          <w:rFonts w:ascii="Calibri" w:eastAsia="Times New Roman" w:hAnsi="Calibri" w:cs="Times New Roman"/>
          <w:lang w:val="en-GB" w:eastAsia="da-DK"/>
        </w:rPr>
        <w:t xml:space="preserve"> system and are also discriminated by the formal system</w:t>
      </w:r>
      <w:r w:rsidRPr="006E6AAA">
        <w:rPr>
          <w:rFonts w:ascii="Calibri" w:eastAsia="Times New Roman" w:hAnsi="Calibri" w:cs="Times New Roman"/>
          <w:vertAlign w:val="superscript"/>
          <w:lang w:val="en-GB" w:eastAsia="da-DK"/>
        </w:rPr>
        <w:footnoteReference w:id="90"/>
      </w:r>
      <w:r w:rsidRPr="006E6AAA">
        <w:rPr>
          <w:rFonts w:ascii="Calibri" w:eastAsia="Times New Roman" w:hAnsi="Calibri" w:cs="Times New Roman"/>
          <w:lang w:val="en-GB" w:eastAsia="da-DK"/>
        </w:rPr>
        <w:t xml:space="preserve"> </w:t>
      </w:r>
      <w:r w:rsidRPr="006E6AAA">
        <w:rPr>
          <w:rFonts w:ascii="Calibri" w:eastAsia="Times New Roman" w:hAnsi="Calibri" w:cs="Times New Roman"/>
          <w:i/>
          <w:lang w:val="en-GB" w:eastAsia="da-DK"/>
        </w:rPr>
        <w:t>inter alia</w:t>
      </w:r>
      <w:r w:rsidRPr="006E6AAA">
        <w:rPr>
          <w:rFonts w:ascii="Calibri" w:eastAsia="Times New Roman" w:hAnsi="Calibri" w:cs="Times New Roman"/>
          <w:lang w:val="en-GB" w:eastAsia="da-DK"/>
        </w:rPr>
        <w:t xml:space="preserve"> “</w:t>
      </w:r>
      <w:r w:rsidRPr="006E6AAA">
        <w:rPr>
          <w:rFonts w:ascii="Calibri" w:eastAsia="Times New Roman" w:hAnsi="Calibri" w:cs="MetaPro-Norm"/>
          <w:i/>
          <w:lang w:eastAsia="it-IT"/>
        </w:rPr>
        <w:t>because police, who tend to be from the majority clans, side with stronger clans</w:t>
      </w:r>
      <w:r w:rsidRPr="006E6AAA">
        <w:rPr>
          <w:rFonts w:ascii="Calibri" w:eastAsia="Times New Roman" w:hAnsi="Calibri" w:cs="MetaPro-Norm"/>
          <w:lang w:eastAsia="it-IT"/>
        </w:rPr>
        <w:t>”.</w:t>
      </w:r>
      <w:r w:rsidRPr="006E6AAA">
        <w:rPr>
          <w:rFonts w:ascii="Calibri" w:eastAsia="Times New Roman" w:hAnsi="Calibri" w:cs="MetaPro-Norm"/>
          <w:vertAlign w:val="superscript"/>
          <w:lang w:eastAsia="it-IT"/>
        </w:rPr>
        <w:footnoteReference w:id="91"/>
      </w:r>
      <w:r w:rsidRPr="006E6AAA">
        <w:rPr>
          <w:rFonts w:ascii="Calibri" w:eastAsia="Times New Roman" w:hAnsi="Calibri" w:cs="MetaPro-Norm"/>
          <w:lang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GaramondPro-Italic"/>
          <w:iCs/>
          <w:lang w:eastAsia="it-IT"/>
        </w:rPr>
      </w:pPr>
      <w:r w:rsidRPr="006E6AAA">
        <w:rPr>
          <w:rFonts w:ascii="Calibri" w:eastAsia="Times New Roman" w:hAnsi="Calibri" w:cs="MetaPro-Norm"/>
          <w:lang w:eastAsia="it-IT"/>
        </w:rPr>
        <w:lastRenderedPageBreak/>
        <w:t xml:space="preserve">The situation in Somaliland is not as alarming as in South Central, but special attention should be given to the group known as </w:t>
      </w:r>
      <w:r w:rsidRPr="006E6AAA">
        <w:rPr>
          <w:rFonts w:ascii="Calibri" w:eastAsia="Times New Roman" w:hAnsi="Calibri" w:cs="AGaramondPro-Italic"/>
          <w:i/>
          <w:iCs/>
          <w:lang w:eastAsia="it-IT"/>
        </w:rPr>
        <w:t>Gaboye,</w:t>
      </w:r>
      <w:r w:rsidRPr="006E6AAA">
        <w:rPr>
          <w:rFonts w:ascii="Calibri" w:eastAsia="Times New Roman" w:hAnsi="Calibri" w:cs="MetaPro-Norm"/>
          <w:lang w:eastAsia="it-IT"/>
        </w:rPr>
        <w:t xml:space="preserve"> </w:t>
      </w:r>
      <w:r w:rsidRPr="006E6AAA">
        <w:rPr>
          <w:rFonts w:ascii="Calibri" w:eastAsia="Times New Roman" w:hAnsi="Calibri" w:cs="AGaramondPro-Regular"/>
          <w:lang w:eastAsia="it-IT"/>
        </w:rPr>
        <w:t>comprising of people practicing specific non-pastoralist</w:t>
      </w:r>
      <w:r w:rsidRPr="006E6AAA">
        <w:rPr>
          <w:rFonts w:ascii="Calibri" w:eastAsia="Times New Roman" w:hAnsi="Calibri" w:cs="MetaPro-Norm"/>
          <w:lang w:eastAsia="it-IT"/>
        </w:rPr>
        <w:t xml:space="preserve"> </w:t>
      </w:r>
      <w:r w:rsidRPr="006E6AAA">
        <w:rPr>
          <w:rFonts w:ascii="Calibri" w:eastAsia="Times New Roman" w:hAnsi="Calibri" w:cs="AGaramondPro-Regular"/>
          <w:lang w:eastAsia="it-IT"/>
        </w:rPr>
        <w:t xml:space="preserve">occupations </w:t>
      </w:r>
      <w:r w:rsidRPr="006E6AAA">
        <w:rPr>
          <w:rFonts w:ascii="Calibri" w:eastAsia="Times New Roman" w:hAnsi="Calibri" w:cs="AGaramondPro-Italic"/>
          <w:iCs/>
          <w:lang w:eastAsia="it-IT"/>
        </w:rPr>
        <w:t>such as market-selling, domestic work, cooking and tea-selling, which</w:t>
      </w:r>
      <w:r w:rsidRPr="006E6AAA">
        <w:rPr>
          <w:rFonts w:ascii="Calibri" w:eastAsia="Times New Roman" w:hAnsi="Calibri" w:cs="AGaramondPro-Italic"/>
          <w:iCs/>
          <w:color w:val="231F20"/>
          <w:lang w:eastAsia="it-IT"/>
        </w:rPr>
        <w:t xml:space="preserve"> is the biggest minority in </w:t>
      </w:r>
      <w:r w:rsidRPr="006E6AAA">
        <w:rPr>
          <w:rFonts w:ascii="Calibri" w:eastAsia="Times New Roman" w:hAnsi="Calibri" w:cs="AGaramondPro-Italic"/>
          <w:iCs/>
          <w:lang w:eastAsia="it-IT"/>
        </w:rPr>
        <w:t>Somaliland. The UNDP A2J team leader in Hargeisa confirmed that the Gaboye group is among the MC priority target groups.</w:t>
      </w:r>
    </w:p>
    <w:p w:rsidR="006E6AAA" w:rsidRPr="006E6AAA" w:rsidRDefault="006E6AAA" w:rsidP="006E6AAA">
      <w:pPr>
        <w:autoSpaceDE w:val="0"/>
        <w:autoSpaceDN w:val="0"/>
        <w:adjustRightInd w:val="0"/>
        <w:spacing w:after="0" w:line="280" w:lineRule="exact"/>
        <w:jc w:val="both"/>
        <w:rPr>
          <w:rFonts w:ascii="Calibri" w:eastAsia="Times New Roman" w:hAnsi="Calibri" w:cs="AGaramondPro-Italic"/>
          <w:iCs/>
          <w:lang w:eastAsia="it-IT"/>
        </w:rPr>
      </w:pPr>
      <w:r w:rsidRPr="006E6AAA">
        <w:rPr>
          <w:rFonts w:ascii="Calibri" w:eastAsia="Times New Roman" w:hAnsi="Calibri" w:cs="AGaramondPro-Italic"/>
          <w:iCs/>
          <w:lang w:eastAsia="it-IT"/>
        </w:rPr>
        <w:t>Introducing an indicator specifying the clan belonging of MC users would facilitate the follow up of this issue, however further discussions might be need with the judicial authorities: an indicator to assess the status of the parties to the cases was suggested during one of the MC workshops but rejected by most participants as too sensitive</w:t>
      </w:r>
      <w:r w:rsidRPr="006E6AAA">
        <w:rPr>
          <w:rFonts w:ascii="Calibri" w:eastAsia="Times New Roman" w:hAnsi="Calibri" w:cs="AGaramondPro-Italic"/>
          <w:iCs/>
          <w:vertAlign w:val="superscript"/>
          <w:lang w:eastAsia="it-IT"/>
        </w:rPr>
        <w:footnoteReference w:id="92"/>
      </w:r>
      <w:r w:rsidRPr="006E6AAA">
        <w:rPr>
          <w:rFonts w:ascii="Calibri" w:eastAsia="Times New Roman" w:hAnsi="Calibri" w:cs="AGaramondPro-Italic"/>
          <w:iCs/>
          <w:lang w:eastAsia="it-IT"/>
        </w:rPr>
        <w:t>.</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lang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 w:eastAsia="da-DK"/>
        </w:rPr>
        <w:t xml:space="preserve">Internally Displaced Persons </w:t>
      </w:r>
      <w:r w:rsidRPr="006E6AAA">
        <w:rPr>
          <w:rFonts w:ascii="Calibri" w:eastAsia="Times New Roman" w:hAnsi="Calibri" w:cs="Times New Roman"/>
          <w:lang w:val="en" w:eastAsia="da-DK"/>
        </w:rPr>
        <w:t>represent another group that would need special legal protection. It is estimated that 85,000 IDPs are currently living in Somaliland</w:t>
      </w:r>
      <w:r w:rsidRPr="006E6AAA">
        <w:rPr>
          <w:rFonts w:ascii="Calibri" w:eastAsia="Times New Roman" w:hAnsi="Calibri" w:cs="Times New Roman"/>
          <w:vertAlign w:val="superscript"/>
          <w:lang w:val="en" w:eastAsia="da-DK"/>
        </w:rPr>
        <w:footnoteReference w:id="93"/>
      </w:r>
      <w:r w:rsidRPr="006E6AAA">
        <w:rPr>
          <w:rFonts w:ascii="Calibri" w:eastAsia="Times New Roman" w:hAnsi="Calibri" w:cs="Times New Roman"/>
          <w:lang w:val="en" w:eastAsia="da-DK"/>
        </w:rPr>
        <w:t xml:space="preserve">; those of them who come from South Central Somalia are </w:t>
      </w:r>
      <w:r w:rsidRPr="006E6AAA">
        <w:rPr>
          <w:rFonts w:ascii="Calibri" w:eastAsia="Times New Roman" w:hAnsi="Calibri" w:cs="Times New Roman"/>
          <w:lang w:val="en-GB" w:eastAsia="da-DK"/>
        </w:rPr>
        <w:t>out of their clan areas and can therefore not rely on their usual clan protection.</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eastAsia="da-DK"/>
        </w:rPr>
        <w:t>With regards to gender</w:t>
      </w:r>
      <w:r w:rsidRPr="006E6AAA">
        <w:rPr>
          <w:rFonts w:ascii="Calibri" w:eastAsia="Times New Roman" w:hAnsi="Calibri" w:cs="Times New Roman"/>
          <w:lang w:eastAsia="da-DK"/>
        </w:rPr>
        <w:t>, the evaluation mission confirmed the findings of the Baseline Study that concluded “</w:t>
      </w:r>
      <w:r w:rsidRPr="006E6AAA">
        <w:rPr>
          <w:rFonts w:ascii="Calibri" w:eastAsia="Times New Roman" w:hAnsi="Calibri" w:cs="Times New Roman"/>
          <w:i/>
          <w:lang w:eastAsia="da-DK"/>
        </w:rPr>
        <w:t>Above</w:t>
      </w:r>
      <w:r w:rsidRPr="006E6AAA">
        <w:rPr>
          <w:rFonts w:ascii="Calibri" w:eastAsia="Times New Roman" w:hAnsi="Calibri" w:cs="Times New Roman"/>
          <w:i/>
          <w:lang w:val="en-GB" w:eastAsia="da-DK"/>
        </w:rPr>
        <w:t xml:space="preserve"> all, it is the perception and attitudes of men holding influential positions within the community, including elders, judges and police, which appear to be the biggest challenges to women’s access to justice</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94"/>
      </w:r>
      <w:r w:rsidRPr="006E6AAA">
        <w:rPr>
          <w:rFonts w:ascii="Calibri" w:eastAsia="Times New Roman" w:hAnsi="Calibri" w:cs="Times New Roman"/>
          <w:lang w:val="en-GB"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GaramondPro-Regular"/>
          <w:lang w:eastAsia="it-IT"/>
        </w:rPr>
      </w:pPr>
      <w:r w:rsidRPr="006E6AAA">
        <w:rPr>
          <w:rFonts w:ascii="Calibri" w:eastAsia="Times New Roman" w:hAnsi="Calibri" w:cs="AGaramondPro-Regular"/>
          <w:lang w:eastAsia="it-IT"/>
        </w:rPr>
        <w:t xml:space="preserve">The male-dominated power structures </w:t>
      </w:r>
      <w:r w:rsidRPr="006E6AAA">
        <w:rPr>
          <w:rFonts w:ascii="Calibri" w:eastAsia="Times New Roman" w:hAnsi="Calibri" w:cs="Times New Roman"/>
          <w:lang w:val="en-GB" w:eastAsia="da-DK"/>
        </w:rPr>
        <w:t>are discouraging women to address formal courts; some respondents reported that elders can pressure women to withdraw their cases.</w:t>
      </w:r>
      <w:r w:rsidRPr="006E6AAA">
        <w:rPr>
          <w:rFonts w:ascii="Calibri" w:eastAsia="Times New Roman" w:hAnsi="Calibri" w:cs="AGaramondPro-Regular"/>
          <w:lang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GaramondPro-Regular"/>
          <w:lang w:eastAsia="it-IT"/>
        </w:rPr>
      </w:pPr>
      <w:r w:rsidRPr="006E6AAA">
        <w:rPr>
          <w:rFonts w:ascii="Calibri" w:eastAsia="Times New Roman" w:hAnsi="Calibri" w:cs="AGaramondPro-Regular"/>
          <w:lang w:eastAsia="it-IT"/>
        </w:rPr>
        <w:t>Some reports indicate that a woman can file a case to the courts but only if she is represented by male family member who speaks on her behalf.</w:t>
      </w:r>
      <w:r w:rsidRPr="006E6AAA">
        <w:rPr>
          <w:rFonts w:ascii="Calibri" w:eastAsia="Times New Roman" w:hAnsi="Calibri" w:cs="Times New Roman"/>
          <w:lang w:val="en-GB" w:eastAsia="da-DK"/>
        </w:rPr>
        <w:t xml:space="preserve"> In addition customary practices are not adequately protecting of women’s rights, for example </w:t>
      </w:r>
      <w:r w:rsidRPr="006E6AAA">
        <w:rPr>
          <w:rFonts w:ascii="Calibri" w:eastAsia="Times New Roman" w:hAnsi="Calibri" w:cs="Times New Roman"/>
          <w:sz w:val="20"/>
          <w:szCs w:val="20"/>
          <w:lang w:eastAsia="it-IT"/>
        </w:rPr>
        <w:t>“</w:t>
      </w:r>
      <w:r w:rsidRPr="006E6AAA">
        <w:rPr>
          <w:rFonts w:ascii="Calibri" w:eastAsia="Times New Roman" w:hAnsi="Calibri" w:cs="Times New Roman"/>
          <w:i/>
          <w:lang w:eastAsia="it-IT"/>
        </w:rPr>
        <w:t>widows may be forced to marry a relative of the deceased husband; sisters of a deceased wife may be passed for marriage to the widower; and girls may be given into an aggrieved clan as part of a conflict resolution agreement. While, in the social order, these measures provide women with continued economic security, or guarantee peace between social units in conflict, from the perspective of a ‘modern’ human rights paradigm, these are clear violations</w:t>
      </w:r>
      <w:r w:rsidRPr="006E6AAA">
        <w:rPr>
          <w:rFonts w:ascii="Calibri" w:eastAsia="Times New Roman" w:hAnsi="Calibri" w:cs="Times New Roman"/>
          <w:sz w:val="20"/>
          <w:szCs w:val="20"/>
          <w:lang w:eastAsia="it-IT"/>
        </w:rPr>
        <w:t>”</w:t>
      </w:r>
      <w:r w:rsidRPr="006E6AAA">
        <w:rPr>
          <w:rFonts w:ascii="Calibri" w:eastAsia="Times New Roman" w:hAnsi="Calibri" w:cs="Times New Roman"/>
          <w:vertAlign w:val="superscript"/>
          <w:lang w:val="en-GB" w:eastAsia="da-DK"/>
        </w:rPr>
        <w:t xml:space="preserve"> </w:t>
      </w:r>
      <w:r w:rsidRPr="006E6AAA">
        <w:rPr>
          <w:rFonts w:ascii="Calibri" w:eastAsia="Times New Roman" w:hAnsi="Calibri" w:cs="Times New Roman"/>
          <w:vertAlign w:val="superscript"/>
          <w:lang w:val="en-GB" w:eastAsia="da-DK"/>
        </w:rPr>
        <w:footnoteReference w:id="95"/>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 the other hand it’s worth noting that, according to a UNDP Survey assessing the perception of safety and security in the districts, level of trust in the Courts is higher amongst women than men: for example in Las Canood respondents indicating high trust were 46.8% women and only 23% men. It might be surmised that women prefer the Courts to the Elders given the decisions in </w:t>
      </w:r>
      <w:r w:rsidRPr="006E6AAA">
        <w:rPr>
          <w:rFonts w:ascii="Calibri" w:eastAsia="Times New Roman" w:hAnsi="Calibri" w:cs="Times New Roman"/>
          <w:i/>
          <w:lang w:val="en-GB" w:eastAsia="da-DK"/>
        </w:rPr>
        <w:t>Xeer</w:t>
      </w:r>
      <w:r w:rsidRPr="006E6AAA">
        <w:rPr>
          <w:rFonts w:ascii="Calibri" w:eastAsia="Times New Roman" w:hAnsi="Calibri" w:cs="Times New Roman"/>
          <w:lang w:val="en-GB" w:eastAsia="da-DK"/>
        </w:rPr>
        <w:t xml:space="preserve"> that seem to favour men over women.</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Despite these difficulties, the context in which MC operate seems to gradually become more open to women needs: the total number of women accessing MC has increased from 127 in 2011 to 150 in 2012. Although there are yet no female Judges in Somaliland, some female Registrars and 10 female Prosecutors are in post and a growing number of female lawyers and paralegals are participating in the MCs missions</w:t>
      </w:r>
      <w:r w:rsidRPr="006E6AAA">
        <w:rPr>
          <w:rFonts w:ascii="Calibri" w:eastAsia="Times New Roman" w:hAnsi="Calibri" w:cs="Times New Roman"/>
          <w:vertAlign w:val="superscript"/>
          <w:lang w:val="en-GB" w:eastAsia="da-DK"/>
        </w:rPr>
        <w:footnoteReference w:id="96"/>
      </w:r>
      <w:r w:rsidRPr="006E6AAA">
        <w:rPr>
          <w:rFonts w:ascii="Calibri" w:eastAsia="Times New Roman" w:hAnsi="Calibri" w:cs="Times New Roman"/>
          <w:lang w:val="en-GB" w:eastAsia="da-DK"/>
        </w:rPr>
        <w:t xml:space="preserve">.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Most of the interviewed persons recommended including more female staff in the MC to make them more easily approachable by women.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lastRenderedPageBreak/>
        <w:t>The issue of SGBV</w:t>
      </w:r>
      <w:r w:rsidRPr="006E6AAA">
        <w:rPr>
          <w:rFonts w:ascii="Calibri" w:eastAsia="Times New Roman" w:hAnsi="Calibri" w:cs="Times New Roman"/>
          <w:lang w:val="en-GB" w:eastAsia="da-DK"/>
        </w:rPr>
        <w:t xml:space="preserve"> is particularly sensitive, considered the stigma that is associated with rape in the Somali culture and the consequent reluctance of victims to report rape cases as well as the uneasiness of judges in hearing such cases. An additional factor hindering the adjudication of SGBV cases is the</w:t>
      </w:r>
      <w:r w:rsidRPr="006E6AAA">
        <w:rPr>
          <w:rFonts w:ascii="Calibri" w:eastAsia="Times New Roman" w:hAnsi="Calibri" w:cs="Times New Roman"/>
          <w:color w:val="FF0000"/>
          <w:lang w:val="en-GB" w:eastAsia="da-DK"/>
        </w:rPr>
        <w:t xml:space="preserve"> </w:t>
      </w:r>
      <w:r w:rsidRPr="006E6AAA">
        <w:rPr>
          <w:rFonts w:ascii="Calibri" w:eastAsia="Times New Roman" w:hAnsi="Calibri" w:cs="Times New Roman"/>
          <w:lang w:val="en-GB" w:eastAsia="da-DK"/>
        </w:rPr>
        <w:t xml:space="preserve">lack of technical expertise (e.g. how to interview a rape survivors and how to collect evidence to prove sexual offences).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One of most cited challenges for the prosecution of SGBV cases is that judges allow such cases to be withdrawn from the courts in order to be settled by the elders outside the formal system, which under some versions of </w:t>
      </w:r>
      <w:r w:rsidRPr="006E6AAA">
        <w:rPr>
          <w:rFonts w:ascii="Calibri" w:eastAsia="Times New Roman" w:hAnsi="Calibri" w:cs="Times New Roman"/>
          <w:i/>
          <w:lang w:val="en-GB" w:eastAsia="da-DK"/>
        </w:rPr>
        <w:t>Xeer</w:t>
      </w:r>
      <w:r w:rsidRPr="006E6AAA">
        <w:rPr>
          <w:rFonts w:ascii="Calibri" w:eastAsia="Times New Roman" w:hAnsi="Calibri" w:cs="Times New Roman"/>
          <w:lang w:val="en-GB" w:eastAsia="da-DK"/>
        </w:rPr>
        <w:t xml:space="preserve"> can lead to the outcome that the raped woman is forced to marry the perpetrator</w:t>
      </w:r>
      <w:r w:rsidRPr="006E6AAA">
        <w:rPr>
          <w:rFonts w:ascii="Calibri" w:eastAsia="Times New Roman" w:hAnsi="Calibri" w:cs="Times New Roman"/>
          <w:vertAlign w:val="superscript"/>
          <w:lang w:val="en-GB" w:eastAsia="da-DK"/>
        </w:rPr>
        <w:footnoteReference w:id="97"/>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To address the issue the Chief Justice issued a directive in 2011 stating that elders have no jurisdiction over rape cases, and accordingly they should not intervene in such cases once the adjudication has begun by a formal court. The UNDP Team Leader in Hargeisa reported that since 2013, as a result of trainings for court staff, the number of rape cases withdrawn from the formal courts is gradually decreasing.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MCs can be a powerful tool </w:t>
      </w:r>
      <w:r w:rsidRPr="006E6AAA">
        <w:rPr>
          <w:rFonts w:ascii="Calibri" w:eastAsia="Times New Roman" w:hAnsi="Calibri" w:cs="Trebuchet MS"/>
          <w:lang w:eastAsia="it-IT"/>
        </w:rPr>
        <w:t xml:space="preserve">to challenge decisions taken by the elders that are discriminating against women and promote a gradual change in the </w:t>
      </w:r>
      <w:r w:rsidRPr="006E6AAA">
        <w:rPr>
          <w:rFonts w:ascii="Calibri" w:eastAsia="Times New Roman" w:hAnsi="Calibri" w:cs="Trebuchet MS"/>
          <w:i/>
          <w:lang w:eastAsia="it-IT"/>
        </w:rPr>
        <w:t>Xeer</w:t>
      </w:r>
      <w:r w:rsidRPr="006E6AAA">
        <w:rPr>
          <w:rFonts w:ascii="Calibri" w:eastAsia="Times New Roman" w:hAnsi="Calibri" w:cs="Trebuchet MS"/>
          <w:lang w:eastAsia="it-IT"/>
        </w:rPr>
        <w:t xml:space="preserve"> practice, so it is recommended to continue</w:t>
      </w:r>
      <w:r w:rsidRPr="006E6AAA">
        <w:rPr>
          <w:rFonts w:ascii="Calibri" w:eastAsia="Times New Roman" w:hAnsi="Calibri" w:cs="Times New Roman"/>
          <w:lang w:val="en-GB" w:eastAsia="da-DK"/>
        </w:rPr>
        <w:t xml:space="preserve"> to encourage MC judges to apply the 2011 Chief Justice directive.</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President of the Appeal Court of Hargeisa confirmed that the courts under his jurisdiction are applying measures to ensure the confidentiality of the victim; if the case is heard under a tree the judges will ask police to move the public.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Consistent statistics on the number of SGBV cases handled by MC are not available, however it can be noted that in the first quarter of 2012, out of 131 cases, 31 were SGBV cases.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Nagaad Network, one of the most active CSO in the women’s rights field did not seem to be aware that MC deal with rape cases “</w:t>
      </w:r>
      <w:r w:rsidRPr="006E6AAA">
        <w:rPr>
          <w:rFonts w:ascii="Calibri" w:eastAsia="Times New Roman" w:hAnsi="Calibri" w:cs="Times New Roman"/>
          <w:i/>
          <w:lang w:val="en-GB" w:eastAsia="da-DK"/>
        </w:rPr>
        <w:t>as these are dealt with at the level of traditional leaders</w:t>
      </w:r>
      <w:r w:rsidRPr="006E6AAA">
        <w:rPr>
          <w:rFonts w:ascii="Calibri" w:eastAsia="Times New Roman" w:hAnsi="Calibri" w:cs="Times New Roman"/>
          <w:lang w:val="en-GB" w:eastAsia="da-DK"/>
        </w:rPr>
        <w:t>”, so it would be important to further disseminate to the legal community the results achieved by MC in adjudicating SGBV cases.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Finally it might be worth mentioning a brief comment on the option of </w:t>
      </w:r>
      <w:r w:rsidRPr="006E6AAA">
        <w:rPr>
          <w:rFonts w:ascii="Calibri" w:eastAsia="Times New Roman" w:hAnsi="Calibri" w:cs="Times New Roman"/>
          <w:b/>
          <w:lang w:val="en-GB" w:eastAsia="da-DK"/>
        </w:rPr>
        <w:t>establishing gender mobile courts</w:t>
      </w:r>
      <w:r w:rsidRPr="006E6AAA">
        <w:rPr>
          <w:rFonts w:ascii="Calibri" w:eastAsia="Times New Roman" w:hAnsi="Calibri" w:cs="Times New Roman"/>
          <w:lang w:val="en-GB" w:eastAsia="da-DK"/>
        </w:rPr>
        <w:t>, which is recommended in both the in Justice Strategy and the UNDP project document</w:t>
      </w:r>
      <w:r w:rsidRPr="006E6AAA">
        <w:rPr>
          <w:rFonts w:ascii="Calibri" w:eastAsia="Times New Roman" w:hAnsi="Calibri" w:cs="Times New Roman"/>
          <w:vertAlign w:val="superscript"/>
          <w:lang w:val="en-GB" w:eastAsia="da-DK"/>
        </w:rPr>
        <w:footnoteReference w:id="98"/>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Lessons learned from the UNDP supported MCs in the Democratic Republic of Congo, where the notion of gender mobile courts was originally developed, show that these MCs are effective in increasing the number of SGBV cases, but also have negative side effects that should be considered.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From a general Human Rights perspective, gender MC may discriminate the right to access justice of non-GBV victims in remote areas where formal courts are not present and consequently create a two-tier justice system. More specifically to the DRC context, it can be noted that such courts proved to have negative implications on the independence of the judges as donor policies pressured the judges to take up in priority GBV cases with the additional consequence of producing exceptionally high conviction rates.</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Moreover in a context like Somalia where the stigma for rape is much stronger than in DRC due to religious and cultural factors, a gender MC might not be the most appropriate measure to effectively fight impunity for rape.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Other less explicit mechanisms might be more suitable to promote the prosecution of SGBV in rural areas, where the focus should be on gradually changing the cultural and social behaviours and avoid quick-fixes as justice mechanisms that might be misperceived by the communities.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MC should indeed continue to take up SGBV cases, but along with other cases, in an unostentatious approach and in complementarity with a massive awareness raising campaign.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increased presence of female staff (as lawyers, registrars and prosecutors) among MC staff is a commendable result that will gradually facilitate women’s access to justice.  Given the difficulties that women legal practitioners still face in having their role recognised</w:t>
      </w:r>
      <w:r w:rsidRPr="006E6AAA">
        <w:rPr>
          <w:rFonts w:ascii="Calibri" w:eastAsia="Times New Roman" w:hAnsi="Calibri" w:cs="Times New Roman"/>
          <w:vertAlign w:val="superscript"/>
          <w:lang w:val="en-GB" w:eastAsia="da-DK"/>
        </w:rPr>
        <w:footnoteReference w:id="99"/>
      </w:r>
      <w:r w:rsidRPr="006E6AAA">
        <w:rPr>
          <w:rFonts w:ascii="Calibri" w:eastAsia="Times New Roman" w:hAnsi="Calibri" w:cs="Times New Roman"/>
          <w:lang w:val="en-GB" w:eastAsia="da-DK"/>
        </w:rPr>
        <w:t xml:space="preserve">, male judges and judicial staff should continue to be trained on promoting women’s rights and how to handle SGBV cases.  </w:t>
      </w:r>
    </w:p>
    <w:p w:rsidR="006E6AAA" w:rsidRPr="006E6AAA" w:rsidRDefault="006E6AAA" w:rsidP="006E6AAA">
      <w:pPr>
        <w:spacing w:after="0" w:line="280" w:lineRule="exact"/>
        <w:jc w:val="both"/>
        <w:rPr>
          <w:rFonts w:ascii="Calibri" w:eastAsia="Times New Roman" w:hAnsi="Calibri" w:cs="Times New Roman"/>
          <w:u w:val="single"/>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MetaNormal-Roman"/>
          <w:lang w:eastAsia="it-IT"/>
        </w:rPr>
      </w:pPr>
      <w:r w:rsidRPr="006E6AAA">
        <w:rPr>
          <w:rFonts w:ascii="Calibri" w:eastAsia="Times New Roman" w:hAnsi="Calibri" w:cs="MetaNormal-Roman"/>
          <w:lang w:eastAsia="it-IT"/>
        </w:rPr>
        <w:t>Finally special attention should be dedicated to monitor how MC handle cases involving minors</w:t>
      </w:r>
      <w:r w:rsidRPr="006E6AAA">
        <w:rPr>
          <w:rFonts w:ascii="Calibri" w:eastAsia="Times New Roman" w:hAnsi="Calibri" w:cs="MetaNormal-Roman"/>
          <w:vertAlign w:val="superscript"/>
          <w:lang w:eastAsia="it-IT"/>
        </w:rPr>
        <w:footnoteReference w:id="100"/>
      </w:r>
      <w:r w:rsidRPr="006E6AAA">
        <w:rPr>
          <w:rFonts w:ascii="Calibri" w:eastAsia="Times New Roman" w:hAnsi="Calibri" w:cs="MetaNormal-Roman"/>
          <w:lang w:eastAsia="it-IT"/>
        </w:rPr>
        <w:t>; and verify that measures are taken to ensure their privacy (</w:t>
      </w:r>
      <w:r w:rsidRPr="006E6AAA">
        <w:rPr>
          <w:rFonts w:ascii="Calibri" w:eastAsia="Times New Roman" w:hAnsi="Calibri" w:cs="MetaNormal-Roman"/>
          <w:i/>
          <w:lang w:eastAsia="it-IT"/>
        </w:rPr>
        <w:t>in camera</w:t>
      </w:r>
      <w:r w:rsidRPr="006E6AAA">
        <w:rPr>
          <w:rFonts w:ascii="Calibri" w:eastAsia="Times New Roman" w:hAnsi="Calibri" w:cs="MetaNormal-Roman"/>
          <w:lang w:eastAsia="it-IT"/>
        </w:rPr>
        <w:t xml:space="preserve"> hearings) and to take into consideration the best interest of the child.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MetaNormal-Roman"/>
          <w:lang w:eastAsia="it-IT"/>
        </w:rPr>
      </w:pPr>
      <w:r w:rsidRPr="006E6AAA">
        <w:rPr>
          <w:rFonts w:ascii="Calibri" w:eastAsia="Times New Roman" w:hAnsi="Calibri" w:cs="MetaNormal-Roman"/>
          <w:lang w:eastAsia="it-IT"/>
        </w:rPr>
        <w:t>MC can play a key role in implementing the</w:t>
      </w:r>
      <w:r w:rsidRPr="006E6AAA">
        <w:rPr>
          <w:rFonts w:ascii="Calibri" w:eastAsia="Times New Roman" w:hAnsi="Calibri" w:cs="Arial"/>
          <w:color w:val="343434"/>
          <w:lang w:val="en" w:eastAsia="da-DK"/>
        </w:rPr>
        <w:t xml:space="preserve"> </w:t>
      </w:r>
      <w:r w:rsidRPr="006E6AAA">
        <w:rPr>
          <w:rFonts w:ascii="Calibri" w:eastAsia="Times New Roman" w:hAnsi="Calibri" w:cs="MetaNormal-Roman"/>
          <w:lang w:eastAsia="it-IT"/>
        </w:rPr>
        <w:t>law on juvenile justice that was approved in Somaliland in 2007 and in discouraging the common practice of the so-called “discipline cases” (parents who believe their children are disobedient request the justice and security services to incarcerate their children as a way of instilling discipline</w:t>
      </w:r>
      <w:r w:rsidRPr="006E6AAA">
        <w:rPr>
          <w:rFonts w:ascii="Calibri" w:eastAsia="Times New Roman" w:hAnsi="Calibri" w:cs="MetaNormal-Roman"/>
          <w:vertAlign w:val="superscript"/>
          <w:lang w:eastAsia="it-IT"/>
        </w:rPr>
        <w:footnoteReference w:id="101"/>
      </w:r>
      <w:r w:rsidRPr="006E6AAA">
        <w:rPr>
          <w:rFonts w:ascii="Calibri" w:eastAsia="Times New Roman" w:hAnsi="Calibri" w:cs="MetaNormal-Roman"/>
          <w:lang w:eastAsia="it-IT"/>
        </w:rPr>
        <w:t>).</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MetaNormal-Roman"/>
          <w:lang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MetaNormal-Roman"/>
          <w:lang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2</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b/>
          <w:color w:val="000080"/>
          <w:lang w:eastAsia="da-DK"/>
        </w:rPr>
        <w:t>EFFECTIVNESS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xml:space="preserve">§ 2.1. </w:t>
      </w:r>
      <w:r w:rsidRPr="006E6AAA">
        <w:rPr>
          <w:rFonts w:ascii="Calibri" w:eastAsia="Times New Roman" w:hAnsi="Calibri" w:cs="Times New Roman"/>
          <w:b/>
          <w:lang w:eastAsia="da-DK"/>
        </w:rPr>
        <w:t xml:space="preserve">Planning and monitoring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u w:val="single"/>
          <w:lang w:val="en-GB" w:eastAsia="da-DK"/>
        </w:rPr>
      </w:pPr>
      <w:r w:rsidRPr="006E6AAA">
        <w:rPr>
          <w:rFonts w:ascii="Calibri" w:eastAsia="Times New Roman" w:hAnsi="Calibri" w:cs="Times New Roman"/>
          <w:b/>
          <w:i/>
          <w:color w:val="000080"/>
          <w:u w:val="single"/>
          <w:lang w:val="en-GB" w:eastAsia="da-DK"/>
        </w:rPr>
        <w:t>Project planning</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main planning tools to guide UNDP and the Judiciary in the implementation of mobile courts are the Letters of Agreement (LoA) signed between UNDP and the MOJ/Supreme Court.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UNDP 2012 Annual Work Plan (AWP) includes a specific output (2.4.2) on mobile courts, resulting from the following activities: “</w:t>
      </w:r>
      <w:r w:rsidRPr="006E6AAA">
        <w:rPr>
          <w:rFonts w:ascii="Calibri" w:eastAsia="Times New Roman" w:hAnsi="Calibri" w:cs="Times New Roman"/>
          <w:i/>
          <w:lang w:eastAsia="da-DK"/>
        </w:rPr>
        <w:t>Agreement on an exit strategy (year 2 of 3). Includes sponsoring of quarterly coordination meetings with mobile court teams</w:t>
      </w:r>
      <w:r w:rsidRPr="006E6AAA">
        <w:rPr>
          <w:rFonts w:ascii="Calibri" w:eastAsia="Times New Roman" w:hAnsi="Calibri" w:cs="Times New Roman"/>
          <w:lang w:eastAsia="da-DK"/>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LoAs are described in § 2.4, whereas the table below summarizes the intended results for the MC component and will be the reference framework for the present evaluation.</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sz w:val="20"/>
          <w:szCs w:val="20"/>
          <w:lang w:eastAsia="da-D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582"/>
        <w:gridCol w:w="2444"/>
        <w:gridCol w:w="2445"/>
      </w:tblGrid>
      <w:tr w:rsidR="006E6AAA" w:rsidRPr="006E6AAA" w:rsidTr="00C8613A">
        <w:tc>
          <w:tcPr>
            <w:tcW w:w="9540" w:type="dxa"/>
            <w:gridSpan w:val="4"/>
            <w:shd w:val="clear" w:color="auto" w:fill="E6E6E6"/>
          </w:tcPr>
          <w:p w:rsidR="006E6AAA" w:rsidRPr="006E6AAA" w:rsidRDefault="006E6AAA" w:rsidP="006E6AAA">
            <w:pPr>
              <w:spacing w:after="0" w:line="270" w:lineRule="atLeast"/>
              <w:jc w:val="center"/>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Abstract of UNDP/Supreme Court LoA for 2012-2013</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Activity/output</w:t>
            </w:r>
          </w:p>
        </w:tc>
        <w:tc>
          <w:tcPr>
            <w:tcW w:w="16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Baseline</w:t>
            </w:r>
          </w:p>
        </w:tc>
        <w:tc>
          <w:tcPr>
            <w:tcW w:w="25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Indicator</w:t>
            </w:r>
          </w:p>
        </w:tc>
        <w:tc>
          <w:tcPr>
            <w:tcW w:w="2520"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Target</w:t>
            </w:r>
          </w:p>
        </w:tc>
      </w:tr>
      <w:tr w:rsidR="006E6AAA" w:rsidRPr="006E6AAA" w:rsidTr="00C8613A">
        <w:tc>
          <w:tcPr>
            <w:tcW w:w="2880" w:type="dxa"/>
            <w:vMerge w:val="restart"/>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Increased access to justice for residents of districts and rural areas in Somaliland </w:t>
            </w:r>
          </w:p>
        </w:tc>
        <w:tc>
          <w:tcPr>
            <w:tcW w:w="16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Total n. of cases in 2011: 459</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 of cases filed by MC</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At least 50 monthly cases in Somaliland</w:t>
            </w:r>
          </w:p>
        </w:tc>
      </w:tr>
      <w:tr w:rsidR="006E6AAA" w:rsidRPr="006E6AAA" w:rsidTr="00C8613A">
        <w:tc>
          <w:tcPr>
            <w:tcW w:w="2880" w:type="dxa"/>
            <w:vMerge/>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16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n/a</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increase in the n. of serious cases filed by MCs</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10%  yearly increase in serious cases filed by  MC</w:t>
            </w:r>
          </w:p>
        </w:tc>
      </w:tr>
      <w:tr w:rsidR="006E6AAA" w:rsidRPr="006E6AAA" w:rsidTr="00C8613A">
        <w:tc>
          <w:tcPr>
            <w:tcW w:w="288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2. Increased awareness of legal rights by the civilians as well as </w:t>
            </w:r>
            <w:r w:rsidRPr="006E6AAA">
              <w:rPr>
                <w:rFonts w:ascii="Calibri" w:eastAsia="Times New Roman" w:hAnsi="Calibri" w:cs="Times New Roman"/>
                <w:sz w:val="20"/>
                <w:szCs w:val="20"/>
                <w:lang w:eastAsia="da-DK"/>
              </w:rPr>
              <w:lastRenderedPageBreak/>
              <w:t>the traditional leaders</w:t>
            </w:r>
          </w:p>
        </w:tc>
        <w:tc>
          <w:tcPr>
            <w:tcW w:w="16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n/a</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n. of legal awareness raising sessions carried out </w:t>
            </w:r>
            <w:r w:rsidRPr="006E6AAA">
              <w:rPr>
                <w:rFonts w:ascii="Calibri" w:eastAsia="Times New Roman" w:hAnsi="Calibri" w:cs="Times New Roman"/>
                <w:sz w:val="20"/>
                <w:szCs w:val="20"/>
                <w:lang w:eastAsia="da-DK"/>
              </w:rPr>
              <w:lastRenderedPageBreak/>
              <w:t>by the MC team</w:t>
            </w:r>
          </w:p>
        </w:tc>
        <w:tc>
          <w:tcPr>
            <w:tcW w:w="2520"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8 legal awareness sessions per month in Somaliland</w:t>
            </w:r>
          </w:p>
        </w:tc>
      </w:tr>
    </w:tbl>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LoA captures the basic info in a RBM approach; however the following aspects could be improved:</w:t>
      </w:r>
    </w:p>
    <w:p w:rsidR="006E6AAA" w:rsidRPr="006E6AAA" w:rsidRDefault="006E6AAA" w:rsidP="006E6AAA">
      <w:pPr>
        <w:numPr>
          <w:ilvl w:val="0"/>
          <w:numId w:val="54"/>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t xml:space="preserve">Baseline: </w:t>
      </w:r>
      <w:r w:rsidRPr="006E6AAA">
        <w:rPr>
          <w:rFonts w:ascii="Calibri" w:eastAsia="Times New Roman" w:hAnsi="Calibri" w:cs="Times New Roman"/>
          <w:lang w:eastAsia="da-DK"/>
        </w:rPr>
        <w:t xml:space="preserve"> Considered that the MC initiative is entering its 4th year, the baseline for the new LoA could be more detailed and not limited to the total number of cases filed by MC under the previous LoA. The new reporting system that is being implemented will eventually contribute to this objective by providing additional information, as the disposal rate or the number of MC sessions.</w:t>
      </w:r>
    </w:p>
    <w:p w:rsidR="006E6AAA" w:rsidRPr="006E6AAA" w:rsidRDefault="006E6AAA" w:rsidP="006E6AAA">
      <w:pPr>
        <w:numPr>
          <w:ilvl w:val="0"/>
          <w:numId w:val="54"/>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lang w:eastAsia="da-DK"/>
        </w:rPr>
        <w:t xml:space="preserve">Indicators: </w:t>
      </w:r>
      <w:r w:rsidRPr="006E6AAA">
        <w:rPr>
          <w:rFonts w:ascii="Calibri" w:eastAsia="Times New Roman" w:hAnsi="Calibri" w:cs="Times New Roman"/>
          <w:lang w:eastAsia="da-DK"/>
        </w:rPr>
        <w:t>It is suggested to add a few quality indicators (e.g. disposal rate) and to ensure that indicators are SMART and disaggregated by gender. For example instead of “serious cases” a more specific indicator could be “criminal cases involving a sentence of 5 years or above”. Indicators should be harmonized with the court statistics provided by the Judiciary in the quarterly reports. An indicator to assess the presence of defense lawyers should be included, as this one of the obligations of the Judiciary under the LoA.</w:t>
      </w:r>
    </w:p>
    <w:p w:rsidR="006E6AAA" w:rsidRPr="006E6AAA" w:rsidRDefault="006E6AAA" w:rsidP="006E6AAA">
      <w:pPr>
        <w:numPr>
          <w:ilvl w:val="0"/>
          <w:numId w:val="54"/>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eastAsia="da-DK"/>
        </w:rPr>
        <w:t>Targets:</w:t>
      </w:r>
      <w:r w:rsidRPr="006E6AAA">
        <w:rPr>
          <w:rFonts w:ascii="Calibri" w:eastAsia="Times New Roman" w:hAnsi="Calibri" w:cs="Times New Roman"/>
          <w:lang w:eastAsia="da-DK"/>
        </w:rPr>
        <w:t xml:space="preserve"> In view of a UNDP exit strategy, the targets for new LoA should have a stronger focus on the quality of the implemented activities (e.g. reduction of pretrial detention and adjournment rates, improvement of quality of the court decisions).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eastAsia="da-DK"/>
        </w:rPr>
      </w:pPr>
      <w:r w:rsidRPr="006E6AAA">
        <w:rPr>
          <w:rFonts w:ascii="Calibri" w:eastAsia="Times New Roman" w:hAnsi="Calibri" w:cs="Times New Roman"/>
          <w:lang w:val="en-GB" w:eastAsia="da-DK"/>
        </w:rPr>
        <w:t>UNDP and the Judiciary have issued “procedural guidelines” to discipline the implementation of the Mobile Court project in Somaliland, indicating the roles of each actor and establishing information flow and reporting mechanisms: this is a valid initiative that has contributed to ensure that the system is clear and transparent.</w:t>
      </w:r>
      <w:r w:rsidRPr="006E6AAA">
        <w:rPr>
          <w:rFonts w:ascii="Calibri" w:eastAsia="Times New Roman" w:hAnsi="Calibri" w:cs="Times New Roman"/>
          <w:vertAlign w:val="superscript"/>
          <w:lang w:val="en-GB" w:eastAsia="da-DK"/>
        </w:rPr>
        <w:footnoteReference w:id="102"/>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i/>
          <w:color w:val="000080"/>
          <w:u w:val="single"/>
          <w:lang w:val="en-GB" w:eastAsia="da-DK"/>
        </w:rPr>
      </w:pPr>
      <w:r w:rsidRPr="006E6AAA">
        <w:rPr>
          <w:rFonts w:ascii="Calibri" w:eastAsia="Times New Roman" w:hAnsi="Calibri" w:cs="Times New Roman"/>
          <w:b/>
          <w:i/>
          <w:color w:val="000080"/>
          <w:u w:val="single"/>
          <w:lang w:val="en-GB" w:eastAsia="da-DK"/>
        </w:rPr>
        <w:t>MC planning</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As illustrated in § 1.1, MC are organized “on demand”, when case arises and there is a request.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This approach is justified according to the interviewed judges because there are not enough cases to allow a systematic planning of the initiative. The President of Sanaag Regional Court confirms this challenge: “</w:t>
      </w:r>
      <w:r w:rsidRPr="006E6AAA">
        <w:rPr>
          <w:rFonts w:ascii="Calibri" w:eastAsia="Times New Roman" w:hAnsi="Calibri" w:cs="Times New Roman"/>
          <w:i/>
          <w:lang w:val="en-GB" w:eastAsia="da-DK"/>
        </w:rPr>
        <w:t>It is not possible to design a quarterly work plan by the appeal court because for the coming three months the cases to be handled or pending are not known</w:t>
      </w:r>
      <w:r w:rsidRPr="006E6AAA">
        <w:rPr>
          <w:rFonts w:ascii="Calibri" w:eastAsia="Times New Roman" w:hAnsi="Calibri" w:cs="Times New Roman"/>
          <w:lang w:val="en-GB" w:eastAsia="da-DK"/>
        </w:rPr>
        <w:t xml:space="preserve">” </w:t>
      </w:r>
      <w:r w:rsidRPr="006E6AAA">
        <w:rPr>
          <w:rFonts w:ascii="Calibri" w:eastAsia="Times New Roman" w:hAnsi="Calibri" w:cs="Times New Roman"/>
          <w:vertAlign w:val="superscript"/>
          <w:lang w:val="en-GB" w:eastAsia="da-DK"/>
        </w:rPr>
        <w:footnoteReference w:id="103"/>
      </w:r>
      <w:r w:rsidRPr="006E6AAA">
        <w:rPr>
          <w:rFonts w:ascii="Calibri" w:eastAsia="Times New Roman" w:hAnsi="Calibri" w:cs="Times New Roman"/>
          <w:lang w:val="en-GB" w:eastAsia="da-DK"/>
        </w:rPr>
        <w:t xml:space="preserve">. Another reason is that given the lack of </w:t>
      </w:r>
      <w:r w:rsidRPr="006E6AAA">
        <w:rPr>
          <w:rFonts w:ascii="Calibri" w:eastAsia="Times New Roman" w:hAnsi="Calibri" w:cs="Times New Roman"/>
          <w:i/>
          <w:lang w:val="en-GB" w:eastAsia="da-DK"/>
        </w:rPr>
        <w:t>Per diem</w:t>
      </w:r>
      <w:r w:rsidRPr="006E6AAA">
        <w:rPr>
          <w:rFonts w:ascii="Calibri" w:eastAsia="Times New Roman" w:hAnsi="Calibri" w:cs="Times New Roman"/>
          <w:lang w:val="en-GB" w:eastAsia="da-DK"/>
        </w:rPr>
        <w:t>, judges only travel on daily MC missions.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While the challenges are recognised, it must also be noted that the current “model on demand” presents some shortcomings in both financial and logistical terms. Organising a MC places a lot of burden on the judicial authorities and the lack of planning obliges them to micromanage the initiative.  The Chairman of Hargeisa Appeal Court complains that “</w:t>
      </w:r>
      <w:r w:rsidRPr="006E6AAA">
        <w:rPr>
          <w:rFonts w:ascii="Calibri" w:eastAsia="Times New Roman" w:hAnsi="Calibri" w:cs="Times New Roman"/>
          <w:i/>
          <w:lang w:val="en-GB" w:eastAsia="da-DK"/>
        </w:rPr>
        <w:t>There was one day three judges came to me and said they were going to three different locations - I cannot manage this way.  Every court must organize its own team before it goe</w:t>
      </w:r>
      <w:r w:rsidRPr="006E6AAA">
        <w:rPr>
          <w:rFonts w:ascii="Calibri" w:eastAsia="Times New Roman" w:hAnsi="Calibri" w:cs="Times New Roman"/>
          <w:lang w:val="en-GB" w:eastAsia="da-DK"/>
        </w:rPr>
        <w:t xml:space="preserve">s” </w:t>
      </w:r>
      <w:r w:rsidRPr="006E6AAA">
        <w:rPr>
          <w:rFonts w:ascii="Calibri" w:eastAsia="Times New Roman" w:hAnsi="Calibri" w:cs="Times New Roman"/>
          <w:vertAlign w:val="superscript"/>
          <w:lang w:val="en-GB" w:eastAsia="da-DK"/>
        </w:rPr>
        <w:footnoteReference w:id="104"/>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Practices </w:t>
      </w:r>
      <w:r w:rsidRPr="006E6AAA">
        <w:rPr>
          <w:rFonts w:ascii="Calibri" w:eastAsia="Times New Roman" w:hAnsi="Calibri" w:cs="Times New Roman"/>
          <w:lang w:val="en-GB" w:eastAsia="da-DK"/>
        </w:rPr>
        <w:t xml:space="preserve">from other UNDP CO, indicate that MC systems have developed into two MC models, eventually implemented jointly, as illustrated below.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58"/>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u w:val="single"/>
          <w:lang w:eastAsia="da-DK"/>
        </w:rPr>
        <w:t xml:space="preserve">The </w:t>
      </w:r>
      <w:r w:rsidRPr="006E6AAA">
        <w:rPr>
          <w:rFonts w:ascii="Calibri" w:eastAsia="Times New Roman" w:hAnsi="Calibri" w:cs="Times New Roman"/>
          <w:b/>
          <w:u w:val="single"/>
          <w:lang w:eastAsia="da-DK"/>
        </w:rPr>
        <w:t>“circuit court ”model</w:t>
      </w:r>
      <w:r w:rsidRPr="006E6AAA">
        <w:rPr>
          <w:rFonts w:ascii="Calibri" w:eastAsia="Times New Roman" w:hAnsi="Calibri" w:cs="Times New Roman"/>
          <w:lang w:eastAsia="da-DK"/>
        </w:rPr>
        <w:t xml:space="preserve">  - A permanent court organizes mobile courts within its territorial jurisdiction, in pre-identified locations and according to a yearly schedule, with the objective to: </w:t>
      </w:r>
      <w:r w:rsidRPr="006E6AAA">
        <w:rPr>
          <w:rFonts w:ascii="Calibri" w:eastAsia="Times New Roman" w:hAnsi="Calibri" w:cs="Times New Roman"/>
          <w:b/>
          <w:lang w:eastAsia="da-DK"/>
        </w:rPr>
        <w:lastRenderedPageBreak/>
        <w:t>i)</w:t>
      </w:r>
      <w:r w:rsidRPr="006E6AAA">
        <w:rPr>
          <w:rFonts w:ascii="Calibri" w:eastAsia="Times New Roman" w:hAnsi="Calibri" w:cs="Times New Roman"/>
          <w:lang w:eastAsia="da-DK"/>
        </w:rPr>
        <w:t xml:space="preserve"> hear appeal cases </w:t>
      </w:r>
      <w:r w:rsidRPr="006E6AAA">
        <w:rPr>
          <w:rFonts w:ascii="Calibri" w:eastAsia="Times New Roman" w:hAnsi="Calibri" w:cs="Times New Roman"/>
          <w:b/>
          <w:lang w:eastAsia="da-DK"/>
        </w:rPr>
        <w:t>ii)</w:t>
      </w:r>
      <w:r w:rsidRPr="006E6AAA">
        <w:rPr>
          <w:rFonts w:ascii="Calibri" w:eastAsia="Times New Roman" w:hAnsi="Calibri" w:cs="Times New Roman"/>
          <w:lang w:eastAsia="da-DK"/>
        </w:rPr>
        <w:t xml:space="preserve"> hear cases for which lower courts do not have jurisdiction, </w:t>
      </w:r>
      <w:r w:rsidRPr="006E6AAA">
        <w:rPr>
          <w:rFonts w:ascii="Calibri" w:eastAsia="Times New Roman" w:hAnsi="Calibri" w:cs="Times New Roman"/>
          <w:b/>
          <w:lang w:eastAsia="da-DK"/>
        </w:rPr>
        <w:t>iii)</w:t>
      </w:r>
      <w:r w:rsidRPr="006E6AAA">
        <w:rPr>
          <w:rFonts w:ascii="Calibri" w:eastAsia="Times New Roman" w:hAnsi="Calibri" w:cs="Times New Roman"/>
          <w:lang w:eastAsia="da-DK"/>
        </w:rPr>
        <w:t xml:space="preserve"> to sit in substitution of a court that is established by law, but not yet in place. This approach is applicable in contexts (as Somaliland and Sierra Leone) where mobile courts can be implemented in complementarity with a system of permanent courts that are either functioning or in the process of being established and is suited to hear ordinary criminal and civil cases. </w:t>
      </w:r>
    </w:p>
    <w:p w:rsidR="006E6AAA" w:rsidRPr="006E6AAA" w:rsidRDefault="006E6AAA" w:rsidP="006E6AAA">
      <w:pPr>
        <w:spacing w:after="0" w:line="280" w:lineRule="exact"/>
        <w:jc w:val="both"/>
        <w:rPr>
          <w:rFonts w:ascii="Calibri" w:eastAsia="Times New Roman" w:hAnsi="Calibri" w:cs="Times New Roman"/>
          <w:color w:val="0000FF"/>
          <w:lang w:eastAsia="da-DK"/>
        </w:rPr>
      </w:pPr>
    </w:p>
    <w:p w:rsidR="006E6AAA" w:rsidRPr="006E6AAA" w:rsidRDefault="006E6AAA" w:rsidP="006E6AAA">
      <w:pPr>
        <w:numPr>
          <w:ilvl w:val="0"/>
          <w:numId w:val="58"/>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u w:val="single"/>
          <w:lang w:eastAsia="da-DK"/>
        </w:rPr>
        <w:t>The “</w:t>
      </w:r>
      <w:r w:rsidRPr="006E6AAA">
        <w:rPr>
          <w:rFonts w:ascii="Calibri" w:eastAsia="Times New Roman" w:hAnsi="Calibri" w:cs="Times New Roman"/>
          <w:b/>
          <w:i/>
          <w:u w:val="single"/>
          <w:lang w:eastAsia="da-DK"/>
        </w:rPr>
        <w:t>ad hoc</w:t>
      </w:r>
      <w:r w:rsidRPr="006E6AAA">
        <w:rPr>
          <w:rFonts w:ascii="Calibri" w:eastAsia="Times New Roman" w:hAnsi="Calibri" w:cs="Times New Roman"/>
          <w:b/>
          <w:u w:val="single"/>
          <w:lang w:eastAsia="da-DK"/>
        </w:rPr>
        <w:t xml:space="preserve"> mobile court” model</w:t>
      </w:r>
      <w:r w:rsidRPr="006E6AAA">
        <w:rPr>
          <w:rFonts w:ascii="Calibri" w:eastAsia="Times New Roman" w:hAnsi="Calibri" w:cs="Times New Roman"/>
          <w:lang w:eastAsia="da-DK"/>
        </w:rPr>
        <w:t xml:space="preserve">  - Mobile courts are organized to address specific one-time justice needs which arise in remote locations  (e.g. in DRC  mobile courts are often deployed to hear cases of serious human rights violations committed in remote conflict affected areas). This model is best suited to address serious criminal cases (eventually international crimes) in insecure conflict-settings where justice institutions are not present.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With regards to the Somaliland context it would be recommended to </w:t>
      </w:r>
      <w:r w:rsidRPr="006E6AAA">
        <w:rPr>
          <w:rFonts w:ascii="Calibri" w:eastAsia="Times New Roman" w:hAnsi="Calibri" w:cs="Times New Roman"/>
          <w:b/>
          <w:lang w:val="en-GB" w:eastAsia="da-DK"/>
        </w:rPr>
        <w:t xml:space="preserve">improve the planning of MC by gradually shaping them as a circuit court model </w:t>
      </w:r>
      <w:r w:rsidRPr="006E6AAA">
        <w:rPr>
          <w:rFonts w:ascii="Calibri" w:eastAsia="Times New Roman" w:hAnsi="Calibri" w:cs="Times New Roman"/>
          <w:lang w:val="en-GB" w:eastAsia="da-DK"/>
        </w:rPr>
        <w:t xml:space="preserve">(as in Sierra Leone).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staff is aware that measures should be taken to ensure a more systematic approach to MC and shift to a model that is structured around regular circuit courts.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As illustrated in § 2.2, in South Central Somalia, where MC follow a pre-established schedule and a clear referral mechanism, stronger results have been achieved: in only 4 months they filed more than 70% of the cases filed in Somaliland in a year.</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The current ROL Project document also suggests this approach:</w:t>
      </w:r>
      <w:r w:rsidRPr="006E6AAA">
        <w:rPr>
          <w:rFonts w:ascii="Calibri" w:eastAsia="Times New Roman" w:hAnsi="Calibri" w:cs="Times New Roman"/>
          <w:lang w:eastAsia="da-DK"/>
        </w:rPr>
        <w:t xml:space="preserve"> “</w:t>
      </w:r>
      <w:r w:rsidRPr="006E6AAA">
        <w:rPr>
          <w:rFonts w:ascii="Calibri" w:eastAsia="Times New Roman" w:hAnsi="Calibri" w:cs="Times New Roman"/>
          <w:i/>
          <w:lang w:eastAsia="da-DK"/>
        </w:rPr>
        <w:t>the programme will increase the reach of mobile courts by instituting a more proactive and regular circuit for district courts to reach villages.”</w:t>
      </w:r>
      <w:r w:rsidRPr="006E6AAA">
        <w:rPr>
          <w:rFonts w:ascii="Calibri" w:eastAsia="Times New Roman" w:hAnsi="Calibri" w:cs="Times New Roman"/>
          <w:vertAlign w:val="superscript"/>
          <w:lang w:eastAsia="da-DK"/>
        </w:rPr>
        <w:footnoteReference w:id="105"/>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A</w:t>
      </w:r>
      <w:r w:rsidRPr="006E6AAA">
        <w:rPr>
          <w:rFonts w:ascii="Calibri" w:eastAsia="Times New Roman" w:hAnsi="Calibri" w:cs="Times New Roman"/>
          <w:lang w:val="en-GB" w:eastAsia="da-DK"/>
        </w:rPr>
        <w:t xml:space="preserve"> first step to shift towards a circuit court model is to assist the Judiciary in </w:t>
      </w:r>
      <w:r w:rsidRPr="006E6AAA">
        <w:rPr>
          <w:rFonts w:ascii="Calibri" w:eastAsia="Times New Roman" w:hAnsi="Calibri" w:cs="Times New Roman"/>
          <w:b/>
          <w:lang w:val="en-GB" w:eastAsia="da-DK"/>
        </w:rPr>
        <w:t>identifying the locations included in the circuit</w:t>
      </w:r>
      <w:r w:rsidRPr="006E6AAA">
        <w:rPr>
          <w:rFonts w:ascii="Calibri" w:eastAsia="Times New Roman" w:hAnsi="Calibri" w:cs="Times New Roman"/>
          <w:lang w:val="en-GB" w:eastAsia="da-DK"/>
        </w:rPr>
        <w:t xml:space="preserve"> and receiving a regular visit of MC. </w:t>
      </w:r>
      <w:r w:rsidRPr="006E6AAA">
        <w:rPr>
          <w:rFonts w:ascii="Calibri" w:eastAsia="Times New Roman" w:hAnsi="Calibri" w:cs="Times New Roman"/>
          <w:lang w:eastAsia="da-DK"/>
        </w:rPr>
        <w:t>Some criteria to achieve this objective are suggested below.</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numPr>
          <w:ilvl w:val="0"/>
          <w:numId w:val="45"/>
        </w:numPr>
        <w:spacing w:after="0" w:line="280" w:lineRule="exact"/>
        <w:jc w:val="both"/>
        <w:rPr>
          <w:rFonts w:ascii="Calibri" w:eastAsia="Times New Roman" w:hAnsi="Calibri" w:cs="Times New Roman"/>
          <w:b/>
          <w:color w:val="000080"/>
          <w:lang w:val="en-GB" w:eastAsia="da-DK"/>
        </w:rPr>
      </w:pPr>
      <w:r w:rsidRPr="006E6AAA">
        <w:rPr>
          <w:rFonts w:ascii="Calibri" w:eastAsia="Times New Roman" w:hAnsi="Calibri" w:cs="Times New Roman"/>
          <w:b/>
          <w:color w:val="000080"/>
          <w:lang w:val="en-GB" w:eastAsia="da-DK"/>
        </w:rPr>
        <w:t>1)  Identify the locations where MC travel most frequently</w:t>
      </w:r>
    </w:p>
    <w:p w:rsidR="006E6AAA" w:rsidRPr="006E6AAA" w:rsidRDefault="006E6AAA" w:rsidP="006E6AAA">
      <w:pPr>
        <w:spacing w:after="0" w:line="280" w:lineRule="exact"/>
        <w:jc w:val="both"/>
        <w:rPr>
          <w:rFonts w:ascii="Calibri" w:eastAsia="Times New Roman" w:hAnsi="Calibri" w:cs="Times New Roman"/>
          <w:b/>
          <w:lang w:val="en-GB"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statistics for 2011 and 2012 consolidated by the MC coordinator indicate that some </w:t>
      </w:r>
      <w:r w:rsidRPr="006E6AAA">
        <w:rPr>
          <w:rFonts w:ascii="Calibri" w:eastAsia="Times New Roman" w:hAnsi="Calibri" w:cs="Times New Roman"/>
          <w:b/>
          <w:lang w:val="en-GB" w:eastAsia="da-DK"/>
        </w:rPr>
        <w:t>towns/villages are visited regularly by MCs</w:t>
      </w:r>
      <w:r w:rsidRPr="006E6AAA">
        <w:rPr>
          <w:rFonts w:ascii="Calibri" w:eastAsia="Times New Roman" w:hAnsi="Calibri" w:cs="Times New Roman"/>
          <w:lang w:val="en-GB" w:eastAsia="da-DK"/>
        </w:rPr>
        <w:t xml:space="preserve">, which could represent a first indicator that justice needs are relevant and therefore MC should continue to give priority to these areas.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table below gives a preliminary indication of the localities that were most visited by MC in 2011 and 2012. More detailed analysis is being developed by UNDP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tbl>
      <w:tblPr>
        <w:tblW w:w="0" w:type="auto"/>
        <w:tblInd w:w="154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3780"/>
        <w:gridCol w:w="1800"/>
      </w:tblGrid>
      <w:tr w:rsidR="006E6AAA" w:rsidRPr="006E6AAA" w:rsidTr="00C8613A">
        <w:tc>
          <w:tcPr>
            <w:tcW w:w="3780" w:type="dxa"/>
            <w:shd w:val="clear" w:color="auto" w:fill="4C4C4C"/>
          </w:tcPr>
          <w:p w:rsidR="006E6AAA" w:rsidRPr="006E6AAA" w:rsidRDefault="006E6AAA" w:rsidP="006E6AAA">
            <w:pPr>
              <w:spacing w:after="0" w:line="270" w:lineRule="atLeast"/>
              <w:rPr>
                <w:rFonts w:ascii="Calibri" w:eastAsia="Times New Roman" w:hAnsi="Calibri" w:cs="Times New Roman"/>
                <w:b/>
                <w:color w:val="FFFFFF"/>
                <w:sz w:val="20"/>
                <w:szCs w:val="20"/>
                <w:lang w:val="en-GB" w:eastAsia="da-DK"/>
              </w:rPr>
            </w:pPr>
            <w:r w:rsidRPr="006E6AAA">
              <w:rPr>
                <w:rFonts w:ascii="Calibri" w:eastAsia="Times New Roman" w:hAnsi="Calibri" w:cs="Times New Roman"/>
                <w:b/>
                <w:color w:val="FFFFFF"/>
                <w:sz w:val="20"/>
                <w:szCs w:val="20"/>
                <w:lang w:val="en-GB" w:eastAsia="da-DK"/>
              </w:rPr>
              <w:t>Location visited by MC</w:t>
            </w:r>
          </w:p>
        </w:tc>
        <w:tc>
          <w:tcPr>
            <w:tcW w:w="1800" w:type="dxa"/>
            <w:shd w:val="clear" w:color="auto" w:fill="4C4C4C"/>
          </w:tcPr>
          <w:p w:rsidR="006E6AAA" w:rsidRPr="006E6AAA" w:rsidRDefault="006E6AAA" w:rsidP="006E6AAA">
            <w:pPr>
              <w:spacing w:after="0" w:line="270" w:lineRule="atLeast"/>
              <w:rPr>
                <w:rFonts w:ascii="Calibri" w:eastAsia="Times New Roman" w:hAnsi="Calibri" w:cs="Times New Roman"/>
                <w:b/>
                <w:color w:val="FFFFFF"/>
                <w:sz w:val="20"/>
                <w:szCs w:val="20"/>
                <w:lang w:val="en-GB" w:eastAsia="da-DK"/>
              </w:rPr>
            </w:pPr>
            <w:r w:rsidRPr="006E6AAA">
              <w:rPr>
                <w:rFonts w:ascii="Calibri" w:eastAsia="Times New Roman" w:hAnsi="Calibri" w:cs="Times New Roman"/>
                <w:b/>
                <w:color w:val="FFFFFF"/>
                <w:sz w:val="20"/>
                <w:szCs w:val="20"/>
                <w:lang w:val="en-GB" w:eastAsia="da-DK"/>
              </w:rPr>
              <w:t>n. of one-day MC</w:t>
            </w:r>
          </w:p>
        </w:tc>
      </w:tr>
      <w:tr w:rsidR="006E6AAA" w:rsidRPr="006E6AAA" w:rsidTr="00C8613A">
        <w:tc>
          <w:tcPr>
            <w:tcW w:w="378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b/>
                <w:sz w:val="20"/>
                <w:szCs w:val="20"/>
                <w:lang w:val="en-GB" w:eastAsia="da-DK"/>
              </w:rPr>
              <w:t>Madheera</w:t>
            </w:r>
            <w:r w:rsidRPr="006E6AAA">
              <w:rPr>
                <w:rFonts w:ascii="Calibri" w:eastAsia="Times New Roman" w:hAnsi="Calibri" w:cs="Times New Roman"/>
                <w:sz w:val="20"/>
                <w:szCs w:val="20"/>
                <w:lang w:val="en-GB" w:eastAsia="da-DK"/>
              </w:rPr>
              <w:t xml:space="preserve"> </w:t>
            </w:r>
            <w:r w:rsidRPr="006E6AAA">
              <w:rPr>
                <w:rFonts w:ascii="Calibri" w:eastAsia="Times New Roman" w:hAnsi="Calibri" w:cs="Times New Roman"/>
                <w:i/>
                <w:sz w:val="20"/>
                <w:szCs w:val="20"/>
                <w:lang w:val="en-GB" w:eastAsia="da-DK"/>
              </w:rPr>
              <w:t>(Hargeisa Region)</w:t>
            </w:r>
          </w:p>
        </w:tc>
        <w:tc>
          <w:tcPr>
            <w:tcW w:w="180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108</w:t>
            </w:r>
          </w:p>
        </w:tc>
      </w:tr>
      <w:tr w:rsidR="006E6AAA" w:rsidRPr="006E6AAA" w:rsidTr="00C8613A">
        <w:tc>
          <w:tcPr>
            <w:tcW w:w="378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b/>
                <w:sz w:val="20"/>
                <w:szCs w:val="20"/>
                <w:lang w:val="en-GB" w:eastAsia="da-DK"/>
              </w:rPr>
              <w:t>Gebiley</w:t>
            </w:r>
            <w:r w:rsidRPr="006E6AAA">
              <w:rPr>
                <w:rFonts w:ascii="Calibri" w:eastAsia="Times New Roman" w:hAnsi="Calibri" w:cs="Times New Roman"/>
                <w:sz w:val="20"/>
                <w:szCs w:val="20"/>
                <w:lang w:val="en-GB" w:eastAsia="da-DK"/>
              </w:rPr>
              <w:t xml:space="preserve"> </w:t>
            </w:r>
            <w:r w:rsidRPr="006E6AAA">
              <w:rPr>
                <w:rFonts w:ascii="Calibri" w:eastAsia="Times New Roman" w:hAnsi="Calibri" w:cs="Times New Roman"/>
                <w:i/>
                <w:sz w:val="20"/>
                <w:szCs w:val="20"/>
                <w:lang w:val="en-GB" w:eastAsia="da-DK"/>
              </w:rPr>
              <w:t>(Hargeisa Region)</w:t>
            </w:r>
          </w:p>
        </w:tc>
        <w:tc>
          <w:tcPr>
            <w:tcW w:w="180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57</w:t>
            </w:r>
          </w:p>
        </w:tc>
      </w:tr>
      <w:tr w:rsidR="006E6AAA" w:rsidRPr="006E6AAA" w:rsidTr="00C8613A">
        <w:tc>
          <w:tcPr>
            <w:tcW w:w="378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b/>
                <w:sz w:val="20"/>
                <w:szCs w:val="20"/>
                <w:lang w:val="en-GB" w:eastAsia="da-DK"/>
              </w:rPr>
              <w:t>Ceel Afweyn</w:t>
            </w:r>
            <w:r w:rsidRPr="006E6AAA">
              <w:rPr>
                <w:rFonts w:ascii="Calibri" w:eastAsia="Times New Roman" w:hAnsi="Calibri" w:cs="Times New Roman"/>
                <w:sz w:val="20"/>
                <w:szCs w:val="20"/>
                <w:lang w:val="en-GB" w:eastAsia="da-DK"/>
              </w:rPr>
              <w:t xml:space="preserve"> </w:t>
            </w:r>
            <w:r w:rsidRPr="006E6AAA">
              <w:rPr>
                <w:rFonts w:ascii="Calibri" w:eastAsia="Times New Roman" w:hAnsi="Calibri" w:cs="Times New Roman"/>
                <w:i/>
                <w:sz w:val="20"/>
                <w:szCs w:val="20"/>
                <w:lang w:val="en-GB" w:eastAsia="da-DK"/>
              </w:rPr>
              <w:t>(Sanaag Region)</w:t>
            </w:r>
          </w:p>
        </w:tc>
        <w:tc>
          <w:tcPr>
            <w:tcW w:w="180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54</w:t>
            </w:r>
          </w:p>
        </w:tc>
      </w:tr>
      <w:tr w:rsidR="006E6AAA" w:rsidRPr="006E6AAA" w:rsidTr="00C8613A">
        <w:tc>
          <w:tcPr>
            <w:tcW w:w="378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Gubro Libaax</w:t>
            </w:r>
          </w:p>
        </w:tc>
        <w:tc>
          <w:tcPr>
            <w:tcW w:w="180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23</w:t>
            </w:r>
          </w:p>
        </w:tc>
      </w:tr>
      <w:tr w:rsidR="006E6AAA" w:rsidRPr="006E6AAA" w:rsidTr="00C8613A">
        <w:tc>
          <w:tcPr>
            <w:tcW w:w="378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b/>
                <w:sz w:val="20"/>
                <w:szCs w:val="20"/>
                <w:lang w:val="en-GB" w:eastAsia="da-DK"/>
              </w:rPr>
              <w:t>Garadan</w:t>
            </w:r>
            <w:r w:rsidRPr="006E6AAA">
              <w:rPr>
                <w:rFonts w:ascii="Calibri" w:eastAsia="Times New Roman" w:hAnsi="Calibri" w:cs="Times New Roman"/>
                <w:sz w:val="20"/>
                <w:szCs w:val="20"/>
                <w:lang w:val="en-GB" w:eastAsia="da-DK"/>
              </w:rPr>
              <w:t xml:space="preserve"> </w:t>
            </w:r>
            <w:r w:rsidRPr="006E6AAA">
              <w:rPr>
                <w:rFonts w:ascii="Calibri" w:eastAsia="Times New Roman" w:hAnsi="Calibri" w:cs="Times New Roman"/>
                <w:i/>
                <w:sz w:val="20"/>
                <w:szCs w:val="20"/>
                <w:lang w:val="en-GB" w:eastAsia="da-DK"/>
              </w:rPr>
              <w:t>(Sanaag Region)</w:t>
            </w:r>
          </w:p>
        </w:tc>
        <w:tc>
          <w:tcPr>
            <w:tcW w:w="180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21</w:t>
            </w:r>
          </w:p>
        </w:tc>
      </w:tr>
      <w:tr w:rsidR="006E6AAA" w:rsidRPr="006E6AAA" w:rsidTr="00C8613A">
        <w:tc>
          <w:tcPr>
            <w:tcW w:w="378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Cali Cise </w:t>
            </w:r>
          </w:p>
        </w:tc>
        <w:tc>
          <w:tcPr>
            <w:tcW w:w="180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21</w:t>
            </w:r>
          </w:p>
        </w:tc>
      </w:tr>
    </w:tbl>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It’s interesting to note that in several of the most visited locations there is a prison (in bold in the table).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Considered the sensitiveness of incarceration in the Somali context (where restorative justice is prevalent), as well as the concerns related to illegal pre-trial detentions, it might be worth to explore the possibility of setting up a </w:t>
      </w:r>
      <w:r w:rsidRPr="006E6AAA">
        <w:rPr>
          <w:rFonts w:ascii="Calibri" w:eastAsia="Times New Roman" w:hAnsi="Calibri" w:cs="Times New Roman"/>
          <w:b/>
          <w:lang w:val="en-GB" w:eastAsia="da-DK"/>
        </w:rPr>
        <w:t>special MC component for prisons</w:t>
      </w:r>
      <w:r w:rsidRPr="006E6AAA">
        <w:rPr>
          <w:rFonts w:ascii="Calibri" w:eastAsia="Times New Roman" w:hAnsi="Calibri" w:cs="Times New Roman"/>
          <w:vertAlign w:val="superscript"/>
          <w:lang w:val="en-GB" w:eastAsia="da-DK"/>
        </w:rPr>
        <w:footnoteReference w:id="106"/>
      </w:r>
      <w:r w:rsidRPr="006E6AAA">
        <w:rPr>
          <w:rFonts w:ascii="Calibri" w:eastAsia="Times New Roman" w:hAnsi="Calibri" w:cs="Times New Roman"/>
          <w:lang w:val="en-GB" w:eastAsia="da-DK"/>
        </w:rPr>
        <w:t xml:space="preserve">. To this end it would be important to clarify if the MC currently visiting the prisons are only validating pre-trial detentions or also conducting hearings. </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numPr>
          <w:ilvl w:val="0"/>
          <w:numId w:val="46"/>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color w:val="000080"/>
          <w:lang w:val="en-GB" w:eastAsia="da-DK"/>
        </w:rPr>
        <w:t>2) Map  available justice and security actors in each region of Somaliland</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second step to establish a circuit court model requires a clear mapping of the justice and security actors available in Somaliland, with a particular focus on the rural areas.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reason is that circuit courts should be prioritized, at least in an initial phase, in areas where the first level of justice and security actors is present: District police stations and District Courts. This is particularly relevant in Somaliland where MCs are only implemented by higher Courts as Appeal Courts, Regional Courts and the Supreme Court. The police will ensure adequate investigations, eventual transfer of the accused to prison, the security of MC teams; the District Court will play a key role in preparing the MC sessions (e.g. by informing the parties to the cases and offering an adequate space where hearings can be held).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As illustrated in the map in Annex 3, District courts and Police stations are well represented across Somaliland (37 District Courts and 65 Police stations).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MC caseload and the opinion of several respondents indicate that District Court decisions are very often appealed before the Regional or Appeal Court. Conversely some respondents reported that Police stations are not respecting the statutory 48 hours for pre-trial detentions.  MC could therefore play an important supervisory role: in DRC for example, MC judges also inspect the lower courts and in Central Africa MC Prosecutors visit police or prison detention centres to verify pre-trial detention cases.</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Calibri"/>
          <w:color w:val="000000"/>
          <w:lang w:eastAsia="it-IT"/>
        </w:rPr>
      </w:pPr>
      <w:r w:rsidRPr="006E6AAA">
        <w:rPr>
          <w:rFonts w:ascii="Calibri" w:eastAsia="Times New Roman" w:hAnsi="Calibri" w:cs="Calibri"/>
          <w:color w:val="000000"/>
          <w:lang w:val="en-GB" w:eastAsia="it-IT"/>
        </w:rPr>
        <w:t>Several interviewed persons</w:t>
      </w:r>
      <w:r w:rsidRPr="006E6AAA">
        <w:rPr>
          <w:rFonts w:ascii="Calibri" w:eastAsia="Times New Roman" w:hAnsi="Calibri" w:cs="Calibri"/>
          <w:color w:val="000000"/>
          <w:lang w:eastAsia="it-IT"/>
        </w:rPr>
        <w:t xml:space="preserve"> suggested that “</w:t>
      </w:r>
      <w:r w:rsidRPr="006E6AAA">
        <w:rPr>
          <w:rFonts w:ascii="Calibri" w:eastAsia="Times New Roman" w:hAnsi="Calibri" w:cs="Calibri"/>
          <w:i/>
          <w:color w:val="000000"/>
          <w:lang w:eastAsia="it-IT"/>
        </w:rPr>
        <w:t>district courts should be a part of the plan for the Mobile Courts</w:t>
      </w:r>
      <w:r w:rsidRPr="006E6AAA">
        <w:rPr>
          <w:rFonts w:ascii="Calibri" w:eastAsia="Times New Roman" w:hAnsi="Calibri" w:cs="Calibri"/>
          <w:color w:val="000000"/>
          <w:lang w:eastAsia="it-IT"/>
        </w:rPr>
        <w:t>”</w:t>
      </w:r>
      <w:r w:rsidRPr="006E6AAA">
        <w:rPr>
          <w:rFonts w:ascii="Calibri" w:eastAsia="Times New Roman" w:hAnsi="Calibri" w:cs="Calibri"/>
          <w:color w:val="000000"/>
          <w:vertAlign w:val="superscript"/>
          <w:lang w:eastAsia="it-IT"/>
        </w:rPr>
        <w:footnoteReference w:id="107"/>
      </w:r>
      <w:r w:rsidRPr="006E6AAA">
        <w:rPr>
          <w:rFonts w:ascii="Calibri" w:eastAsia="Times New Roman" w:hAnsi="Calibri" w:cs="Calibri"/>
          <w:color w:val="000000"/>
          <w:lang w:eastAsia="it-IT"/>
        </w:rPr>
        <w:t xml:space="preserve"> . An assessment of the District courts could be carried out to evaluate if they would have the capacities to conduct MC in their jurisdictions, eventually as a long term objective</w:t>
      </w:r>
      <w:r w:rsidRPr="006E6AAA">
        <w:rPr>
          <w:rFonts w:ascii="Calibri" w:eastAsia="Times New Roman" w:hAnsi="Calibri" w:cs="Calibri"/>
          <w:color w:val="000000"/>
          <w:vertAlign w:val="superscript"/>
          <w:lang w:eastAsia="it-IT"/>
        </w:rPr>
        <w:footnoteReference w:id="108"/>
      </w:r>
      <w:r w:rsidRPr="006E6AAA">
        <w:rPr>
          <w:rFonts w:ascii="Calibri" w:eastAsia="Times New Roman" w:hAnsi="Calibri" w:cs="Calibri"/>
          <w:color w:val="000000"/>
          <w:lang w:eastAsia="it-IT"/>
        </w:rPr>
        <w:t>.</w:t>
      </w:r>
    </w:p>
    <w:p w:rsidR="006E6AAA" w:rsidRPr="006E6AAA" w:rsidRDefault="006E6AAA" w:rsidP="006E6AAA">
      <w:pPr>
        <w:spacing w:after="0" w:line="280" w:lineRule="exact"/>
        <w:ind w:left="288"/>
        <w:jc w:val="both"/>
        <w:rPr>
          <w:rFonts w:ascii="Calibri" w:eastAsia="Times New Roman" w:hAnsi="Calibri" w:cs="Times New Roman"/>
          <w:lang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table below suggests a list of potential locations that could be included in the regular MC circuits, based on the criteria of the presence of first level justice and security actors. </w:t>
      </w: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UNDP Team Leader in Hargeisa pointed out that most prisons in the Districts would not be suitable to support the MC system because of poor detention conditions and lack of capacities. UNODC has carried out several assessments of the prison system in Somaliland, so might provide further information on this point. </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en-GB" w:eastAsia="it-IT"/>
        </w:rPr>
      </w:pPr>
    </w:p>
    <w:p w:rsidR="006E6AAA" w:rsidRPr="006E6AAA" w:rsidRDefault="006E6AAA" w:rsidP="006E6AAA">
      <w:pPr>
        <w:spacing w:after="0" w:line="270" w:lineRule="atLeast"/>
        <w:rPr>
          <w:rFonts w:ascii="Calibri" w:eastAsia="Times New Roman" w:hAnsi="Calibri" w:cs="Arial"/>
          <w:b/>
          <w:color w:val="339966"/>
          <w:sz w:val="20"/>
          <w:szCs w:val="20"/>
          <w:lang w:val="en-GB" w:eastAsia="da-DK"/>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120"/>
      </w:tblGrid>
      <w:tr w:rsidR="006E6AAA" w:rsidRPr="006E6AAA" w:rsidTr="00C8613A">
        <w:trPr>
          <w:trHeight w:val="508"/>
        </w:trPr>
        <w:tc>
          <w:tcPr>
            <w:tcW w:w="2520" w:type="dxa"/>
            <w:tcBorders>
              <w:bottom w:val="single" w:sz="4" w:space="0" w:color="auto"/>
            </w:tcBorders>
            <w:shd w:val="clear" w:color="auto" w:fill="E6E6E6"/>
          </w:tcPr>
          <w:p w:rsidR="006E6AAA" w:rsidRPr="006E6AAA" w:rsidRDefault="006E6AAA" w:rsidP="006E6AAA">
            <w:pPr>
              <w:spacing w:after="0" w:line="270" w:lineRule="atLeast"/>
              <w:jc w:val="center"/>
              <w:rPr>
                <w:rFonts w:ascii="Calibri" w:eastAsia="Times New Roman" w:hAnsi="Calibri" w:cs="Arial"/>
                <w:b/>
                <w:smallCaps/>
                <w:sz w:val="20"/>
                <w:szCs w:val="20"/>
                <w:lang w:val="en-GB" w:eastAsia="da-DK"/>
              </w:rPr>
            </w:pPr>
            <w:r w:rsidRPr="006E6AAA">
              <w:rPr>
                <w:rFonts w:ascii="Calibri" w:eastAsia="Times New Roman" w:hAnsi="Calibri" w:cs="Arial"/>
                <w:b/>
                <w:smallCaps/>
                <w:sz w:val="20"/>
                <w:szCs w:val="20"/>
                <w:lang w:val="en-GB" w:eastAsia="da-DK"/>
              </w:rPr>
              <w:lastRenderedPageBreak/>
              <w:t>Suggested priority locations</w:t>
            </w:r>
          </w:p>
          <w:p w:rsidR="006E6AAA" w:rsidRPr="006E6AAA" w:rsidRDefault="006E6AAA" w:rsidP="006E6AAA">
            <w:pPr>
              <w:spacing w:after="0" w:line="270" w:lineRule="atLeast"/>
              <w:jc w:val="center"/>
              <w:rPr>
                <w:rFonts w:ascii="Calibri" w:eastAsia="Times New Roman" w:hAnsi="Calibri" w:cs="Arial"/>
                <w:b/>
                <w:smallCaps/>
                <w:sz w:val="20"/>
                <w:szCs w:val="20"/>
                <w:lang w:val="en-GB" w:eastAsia="da-DK"/>
              </w:rPr>
            </w:pPr>
            <w:r w:rsidRPr="006E6AAA">
              <w:rPr>
                <w:rFonts w:ascii="Calibri" w:eastAsia="Times New Roman" w:hAnsi="Calibri" w:cs="Arial"/>
                <w:b/>
                <w:smallCaps/>
                <w:sz w:val="20"/>
                <w:szCs w:val="20"/>
                <w:lang w:val="en-GB" w:eastAsia="da-DK"/>
              </w:rPr>
              <w:t>for MC circuits</w:t>
            </w:r>
          </w:p>
        </w:tc>
        <w:tc>
          <w:tcPr>
            <w:tcW w:w="6120" w:type="dxa"/>
            <w:tcBorders>
              <w:bottom w:val="single" w:sz="4" w:space="0" w:color="auto"/>
            </w:tcBorders>
            <w:shd w:val="clear" w:color="auto" w:fill="E6E6E6"/>
          </w:tcPr>
          <w:p w:rsidR="006E6AAA" w:rsidRPr="006E6AAA" w:rsidRDefault="006E6AAA" w:rsidP="006E6AAA">
            <w:pPr>
              <w:spacing w:after="0" w:line="270" w:lineRule="atLeast"/>
              <w:jc w:val="center"/>
              <w:rPr>
                <w:rFonts w:ascii="Calibri" w:eastAsia="Times New Roman" w:hAnsi="Calibri" w:cs="Times New Roman"/>
                <w:b/>
                <w:smallCaps/>
                <w:sz w:val="20"/>
                <w:szCs w:val="20"/>
                <w:lang w:eastAsia="da-DK"/>
              </w:rPr>
            </w:pPr>
            <w:r w:rsidRPr="006E6AAA">
              <w:rPr>
                <w:rFonts w:ascii="Calibri" w:eastAsia="Times New Roman" w:hAnsi="Calibri" w:cs="Times New Roman"/>
                <w:b/>
                <w:smallCaps/>
                <w:sz w:val="20"/>
                <w:szCs w:val="20"/>
                <w:lang w:eastAsia="da-DK"/>
              </w:rPr>
              <w:t>Available</w:t>
            </w:r>
          </w:p>
          <w:p w:rsidR="006E6AAA" w:rsidRPr="006E6AAA" w:rsidRDefault="006E6AAA" w:rsidP="006E6AAA">
            <w:pPr>
              <w:spacing w:after="0" w:line="270" w:lineRule="atLeast"/>
              <w:jc w:val="center"/>
              <w:rPr>
                <w:rFonts w:ascii="Calibri" w:eastAsia="Times New Roman" w:hAnsi="Calibri" w:cs="Times New Roman"/>
                <w:b/>
                <w:smallCaps/>
                <w:sz w:val="20"/>
                <w:szCs w:val="20"/>
                <w:lang w:eastAsia="da-DK"/>
              </w:rPr>
            </w:pPr>
            <w:r w:rsidRPr="006E6AAA">
              <w:rPr>
                <w:rFonts w:ascii="Calibri" w:eastAsia="Times New Roman" w:hAnsi="Calibri" w:cs="Times New Roman"/>
                <w:b/>
                <w:smallCaps/>
                <w:sz w:val="20"/>
                <w:szCs w:val="20"/>
                <w:lang w:eastAsia="da-DK"/>
              </w:rPr>
              <w:t>justice and security actors</w:t>
            </w:r>
          </w:p>
        </w:tc>
      </w:tr>
      <w:tr w:rsidR="006E6AAA" w:rsidRPr="006E6AAA" w:rsidTr="00C8613A">
        <w:tc>
          <w:tcPr>
            <w:tcW w:w="8640" w:type="dxa"/>
            <w:gridSpan w:val="2"/>
            <w:shd w:val="clear" w:color="auto" w:fill="000080"/>
          </w:tcPr>
          <w:p w:rsidR="006E6AAA" w:rsidRPr="006E6AAA" w:rsidRDefault="006E6AAA" w:rsidP="006E6AAA">
            <w:pPr>
              <w:spacing w:after="0" w:line="270" w:lineRule="atLeast"/>
              <w:ind w:left="1080"/>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HARGEISA Regional Court &amp; Appeal court</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 xml:space="preserve">1. Gabiley </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Arial"/>
                <w:sz w:val="20"/>
                <w:szCs w:val="20"/>
                <w:lang w:val="en-GB" w:eastAsia="da-DK"/>
              </w:rPr>
              <w:t>2 District courts, 1 Prison, 1 Police station, 1 SOLLA Office</w:t>
            </w:r>
            <w:r w:rsidRPr="006E6AAA">
              <w:rPr>
                <w:rFonts w:ascii="Calibri" w:eastAsia="Times New Roman" w:hAnsi="Calibri" w:cs="Arial"/>
                <w:b/>
                <w:sz w:val="20"/>
                <w:szCs w:val="20"/>
                <w:lang w:val="en-GB" w:eastAsia="da-DK"/>
              </w:rPr>
              <w:t xml:space="preserve">, </w:t>
            </w:r>
            <w:r w:rsidRPr="006E6AAA">
              <w:rPr>
                <w:rFonts w:ascii="Calibri" w:eastAsia="Times New Roman" w:hAnsi="Calibri" w:cs="Arial"/>
                <w:sz w:val="20"/>
                <w:szCs w:val="20"/>
                <w:lang w:val="en-GB" w:eastAsia="da-DK"/>
              </w:rPr>
              <w:t>1 SWLA office</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2. Daaraslam</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 xml:space="preserve">3. Bali Gubadle </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 1 Prison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4. Saba Wanaag</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5. Cadaadlay</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 xml:space="preserve">6. Salaxley </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 1 Prison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7. Alay Badey</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8. Mandheera</w:t>
            </w:r>
          </w:p>
        </w:tc>
        <w:tc>
          <w:tcPr>
            <w:tcW w:w="61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 Prison, 1 SOLLA office, 1 SWLA office</w:t>
            </w:r>
          </w:p>
        </w:tc>
      </w:tr>
      <w:tr w:rsidR="006E6AAA" w:rsidRPr="006E6AAA" w:rsidTr="00C8613A">
        <w:tc>
          <w:tcPr>
            <w:tcW w:w="8640" w:type="dxa"/>
            <w:gridSpan w:val="2"/>
            <w:shd w:val="clear" w:color="auto" w:fill="000080"/>
          </w:tcPr>
          <w:p w:rsidR="006E6AAA" w:rsidRPr="006E6AAA" w:rsidRDefault="006E6AAA" w:rsidP="006E6AAA">
            <w:pPr>
              <w:spacing w:after="0" w:line="270" w:lineRule="atLeast"/>
              <w:ind w:left="1080"/>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BOROMA Regional Court &amp; Appeal Court</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1. Baki</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2. Dil</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3. Saylac</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4. Xariirad</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5. Garba Dadar</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6. Lughaya</w:t>
            </w:r>
          </w:p>
        </w:tc>
        <w:tc>
          <w:tcPr>
            <w:tcW w:w="61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8640" w:type="dxa"/>
            <w:gridSpan w:val="2"/>
            <w:shd w:val="clear" w:color="auto" w:fill="000080"/>
          </w:tcPr>
          <w:p w:rsidR="006E6AAA" w:rsidRPr="006E6AAA" w:rsidRDefault="006E6AAA" w:rsidP="006E6AAA">
            <w:pPr>
              <w:spacing w:after="0" w:line="270" w:lineRule="atLeast"/>
              <w:ind w:left="1080"/>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BERBERA Regional Court &amp; Court of Appeal</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 xml:space="preserve">1. Sheekh </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 xml:space="preserve">1 Police station, </w:t>
            </w:r>
          </w:p>
        </w:tc>
      </w:tr>
      <w:tr w:rsidR="006E6AAA" w:rsidRPr="006E6AAA" w:rsidTr="00C8613A">
        <w:tc>
          <w:tcPr>
            <w:tcW w:w="25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2. Xagal</w:t>
            </w:r>
          </w:p>
        </w:tc>
        <w:tc>
          <w:tcPr>
            <w:tcW w:w="61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8640" w:type="dxa"/>
            <w:gridSpan w:val="2"/>
            <w:shd w:val="clear" w:color="auto" w:fill="000080"/>
          </w:tcPr>
          <w:p w:rsidR="006E6AAA" w:rsidRPr="006E6AAA" w:rsidRDefault="006E6AAA" w:rsidP="006E6AAA">
            <w:pPr>
              <w:spacing w:after="0" w:line="270" w:lineRule="atLeast"/>
              <w:ind w:left="1080"/>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BURAO Regional Court &amp; Court of Appeal</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1. Buuhoodle</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2. Balidhiig</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 xml:space="preserve">3. Oodwayne </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 xml:space="preserve">1 Police station, 1 prison  </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4. Ooryaale</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5. Duruqsi</w:t>
            </w:r>
          </w:p>
        </w:tc>
        <w:tc>
          <w:tcPr>
            <w:tcW w:w="612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8640" w:type="dxa"/>
            <w:gridSpan w:val="2"/>
            <w:shd w:val="clear" w:color="auto" w:fill="000080"/>
          </w:tcPr>
          <w:p w:rsidR="006E6AAA" w:rsidRPr="006E6AAA" w:rsidRDefault="006E6AAA" w:rsidP="006E6AAA">
            <w:pPr>
              <w:spacing w:after="0" w:line="270" w:lineRule="atLeast"/>
              <w:ind w:left="1080"/>
              <w:rPr>
                <w:rFonts w:ascii="Calibri" w:eastAsia="Times New Roman" w:hAnsi="Calibri" w:cs="Times New Roman"/>
                <w:sz w:val="20"/>
                <w:szCs w:val="20"/>
                <w:lang w:eastAsia="da-DK"/>
              </w:rPr>
            </w:pPr>
            <w:r w:rsidRPr="006E6AAA">
              <w:rPr>
                <w:rFonts w:ascii="Calibri" w:eastAsia="Times New Roman" w:hAnsi="Calibri" w:cs="Times New Roman"/>
                <w:b/>
                <w:color w:val="FFFFFF"/>
                <w:sz w:val="20"/>
                <w:szCs w:val="20"/>
                <w:lang w:eastAsia="da-DK"/>
              </w:rPr>
              <w:t>ERIGABO Regional Court &amp; Court of Appeal</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1. Badhan</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2. Dhahar</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b/>
                <w:color w:val="FF0000"/>
                <w:sz w:val="20"/>
                <w:szCs w:val="20"/>
                <w:lang w:val="en-GB" w:eastAsia="da-DK"/>
              </w:rPr>
            </w:pPr>
            <w:r w:rsidRPr="006E6AAA">
              <w:rPr>
                <w:rFonts w:ascii="Calibri" w:eastAsia="Times New Roman" w:hAnsi="Calibri" w:cs="Arial"/>
                <w:sz w:val="20"/>
                <w:szCs w:val="20"/>
                <w:lang w:val="en-GB" w:eastAsia="da-DK"/>
              </w:rPr>
              <w:t xml:space="preserve">3. Ceel Afwayn </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 1 Prison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4. Laas Ooray</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5. Maydh</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6. Figifulye</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7. Gar Adag</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 1 Prison</w:t>
            </w:r>
          </w:p>
        </w:tc>
      </w:tr>
      <w:tr w:rsidR="006E6AAA" w:rsidRPr="006E6AAA" w:rsidTr="00C8613A">
        <w:tc>
          <w:tcPr>
            <w:tcW w:w="2520" w:type="dxa"/>
            <w:shd w:val="clear" w:color="auto" w:fill="auto"/>
          </w:tcPr>
          <w:p w:rsidR="006E6AAA" w:rsidRPr="006E6AAA" w:rsidRDefault="006E6AAA" w:rsidP="006E6AAA">
            <w:pPr>
              <w:spacing w:after="0" w:line="270" w:lineRule="atLeast"/>
              <w:rPr>
                <w:rFonts w:ascii="Calibri" w:eastAsia="Times New Roman" w:hAnsi="Calibri" w:cs="Arial"/>
                <w:sz w:val="20"/>
                <w:szCs w:val="20"/>
                <w:lang w:val="en-GB" w:eastAsia="da-DK"/>
              </w:rPr>
            </w:pPr>
            <w:r w:rsidRPr="006E6AAA">
              <w:rPr>
                <w:rFonts w:ascii="Calibri" w:eastAsia="Times New Roman" w:hAnsi="Calibri" w:cs="Arial"/>
                <w:sz w:val="20"/>
                <w:szCs w:val="20"/>
                <w:lang w:val="en-GB" w:eastAsia="da-DK"/>
              </w:rPr>
              <w:t>8. Xiis</w:t>
            </w:r>
          </w:p>
        </w:tc>
        <w:tc>
          <w:tcPr>
            <w:tcW w:w="612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District Court, </w:t>
            </w:r>
            <w:r w:rsidRPr="006E6AAA">
              <w:rPr>
                <w:rFonts w:ascii="Calibri" w:eastAsia="Times New Roman" w:hAnsi="Calibri" w:cs="Arial"/>
                <w:sz w:val="20"/>
                <w:szCs w:val="20"/>
                <w:lang w:val="en-GB" w:eastAsia="da-DK"/>
              </w:rPr>
              <w:t>1 Police station</w:t>
            </w:r>
          </w:p>
        </w:tc>
      </w:tr>
    </w:tbl>
    <w:p w:rsidR="006E6AAA" w:rsidRPr="006E6AAA" w:rsidRDefault="006E6AAA" w:rsidP="006E6AAA">
      <w:pPr>
        <w:spacing w:after="0" w:line="280" w:lineRule="exact"/>
        <w:ind w:left="288"/>
        <w:jc w:val="both"/>
        <w:rPr>
          <w:rFonts w:ascii="Calibri" w:eastAsia="Times New Roman" w:hAnsi="Calibri" w:cs="Times New Roman"/>
          <w:lang w:val="en-GB" w:eastAsia="da-DK"/>
        </w:rPr>
      </w:pP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numPr>
          <w:ilvl w:val="0"/>
          <w:numId w:val="47"/>
        </w:numPr>
        <w:spacing w:after="0" w:line="280" w:lineRule="exact"/>
        <w:jc w:val="both"/>
        <w:rPr>
          <w:rFonts w:ascii="Calibri" w:eastAsia="Times New Roman" w:hAnsi="Calibri" w:cs="Times New Roman"/>
          <w:color w:val="000080"/>
          <w:lang w:val="en-GB" w:eastAsia="da-DK"/>
        </w:rPr>
      </w:pPr>
      <w:r w:rsidRPr="006E6AAA">
        <w:rPr>
          <w:rFonts w:ascii="Calibri" w:eastAsia="Times New Roman" w:hAnsi="Calibri" w:cs="Times New Roman"/>
          <w:b/>
          <w:color w:val="000080"/>
          <w:lang w:val="en-GB" w:eastAsia="da-DK"/>
        </w:rPr>
        <w:t>3) Assess the caseload and the prevalence of crimes and civil disputes</w:t>
      </w:r>
    </w:p>
    <w:p w:rsidR="006E6AAA" w:rsidRPr="006E6AAA" w:rsidRDefault="006E6AAA" w:rsidP="006E6AAA">
      <w:pPr>
        <w:spacing w:after="0" w:line="280" w:lineRule="exact"/>
        <w:ind w:firstLine="708"/>
        <w:jc w:val="both"/>
        <w:rPr>
          <w:rFonts w:ascii="Calibri" w:eastAsia="Times New Roman" w:hAnsi="Calibri" w:cs="Times New Roman"/>
          <w:lang w:val="en-GB" w:eastAsia="da-DK"/>
        </w:rPr>
      </w:pPr>
    </w:p>
    <w:p w:rsidR="006E6AAA" w:rsidRPr="006E6AAA" w:rsidRDefault="006E6AAA" w:rsidP="006E6AAA">
      <w:pPr>
        <w:spacing w:after="0" w:line="280" w:lineRule="exact"/>
        <w:ind w:left="288"/>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Finally setting up a MC circuit would require further assessment of justice needs in the relevant areas. The Baseline Study offers a comprehensive general reference, but more specific analysis would be useful with regards to the geographical context of intervention, for example: where are land-disputes most recurrent?  Are there areas where minority groups requiring special protection are concentrated? Which are the most recurrent crimes and disputes?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 addition to MC on regular circuits, a </w:t>
      </w:r>
      <w:r w:rsidRPr="006E6AAA">
        <w:rPr>
          <w:rFonts w:ascii="Calibri" w:eastAsia="Times New Roman" w:hAnsi="Calibri" w:cs="Times New Roman"/>
          <w:b/>
          <w:lang w:val="en-GB" w:eastAsia="da-DK"/>
        </w:rPr>
        <w:t>limited number of “MC on demand” could continue to be supported,</w:t>
      </w:r>
      <w:r w:rsidRPr="006E6AAA">
        <w:rPr>
          <w:rFonts w:ascii="Calibri" w:eastAsia="Times New Roman" w:hAnsi="Calibri" w:cs="Times New Roman"/>
          <w:lang w:val="en-GB" w:eastAsia="da-DK"/>
        </w:rPr>
        <w:t xml:space="preserve"> in locations where justice and security actors are not available and planning is not possible.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It is important to consider that in order to be successful, this model of MC require additional efforts in terms of financial resources and preliminary arrangements: mobile investigation teams and lawyers should be sent in advance, arrested persons should be transferred to a prison in a timely manner, parties to the case should be appropriately informed about the court proceedings, an adequate location for the hearing should be identified. Without appropriate mechanisms in place to ensure that these basic aspects of a fair trial are respected, it is not recommended to support MCs on demand, at least for serious criminal cases.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Sool region, where the justice institutions are few, the security situation is unstable and serious crimes are committed, is an area where MC on demand could play a key role.</w:t>
      </w:r>
      <w:r w:rsidRPr="006E6AAA">
        <w:rPr>
          <w:rFonts w:ascii="Calibri" w:eastAsia="Times New Roman" w:hAnsi="Calibri" w:cs="Times New Roman"/>
          <w:vertAlign w:val="superscript"/>
          <w:lang w:val="en-GB" w:eastAsia="da-DK"/>
        </w:rPr>
        <w:footnoteReference w:id="109"/>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u w:val="single"/>
          <w:lang w:val="en-GB" w:eastAsia="da-DK"/>
        </w:rPr>
      </w:pPr>
      <w:r w:rsidRPr="006E6AAA">
        <w:rPr>
          <w:rFonts w:ascii="Calibri" w:eastAsia="Times New Roman" w:hAnsi="Calibri" w:cs="Times New Roman"/>
          <w:b/>
          <w:i/>
          <w:color w:val="000080"/>
          <w:u w:val="single"/>
          <w:lang w:val="en-GB" w:eastAsia="da-DK"/>
        </w:rPr>
        <w:t>Project Monitoring</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UNDP has undertaken significant efforts to improve the monitoring aspects of the MC initiative, as illustrated below.</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Times New Roman" w:eastAsia="Times New Roman" w:hAnsi="Times New Roman" w:cs="Times New Roman"/>
          <w:b/>
          <w:color w:val="000080"/>
          <w:lang w:eastAsia="da-DK"/>
        </w:rPr>
        <w:t>►</w:t>
      </w:r>
      <w:r w:rsidRPr="006E6AAA">
        <w:rPr>
          <w:rFonts w:ascii="Calibri" w:eastAsia="Times New Roman" w:hAnsi="Calibri" w:cs="Times New Roman"/>
          <w:b/>
          <w:color w:val="000080"/>
          <w:lang w:eastAsia="da-DK"/>
        </w:rPr>
        <w:t xml:space="preserve"> </w:t>
      </w:r>
      <w:r w:rsidRPr="006E6AAA">
        <w:rPr>
          <w:rFonts w:ascii="Calibri" w:eastAsia="Times New Roman" w:hAnsi="Calibri" w:cs="Times New Roman"/>
          <w:lang w:eastAsia="da-DK"/>
        </w:rPr>
        <w:t xml:space="preserve">UNDP Access to Justice Staff has regularly participated in MC missions in all 5 regions of intervention in order to monitor the MC sessions and follow up on other aspects of the A2J project.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Consolidated statistics on this activity are not available, but the number of </w:t>
      </w:r>
      <w:r w:rsidRPr="006E6AAA">
        <w:rPr>
          <w:rFonts w:ascii="Calibri" w:eastAsia="Times New Roman" w:hAnsi="Calibri" w:cs="Times New Roman"/>
          <w:b/>
          <w:lang w:eastAsia="da-DK"/>
        </w:rPr>
        <w:t>monitoring missions</w:t>
      </w:r>
      <w:r w:rsidRPr="006E6AAA">
        <w:rPr>
          <w:rFonts w:ascii="Calibri" w:eastAsia="Times New Roman" w:hAnsi="Calibri" w:cs="Times New Roman"/>
          <w:lang w:eastAsia="da-DK"/>
        </w:rPr>
        <w:t xml:space="preserve"> for the A2J project in 2011 and 2012 can be estimated to 60 missions. From April to July 2012, 18 monitoring visits to MC have been organized in the framework of the Baseline study in order to specifically collect information of the community perception of MC.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In addition</w:t>
      </w:r>
      <w:r w:rsidRPr="006E6AAA">
        <w:rPr>
          <w:rFonts w:ascii="Calibri" w:eastAsia="Times New Roman" w:hAnsi="Calibri" w:cs="Times New Roman"/>
          <w:lang w:val="en-GB" w:eastAsia="da-DK"/>
        </w:rPr>
        <w:t xml:space="preserve"> the Supreme Court has been conducting monitoring</w:t>
      </w:r>
      <w:r w:rsidRPr="006E6AAA">
        <w:rPr>
          <w:rFonts w:ascii="Calibri" w:eastAsia="Times New Roman" w:hAnsi="Calibri" w:cs="Times New Roman"/>
          <w:lang w:eastAsia="da-DK"/>
        </w:rPr>
        <w:t xml:space="preserve"> missions</w:t>
      </w:r>
      <w:r w:rsidRPr="006E6AAA">
        <w:rPr>
          <w:rFonts w:ascii="Calibri" w:eastAsia="Times New Roman" w:hAnsi="Calibri" w:cs="Times New Roman"/>
          <w:lang w:val="en-GB" w:eastAsia="da-DK"/>
        </w:rPr>
        <w:t xml:space="preserve"> </w:t>
      </w:r>
      <w:r w:rsidRPr="006E6AAA">
        <w:rPr>
          <w:rFonts w:ascii="Calibri" w:eastAsia="Times New Roman" w:hAnsi="Calibri" w:cs="Times New Roman"/>
          <w:i/>
          <w:lang w:val="en-GB" w:eastAsia="da-DK"/>
        </w:rPr>
        <w:t>via</w:t>
      </w:r>
      <w:r w:rsidRPr="006E6AAA">
        <w:rPr>
          <w:rFonts w:ascii="Calibri" w:eastAsia="Times New Roman" w:hAnsi="Calibri" w:cs="Times New Roman"/>
          <w:lang w:val="en-GB" w:eastAsia="da-DK"/>
        </w:rPr>
        <w:t xml:space="preserve"> the High Judicial Inspection Council</w:t>
      </w:r>
      <w:r w:rsidRPr="006E6AAA">
        <w:rPr>
          <w:rFonts w:ascii="Calibri" w:eastAsia="Times New Roman" w:hAnsi="Calibri" w:cs="Times New Roman"/>
          <w:lang w:eastAsia="da-DK"/>
        </w:rPr>
        <w:t xml:space="preserve">, but data related to this activity is not available either. </w:t>
      </w:r>
    </w:p>
    <w:p w:rsidR="006E6AAA" w:rsidRPr="006E6AAA" w:rsidRDefault="006E6AAA" w:rsidP="006E6AAA">
      <w:pPr>
        <w:autoSpaceDE w:val="0"/>
        <w:autoSpaceDN w:val="0"/>
        <w:adjustRightInd w:val="0"/>
        <w:spacing w:after="0" w:line="280" w:lineRule="exact"/>
        <w:jc w:val="both"/>
        <w:rPr>
          <w:rFonts w:ascii="Calibri" w:eastAsia="Times New Roman" w:hAnsi="Calibri" w:cs="Calibri"/>
          <w:color w:val="000000"/>
          <w:lang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Times New Roman" w:eastAsia="Times New Roman" w:hAnsi="Times New Roman" w:cs="Times New Roman"/>
          <w:b/>
          <w:color w:val="000080"/>
          <w:lang w:eastAsia="da-DK"/>
        </w:rPr>
        <w:t>►</w:t>
      </w:r>
      <w:r w:rsidRPr="006E6AAA">
        <w:rPr>
          <w:rFonts w:ascii="Calibri" w:eastAsia="Times New Roman" w:hAnsi="Calibri" w:cs="Times New Roman"/>
          <w:b/>
          <w:color w:val="000080"/>
          <w:lang w:eastAsia="da-DK"/>
        </w:rPr>
        <w:t xml:space="preserve"> </w:t>
      </w:r>
      <w:r w:rsidRPr="006E6AAA">
        <w:rPr>
          <w:rFonts w:ascii="Calibri" w:eastAsia="Times New Roman" w:hAnsi="Calibri" w:cs="Times New Roman"/>
          <w:lang w:eastAsia="da-DK"/>
        </w:rPr>
        <w:t xml:space="preserve">Since </w:t>
      </w:r>
      <w:r w:rsidRPr="006E6AAA">
        <w:rPr>
          <w:rFonts w:ascii="Calibri" w:eastAsia="Times New Roman" w:hAnsi="Calibri" w:cs="Times New Roman"/>
          <w:lang w:val="en-GB" w:eastAsia="da-DK"/>
        </w:rPr>
        <w:t xml:space="preserve">January 2013 </w:t>
      </w:r>
      <w:r w:rsidRPr="006E6AAA">
        <w:rPr>
          <w:rFonts w:ascii="Calibri" w:eastAsia="Times New Roman" w:hAnsi="Calibri" w:cs="Times New Roman"/>
          <w:lang w:eastAsia="da-DK"/>
        </w:rPr>
        <w:t xml:space="preserve">a </w:t>
      </w:r>
      <w:r w:rsidRPr="006E6AAA">
        <w:rPr>
          <w:rFonts w:ascii="Calibri" w:eastAsia="Times New Roman" w:hAnsi="Calibri" w:cs="Times New Roman"/>
          <w:b/>
          <w:lang w:eastAsia="da-DK"/>
        </w:rPr>
        <w:t>MC Coordinator</w:t>
      </w:r>
      <w:r w:rsidRPr="006E6AAA">
        <w:rPr>
          <w:rFonts w:ascii="Calibri" w:eastAsia="Times New Roman" w:hAnsi="Calibri" w:cs="Times New Roman"/>
          <w:lang w:eastAsia="da-DK"/>
        </w:rPr>
        <w:t xml:space="preserve"> </w:t>
      </w:r>
      <w:r w:rsidRPr="006E6AAA">
        <w:rPr>
          <w:rFonts w:ascii="Calibri" w:eastAsia="Times New Roman" w:hAnsi="Calibri" w:cs="Times New Roman"/>
          <w:lang w:val="en-GB" w:eastAsia="da-DK"/>
        </w:rPr>
        <w:t xml:space="preserve">has been recruited by the Supreme Court with the support of UNDP to improve the quality of the MC reporting, in complementary with the court management system that is being implemented in Somaliland. The MC Coordinator has the main task of overseeing the reporting activities for the MC system.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Times New Roman" w:eastAsia="Times New Roman" w:hAnsi="Times New Roman" w:cs="Times New Roman"/>
          <w:b/>
          <w:color w:val="000080"/>
          <w:lang w:eastAsia="da-DK"/>
        </w:rPr>
        <w:t>►</w:t>
      </w:r>
      <w:r w:rsidRPr="006E6AAA">
        <w:rPr>
          <w:rFonts w:ascii="Calibri" w:eastAsia="Times New Roman" w:hAnsi="Calibri" w:cs="Times New Roman"/>
          <w:b/>
          <w:color w:val="000080"/>
          <w:lang w:eastAsia="da-DK"/>
        </w:rPr>
        <w:t xml:space="preserve"> </w:t>
      </w:r>
      <w:r w:rsidRPr="006E6AAA">
        <w:rPr>
          <w:rFonts w:ascii="Calibri" w:eastAsia="Times New Roman" w:hAnsi="Calibri" w:cs="Times New Roman"/>
          <w:b/>
          <w:lang w:val="en-GB" w:eastAsia="da-DK"/>
        </w:rPr>
        <w:t xml:space="preserve">Adequate reporting tools </w:t>
      </w:r>
      <w:r w:rsidRPr="006E6AAA">
        <w:rPr>
          <w:rFonts w:ascii="Calibri" w:eastAsia="Times New Roman" w:hAnsi="Calibri" w:cs="Times New Roman"/>
          <w:lang w:val="en-GB" w:eastAsia="da-DK"/>
        </w:rPr>
        <w:t xml:space="preserve">have been designed, in an exemplary participative approach: the reporting forms have been validated during a 5 days workshop with the Judiciary in Boroma in 2012.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following monitoring tools have bee identified for the Mobile Court system and are consolidated by the MC Coordinator: </w:t>
      </w:r>
    </w:p>
    <w:p w:rsidR="006E6AAA" w:rsidRPr="006E6AAA" w:rsidRDefault="006E6AAA" w:rsidP="006E6AAA">
      <w:pPr>
        <w:numPr>
          <w:ilvl w:val="0"/>
          <w:numId w:val="42"/>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Daily movements report</w:t>
      </w:r>
      <w:r w:rsidRPr="006E6AAA">
        <w:rPr>
          <w:rFonts w:ascii="Calibri" w:eastAsia="Times New Roman" w:hAnsi="Calibri" w:cs="Times New Roman"/>
          <w:lang w:val="en-GB" w:eastAsia="da-DK"/>
        </w:rPr>
        <w:t xml:space="preserve"> (indicating the locations visited by the MC; it’s compiled at MC level, signed by the judges on mission and approved by Regional or Appeal court)</w:t>
      </w:r>
    </w:p>
    <w:p w:rsidR="006E6AAA" w:rsidRPr="006E6AAA" w:rsidRDefault="006E6AAA" w:rsidP="006E6AAA">
      <w:pPr>
        <w:numPr>
          <w:ilvl w:val="0"/>
          <w:numId w:val="42"/>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Monthly report</w:t>
      </w:r>
      <w:r w:rsidRPr="006E6AAA">
        <w:rPr>
          <w:rFonts w:ascii="Calibri" w:eastAsia="Times New Roman" w:hAnsi="Calibri" w:cs="Times New Roman"/>
          <w:lang w:val="en-GB" w:eastAsia="da-DK"/>
        </w:rPr>
        <w:t xml:space="preserve"> (indicating number and type of cases and information on the parties to the cases; it’s compiled by the regional/appeal court and sent to the MC Coordinator on a monthly basis)</w:t>
      </w:r>
    </w:p>
    <w:p w:rsidR="006E6AAA" w:rsidRPr="006E6AAA" w:rsidRDefault="006E6AAA" w:rsidP="006E6AAA">
      <w:pPr>
        <w:numPr>
          <w:ilvl w:val="0"/>
          <w:numId w:val="42"/>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Quarterly report</w:t>
      </w:r>
      <w:r w:rsidRPr="006E6AAA">
        <w:rPr>
          <w:rFonts w:ascii="Calibri" w:eastAsia="Times New Roman" w:hAnsi="Calibri" w:cs="Times New Roman"/>
          <w:lang w:val="en-GB" w:eastAsia="da-DK"/>
        </w:rPr>
        <w:t xml:space="preserve"> (compiled by the Coordinator and sent to UNDP)</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Times New Roman" w:eastAsia="Times New Roman" w:hAnsi="Times New Roman" w:cs="Times New Roman"/>
          <w:b/>
          <w:color w:val="000080"/>
          <w:lang w:eastAsia="da-DK"/>
        </w:rPr>
        <w:t>►</w:t>
      </w:r>
      <w:r w:rsidRPr="006E6AAA">
        <w:rPr>
          <w:rFonts w:ascii="Calibri" w:eastAsia="Times New Roman" w:hAnsi="Calibri" w:cs="Times New Roman"/>
          <w:b/>
          <w:color w:val="000080"/>
          <w:lang w:eastAsia="da-DK"/>
        </w:rPr>
        <w:t xml:space="preserve"> </w:t>
      </w:r>
      <w:r w:rsidRPr="006E6AAA">
        <w:rPr>
          <w:rFonts w:ascii="Calibri" w:eastAsia="Times New Roman" w:hAnsi="Calibri" w:cs="Times New Roman"/>
          <w:b/>
          <w:lang w:val="en-GB" w:eastAsia="da-DK"/>
        </w:rPr>
        <w:t>Knowledge management products,</w:t>
      </w:r>
      <w:r w:rsidRPr="006E6AAA">
        <w:rPr>
          <w:rFonts w:ascii="Calibri" w:eastAsia="Times New Roman" w:hAnsi="Calibri" w:cs="Times New Roman"/>
          <w:lang w:val="en-GB" w:eastAsia="da-DK"/>
        </w:rPr>
        <w:t xml:space="preserve"> such as lessons learned reports, have been developed in close synergy with the Judiciary.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following MC workshops have been organised in Somaliland with an average participation of 45 Mobile Court team members (Judges and court clerks, prosecutors, legal aid providers):</w:t>
      </w:r>
    </w:p>
    <w:p w:rsidR="006E6AAA" w:rsidRPr="006E6AAA" w:rsidRDefault="006E6AAA" w:rsidP="006E6AAA">
      <w:pPr>
        <w:numPr>
          <w:ilvl w:val="0"/>
          <w:numId w:val="43"/>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1</w:t>
      </w:r>
      <w:r w:rsidRPr="006E6AAA">
        <w:rPr>
          <w:rFonts w:ascii="Calibri" w:eastAsia="Times New Roman" w:hAnsi="Calibri" w:cs="Times New Roman"/>
          <w:i/>
          <w:vertAlign w:val="superscript"/>
          <w:lang w:val="en-GB" w:eastAsia="da-DK"/>
        </w:rPr>
        <w:t>st</w:t>
      </w:r>
      <w:r w:rsidRPr="006E6AAA">
        <w:rPr>
          <w:rFonts w:ascii="Calibri" w:eastAsia="Times New Roman" w:hAnsi="Calibri" w:cs="Times New Roman"/>
          <w:i/>
          <w:lang w:val="en-GB" w:eastAsia="da-DK"/>
        </w:rPr>
        <w:t xml:space="preserve"> Mobile Courts review workshop</w:t>
      </w:r>
      <w:r w:rsidRPr="006E6AAA">
        <w:rPr>
          <w:rFonts w:ascii="Calibri" w:eastAsia="Times New Roman" w:hAnsi="Calibri" w:cs="Times New Roman"/>
          <w:lang w:val="en-GB" w:eastAsia="da-DK"/>
        </w:rPr>
        <w:t>, 10</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to 14</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September 2011, Hargeisa, Somaliland </w:t>
      </w:r>
    </w:p>
    <w:p w:rsidR="006E6AAA" w:rsidRPr="006E6AAA" w:rsidRDefault="006E6AAA" w:rsidP="006E6AAA">
      <w:pPr>
        <w:numPr>
          <w:ilvl w:val="0"/>
          <w:numId w:val="43"/>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2</w:t>
      </w:r>
      <w:r w:rsidRPr="006E6AAA">
        <w:rPr>
          <w:rFonts w:ascii="Calibri" w:eastAsia="Times New Roman" w:hAnsi="Calibri" w:cs="Times New Roman"/>
          <w:i/>
          <w:vertAlign w:val="superscript"/>
          <w:lang w:val="en-GB" w:eastAsia="da-DK"/>
        </w:rPr>
        <w:t>nd</w:t>
      </w:r>
      <w:r w:rsidRPr="006E6AAA">
        <w:rPr>
          <w:rFonts w:ascii="Calibri" w:eastAsia="Times New Roman" w:hAnsi="Calibri" w:cs="Times New Roman"/>
          <w:i/>
          <w:lang w:val="en-GB" w:eastAsia="da-DK"/>
        </w:rPr>
        <w:t xml:space="preserve"> Mobile Courts review workshop</w:t>
      </w:r>
      <w:r w:rsidRPr="006E6AAA">
        <w:rPr>
          <w:rFonts w:ascii="Calibri" w:eastAsia="Times New Roman" w:hAnsi="Calibri" w:cs="Times New Roman"/>
          <w:lang w:val="en-GB" w:eastAsia="da-DK"/>
        </w:rPr>
        <w:t>, 14</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to 18</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July 2012, Burao, Somaliland</w:t>
      </w:r>
    </w:p>
    <w:p w:rsidR="006E6AAA" w:rsidRPr="006E6AAA" w:rsidRDefault="006E6AAA" w:rsidP="006E6AAA">
      <w:pPr>
        <w:numPr>
          <w:ilvl w:val="0"/>
          <w:numId w:val="43"/>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Training Workshop on the improvement of Mobile Court Services and Court Case Management system</w:t>
      </w:r>
      <w:r w:rsidRPr="006E6AAA">
        <w:rPr>
          <w:rFonts w:ascii="Calibri" w:eastAsia="Times New Roman" w:hAnsi="Calibri" w:cs="Times New Roman"/>
          <w:lang w:val="en-GB" w:eastAsia="da-DK"/>
        </w:rPr>
        <w:t xml:space="preserve"> 30th Sept. to 3rd Oct. 2012, Borama, Somaliland ,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u w:val="single"/>
          <w:lang w:val="en-GB" w:eastAsia="da-DK"/>
        </w:rPr>
      </w:pP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lang w:val="en-GB"/>
        </w:rPr>
        <w:t xml:space="preserve">The above described </w:t>
      </w:r>
      <w:r w:rsidRPr="006E6AAA">
        <w:rPr>
          <w:rFonts w:ascii="Calibri" w:eastAsia="Calibri" w:hAnsi="Calibri" w:cs="Times New Roman"/>
        </w:rPr>
        <w:t xml:space="preserve">MC monitoring framework would need a few additional inputs in order to fully develop into a system allowing to measure progress towards set targets and to adequately inform programmatic decisions. </w:t>
      </w: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To be noted that the MC Coordinator is in post only since 6 months and the UNDP team is engaged in building his capacities, so the system is expected to improve in the coming months. </w:t>
      </w:r>
    </w:p>
    <w:p w:rsidR="006E6AAA" w:rsidRPr="006E6AAA" w:rsidRDefault="006E6AAA" w:rsidP="006E6AAA">
      <w:pPr>
        <w:spacing w:line="280" w:lineRule="exact"/>
        <w:contextualSpacing/>
        <w:jc w:val="both"/>
        <w:rPr>
          <w:rFonts w:ascii="Calibri" w:eastAsia="Calibri" w:hAnsi="Calibri" w:cs="Times New Roman"/>
        </w:rPr>
      </w:pP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The most urgent issue to address is </w:t>
      </w:r>
      <w:r w:rsidRPr="006E6AAA">
        <w:rPr>
          <w:rFonts w:ascii="Calibri" w:eastAsia="Calibri" w:hAnsi="Calibri" w:cs="Times New Roman"/>
          <w:b/>
        </w:rPr>
        <w:t>to conceive a database</w:t>
      </w:r>
      <w:r w:rsidRPr="006E6AAA">
        <w:rPr>
          <w:rFonts w:ascii="Calibri" w:eastAsia="Calibri" w:hAnsi="Calibri" w:cs="Times New Roman"/>
        </w:rPr>
        <w:t xml:space="preserve"> to consolidate the information collected in the reports compiled by the Courts. Basic information on MC seems to be available, but it is not possible to access it in a neither speedy nor effective way. The consultant experienced serious difficulties in collecting the basic quantitative data needed for the evaluation.   </w:t>
      </w: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UNDP Quarterly reports are not filling this gap as they do not follow a harmonized structure: for example the number of minors is indicated only in Q1 report; Q3 indicates the total number of cases, but only Q1 disaggregates the sexual assault cases. The current framework does therefore not allow a comparative analysis nor to draw conclusions on annual trends. </w:t>
      </w: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To fill this gap it is strongly recommended to establish an Excel database to consolidate the statistics from the quarterly reports compiled by the Judiciary. </w:t>
      </w: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A sample database was developed by the consultant and shared with the CO as a first tool be further adapted to the programmatic needs in Somaliland. The suggested format includes the basic information needed to monitor MC and reflects the monitoring tools developed so far; the database is structured with dropdown menus to promote a harmonized encoding and includes a filtering system allowing to rapidly sort information.  </w:t>
      </w: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It would be suggested to dedicate some time to input all the statistics from the previous years into the new Database. </w:t>
      </w:r>
    </w:p>
    <w:p w:rsidR="006E6AAA" w:rsidRPr="006E6AAA" w:rsidRDefault="006E6AAA" w:rsidP="006E6AAA">
      <w:pPr>
        <w:tabs>
          <w:tab w:val="left" w:pos="540"/>
          <w:tab w:val="left" w:pos="8460"/>
        </w:tabs>
        <w:spacing w:after="0" w:line="280" w:lineRule="exact"/>
        <w:jc w:val="both"/>
        <w:rPr>
          <w:rFonts w:ascii="Calibri" w:eastAsia="Times New Roman" w:hAnsi="Calibri" w:cs="Tahoma"/>
          <w:lang w:val="en-GB" w:eastAsia="da-DK"/>
        </w:rPr>
      </w:pPr>
      <w:r w:rsidRPr="006E6AAA">
        <w:rPr>
          <w:rFonts w:ascii="Calibri" w:eastAsia="Times New Roman" w:hAnsi="Calibri" w:cs="Times New Roman"/>
          <w:lang w:eastAsia="da-DK"/>
        </w:rPr>
        <w:t xml:space="preserve">As discussed with the MC Coordinator, the following </w:t>
      </w:r>
      <w:r w:rsidRPr="006E6AAA">
        <w:rPr>
          <w:rFonts w:ascii="Calibri" w:eastAsia="Times New Roman" w:hAnsi="Calibri" w:cs="Times New Roman"/>
          <w:b/>
          <w:lang w:eastAsia="da-DK"/>
        </w:rPr>
        <w:t>additional data could be included in the monthly reports</w:t>
      </w:r>
      <w:r w:rsidRPr="006E6AAA">
        <w:rPr>
          <w:rFonts w:ascii="Calibri" w:eastAsia="Times New Roman" w:hAnsi="Calibri" w:cs="Times New Roman"/>
          <w:lang w:eastAsia="da-DK"/>
        </w:rPr>
        <w:t xml:space="preserve"> in order to offer a more comprehensive overview of the MC system:</w:t>
      </w:r>
      <w:r w:rsidRPr="006E6AAA">
        <w:rPr>
          <w:rFonts w:ascii="Calibri" w:eastAsia="Times New Roman" w:hAnsi="Calibri" w:cs="Tahoma"/>
          <w:lang w:val="en-GB" w:eastAsia="da-DK"/>
        </w:rPr>
        <w:t xml:space="preserve"> </w:t>
      </w:r>
    </w:p>
    <w:p w:rsidR="006E6AAA" w:rsidRPr="006E6AAA" w:rsidRDefault="006E6AAA" w:rsidP="006E6AAA">
      <w:pPr>
        <w:numPr>
          <w:ilvl w:val="0"/>
          <w:numId w:val="3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Add a column for the outcome of the case (conviction, acquittal, or settlement out of court)</w:t>
      </w:r>
    </w:p>
    <w:p w:rsidR="006E6AAA" w:rsidRPr="006E6AAA" w:rsidRDefault="006E6AAA" w:rsidP="006E6AAA">
      <w:pPr>
        <w:numPr>
          <w:ilvl w:val="0"/>
          <w:numId w:val="3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Include additional information on parties to the cases. (status, clan of MC user, if appropriate)</w:t>
      </w:r>
    </w:p>
    <w:p w:rsidR="006E6AAA" w:rsidRPr="006E6AAA" w:rsidRDefault="006E6AAA" w:rsidP="006E6AAA">
      <w:pPr>
        <w:numPr>
          <w:ilvl w:val="0"/>
          <w:numId w:val="39"/>
        </w:numPr>
        <w:spacing w:after="0" w:line="280" w:lineRule="exact"/>
        <w:jc w:val="both"/>
        <w:rPr>
          <w:rFonts w:ascii="Calibri" w:eastAsia="Times New Roman" w:hAnsi="Calibri" w:cs="Times New Roman"/>
          <w:lang w:val="en-GB" w:eastAsia="da-DK"/>
        </w:rPr>
      </w:pPr>
      <w:r w:rsidRPr="006E6AAA">
        <w:rPr>
          <w:rFonts w:ascii="Calibri" w:eastAsia="Times New Roman" w:hAnsi="Calibri" w:cs="Tahoma"/>
          <w:lang w:val="en-GB" w:eastAsia="da-DK"/>
        </w:rPr>
        <w:t>Add a column indicating the number of lawyers present at the MC hearing</w:t>
      </w:r>
      <w:r w:rsidRPr="006E6AAA">
        <w:rPr>
          <w:rFonts w:ascii="Calibri" w:eastAsia="Times New Roman" w:hAnsi="Calibri" w:cs="Tahoma"/>
          <w:vertAlign w:val="superscript"/>
          <w:lang w:val="en-GB" w:eastAsia="da-DK"/>
        </w:rPr>
        <w:footnoteReference w:id="110"/>
      </w:r>
      <w:r w:rsidRPr="006E6AAA">
        <w:rPr>
          <w:rFonts w:ascii="Calibri" w:eastAsia="Times New Roman" w:hAnsi="Calibri" w:cs="Tahoma"/>
          <w:lang w:val="en-GB" w:eastAsia="da-DK"/>
        </w:rPr>
        <w:t xml:space="preserve">. </w:t>
      </w:r>
    </w:p>
    <w:p w:rsidR="006E6AAA" w:rsidRPr="006E6AAA" w:rsidRDefault="006E6AAA" w:rsidP="006E6AAA">
      <w:pPr>
        <w:numPr>
          <w:ilvl w:val="0"/>
          <w:numId w:val="3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Adopt a harmonised terminology to identify the typology of cases (e.g. decide if the report should mention rape or sexual assault)</w:t>
      </w:r>
    </w:p>
    <w:p w:rsidR="006E6AAA" w:rsidRPr="006E6AAA" w:rsidRDefault="006E6AAA" w:rsidP="006E6AAA">
      <w:pPr>
        <w:tabs>
          <w:tab w:val="left" w:pos="540"/>
          <w:tab w:val="left" w:pos="8460"/>
        </w:tabs>
        <w:spacing w:after="0" w:line="280" w:lineRule="exact"/>
        <w:jc w:val="both"/>
        <w:rPr>
          <w:rFonts w:ascii="Calibri" w:eastAsia="Times New Roman" w:hAnsi="Calibri" w:cs="Tahoma"/>
          <w:lang w:val="en-GB" w:eastAsia="da-DK"/>
        </w:rPr>
      </w:pP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rPr>
        <w:t xml:space="preserve">The different documents shared by the MC Coordinator and the UNDP staff also indicate that knowledge in basic Excel skills and statistics could be improved. (cases are double counted, discrepancies among different documents are evident, the presentation of the results can be confusing). </w:t>
      </w:r>
    </w:p>
    <w:p w:rsidR="006E6AAA" w:rsidRPr="006E6AAA" w:rsidRDefault="006E6AAA" w:rsidP="006E6AAA">
      <w:pPr>
        <w:spacing w:line="280" w:lineRule="exact"/>
        <w:contextualSpacing/>
        <w:jc w:val="both"/>
        <w:rPr>
          <w:rFonts w:ascii="Calibri" w:eastAsia="Calibri" w:hAnsi="Calibri" w:cs="Times New Roman"/>
          <w:lang w:val="en-GB"/>
        </w:rPr>
      </w:pPr>
      <w:r w:rsidRPr="006E6AAA">
        <w:rPr>
          <w:rFonts w:ascii="Calibri" w:eastAsia="Calibri" w:hAnsi="Calibri" w:cs="Times New Roman"/>
        </w:rPr>
        <w:t>T</w:t>
      </w:r>
      <w:r w:rsidRPr="006E6AAA">
        <w:rPr>
          <w:rFonts w:ascii="Calibri" w:eastAsia="Calibri" w:hAnsi="Calibri" w:cs="Times New Roman"/>
          <w:lang w:val="en-GB"/>
        </w:rPr>
        <w:t xml:space="preserve">he MC Coordinator also mentioned that the lack of computers and weak internet connection in the most remote regions, creates additional challenges for the Courts that rarely manage to send the monitoring reports on time. Normally the reports are given to someone reliable and send by car, or public transport, when available. </w:t>
      </w:r>
    </w:p>
    <w:p w:rsidR="006E6AAA" w:rsidRPr="006E6AAA" w:rsidRDefault="006E6AAA" w:rsidP="006E6AAA">
      <w:pPr>
        <w:spacing w:line="280" w:lineRule="exact"/>
        <w:contextualSpacing/>
        <w:jc w:val="both"/>
        <w:rPr>
          <w:rFonts w:ascii="Calibri" w:eastAsia="Calibri" w:hAnsi="Calibri" w:cs="Times New Roman"/>
        </w:rPr>
      </w:pPr>
      <w:r w:rsidRPr="006E6AAA">
        <w:rPr>
          <w:rFonts w:ascii="Calibri" w:eastAsia="Calibri" w:hAnsi="Calibri" w:cs="Times New Roman"/>
          <w:lang w:val="en-GB"/>
        </w:rPr>
        <w:t xml:space="preserve">A best practice developed by UNDP in DRC could represent an alternative that might be worth exploring:  in the framework of the </w:t>
      </w:r>
      <w:r w:rsidRPr="006E6AAA">
        <w:rPr>
          <w:rFonts w:ascii="Calibri" w:eastAsia="Calibri" w:hAnsi="Calibri" w:cs="Times New Roman"/>
          <w:color w:val="000000"/>
          <w:lang w:val="en-GB"/>
        </w:rPr>
        <w:t>court monitoring project,</w:t>
      </w:r>
      <w:r w:rsidRPr="006E6AAA">
        <w:rPr>
          <w:rFonts w:ascii="Calibri" w:eastAsia="Calibri" w:hAnsi="Calibri" w:cs="Times New Roman"/>
          <w:lang w:val="en-GB"/>
        </w:rPr>
        <w:t xml:space="preserve"> UNDP has </w:t>
      </w:r>
      <w:r w:rsidRPr="006E6AAA">
        <w:rPr>
          <w:rFonts w:ascii="Calibri" w:eastAsia="Calibri" w:hAnsi="Calibri" w:cs="Times New Roman"/>
          <w:color w:val="000000"/>
          <w:lang w:val="en-GB"/>
        </w:rPr>
        <w:t xml:space="preserve">successfully implemented data-collection methodologies that run on Smart-phones. </w:t>
      </w:r>
      <w:r w:rsidRPr="006E6AAA">
        <w:rPr>
          <w:rFonts w:ascii="Calibri" w:eastAsia="Calibri" w:hAnsi="Calibri" w:cs="Times New Roman"/>
          <w:color w:val="000000"/>
          <w:vertAlign w:val="superscript"/>
          <w:lang w:val="en-GB"/>
        </w:rPr>
        <w:footnoteReference w:id="111"/>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It is understood that collecting the required data can be time consuming and could put too much burden on the already overloaded Court Registrars. To this end it is recommended to keep the information to the minimum and request only what is strictly necessary; for example for statistical purposes it is not necessary to indicate the names of the parties to the case.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Another option for </w:t>
      </w:r>
      <w:r w:rsidRPr="006E6AAA">
        <w:rPr>
          <w:rFonts w:ascii="Calibri" w:eastAsia="Times New Roman" w:hAnsi="Calibri" w:cs="Times New Roman"/>
          <w:b/>
          <w:lang w:val="en-GB" w:eastAsia="da-DK"/>
        </w:rPr>
        <w:t>reducing the monitoring burden on court staff</w:t>
      </w:r>
      <w:r w:rsidRPr="006E6AAA">
        <w:rPr>
          <w:rFonts w:ascii="Calibri" w:eastAsia="Times New Roman" w:hAnsi="Calibri" w:cs="Times New Roman"/>
          <w:lang w:val="en-GB" w:eastAsia="da-DK"/>
        </w:rPr>
        <w:t xml:space="preserve"> is to explore the possibility of broadening the number of actors who collect information on the results achieved by the MC.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 best practice developed in Sierra Leone is to support a network of community based paralegals specifically trained to monitor courts, included MC; in DRC, UNDP introduced a MC court monitoring component carried out by 8 UNDP staff, whereas Avocats sans Frontieres works with community-based court monitors.</w:t>
      </w:r>
      <w:r w:rsidRPr="006E6AAA">
        <w:rPr>
          <w:rFonts w:ascii="Calibri" w:eastAsia="Times New Roman" w:hAnsi="Calibri" w:cs="Times New Roman"/>
          <w:vertAlign w:val="superscript"/>
          <w:lang w:val="en-GB" w:eastAsia="da-DK"/>
        </w:rPr>
        <w:footnoteReference w:id="112"/>
      </w:r>
      <w:r w:rsidRPr="006E6AAA">
        <w:rPr>
          <w:rFonts w:ascii="Calibri" w:eastAsia="Times New Roman" w:hAnsi="Calibri" w:cs="Times New Roman"/>
          <w:lang w:val="en-GB" w:eastAsia="da-DK"/>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Helvetica Neue LT"/>
          <w:color w:val="000000"/>
          <w:lang w:eastAsia="it-IT"/>
        </w:rPr>
      </w:pPr>
      <w:r w:rsidRPr="006E6AAA">
        <w:rPr>
          <w:rFonts w:ascii="Calibri" w:eastAsia="Times New Roman" w:hAnsi="Calibri" w:cs="Calibri"/>
          <w:color w:val="000000"/>
          <w:lang w:eastAsia="it-IT"/>
        </w:rPr>
        <w:t xml:space="preserve">The presence of </w:t>
      </w:r>
      <w:r w:rsidRPr="006E6AAA">
        <w:rPr>
          <w:rFonts w:ascii="Calibri" w:eastAsia="Times New Roman" w:hAnsi="Calibri" w:cs="Calibri"/>
          <w:b/>
          <w:color w:val="000000"/>
          <w:lang w:eastAsia="it-IT"/>
        </w:rPr>
        <w:t>community based court monitors</w:t>
      </w:r>
      <w:r w:rsidRPr="006E6AAA">
        <w:rPr>
          <w:rFonts w:ascii="Calibri" w:eastAsia="Times New Roman" w:hAnsi="Calibri" w:cs="Calibri"/>
          <w:color w:val="000000"/>
          <w:lang w:eastAsia="it-IT"/>
        </w:rPr>
        <w:t xml:space="preserve"> would offer the possibility to triangulate the information received from the Judiciary; assist the work of the UNDP staff that travel on mission to monitor the MC and ensure the point of view of the communities is taken into consideration in monitoring the MC system.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An interesting possibility for implementing this option in Somaliland are the so-called “</w:t>
      </w:r>
      <w:r w:rsidRPr="006E6AAA">
        <w:rPr>
          <w:rFonts w:ascii="Calibri" w:eastAsia="Times New Roman" w:hAnsi="Calibri" w:cs="Times New Roman"/>
          <w:i/>
          <w:lang w:val="en-GB" w:eastAsia="da-DK"/>
        </w:rPr>
        <w:t>District and Village Safety Committees</w:t>
      </w:r>
      <w:r w:rsidRPr="006E6AAA">
        <w:rPr>
          <w:rFonts w:ascii="Calibri" w:eastAsia="Times New Roman" w:hAnsi="Calibri" w:cs="Times New Roman"/>
          <w:lang w:val="en-GB" w:eastAsia="da-DK"/>
        </w:rPr>
        <w:t xml:space="preserve">”, supported by UNDP in the framework of the Community Policing project. Such Committees are composed of 12 persons representing all sectors of the community, included formal courts.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Another option would be to establish linkages with the “</w:t>
      </w:r>
      <w:r w:rsidRPr="006E6AAA">
        <w:rPr>
          <w:rFonts w:ascii="Calibri" w:eastAsia="Times New Roman" w:hAnsi="Calibri" w:cs="Helvetica Neue LT"/>
          <w:i/>
          <w:color w:val="000000"/>
          <w:lang w:eastAsia="it-IT"/>
        </w:rPr>
        <w:t>Community Safety Programme</w:t>
      </w:r>
      <w:r w:rsidRPr="006E6AAA">
        <w:rPr>
          <w:rFonts w:ascii="Calibri" w:eastAsia="Times New Roman" w:hAnsi="Calibri" w:cs="Helvetica Neue LT"/>
          <w:color w:val="000000"/>
          <w:lang w:eastAsia="it-IT"/>
        </w:rPr>
        <w:t xml:space="preserve">” supported by the Danish Demining Group, which has established community based security structures at village level, as for example the </w:t>
      </w:r>
      <w:r w:rsidRPr="006E6AAA">
        <w:rPr>
          <w:rFonts w:ascii="Calibri" w:eastAsia="Times New Roman" w:hAnsi="Calibri" w:cs="Cochin"/>
          <w:lang w:eastAsia="it-IT"/>
        </w:rPr>
        <w:t>Community- Police Partnerships Committee</w:t>
      </w:r>
      <w:r w:rsidRPr="006E6AAA">
        <w:rPr>
          <w:rFonts w:ascii="Calibri" w:eastAsia="Times New Roman" w:hAnsi="Calibri" w:cs="Cochin"/>
          <w:vertAlign w:val="superscript"/>
          <w:lang w:eastAsia="it-IT"/>
        </w:rPr>
        <w:footnoteReference w:id="113"/>
      </w:r>
    </w:p>
    <w:p w:rsidR="006E6AAA" w:rsidRPr="006E6AAA" w:rsidRDefault="006E6AAA" w:rsidP="006E6AAA">
      <w:pPr>
        <w:autoSpaceDE w:val="0"/>
        <w:autoSpaceDN w:val="0"/>
        <w:adjustRightInd w:val="0"/>
        <w:spacing w:after="0" w:line="280" w:lineRule="exact"/>
        <w:jc w:val="both"/>
        <w:rPr>
          <w:rFonts w:ascii="Calibri" w:eastAsia="Times New Roman" w:hAnsi="Calibri" w:cs="Corbel"/>
          <w:lang w:eastAsia="it-IT"/>
        </w:rPr>
      </w:pPr>
      <w:r w:rsidRPr="006E6AAA">
        <w:rPr>
          <w:rFonts w:ascii="Calibri" w:eastAsia="Times New Roman" w:hAnsi="Calibri" w:cs="Times New Roman"/>
          <w:lang w:eastAsia="da-DK"/>
        </w:rPr>
        <w:t xml:space="preserve">The development of community based paralegals is </w:t>
      </w:r>
      <w:r w:rsidRPr="006E6AAA">
        <w:rPr>
          <w:rFonts w:ascii="Calibri" w:eastAsia="Times New Roman" w:hAnsi="Calibri" w:cs="Times New Roman"/>
          <w:i/>
          <w:lang w:eastAsia="da-DK"/>
        </w:rPr>
        <w:t>inter alia</w:t>
      </w:r>
      <w:r w:rsidRPr="006E6AAA">
        <w:rPr>
          <w:rFonts w:ascii="Calibri" w:eastAsia="Times New Roman" w:hAnsi="Calibri" w:cs="Times New Roman"/>
          <w:lang w:val="en-GB" w:eastAsia="da-DK"/>
        </w:rPr>
        <w:t xml:space="preserve"> in line with the objectives of the current UNDP ROL project to “</w:t>
      </w:r>
      <w:r w:rsidRPr="006E6AAA">
        <w:rPr>
          <w:rFonts w:ascii="Calibri" w:eastAsia="Times New Roman" w:hAnsi="Calibri" w:cs="Corbel"/>
          <w:i/>
          <w:lang w:eastAsia="it-IT"/>
        </w:rPr>
        <w:t>conduct more community case‐by‐case (court observation) analyses of the use of each (legal) system</w:t>
      </w:r>
      <w:r w:rsidRPr="006E6AAA">
        <w:rPr>
          <w:rFonts w:ascii="Calibri" w:eastAsia="Times New Roman" w:hAnsi="Calibri" w:cs="Corbel"/>
          <w:lang w:eastAsia="it-IT"/>
        </w:rPr>
        <w:t>”</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Finally, considered that the </w:t>
      </w:r>
      <w:r w:rsidRPr="006E6AAA">
        <w:rPr>
          <w:rFonts w:ascii="Calibri" w:eastAsia="Times New Roman" w:hAnsi="Calibri" w:cs="Times New Roman"/>
          <w:b/>
          <w:lang w:eastAsia="da-DK"/>
        </w:rPr>
        <w:t>Inspection</w:t>
      </w:r>
      <w:r w:rsidRPr="006E6AAA">
        <w:rPr>
          <w:rFonts w:ascii="Calibri" w:eastAsia="Times New Roman" w:hAnsi="Calibri" w:cs="Times New Roman"/>
          <w:b/>
          <w:lang w:val="en-GB" w:eastAsia="da-DK"/>
        </w:rPr>
        <w:t xml:space="preserve"> Services at MOJ</w:t>
      </w:r>
      <w:r w:rsidRPr="006E6AAA">
        <w:rPr>
          <w:rFonts w:ascii="Calibri" w:eastAsia="Times New Roman" w:hAnsi="Calibri" w:cs="Times New Roman"/>
          <w:lang w:val="en-GB" w:eastAsia="da-DK"/>
        </w:rPr>
        <w:t xml:space="preserve"> also conduct MC monitoring missions, it would be advised to improve the coordination and information-sharing with these bodies. One for the MC reports in Gabiley also recognises the “</w:t>
      </w:r>
      <w:r w:rsidRPr="006E6AAA">
        <w:rPr>
          <w:rFonts w:ascii="Calibri" w:eastAsia="Times New Roman" w:hAnsi="Calibri" w:cs="Times New Roman"/>
          <w:i/>
          <w:lang w:val="en-GB" w:eastAsia="da-DK"/>
        </w:rPr>
        <w:t>opportunity to support the judicial inspection teams to more systematically conduct the inspections, and support them to improve their reporting skills”</w:t>
      </w:r>
      <w:r w:rsidRPr="006E6AAA">
        <w:rPr>
          <w:rFonts w:ascii="Calibri" w:eastAsia="Times New Roman" w:hAnsi="Calibri" w:cs="Times New Roman"/>
          <w:vertAlign w:val="superscript"/>
          <w:lang w:val="en-GB" w:eastAsia="da-DK"/>
        </w:rPr>
        <w:footnoteReference w:id="114"/>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 more detailed analysis could be beneficial for the “MC review workshops”: these excellent initiatives could be more effective if they included a brief session to monitor progress towards set targets. For example UNDP staff or the MC coordinator could give a presentation on the achieved results, disaggregated per region, per typology of cases and outcome of the cases and promote a discussion to explore the reasons for the achievement or non-achievement of the results.</w:t>
      </w:r>
    </w:p>
    <w:p w:rsidR="006E6AAA" w:rsidRPr="006E6AAA" w:rsidRDefault="006E6AAA" w:rsidP="006E6AAA">
      <w:pPr>
        <w:spacing w:after="0" w:line="280" w:lineRule="exact"/>
        <w:jc w:val="both"/>
        <w:rPr>
          <w:rFonts w:ascii="Calibri" w:eastAsia="Calibri" w:hAnsi="Calibri" w:cs="Times New Roman"/>
          <w:lang w:val="en-GB"/>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xml:space="preserve">§ 2.2. </w:t>
      </w:r>
      <w:r w:rsidRPr="006E6AAA">
        <w:rPr>
          <w:rFonts w:ascii="Calibri" w:eastAsia="Times New Roman" w:hAnsi="Calibri" w:cs="Times New Roman"/>
          <w:b/>
          <w:lang w:eastAsia="da-DK"/>
        </w:rPr>
        <w:t>The achieved results</w:t>
      </w:r>
    </w:p>
    <w:p w:rsidR="006E6AAA" w:rsidRPr="006E6AAA" w:rsidRDefault="006E6AAA" w:rsidP="006E6AAA">
      <w:pPr>
        <w:tabs>
          <w:tab w:val="left" w:pos="540"/>
          <w:tab w:val="left" w:pos="8460"/>
        </w:tabs>
        <w:spacing w:after="0" w:line="280" w:lineRule="exact"/>
        <w:jc w:val="both"/>
        <w:rPr>
          <w:rFonts w:ascii="Calibri" w:eastAsia="Times New Roman" w:hAnsi="Calibri" w:cs="Segoe UI"/>
          <w:color w:val="1F497D"/>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As illustrated in § 1.1, UNDP is supporting MC in 3 areas in Somalia: Somaliland, Puntland and South Central.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 order to highlight regional trends and briefly analyse how the different contexts are influencing the MC system, the table below gives an overview of the total number of cases filed by MC in each of the 3 different areas of intervention. </w:t>
      </w:r>
    </w:p>
    <w:p w:rsidR="006E6AAA" w:rsidRPr="006E6AAA" w:rsidRDefault="006E6AAA" w:rsidP="006E6AAA">
      <w:pPr>
        <w:tabs>
          <w:tab w:val="left" w:pos="540"/>
        </w:tabs>
        <w:spacing w:after="0" w:line="270" w:lineRule="atLeast"/>
        <w:rPr>
          <w:rFonts w:ascii="Calibri" w:eastAsia="Times New Roman" w:hAnsi="Calibri" w:cs="Times New Roman"/>
          <w:lang w:val="en-GB" w:eastAsia="da-DK"/>
        </w:rPr>
      </w:pPr>
    </w:p>
    <w:p w:rsidR="006E6AAA" w:rsidRPr="006E6AAA" w:rsidRDefault="006E6AAA" w:rsidP="006E6AAA">
      <w:pPr>
        <w:tabs>
          <w:tab w:val="left" w:pos="540"/>
        </w:tabs>
        <w:spacing w:after="0" w:line="270" w:lineRule="atLeast"/>
        <w:rPr>
          <w:rFonts w:ascii="Calibri" w:eastAsia="Times New Roman" w:hAnsi="Calibri" w:cs="Times New Roman"/>
          <w:b/>
          <w:i/>
          <w:color w:val="000080"/>
          <w:sz w:val="20"/>
          <w:szCs w:val="20"/>
          <w:lang w:eastAsia="da-DK"/>
        </w:rPr>
      </w:pPr>
      <w:r w:rsidRPr="006E6AAA">
        <w:rPr>
          <w:rFonts w:ascii="Calibri" w:eastAsia="Times New Roman" w:hAnsi="Calibri" w:cs="Times New Roman"/>
          <w:b/>
          <w:i/>
          <w:color w:val="000080"/>
          <w:sz w:val="20"/>
          <w:szCs w:val="20"/>
          <w:lang w:eastAsia="da-DK"/>
        </w:rPr>
        <w:tab/>
      </w:r>
    </w:p>
    <w:tbl>
      <w:tblPr>
        <w:tblW w:w="5020" w:type="dxa"/>
        <w:tblInd w:w="2319" w:type="dxa"/>
        <w:tblCellMar>
          <w:left w:w="70" w:type="dxa"/>
          <w:right w:w="70" w:type="dxa"/>
        </w:tblCellMar>
        <w:tblLook w:val="0000" w:firstRow="0" w:lastRow="0" w:firstColumn="0" w:lastColumn="0" w:noHBand="0" w:noVBand="0"/>
      </w:tblPr>
      <w:tblGrid>
        <w:gridCol w:w="845"/>
        <w:gridCol w:w="1377"/>
        <w:gridCol w:w="1111"/>
        <w:gridCol w:w="1687"/>
      </w:tblGrid>
      <w:tr w:rsidR="006E6AAA" w:rsidRPr="006E6AAA" w:rsidTr="00C8613A">
        <w:trPr>
          <w:trHeight w:val="510"/>
        </w:trPr>
        <w:tc>
          <w:tcPr>
            <w:tcW w:w="5020" w:type="dxa"/>
            <w:gridSpan w:val="4"/>
            <w:tcBorders>
              <w:top w:val="single" w:sz="4" w:space="0" w:color="auto"/>
              <w:left w:val="single" w:sz="4" w:space="0" w:color="auto"/>
              <w:bottom w:val="single" w:sz="4" w:space="0" w:color="auto"/>
              <w:right w:val="single" w:sz="4" w:space="0" w:color="auto"/>
            </w:tcBorders>
            <w:shd w:val="clear" w:color="auto" w:fill="C0C0C0"/>
            <w:noWrap/>
            <w:vAlign w:val="center"/>
          </w:tcPr>
          <w:p w:rsidR="006E6AAA" w:rsidRPr="006E6AAA" w:rsidRDefault="006E6AAA" w:rsidP="006E6AAA">
            <w:pPr>
              <w:spacing w:after="0" w:line="240" w:lineRule="auto"/>
              <w:jc w:val="center"/>
              <w:rPr>
                <w:rFonts w:ascii="Calibri" w:eastAsia="Times New Roman" w:hAnsi="Calibri" w:cs="Arial"/>
                <w:b/>
                <w:bCs/>
                <w:lang w:eastAsia="it-IT"/>
              </w:rPr>
            </w:pPr>
            <w:r w:rsidRPr="006E6AAA">
              <w:rPr>
                <w:rFonts w:ascii="Calibri" w:eastAsia="Times New Roman" w:hAnsi="Calibri" w:cs="Arial"/>
                <w:b/>
                <w:bCs/>
                <w:lang w:eastAsia="it-IT"/>
              </w:rPr>
              <w:t>n. of cases filed by the MC system in Somalia</w:t>
            </w:r>
          </w:p>
        </w:tc>
      </w:tr>
      <w:tr w:rsidR="006E6AAA" w:rsidRPr="006E6AAA" w:rsidTr="00C8613A">
        <w:trPr>
          <w:trHeight w:val="319"/>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lang w:eastAsia="it-IT"/>
              </w:rPr>
            </w:pPr>
            <w:r w:rsidRPr="006E6AAA">
              <w:rPr>
                <w:rFonts w:ascii="Calibri" w:eastAsia="Times New Roman" w:hAnsi="Calibri" w:cs="Arial"/>
                <w:lang w:eastAsia="it-IT"/>
              </w:rPr>
              <w:t> </w:t>
            </w:r>
          </w:p>
        </w:tc>
        <w:tc>
          <w:tcPr>
            <w:tcW w:w="1377"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lang w:val="it-IT" w:eastAsia="it-IT"/>
              </w:rPr>
            </w:pPr>
            <w:r w:rsidRPr="006E6AAA">
              <w:rPr>
                <w:rFonts w:ascii="Calibri" w:eastAsia="Times New Roman" w:hAnsi="Calibri" w:cs="Arial"/>
                <w:b/>
                <w:bCs/>
                <w:lang w:val="it-IT" w:eastAsia="it-IT"/>
              </w:rPr>
              <w:t>Somaliland</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lang w:val="it-IT" w:eastAsia="it-IT"/>
              </w:rPr>
            </w:pPr>
            <w:r w:rsidRPr="006E6AAA">
              <w:rPr>
                <w:rFonts w:ascii="Calibri" w:eastAsia="Times New Roman" w:hAnsi="Calibri" w:cs="Arial"/>
                <w:b/>
                <w:bCs/>
                <w:lang w:val="it-IT" w:eastAsia="it-IT"/>
              </w:rPr>
              <w:t>Puntland</w:t>
            </w:r>
          </w:p>
        </w:tc>
        <w:tc>
          <w:tcPr>
            <w:tcW w:w="1687"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lang w:val="it-IT" w:eastAsia="it-IT"/>
              </w:rPr>
            </w:pPr>
            <w:r w:rsidRPr="006E6AAA">
              <w:rPr>
                <w:rFonts w:ascii="Calibri" w:eastAsia="Times New Roman" w:hAnsi="Calibri" w:cs="Arial"/>
                <w:b/>
                <w:bCs/>
                <w:lang w:val="it-IT" w:eastAsia="it-IT"/>
              </w:rPr>
              <w:t>South Central</w:t>
            </w:r>
          </w:p>
        </w:tc>
      </w:tr>
      <w:tr w:rsidR="006E6AAA" w:rsidRPr="006E6AAA" w:rsidTr="00C8613A">
        <w:trPr>
          <w:trHeight w:val="319"/>
        </w:trPr>
        <w:tc>
          <w:tcPr>
            <w:tcW w:w="845"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lang w:val="it-IT" w:eastAsia="it-IT"/>
              </w:rPr>
            </w:pPr>
            <w:r w:rsidRPr="006E6AAA">
              <w:rPr>
                <w:rFonts w:ascii="Calibri" w:eastAsia="Times New Roman" w:hAnsi="Calibri" w:cs="Arial"/>
                <w:lang w:val="it-IT" w:eastAsia="it-IT"/>
              </w:rPr>
              <w:t>2009</w:t>
            </w:r>
          </w:p>
        </w:tc>
        <w:tc>
          <w:tcPr>
            <w:tcW w:w="137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255</w:t>
            </w:r>
          </w:p>
        </w:tc>
        <w:tc>
          <w:tcPr>
            <w:tcW w:w="111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200</w:t>
            </w:r>
          </w:p>
        </w:tc>
        <w:tc>
          <w:tcPr>
            <w:tcW w:w="168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w:t>
            </w:r>
          </w:p>
        </w:tc>
      </w:tr>
      <w:tr w:rsidR="006E6AAA" w:rsidRPr="006E6AAA" w:rsidTr="00C8613A">
        <w:trPr>
          <w:trHeight w:val="319"/>
        </w:trPr>
        <w:tc>
          <w:tcPr>
            <w:tcW w:w="845"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lang w:val="it-IT" w:eastAsia="it-IT"/>
              </w:rPr>
            </w:pPr>
            <w:r w:rsidRPr="006E6AAA">
              <w:rPr>
                <w:rFonts w:ascii="Calibri" w:eastAsia="Times New Roman" w:hAnsi="Calibri" w:cs="Arial"/>
                <w:lang w:val="it-IT" w:eastAsia="it-IT"/>
              </w:rPr>
              <w:t>2010</w:t>
            </w:r>
          </w:p>
        </w:tc>
        <w:tc>
          <w:tcPr>
            <w:tcW w:w="137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418</w:t>
            </w:r>
          </w:p>
        </w:tc>
        <w:tc>
          <w:tcPr>
            <w:tcW w:w="111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321</w:t>
            </w:r>
          </w:p>
        </w:tc>
        <w:tc>
          <w:tcPr>
            <w:tcW w:w="168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w:t>
            </w:r>
          </w:p>
        </w:tc>
      </w:tr>
      <w:tr w:rsidR="006E6AAA" w:rsidRPr="006E6AAA" w:rsidTr="00C8613A">
        <w:trPr>
          <w:trHeight w:val="319"/>
        </w:trPr>
        <w:tc>
          <w:tcPr>
            <w:tcW w:w="845"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lang w:val="it-IT" w:eastAsia="it-IT"/>
              </w:rPr>
            </w:pPr>
            <w:r w:rsidRPr="006E6AAA">
              <w:rPr>
                <w:rFonts w:ascii="Calibri" w:eastAsia="Times New Roman" w:hAnsi="Calibri" w:cs="Arial"/>
                <w:lang w:val="it-IT" w:eastAsia="it-IT"/>
              </w:rPr>
              <w:t>2011</w:t>
            </w:r>
          </w:p>
        </w:tc>
        <w:tc>
          <w:tcPr>
            <w:tcW w:w="137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459</w:t>
            </w:r>
          </w:p>
        </w:tc>
        <w:tc>
          <w:tcPr>
            <w:tcW w:w="111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407</w:t>
            </w:r>
          </w:p>
        </w:tc>
        <w:tc>
          <w:tcPr>
            <w:tcW w:w="168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w:t>
            </w:r>
          </w:p>
        </w:tc>
      </w:tr>
      <w:tr w:rsidR="006E6AAA" w:rsidRPr="006E6AAA" w:rsidTr="00C8613A">
        <w:trPr>
          <w:trHeight w:val="319"/>
        </w:trPr>
        <w:tc>
          <w:tcPr>
            <w:tcW w:w="845"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lang w:val="it-IT" w:eastAsia="it-IT"/>
              </w:rPr>
            </w:pPr>
            <w:r w:rsidRPr="006E6AAA">
              <w:rPr>
                <w:rFonts w:ascii="Calibri" w:eastAsia="Times New Roman" w:hAnsi="Calibri" w:cs="Arial"/>
                <w:lang w:val="it-IT" w:eastAsia="it-IT"/>
              </w:rPr>
              <w:t>2012</w:t>
            </w:r>
          </w:p>
        </w:tc>
        <w:tc>
          <w:tcPr>
            <w:tcW w:w="137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447</w:t>
            </w:r>
          </w:p>
        </w:tc>
        <w:tc>
          <w:tcPr>
            <w:tcW w:w="111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503</w:t>
            </w:r>
          </w:p>
        </w:tc>
        <w:tc>
          <w:tcPr>
            <w:tcW w:w="168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lang w:val="it-IT" w:eastAsia="it-IT"/>
              </w:rPr>
            </w:pPr>
            <w:r w:rsidRPr="006E6AAA">
              <w:rPr>
                <w:rFonts w:ascii="Calibri" w:eastAsia="Times New Roman" w:hAnsi="Calibri" w:cs="Arial"/>
                <w:lang w:val="it-IT" w:eastAsia="it-IT"/>
              </w:rPr>
              <w:t>756</w:t>
            </w:r>
          </w:p>
        </w:tc>
      </w:tr>
      <w:tr w:rsidR="006E6AAA" w:rsidRPr="006E6AAA" w:rsidTr="00C8613A">
        <w:trPr>
          <w:trHeight w:val="319"/>
        </w:trPr>
        <w:tc>
          <w:tcPr>
            <w:tcW w:w="845" w:type="dxa"/>
            <w:tcBorders>
              <w:top w:val="nil"/>
              <w:left w:val="single" w:sz="4" w:space="0" w:color="auto"/>
              <w:bottom w:val="single" w:sz="4" w:space="0" w:color="auto"/>
              <w:right w:val="single" w:sz="4" w:space="0" w:color="auto"/>
            </w:tcBorders>
            <w:shd w:val="clear" w:color="auto" w:fill="C0C0C0"/>
            <w:noWrap/>
            <w:vAlign w:val="bottom"/>
          </w:tcPr>
          <w:p w:rsidR="006E6AAA" w:rsidRPr="006E6AAA" w:rsidRDefault="006E6AAA" w:rsidP="006E6AAA">
            <w:pPr>
              <w:spacing w:after="0" w:line="240" w:lineRule="auto"/>
              <w:rPr>
                <w:rFonts w:ascii="Calibri" w:eastAsia="Times New Roman" w:hAnsi="Calibri" w:cs="Arial"/>
                <w:b/>
                <w:lang w:val="it-IT" w:eastAsia="it-IT"/>
              </w:rPr>
            </w:pPr>
            <w:r w:rsidRPr="006E6AAA">
              <w:rPr>
                <w:rFonts w:ascii="Calibri" w:eastAsia="Times New Roman" w:hAnsi="Calibri" w:cs="Arial"/>
                <w:b/>
                <w:lang w:val="it-IT" w:eastAsia="it-IT"/>
              </w:rPr>
              <w:t>TOTAL</w:t>
            </w:r>
          </w:p>
        </w:tc>
        <w:tc>
          <w:tcPr>
            <w:tcW w:w="1377" w:type="dxa"/>
            <w:tcBorders>
              <w:top w:val="nil"/>
              <w:left w:val="nil"/>
              <w:bottom w:val="single" w:sz="4" w:space="0" w:color="auto"/>
              <w:right w:val="single" w:sz="4" w:space="0" w:color="auto"/>
            </w:tcBorders>
            <w:shd w:val="clear" w:color="auto" w:fill="C0C0C0"/>
            <w:noWrap/>
            <w:vAlign w:val="bottom"/>
          </w:tcPr>
          <w:p w:rsidR="006E6AAA" w:rsidRPr="006E6AAA" w:rsidRDefault="006E6AAA" w:rsidP="006E6AAA">
            <w:pPr>
              <w:spacing w:after="0" w:line="240" w:lineRule="auto"/>
              <w:jc w:val="center"/>
              <w:rPr>
                <w:rFonts w:ascii="Calibri" w:eastAsia="Times New Roman" w:hAnsi="Calibri" w:cs="Arial"/>
                <w:b/>
                <w:bCs/>
                <w:lang w:val="it-IT" w:eastAsia="it-IT"/>
              </w:rPr>
            </w:pPr>
            <w:r w:rsidRPr="006E6AAA">
              <w:rPr>
                <w:rFonts w:ascii="Calibri" w:eastAsia="Times New Roman" w:hAnsi="Calibri" w:cs="Arial"/>
                <w:b/>
                <w:bCs/>
                <w:lang w:val="it-IT" w:eastAsia="it-IT"/>
              </w:rPr>
              <w:t>1.579</w:t>
            </w:r>
          </w:p>
        </w:tc>
        <w:tc>
          <w:tcPr>
            <w:tcW w:w="1111" w:type="dxa"/>
            <w:tcBorders>
              <w:top w:val="nil"/>
              <w:left w:val="nil"/>
              <w:bottom w:val="single" w:sz="4" w:space="0" w:color="auto"/>
              <w:right w:val="single" w:sz="4" w:space="0" w:color="auto"/>
            </w:tcBorders>
            <w:shd w:val="clear" w:color="auto" w:fill="C0C0C0"/>
            <w:noWrap/>
            <w:vAlign w:val="bottom"/>
          </w:tcPr>
          <w:p w:rsidR="006E6AAA" w:rsidRPr="006E6AAA" w:rsidRDefault="006E6AAA" w:rsidP="006E6AAA">
            <w:pPr>
              <w:spacing w:after="0" w:line="240" w:lineRule="auto"/>
              <w:jc w:val="center"/>
              <w:rPr>
                <w:rFonts w:ascii="Calibri" w:eastAsia="Times New Roman" w:hAnsi="Calibri" w:cs="Arial"/>
                <w:b/>
                <w:bCs/>
                <w:lang w:val="it-IT" w:eastAsia="it-IT"/>
              </w:rPr>
            </w:pPr>
            <w:r w:rsidRPr="006E6AAA">
              <w:rPr>
                <w:rFonts w:ascii="Calibri" w:eastAsia="Times New Roman" w:hAnsi="Calibri" w:cs="Arial"/>
                <w:b/>
                <w:bCs/>
                <w:lang w:val="it-IT" w:eastAsia="it-IT"/>
              </w:rPr>
              <w:t>1.431</w:t>
            </w:r>
          </w:p>
        </w:tc>
        <w:tc>
          <w:tcPr>
            <w:tcW w:w="1687" w:type="dxa"/>
            <w:tcBorders>
              <w:top w:val="nil"/>
              <w:left w:val="nil"/>
              <w:bottom w:val="single" w:sz="4" w:space="0" w:color="auto"/>
              <w:right w:val="single" w:sz="4" w:space="0" w:color="auto"/>
            </w:tcBorders>
            <w:shd w:val="clear" w:color="auto" w:fill="C0C0C0"/>
            <w:noWrap/>
            <w:vAlign w:val="bottom"/>
          </w:tcPr>
          <w:p w:rsidR="006E6AAA" w:rsidRPr="006E6AAA" w:rsidRDefault="006E6AAA" w:rsidP="006E6AAA">
            <w:pPr>
              <w:spacing w:after="0" w:line="240" w:lineRule="auto"/>
              <w:jc w:val="center"/>
              <w:rPr>
                <w:rFonts w:ascii="Calibri" w:eastAsia="Times New Roman" w:hAnsi="Calibri" w:cs="Arial"/>
                <w:b/>
                <w:lang w:val="it-IT" w:eastAsia="it-IT"/>
              </w:rPr>
            </w:pPr>
            <w:r w:rsidRPr="006E6AAA">
              <w:rPr>
                <w:rFonts w:ascii="Calibri" w:eastAsia="Times New Roman" w:hAnsi="Calibri" w:cs="Arial"/>
                <w:b/>
                <w:lang w:val="it-IT" w:eastAsia="it-IT"/>
              </w:rPr>
              <w:t>756</w:t>
            </w:r>
          </w:p>
        </w:tc>
      </w:tr>
    </w:tbl>
    <w:p w:rsidR="006E6AAA" w:rsidRPr="006E6AAA" w:rsidRDefault="006E6AAA" w:rsidP="006E6AAA">
      <w:pPr>
        <w:tabs>
          <w:tab w:val="left" w:pos="540"/>
          <w:tab w:val="left" w:pos="8460"/>
        </w:tabs>
        <w:spacing w:after="0" w:line="270" w:lineRule="atLeast"/>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70" w:lineRule="atLeast"/>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To be noted the </w:t>
      </w:r>
      <w:r w:rsidRPr="006E6AAA">
        <w:rPr>
          <w:rFonts w:ascii="Calibri" w:eastAsia="Times New Roman" w:hAnsi="Calibri" w:cs="Times New Roman"/>
          <w:b/>
          <w:lang w:val="en-GB" w:eastAsia="da-DK"/>
        </w:rPr>
        <w:t>remarkable results of the MC system in South/Central</w:t>
      </w:r>
      <w:r w:rsidRPr="006E6AAA">
        <w:rPr>
          <w:rFonts w:ascii="Calibri" w:eastAsia="Times New Roman" w:hAnsi="Calibri" w:cs="Times New Roman"/>
          <w:lang w:val="en-GB" w:eastAsia="da-DK"/>
        </w:rPr>
        <w:t xml:space="preserve">, which in only 4 months filed more than 70% of the cases filed in Somaliland in a year.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ROL staff identified several reasons for this success. </w:t>
      </w:r>
    </w:p>
    <w:p w:rsidR="006E6AAA" w:rsidRPr="006E6AAA" w:rsidRDefault="006E6AAA" w:rsidP="006E6AAA">
      <w:pPr>
        <w:numPr>
          <w:ilvl w:val="0"/>
          <w:numId w:val="55"/>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MC are focusing only on IDP communities settled in camps around Mogadishu, which has facilitated the establishment of strong coordination mechanisms structured around a network of community leaders from the camps (both men and women) who conduct awareness raising on the mobile courts, organize the court sessions in advance of their arrival and refer cases. </w:t>
      </w:r>
    </w:p>
    <w:p w:rsidR="006E6AAA" w:rsidRPr="006E6AAA" w:rsidRDefault="006E6AAA" w:rsidP="006E6AAA">
      <w:pPr>
        <w:numPr>
          <w:ilvl w:val="0"/>
          <w:numId w:val="55"/>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Chief Justice has taken steps to make the MC an “attractive option” by removing all court fees for returnees, refugees and IDPs. </w:t>
      </w:r>
    </w:p>
    <w:p w:rsidR="006E6AAA" w:rsidRPr="006E6AAA" w:rsidRDefault="006E6AAA" w:rsidP="006E6AAA">
      <w:pPr>
        <w:numPr>
          <w:ilvl w:val="0"/>
          <w:numId w:val="55"/>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Instead of travelling across the whole territory of the State as in Somaliland, MC courts missions in South Central are concentrated in areas around MOG that are easily accessible and close; </w:t>
      </w:r>
    </w:p>
    <w:p w:rsidR="006E6AAA" w:rsidRPr="006E6AAA" w:rsidRDefault="006E6AAA" w:rsidP="006E6AAA">
      <w:pPr>
        <w:numPr>
          <w:ilvl w:val="0"/>
          <w:numId w:val="55"/>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Due to the instable security situation Mogadishu has a higher crime rate, so the needs are stronger; as illustrated in a recent HRW report, serious human rights abuses are committed in Mogadishu IDP camps.</w:t>
      </w:r>
      <w:r w:rsidRPr="006E6AAA">
        <w:rPr>
          <w:rFonts w:ascii="Calibri" w:eastAsia="Times New Roman" w:hAnsi="Calibri" w:cs="Times New Roman"/>
          <w:vertAlign w:val="superscript"/>
          <w:lang w:val="en-GB" w:eastAsia="da-DK"/>
        </w:rPr>
        <w:footnoteReference w:id="115"/>
      </w:r>
    </w:p>
    <w:p w:rsidR="006E6AAA" w:rsidRPr="006E6AAA" w:rsidRDefault="006E6AAA" w:rsidP="006E6AAA">
      <w:pPr>
        <w:numPr>
          <w:ilvl w:val="0"/>
          <w:numId w:val="55"/>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w:t>
      </w:r>
      <w:r w:rsidRPr="006E6AAA">
        <w:rPr>
          <w:rFonts w:ascii="Calibri" w:eastAsia="Times New Roman" w:hAnsi="Calibri" w:cs="Times New Roman"/>
          <w:i/>
          <w:lang w:val="en-GB" w:eastAsia="da-DK"/>
        </w:rPr>
        <w:t>Xeer</w:t>
      </w:r>
      <w:r w:rsidRPr="006E6AAA">
        <w:rPr>
          <w:rFonts w:ascii="Calibri" w:eastAsia="Times New Roman" w:hAnsi="Calibri" w:cs="Times New Roman"/>
          <w:lang w:val="en-GB" w:eastAsia="da-DK"/>
        </w:rPr>
        <w:t xml:space="preserve"> system is stronger in Somaliland than in South Central, so in Mogadishu people are more open to address formal courts.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MC system in Puntland also seems to have achieved better results if the general context is taken into consideration: justice institutions are not yet fully operational and the security situation is more unstable than in Somaliland.</w:t>
      </w:r>
    </w:p>
    <w:p w:rsidR="006E6AAA" w:rsidRPr="006E6AAA" w:rsidRDefault="006E6AAA" w:rsidP="006E6AAA">
      <w:pPr>
        <w:shd w:val="clear" w:color="auto" w:fill="FFFFFF"/>
        <w:spacing w:after="324"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According to the UNDP A2J manager the following reasons can explain these achievements:  “</w:t>
      </w:r>
      <w:r w:rsidRPr="006E6AAA">
        <w:rPr>
          <w:rFonts w:ascii="Calibri" w:eastAsia="Times New Roman" w:hAnsi="Calibri" w:cs="Times New Roman"/>
          <w:i/>
          <w:lang w:val="en-GB" w:eastAsia="da-DK"/>
        </w:rPr>
        <w:t xml:space="preserve">Puntland has established a better reporting system than Somaliland. There has also been consistency with the mobile court coordinator in place for several years and benefiting from sustained capacity building from the A2J team. The Coordinator in Somaliland is relatively new and hasn’t yet had that level of mentoring from the UNDP staff in Hargeisa. In Somaliland courts are often dealing with a lot </w:t>
      </w:r>
      <w:r w:rsidRPr="006E6AAA">
        <w:rPr>
          <w:rFonts w:ascii="Calibri" w:eastAsia="Times New Roman" w:hAnsi="Calibri" w:cs="Times New Roman"/>
          <w:i/>
          <w:lang w:val="en-GB" w:eastAsia="da-DK"/>
        </w:rPr>
        <w:lastRenderedPageBreak/>
        <w:t>more serious crimes which require multiple visits and which do not necessarily lead to quick turnaround of cases. In Puntland cases are mostly civil, this means shorter procedures and quicker assessment of the claims of the parties”.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Concerning the results achieved in Somaliland, the total number of cases heard by mobile courts in the five regions </w:t>
      </w:r>
      <w:r w:rsidRPr="006E6AAA">
        <w:rPr>
          <w:rFonts w:ascii="Calibri" w:eastAsia="Times New Roman" w:hAnsi="Calibri" w:cs="Times New Roman"/>
          <w:b/>
          <w:lang w:val="en-GB" w:eastAsia="da-DK"/>
        </w:rPr>
        <w:t>increased by 57% from 2009 to 2012.</w:t>
      </w:r>
      <w:r w:rsidRPr="006E6AAA">
        <w:rPr>
          <w:rFonts w:ascii="Calibri" w:eastAsia="Times New Roman" w:hAnsi="Calibri" w:cs="Times New Roman"/>
          <w:lang w:val="en-GB" w:eastAsia="da-DK"/>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According to the Justice Sector Strategy, in 2010 the total number of cases (civil and criminal ) filed by Somaliland courts is 6.520</w:t>
      </w:r>
      <w:r w:rsidRPr="006E6AAA">
        <w:rPr>
          <w:rFonts w:ascii="Calibri" w:eastAsia="Times New Roman" w:hAnsi="Calibri" w:cs="Times New Roman"/>
          <w:vertAlign w:val="superscript"/>
          <w:lang w:val="en-GB" w:eastAsia="da-DK"/>
        </w:rPr>
        <w:footnoteReference w:id="116"/>
      </w:r>
      <w:r w:rsidRPr="006E6AAA">
        <w:rPr>
          <w:rFonts w:ascii="Calibri" w:eastAsia="Times New Roman" w:hAnsi="Calibri" w:cs="Times New Roman"/>
          <w:lang w:val="en-GB" w:eastAsia="da-DK"/>
        </w:rPr>
        <w:t xml:space="preserve">, which means that in the same </w:t>
      </w:r>
      <w:r w:rsidRPr="006E6AAA">
        <w:rPr>
          <w:rFonts w:ascii="Calibri" w:eastAsia="Times New Roman" w:hAnsi="Calibri" w:cs="Times New Roman"/>
          <w:b/>
          <w:lang w:val="en-GB" w:eastAsia="da-DK"/>
        </w:rPr>
        <w:t>year 6,5 % of the cases where filed by MC.</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With reference to the results framework established in the current LoA, the target of </w:t>
      </w:r>
      <w:r w:rsidRPr="006E6AAA">
        <w:rPr>
          <w:rFonts w:ascii="Calibri" w:eastAsia="Times New Roman" w:hAnsi="Calibri" w:cs="Times New Roman"/>
          <w:b/>
          <w:lang w:eastAsia="da-DK"/>
        </w:rPr>
        <w:t>50 cases per month</w:t>
      </w:r>
      <w:r w:rsidRPr="006E6AAA">
        <w:rPr>
          <w:rFonts w:ascii="Calibri" w:eastAsia="Times New Roman" w:hAnsi="Calibri" w:cs="Times New Roman"/>
          <w:lang w:eastAsia="da-DK"/>
        </w:rPr>
        <w:t xml:space="preserve"> does not appear to be achieved, as in 2012 only 447 cases were filed by MCs (instead of 600); the target of increasing by 10% the number of cases compared to the previous year, was also not achieved.</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It must however be considered that 2012 marked the transfer of the MC initiative from the MOJ to the Supreme Court, so MC missions might have been suspended for some period and the new partner might have needed some time to adjust to the system.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For the purpose of the present evaluation the MC Coordinator was requested to provide an overview of the MC quantitative results in 2011 and 2012; table n.</w:t>
      </w:r>
      <w:r w:rsidRPr="006E6AAA">
        <w:rPr>
          <w:rFonts w:ascii="Calibri" w:eastAsia="Times New Roman" w:hAnsi="Calibri" w:cs="Times New Roman"/>
          <w:color w:val="FF0000"/>
          <w:lang w:val="en-GB" w:eastAsia="da-DK"/>
        </w:rPr>
        <w:t>4</w:t>
      </w:r>
      <w:r w:rsidRPr="006E6AAA">
        <w:rPr>
          <w:rFonts w:ascii="Calibri" w:eastAsia="Times New Roman" w:hAnsi="Calibri" w:cs="Times New Roman"/>
          <w:lang w:val="en-GB" w:eastAsia="da-DK"/>
        </w:rPr>
        <w:t xml:space="preserve"> below consolidates the information produced, however it must be considered strictly indicative as important discrepancies with the data from the quarterly reports have been highlighted.</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An aspect that emerges from the table below and which would deserve further analysis is the </w:t>
      </w:r>
      <w:r w:rsidRPr="006E6AAA">
        <w:rPr>
          <w:rFonts w:ascii="Calibri" w:eastAsia="Times New Roman" w:hAnsi="Calibri" w:cs="Times New Roman"/>
          <w:b/>
          <w:lang w:val="en-GB" w:eastAsia="da-DK"/>
        </w:rPr>
        <w:t>high number of MC organized by Appeal Courts</w:t>
      </w:r>
      <w:r w:rsidRPr="006E6AAA">
        <w:rPr>
          <w:rFonts w:ascii="Calibri" w:eastAsia="Times New Roman" w:hAnsi="Calibri" w:cs="Times New Roman"/>
          <w:lang w:val="en-GB" w:eastAsia="da-DK"/>
        </w:rPr>
        <w:t>: 51% of the MC organised in Somaliland hear appeal cases</w:t>
      </w:r>
      <w:r w:rsidRPr="006E6AAA">
        <w:rPr>
          <w:rFonts w:ascii="Calibri" w:eastAsia="Times New Roman" w:hAnsi="Calibri" w:cs="Times New Roman"/>
          <w:vertAlign w:val="superscript"/>
          <w:lang w:val="en-GB" w:eastAsia="da-DK"/>
        </w:rPr>
        <w:footnoteReference w:id="117"/>
      </w:r>
      <w:r w:rsidRPr="006E6AAA">
        <w:rPr>
          <w:rFonts w:ascii="Calibri" w:eastAsia="Times New Roman" w:hAnsi="Calibri" w:cs="Times New Roman"/>
          <w:lang w:val="en-GB" w:eastAsia="da-DK"/>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General trends about the appeal rate in Somaliland (i.e. the number of lowers court cases that go before a high court) are not available, however feedback collected during the evaluation mission seems to suggest that appeals are common for all courts and not a specific priority for the MC system.</w:t>
      </w:r>
    </w:p>
    <w:p w:rsidR="006E6AAA" w:rsidRPr="006E6AAA" w:rsidRDefault="006E6AAA" w:rsidP="006E6AAA">
      <w:pPr>
        <w:tabs>
          <w:tab w:val="left" w:pos="540"/>
          <w:tab w:val="left" w:pos="8460"/>
        </w:tabs>
        <w:spacing w:after="0" w:line="280" w:lineRule="exact"/>
        <w:jc w:val="both"/>
        <w:rPr>
          <w:rFonts w:ascii="Calibri" w:eastAsia="Times New Roman" w:hAnsi="Calibri" w:cs="Arial"/>
          <w:lang w:val="en-GB" w:eastAsia="da-DK"/>
        </w:rPr>
      </w:pPr>
      <w:r w:rsidRPr="006E6AAA">
        <w:rPr>
          <w:rFonts w:ascii="Calibri" w:eastAsia="Times New Roman" w:hAnsi="Calibri" w:cs="Times New Roman"/>
          <w:lang w:val="en-GB" w:eastAsia="da-DK"/>
        </w:rPr>
        <w:t>This position is confirmed by a 2009 report that concluded: “</w:t>
      </w:r>
      <w:r w:rsidRPr="006E6AAA">
        <w:rPr>
          <w:rFonts w:ascii="Calibri" w:eastAsia="Times New Roman" w:hAnsi="Calibri" w:cs="Arial"/>
          <w:i/>
          <w:lang w:val="en-GB" w:eastAsia="da-DK"/>
        </w:rPr>
        <w:t>Appellate review, on the other hand, appears very robust.  The stronger capacity enjoyed by appellate judges – in terms of education, training and general background – results in much remedying of poorly-decided cases by lower courts at the appellate level.  As explained by the President of the Supreme Court, “We manage to fill errors at the lower courts; though, there are many such cases and we need additional resources to deal with them.</w:t>
      </w:r>
      <w:r w:rsidRPr="006E6AAA">
        <w:rPr>
          <w:rFonts w:ascii="Calibri" w:eastAsia="Times New Roman" w:hAnsi="Calibri" w:cs="Arial"/>
          <w:lang w:val="en-GB" w:eastAsia="da-DK"/>
        </w:rPr>
        <w:t>”</w:t>
      </w:r>
      <w:r w:rsidRPr="006E6AAA">
        <w:rPr>
          <w:rFonts w:ascii="Calibri" w:eastAsia="Times New Roman" w:hAnsi="Calibri" w:cs="Arial"/>
          <w:vertAlign w:val="superscript"/>
          <w:lang w:val="en-GB" w:eastAsia="da-DK"/>
        </w:rPr>
        <w:footnoteReference w:id="118"/>
      </w:r>
      <w:r w:rsidRPr="006E6AAA">
        <w:rPr>
          <w:rFonts w:ascii="Calibri" w:eastAsia="Times New Roman" w:hAnsi="Calibri" w:cs="Arial"/>
          <w:lang w:val="en-GB" w:eastAsia="da-DK"/>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A2J staff in Hargeisa identifies the reasons why appeal courts seem to be overloaded in the fact that both District courts and Regional courts are submitting their appeals directly the Appeal Court, as they are both lower courts, only with a distinct competence. Secondly it seems a common practice among lawyers to appeal every Regional Court decision. </w:t>
      </w:r>
    </w:p>
    <w:p w:rsidR="006E6AAA" w:rsidRPr="006E6AAA" w:rsidRDefault="006E6AAA" w:rsidP="006E6AAA">
      <w:pPr>
        <w:tabs>
          <w:tab w:val="left" w:pos="540"/>
          <w:tab w:val="left" w:pos="8460"/>
        </w:tabs>
        <w:spacing w:after="0" w:line="280" w:lineRule="exact"/>
        <w:jc w:val="both"/>
        <w:rPr>
          <w:rFonts w:ascii="Calibri" w:eastAsia="Times New Roman" w:hAnsi="Calibri" w:cs="Arial"/>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Arial"/>
          <w:lang w:val="en-GB" w:eastAsia="da-DK"/>
        </w:rPr>
      </w:pPr>
      <w:r w:rsidRPr="006E6AAA">
        <w:rPr>
          <w:rFonts w:ascii="Calibri" w:eastAsia="Times New Roman" w:hAnsi="Calibri" w:cs="Arial"/>
          <w:lang w:val="en-GB" w:eastAsia="da-DK"/>
        </w:rPr>
        <w:t xml:space="preserve">The above-mentioned clarifications seem to justify the high number of MC for appeal cases, however some concerns could be raised with regards to the fact that MC are mainly organised to review the decisions of lower courts, because these are not considered adequate. </w:t>
      </w:r>
    </w:p>
    <w:p w:rsidR="006E6AAA" w:rsidRPr="006E6AAA" w:rsidRDefault="006E6AAA" w:rsidP="006E6AAA">
      <w:pPr>
        <w:tabs>
          <w:tab w:val="left" w:pos="540"/>
          <w:tab w:val="left" w:pos="8460"/>
        </w:tabs>
        <w:spacing w:after="0" w:line="280" w:lineRule="exact"/>
        <w:jc w:val="both"/>
        <w:rPr>
          <w:rFonts w:ascii="Calibri" w:eastAsia="Times New Roman" w:hAnsi="Calibri" w:cs="Arial"/>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Arial"/>
          <w:lang w:val="en-GB" w:eastAsia="da-DK"/>
        </w:rPr>
        <w:lastRenderedPageBreak/>
        <w:t xml:space="preserve">Although less in line with the objective of facilitating access to justice for the population living in remote areas, MC can also serve the purpose of addressing the shortcomings of the lower courts, but in this case additional activities should be included.  For example the MC team should also dedicate some time to supervise the lower courts judges and eventually carry out on-the job trainings for District Court judges and UNDP could support trainings for lower court judges with the objective to gradually reduce the number of appeals. One of the appeal cases observed during the evaluation mission illustrates these issues: the Hargeisa Appeal court travelled 120 km for a land dispute because the regional court had adjudicated a dispute over a piece of land without demarcating the borders.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Finally it is worth mentioning that one of the interviewed lawyers confirmed the findings of a 2002 report by the Academy for Peace in Somaliland that “</w:t>
      </w:r>
      <w:r w:rsidRPr="006E6AAA">
        <w:rPr>
          <w:rFonts w:ascii="Calibri" w:eastAsia="Times New Roman" w:hAnsi="Calibri" w:cs="Times New Roman"/>
          <w:i/>
          <w:lang w:eastAsia="da-DK"/>
        </w:rPr>
        <w:t>In the absence of an evaluation process, judges are often promoted or demoted according to the number of cases they win or lose on appeal</w:t>
      </w:r>
      <w:r w:rsidRPr="006E6AAA">
        <w:rPr>
          <w:rFonts w:ascii="Calibri" w:eastAsia="Times New Roman" w:hAnsi="Calibri" w:cs="Times New Roman"/>
          <w:lang w:eastAsia="da-DK"/>
        </w:rPr>
        <w:t>”</w:t>
      </w:r>
      <w:r w:rsidRPr="006E6AAA">
        <w:rPr>
          <w:rFonts w:ascii="Calibri" w:eastAsia="Times New Roman" w:hAnsi="Calibri" w:cs="Times New Roman"/>
          <w:vertAlign w:val="superscript"/>
          <w:lang w:eastAsia="da-DK"/>
        </w:rPr>
        <w:footnoteReference w:id="119"/>
      </w:r>
      <w:r w:rsidRPr="006E6AAA">
        <w:rPr>
          <w:rFonts w:ascii="Calibri" w:eastAsia="Times New Roman" w:hAnsi="Calibri" w:cs="Times New Roman"/>
          <w:lang w:val="en-GB" w:eastAsia="da-DK"/>
        </w:rPr>
        <w:t xml:space="preserve">. </w:t>
      </w: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According to UNDP staff this practice has changed in the recent years, particularly as a result of the efforts undertaken by the Judiciary, with the support of UNDP, to promote a transparent human resources policy for judicial staff.  In addition the new government has pursued an aggressive recruitment policy of young graduates: just through UNDP’s internship programme they have brought in over 50 new prosecutors and judges in the last 2 years, as well as others from their own initiative.</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 the other hand UNDP staff recognises that since Appeal Courts are responsible for organising the MC in their jurisdiction they might have given a priority focus on appeal cases. </w:t>
      </w:r>
    </w:p>
    <w:p w:rsidR="006E6AAA" w:rsidRPr="006E6AAA" w:rsidRDefault="006E6AAA" w:rsidP="006E6AAA">
      <w:pPr>
        <w:spacing w:after="0" w:line="280" w:lineRule="exact"/>
        <w:jc w:val="both"/>
        <w:rPr>
          <w:rFonts w:ascii="Calibri" w:eastAsia="Times New Roman" w:hAnsi="Calibri" w:cs="Times New Roman"/>
          <w:lang w:eastAsia="da-DK"/>
        </w:rPr>
      </w:pPr>
    </w:p>
    <w:tbl>
      <w:tblPr>
        <w:tblpPr w:leftFromText="141" w:rightFromText="141" w:vertAnchor="text" w:horzAnchor="margin" w:tblpY="272"/>
        <w:tblW w:w="8830" w:type="dxa"/>
        <w:tblCellMar>
          <w:left w:w="70" w:type="dxa"/>
          <w:right w:w="70" w:type="dxa"/>
        </w:tblCellMar>
        <w:tblLook w:val="0000" w:firstRow="0" w:lastRow="0" w:firstColumn="0" w:lastColumn="0" w:noHBand="0" w:noVBand="0"/>
      </w:tblPr>
      <w:tblGrid>
        <w:gridCol w:w="242"/>
        <w:gridCol w:w="2547"/>
        <w:gridCol w:w="1308"/>
        <w:gridCol w:w="1051"/>
        <w:gridCol w:w="570"/>
        <w:gridCol w:w="1491"/>
        <w:gridCol w:w="1051"/>
        <w:gridCol w:w="570"/>
      </w:tblGrid>
      <w:tr w:rsidR="006E6AAA" w:rsidRPr="006E6AAA" w:rsidTr="00C8613A">
        <w:trPr>
          <w:trHeight w:val="405"/>
        </w:trPr>
        <w:tc>
          <w:tcPr>
            <w:tcW w:w="8830" w:type="dxa"/>
            <w:gridSpan w:val="8"/>
            <w:tcBorders>
              <w:top w:val="nil"/>
              <w:left w:val="nil"/>
              <w:bottom w:val="single" w:sz="4" w:space="0" w:color="auto"/>
              <w:right w:val="nil"/>
            </w:tcBorders>
            <w:shd w:val="clear" w:color="auto" w:fill="808080"/>
            <w:noWrap/>
            <w:vAlign w:val="center"/>
          </w:tcPr>
          <w:p w:rsidR="006E6AAA" w:rsidRPr="006E6AAA" w:rsidRDefault="006E6AAA" w:rsidP="006E6AAA">
            <w:pPr>
              <w:spacing w:after="0" w:line="240" w:lineRule="auto"/>
              <w:jc w:val="center"/>
              <w:rPr>
                <w:rFonts w:ascii="Calibri" w:eastAsia="Times New Roman" w:hAnsi="Calibri" w:cs="Arial"/>
                <w:b/>
                <w:bCs/>
                <w:i/>
                <w:iCs/>
                <w:color w:val="FFFFFF"/>
                <w:sz w:val="20"/>
                <w:szCs w:val="20"/>
                <w:lang w:eastAsia="it-IT"/>
              </w:rPr>
            </w:pPr>
            <w:r w:rsidRPr="006E6AAA">
              <w:rPr>
                <w:rFonts w:ascii="Calibri" w:eastAsia="Times New Roman" w:hAnsi="Calibri" w:cs="Arial"/>
                <w:b/>
                <w:bCs/>
                <w:i/>
                <w:iCs/>
                <w:color w:val="FFFFFF"/>
                <w:sz w:val="20"/>
                <w:szCs w:val="20"/>
                <w:lang w:eastAsia="it-IT"/>
              </w:rPr>
              <w:t xml:space="preserve">     Statistics for Mobile Courts in Somaliland (2011 and 2012)</w:t>
            </w:r>
          </w:p>
        </w:tc>
      </w:tr>
      <w:tr w:rsidR="006E6AAA" w:rsidRPr="006E6AAA" w:rsidTr="00C8613A">
        <w:trPr>
          <w:trHeight w:val="255"/>
        </w:trPr>
        <w:tc>
          <w:tcPr>
            <w:tcW w:w="242" w:type="dxa"/>
            <w:vMerge w:val="restart"/>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eastAsia="it-IT"/>
              </w:rPr>
            </w:pPr>
            <w:r w:rsidRPr="006E6AAA">
              <w:rPr>
                <w:rFonts w:ascii="Calibri" w:eastAsia="Times New Roman" w:hAnsi="Calibri" w:cs="Arial"/>
                <w:sz w:val="20"/>
                <w:szCs w:val="20"/>
                <w:lang w:eastAsia="it-IT"/>
              </w:rPr>
              <w:t> </w:t>
            </w:r>
          </w:p>
        </w:tc>
        <w:tc>
          <w:tcPr>
            <w:tcW w:w="2547" w:type="dxa"/>
            <w:vMerge w:val="restart"/>
            <w:tcBorders>
              <w:top w:val="nil"/>
              <w:left w:val="single" w:sz="4" w:space="0" w:color="auto"/>
              <w:bottom w:val="single" w:sz="4" w:space="0" w:color="auto"/>
              <w:right w:val="single" w:sz="4" w:space="0" w:color="auto"/>
            </w:tcBorders>
            <w:shd w:val="clear" w:color="auto" w:fill="auto"/>
            <w:vAlign w:val="center"/>
          </w:tcPr>
          <w:p w:rsidR="006E6AAA" w:rsidRPr="006E6AAA" w:rsidRDefault="006E6AAA" w:rsidP="006E6AAA">
            <w:pPr>
              <w:spacing w:after="0" w:line="240" w:lineRule="auto"/>
              <w:jc w:val="center"/>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Jurisdiction</w:t>
            </w:r>
          </w:p>
        </w:tc>
        <w:tc>
          <w:tcPr>
            <w:tcW w:w="1308" w:type="dxa"/>
            <w:vMerge w:val="restart"/>
            <w:tcBorders>
              <w:top w:val="nil"/>
              <w:left w:val="single" w:sz="4" w:space="0" w:color="auto"/>
              <w:bottom w:val="single" w:sz="4" w:space="0" w:color="auto"/>
              <w:right w:val="single" w:sz="4" w:space="0" w:color="auto"/>
            </w:tcBorders>
            <w:shd w:val="clear" w:color="auto" w:fill="auto"/>
          </w:tcPr>
          <w:p w:rsidR="006E6AAA" w:rsidRPr="006E6AAA" w:rsidRDefault="006E6AAA" w:rsidP="006E6AAA">
            <w:pPr>
              <w:spacing w:after="0" w:line="240" w:lineRule="auto"/>
              <w:jc w:val="center"/>
              <w:rPr>
                <w:rFonts w:ascii="Calibri" w:eastAsia="Times New Roman" w:hAnsi="Calibri" w:cs="Arial"/>
                <w:color w:val="993300"/>
                <w:sz w:val="20"/>
                <w:szCs w:val="20"/>
                <w:lang w:eastAsia="it-IT"/>
              </w:rPr>
            </w:pPr>
            <w:r w:rsidRPr="006E6AAA">
              <w:rPr>
                <w:rFonts w:ascii="Calibri" w:eastAsia="Times New Roman" w:hAnsi="Calibri" w:cs="Arial"/>
                <w:color w:val="993300"/>
                <w:sz w:val="20"/>
                <w:szCs w:val="20"/>
                <w:lang w:eastAsia="it-IT"/>
              </w:rPr>
              <w:t xml:space="preserve">n. MC by </w:t>
            </w:r>
            <w:r w:rsidRPr="006E6AAA">
              <w:rPr>
                <w:rFonts w:ascii="Calibri" w:eastAsia="Times New Roman" w:hAnsi="Calibri" w:cs="Arial"/>
                <w:b/>
                <w:bCs/>
                <w:color w:val="993300"/>
                <w:sz w:val="20"/>
                <w:szCs w:val="20"/>
                <w:lang w:eastAsia="it-IT"/>
              </w:rPr>
              <w:t>COURTS OF APPEAL</w:t>
            </w:r>
          </w:p>
        </w:tc>
        <w:tc>
          <w:tcPr>
            <w:tcW w:w="1621" w:type="dxa"/>
            <w:gridSpan w:val="2"/>
            <w:tcBorders>
              <w:top w:val="single" w:sz="4" w:space="0" w:color="auto"/>
              <w:left w:val="nil"/>
              <w:bottom w:val="single" w:sz="4" w:space="0" w:color="auto"/>
              <w:right w:val="single" w:sz="4" w:space="0" w:color="000000"/>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b/>
                <w:bCs/>
                <w:color w:val="993300"/>
                <w:sz w:val="20"/>
                <w:szCs w:val="20"/>
                <w:lang w:val="it-IT" w:eastAsia="it-IT"/>
              </w:rPr>
            </w:pPr>
            <w:r w:rsidRPr="006E6AAA">
              <w:rPr>
                <w:rFonts w:ascii="Calibri" w:eastAsia="Times New Roman" w:hAnsi="Calibri" w:cs="Arial"/>
                <w:b/>
                <w:bCs/>
                <w:color w:val="993300"/>
                <w:sz w:val="20"/>
                <w:szCs w:val="20"/>
                <w:lang w:val="it-IT" w:eastAsia="it-IT"/>
              </w:rPr>
              <w:t>n. of cases</w:t>
            </w:r>
          </w:p>
        </w:tc>
        <w:tc>
          <w:tcPr>
            <w:tcW w:w="1491" w:type="dxa"/>
            <w:vMerge w:val="restart"/>
            <w:tcBorders>
              <w:top w:val="nil"/>
              <w:left w:val="single" w:sz="4" w:space="0" w:color="auto"/>
              <w:bottom w:val="single" w:sz="4" w:space="0" w:color="auto"/>
              <w:right w:val="single" w:sz="4" w:space="0" w:color="auto"/>
            </w:tcBorders>
            <w:shd w:val="clear" w:color="auto" w:fill="auto"/>
          </w:tcPr>
          <w:p w:rsidR="006E6AAA" w:rsidRPr="006E6AAA" w:rsidRDefault="006E6AAA" w:rsidP="006E6AAA">
            <w:pPr>
              <w:spacing w:after="0" w:line="240" w:lineRule="auto"/>
              <w:jc w:val="center"/>
              <w:rPr>
                <w:rFonts w:ascii="Calibri" w:eastAsia="Times New Roman" w:hAnsi="Calibri" w:cs="Arial"/>
                <w:color w:val="000080"/>
                <w:sz w:val="20"/>
                <w:szCs w:val="20"/>
                <w:lang w:eastAsia="it-IT"/>
              </w:rPr>
            </w:pPr>
            <w:r w:rsidRPr="006E6AAA">
              <w:rPr>
                <w:rFonts w:ascii="Calibri" w:eastAsia="Times New Roman" w:hAnsi="Calibri" w:cs="Arial"/>
                <w:color w:val="000080"/>
                <w:sz w:val="20"/>
                <w:szCs w:val="20"/>
                <w:lang w:eastAsia="it-IT"/>
              </w:rPr>
              <w:t xml:space="preserve">n. MC by </w:t>
            </w:r>
            <w:r w:rsidRPr="006E6AAA">
              <w:rPr>
                <w:rFonts w:ascii="Calibri" w:eastAsia="Times New Roman" w:hAnsi="Calibri" w:cs="Arial"/>
                <w:b/>
                <w:bCs/>
                <w:color w:val="000080"/>
                <w:sz w:val="20"/>
                <w:szCs w:val="20"/>
                <w:lang w:eastAsia="it-IT"/>
              </w:rPr>
              <w:t>REGIONAL COURTS</w:t>
            </w:r>
          </w:p>
        </w:tc>
        <w:tc>
          <w:tcPr>
            <w:tcW w:w="1621" w:type="dxa"/>
            <w:gridSpan w:val="2"/>
            <w:tcBorders>
              <w:top w:val="single" w:sz="4" w:space="0" w:color="auto"/>
              <w:left w:val="nil"/>
              <w:bottom w:val="single" w:sz="4" w:space="0" w:color="auto"/>
              <w:right w:val="single" w:sz="4" w:space="0" w:color="000000"/>
            </w:tcBorders>
            <w:shd w:val="clear" w:color="auto" w:fill="auto"/>
            <w:noWrap/>
            <w:vAlign w:val="bottom"/>
          </w:tcPr>
          <w:p w:rsidR="006E6AAA" w:rsidRPr="006E6AAA" w:rsidRDefault="006E6AAA" w:rsidP="006E6AAA">
            <w:pPr>
              <w:spacing w:after="0" w:line="240" w:lineRule="auto"/>
              <w:jc w:val="center"/>
              <w:rPr>
                <w:rFonts w:ascii="Calibri" w:eastAsia="Times New Roman" w:hAnsi="Calibri" w:cs="Arial"/>
                <w:b/>
                <w:bCs/>
                <w:color w:val="000080"/>
                <w:sz w:val="20"/>
                <w:szCs w:val="20"/>
                <w:lang w:val="it-IT" w:eastAsia="it-IT"/>
              </w:rPr>
            </w:pPr>
            <w:r w:rsidRPr="006E6AAA">
              <w:rPr>
                <w:rFonts w:ascii="Calibri" w:eastAsia="Times New Roman" w:hAnsi="Calibri" w:cs="Arial"/>
                <w:b/>
                <w:bCs/>
                <w:color w:val="000080"/>
                <w:sz w:val="20"/>
                <w:szCs w:val="20"/>
                <w:lang w:val="it-IT" w:eastAsia="it-IT"/>
              </w:rPr>
              <w:t>n. of cases</w:t>
            </w:r>
          </w:p>
        </w:tc>
      </w:tr>
      <w:tr w:rsidR="006E6AAA" w:rsidRPr="006E6AAA" w:rsidTr="00C8613A">
        <w:trPr>
          <w:trHeight w:val="540"/>
        </w:trPr>
        <w:tc>
          <w:tcPr>
            <w:tcW w:w="242" w:type="dxa"/>
            <w:vMerge/>
            <w:tcBorders>
              <w:top w:val="nil"/>
              <w:left w:val="single" w:sz="4" w:space="0" w:color="auto"/>
              <w:bottom w:val="single" w:sz="4" w:space="0" w:color="auto"/>
              <w:right w:val="single" w:sz="4" w:space="0" w:color="auto"/>
            </w:tcBorders>
            <w:vAlign w:val="center"/>
          </w:tcPr>
          <w:p w:rsidR="006E6AAA" w:rsidRPr="006E6AAA" w:rsidRDefault="006E6AAA" w:rsidP="006E6AAA">
            <w:pPr>
              <w:spacing w:after="0" w:line="240" w:lineRule="auto"/>
              <w:rPr>
                <w:rFonts w:ascii="Calibri" w:eastAsia="Times New Roman" w:hAnsi="Calibri" w:cs="Arial"/>
                <w:sz w:val="20"/>
                <w:szCs w:val="20"/>
                <w:lang w:val="it-IT" w:eastAsia="it-IT"/>
              </w:rPr>
            </w:pPr>
          </w:p>
        </w:tc>
        <w:tc>
          <w:tcPr>
            <w:tcW w:w="2547" w:type="dxa"/>
            <w:vMerge/>
            <w:tcBorders>
              <w:top w:val="nil"/>
              <w:left w:val="single" w:sz="4" w:space="0" w:color="auto"/>
              <w:bottom w:val="single" w:sz="4" w:space="0" w:color="auto"/>
              <w:right w:val="single" w:sz="4" w:space="0" w:color="auto"/>
            </w:tcBorders>
            <w:vAlign w:val="center"/>
          </w:tcPr>
          <w:p w:rsidR="006E6AAA" w:rsidRPr="006E6AAA" w:rsidRDefault="006E6AAA" w:rsidP="006E6AAA">
            <w:pPr>
              <w:spacing w:after="0" w:line="240" w:lineRule="auto"/>
              <w:rPr>
                <w:rFonts w:ascii="Calibri" w:eastAsia="Times New Roman" w:hAnsi="Calibri" w:cs="Arial"/>
                <w:b/>
                <w:bCs/>
                <w:sz w:val="20"/>
                <w:szCs w:val="20"/>
                <w:lang w:val="it-IT" w:eastAsia="it-IT"/>
              </w:rPr>
            </w:pPr>
          </w:p>
        </w:tc>
        <w:tc>
          <w:tcPr>
            <w:tcW w:w="1308" w:type="dxa"/>
            <w:vMerge/>
            <w:tcBorders>
              <w:top w:val="nil"/>
              <w:left w:val="single" w:sz="4" w:space="0" w:color="auto"/>
              <w:bottom w:val="single" w:sz="4" w:space="0" w:color="auto"/>
              <w:right w:val="single" w:sz="4" w:space="0" w:color="auto"/>
            </w:tcBorders>
            <w:vAlign w:val="center"/>
          </w:tcPr>
          <w:p w:rsidR="006E6AAA" w:rsidRPr="006E6AAA" w:rsidRDefault="006E6AAA" w:rsidP="006E6AAA">
            <w:pPr>
              <w:spacing w:after="0" w:line="240" w:lineRule="auto"/>
              <w:rPr>
                <w:rFonts w:ascii="Calibri" w:eastAsia="Times New Roman" w:hAnsi="Calibri" w:cs="Arial"/>
                <w:color w:val="993300"/>
                <w:sz w:val="20"/>
                <w:szCs w:val="20"/>
                <w:lang w:val="it-IT" w:eastAsia="it-IT"/>
              </w:rPr>
            </w:pP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color w:val="993300"/>
                <w:sz w:val="20"/>
                <w:szCs w:val="20"/>
                <w:lang w:val="it-IT" w:eastAsia="it-IT"/>
              </w:rPr>
            </w:pPr>
            <w:r w:rsidRPr="006E6AAA">
              <w:rPr>
                <w:rFonts w:ascii="Calibri" w:eastAsia="Times New Roman" w:hAnsi="Calibri" w:cs="Arial"/>
                <w:b/>
                <w:bCs/>
                <w:color w:val="993300"/>
                <w:sz w:val="20"/>
                <w:szCs w:val="20"/>
                <w:lang w:val="it-IT" w:eastAsia="it-IT"/>
              </w:rPr>
              <w:t xml:space="preserve">Criminal </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color w:val="993300"/>
                <w:sz w:val="20"/>
                <w:szCs w:val="20"/>
                <w:lang w:val="it-IT" w:eastAsia="it-IT"/>
              </w:rPr>
            </w:pPr>
            <w:r w:rsidRPr="006E6AAA">
              <w:rPr>
                <w:rFonts w:ascii="Calibri" w:eastAsia="Times New Roman" w:hAnsi="Calibri" w:cs="Arial"/>
                <w:b/>
                <w:bCs/>
                <w:color w:val="993300"/>
                <w:sz w:val="20"/>
                <w:szCs w:val="20"/>
                <w:lang w:val="it-IT" w:eastAsia="it-IT"/>
              </w:rPr>
              <w:t>Civil</w:t>
            </w:r>
          </w:p>
        </w:tc>
        <w:tc>
          <w:tcPr>
            <w:tcW w:w="1491" w:type="dxa"/>
            <w:vMerge/>
            <w:tcBorders>
              <w:top w:val="nil"/>
              <w:left w:val="single" w:sz="4" w:space="0" w:color="auto"/>
              <w:bottom w:val="single" w:sz="4" w:space="0" w:color="auto"/>
              <w:right w:val="single" w:sz="4" w:space="0" w:color="auto"/>
            </w:tcBorders>
            <w:vAlign w:val="center"/>
          </w:tcPr>
          <w:p w:rsidR="006E6AAA" w:rsidRPr="006E6AAA" w:rsidRDefault="006E6AAA" w:rsidP="006E6AAA">
            <w:pPr>
              <w:spacing w:after="0" w:line="240" w:lineRule="auto"/>
              <w:rPr>
                <w:rFonts w:ascii="Calibri" w:eastAsia="Times New Roman" w:hAnsi="Calibri" w:cs="Arial"/>
                <w:color w:val="000080"/>
                <w:sz w:val="20"/>
                <w:szCs w:val="20"/>
                <w:lang w:val="it-IT" w:eastAsia="it-IT"/>
              </w:rPr>
            </w:pP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color w:val="000080"/>
                <w:sz w:val="20"/>
                <w:szCs w:val="20"/>
                <w:lang w:val="it-IT" w:eastAsia="it-IT"/>
              </w:rPr>
            </w:pPr>
            <w:r w:rsidRPr="006E6AAA">
              <w:rPr>
                <w:rFonts w:ascii="Calibri" w:eastAsia="Times New Roman" w:hAnsi="Calibri" w:cs="Arial"/>
                <w:b/>
                <w:bCs/>
                <w:color w:val="000080"/>
                <w:sz w:val="20"/>
                <w:szCs w:val="20"/>
                <w:lang w:val="it-IT" w:eastAsia="it-IT"/>
              </w:rPr>
              <w:t xml:space="preserve">Criminal </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color w:val="000080"/>
                <w:sz w:val="20"/>
                <w:szCs w:val="20"/>
                <w:lang w:val="it-IT" w:eastAsia="it-IT"/>
              </w:rPr>
            </w:pPr>
            <w:r w:rsidRPr="006E6AAA">
              <w:rPr>
                <w:rFonts w:ascii="Calibri" w:eastAsia="Times New Roman" w:hAnsi="Calibri" w:cs="Arial"/>
                <w:b/>
                <w:bCs/>
                <w:color w:val="000080"/>
                <w:sz w:val="20"/>
                <w:szCs w:val="20"/>
                <w:lang w:val="it-IT" w:eastAsia="it-IT"/>
              </w:rPr>
              <w:t>Civil</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w:t>
            </w:r>
          </w:p>
        </w:tc>
        <w:tc>
          <w:tcPr>
            <w:tcW w:w="254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Hargeisa region 2011</w:t>
            </w:r>
          </w:p>
        </w:tc>
        <w:tc>
          <w:tcPr>
            <w:tcW w:w="1308"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62</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36</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w:t>
            </w:r>
          </w:p>
        </w:tc>
        <w:tc>
          <w:tcPr>
            <w:tcW w:w="149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16</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12</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r>
      <w:tr w:rsidR="006E6AAA" w:rsidRPr="006E6AAA" w:rsidTr="00C8613A">
        <w:trPr>
          <w:trHeight w:val="300"/>
        </w:trPr>
        <w:tc>
          <w:tcPr>
            <w:tcW w:w="242" w:type="dxa"/>
            <w:tcBorders>
              <w:top w:val="nil"/>
              <w:left w:val="single" w:sz="4" w:space="0" w:color="auto"/>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Hargeisa region 2012</w:t>
            </w:r>
          </w:p>
        </w:tc>
        <w:tc>
          <w:tcPr>
            <w:tcW w:w="1308"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42</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23</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w:t>
            </w:r>
          </w:p>
        </w:tc>
        <w:tc>
          <w:tcPr>
            <w:tcW w:w="149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36</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18</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5</w:t>
            </w:r>
          </w:p>
        </w:tc>
      </w:tr>
      <w:tr w:rsidR="006E6AAA" w:rsidRPr="006E6AAA" w:rsidTr="00C8613A">
        <w:trPr>
          <w:trHeight w:val="300"/>
        </w:trPr>
        <w:tc>
          <w:tcPr>
            <w:tcW w:w="2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w:t>
            </w:r>
          </w:p>
        </w:tc>
        <w:tc>
          <w:tcPr>
            <w:tcW w:w="2547"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Awdal region 2011</w:t>
            </w:r>
          </w:p>
        </w:tc>
        <w:tc>
          <w:tcPr>
            <w:tcW w:w="1308"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26</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25</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49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40</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44</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r>
      <w:tr w:rsidR="006E6AAA" w:rsidRPr="006E6AAA" w:rsidTr="00C8613A">
        <w:trPr>
          <w:trHeight w:val="300"/>
        </w:trPr>
        <w:tc>
          <w:tcPr>
            <w:tcW w:w="242" w:type="dxa"/>
            <w:tcBorders>
              <w:top w:val="nil"/>
              <w:left w:val="single" w:sz="4" w:space="0" w:color="auto"/>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Awdal region 2012</w:t>
            </w:r>
          </w:p>
        </w:tc>
        <w:tc>
          <w:tcPr>
            <w:tcW w:w="1308"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54</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49</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14</w:t>
            </w:r>
          </w:p>
        </w:tc>
        <w:tc>
          <w:tcPr>
            <w:tcW w:w="149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48</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50</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w:t>
            </w:r>
          </w:p>
        </w:tc>
      </w:tr>
      <w:tr w:rsidR="006E6AAA" w:rsidRPr="006E6AAA" w:rsidTr="00C8613A">
        <w:trPr>
          <w:trHeight w:val="300"/>
        </w:trPr>
        <w:tc>
          <w:tcPr>
            <w:tcW w:w="2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w:t>
            </w:r>
          </w:p>
        </w:tc>
        <w:tc>
          <w:tcPr>
            <w:tcW w:w="2547"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Togdheer region 2011</w:t>
            </w:r>
          </w:p>
        </w:tc>
        <w:tc>
          <w:tcPr>
            <w:tcW w:w="1308"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33</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27</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6</w:t>
            </w:r>
          </w:p>
        </w:tc>
        <w:tc>
          <w:tcPr>
            <w:tcW w:w="149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48</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33</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17</w:t>
            </w:r>
          </w:p>
        </w:tc>
      </w:tr>
      <w:tr w:rsidR="006E6AAA" w:rsidRPr="006E6AAA" w:rsidTr="00C8613A">
        <w:trPr>
          <w:trHeight w:val="300"/>
        </w:trPr>
        <w:tc>
          <w:tcPr>
            <w:tcW w:w="242" w:type="dxa"/>
            <w:tcBorders>
              <w:top w:val="nil"/>
              <w:left w:val="single" w:sz="4" w:space="0" w:color="auto"/>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Togdheer region 2012</w:t>
            </w:r>
          </w:p>
        </w:tc>
        <w:tc>
          <w:tcPr>
            <w:tcW w:w="1308"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31</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24</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14</w:t>
            </w:r>
          </w:p>
        </w:tc>
        <w:tc>
          <w:tcPr>
            <w:tcW w:w="149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36</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21</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11</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w:t>
            </w:r>
          </w:p>
        </w:tc>
        <w:tc>
          <w:tcPr>
            <w:tcW w:w="254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Sanaag region 2011</w:t>
            </w:r>
          </w:p>
        </w:tc>
        <w:tc>
          <w:tcPr>
            <w:tcW w:w="1308"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14</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13</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w:t>
            </w:r>
          </w:p>
        </w:tc>
        <w:tc>
          <w:tcPr>
            <w:tcW w:w="149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30</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29</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Sanaag region 2012</w:t>
            </w:r>
          </w:p>
        </w:tc>
        <w:tc>
          <w:tcPr>
            <w:tcW w:w="1308"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41</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33</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6</w:t>
            </w:r>
          </w:p>
        </w:tc>
        <w:tc>
          <w:tcPr>
            <w:tcW w:w="149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37</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25</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5</w:t>
            </w:r>
          </w:p>
        </w:tc>
        <w:tc>
          <w:tcPr>
            <w:tcW w:w="254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Sahil region 2011</w:t>
            </w:r>
          </w:p>
        </w:tc>
        <w:tc>
          <w:tcPr>
            <w:tcW w:w="1308"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26</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23</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49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29</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33</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r>
      <w:tr w:rsidR="006E6AAA" w:rsidRPr="006E6AAA" w:rsidTr="00C8613A">
        <w:trPr>
          <w:trHeight w:val="300"/>
        </w:trPr>
        <w:tc>
          <w:tcPr>
            <w:tcW w:w="242" w:type="dxa"/>
            <w:tcBorders>
              <w:top w:val="nil"/>
              <w:left w:val="single" w:sz="4" w:space="0" w:color="auto"/>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Sahil region 2012</w:t>
            </w:r>
          </w:p>
        </w:tc>
        <w:tc>
          <w:tcPr>
            <w:tcW w:w="1308"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30</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38</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49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29</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30</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6</w:t>
            </w:r>
          </w:p>
        </w:tc>
        <w:tc>
          <w:tcPr>
            <w:tcW w:w="254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Sool region 2011</w:t>
            </w:r>
          </w:p>
        </w:tc>
        <w:tc>
          <w:tcPr>
            <w:tcW w:w="1308"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49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r>
      <w:tr w:rsidR="006E6AAA" w:rsidRPr="006E6AAA" w:rsidTr="00C8613A">
        <w:trPr>
          <w:trHeight w:val="300"/>
        </w:trPr>
        <w:tc>
          <w:tcPr>
            <w:tcW w:w="242" w:type="dxa"/>
            <w:tcBorders>
              <w:top w:val="nil"/>
              <w:left w:val="single" w:sz="4" w:space="0" w:color="auto"/>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Sool region 2012</w:t>
            </w:r>
          </w:p>
        </w:tc>
        <w:tc>
          <w:tcPr>
            <w:tcW w:w="1308"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49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1051"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c>
          <w:tcPr>
            <w:tcW w:w="570" w:type="dxa"/>
            <w:tcBorders>
              <w:top w:val="nil"/>
              <w:left w:val="nil"/>
              <w:bottom w:val="single" w:sz="8"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1308"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291</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49</w:t>
            </w:r>
          </w:p>
        </w:tc>
        <w:tc>
          <w:tcPr>
            <w:tcW w:w="149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1051"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295</w:t>
            </w:r>
          </w:p>
        </w:tc>
        <w:tc>
          <w:tcPr>
            <w:tcW w:w="570"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44</w:t>
            </w:r>
          </w:p>
        </w:tc>
      </w:tr>
      <w:tr w:rsidR="006E6AAA" w:rsidRPr="006E6AAA" w:rsidTr="00C8613A">
        <w:trPr>
          <w:trHeight w:val="300"/>
        </w:trPr>
        <w:tc>
          <w:tcPr>
            <w:tcW w:w="242"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 </w:t>
            </w:r>
          </w:p>
        </w:tc>
        <w:tc>
          <w:tcPr>
            <w:tcW w:w="2547"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TOTALS</w:t>
            </w:r>
          </w:p>
        </w:tc>
        <w:tc>
          <w:tcPr>
            <w:tcW w:w="1308"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right"/>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359</w:t>
            </w:r>
          </w:p>
        </w:tc>
        <w:tc>
          <w:tcPr>
            <w:tcW w:w="1621" w:type="dxa"/>
            <w:gridSpan w:val="2"/>
            <w:tcBorders>
              <w:top w:val="single" w:sz="4" w:space="0" w:color="auto"/>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center"/>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340</w:t>
            </w:r>
          </w:p>
        </w:tc>
        <w:tc>
          <w:tcPr>
            <w:tcW w:w="1491"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right"/>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349</w:t>
            </w:r>
          </w:p>
        </w:tc>
        <w:tc>
          <w:tcPr>
            <w:tcW w:w="1621" w:type="dxa"/>
            <w:gridSpan w:val="2"/>
            <w:tcBorders>
              <w:top w:val="single" w:sz="4" w:space="0" w:color="auto"/>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center"/>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339</w:t>
            </w:r>
          </w:p>
        </w:tc>
      </w:tr>
    </w:tbl>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t>Given the lack of consolidated statistics on the type of cases filed by MC, reference will be made to the 2011 “</w:t>
      </w:r>
      <w:r w:rsidRPr="006E6AAA">
        <w:rPr>
          <w:rFonts w:ascii="Calibri" w:eastAsia="Times New Roman" w:hAnsi="Calibri" w:cs="Calibri"/>
          <w:i/>
          <w:color w:val="000000"/>
          <w:lang w:eastAsia="it-IT"/>
        </w:rPr>
        <w:t>MC review workshop</w:t>
      </w:r>
      <w:r w:rsidRPr="006E6AAA">
        <w:rPr>
          <w:rFonts w:ascii="Calibri" w:eastAsia="Times New Roman" w:hAnsi="Calibri" w:cs="Calibri"/>
          <w:color w:val="000000"/>
          <w:lang w:eastAsia="it-IT"/>
        </w:rPr>
        <w:t>” where all presidents of the 5 regions were asked to list the most recurrent cases in their jurisdictions, as illustrated below.</w:t>
      </w:r>
    </w:p>
    <w:p w:rsidR="006E6AAA" w:rsidRPr="006E6AAA" w:rsidRDefault="006E6AAA" w:rsidP="006E6AAA">
      <w:pPr>
        <w:numPr>
          <w:ilvl w:val="0"/>
          <w:numId w:val="44"/>
        </w:numPr>
        <w:autoSpaceDE w:val="0"/>
        <w:autoSpaceDN w:val="0"/>
        <w:adjustRightInd w:val="0"/>
        <w:spacing w:after="0" w:line="280" w:lineRule="exact"/>
        <w:jc w:val="both"/>
        <w:rPr>
          <w:rFonts w:ascii="Calibri" w:eastAsia="Times New Roman" w:hAnsi="Calibri" w:cs="Maiandra GD"/>
          <w:i/>
          <w:color w:val="000000"/>
          <w:lang w:eastAsia="it-IT"/>
        </w:rPr>
      </w:pPr>
      <w:r w:rsidRPr="006E6AAA">
        <w:rPr>
          <w:rFonts w:ascii="Calibri" w:eastAsia="Times New Roman" w:hAnsi="Calibri" w:cs="Maiandra GD"/>
          <w:b/>
          <w:color w:val="000000"/>
          <w:lang w:eastAsia="it-IT"/>
        </w:rPr>
        <w:t>“</w:t>
      </w:r>
      <w:r w:rsidRPr="006E6AAA">
        <w:rPr>
          <w:rFonts w:ascii="Calibri" w:eastAsia="Times New Roman" w:hAnsi="Calibri" w:cs="Maiandra GD"/>
          <w:b/>
          <w:i/>
          <w:color w:val="000000"/>
          <w:lang w:eastAsia="it-IT"/>
        </w:rPr>
        <w:t>Sahil:</w:t>
      </w:r>
      <w:r w:rsidRPr="006E6AAA">
        <w:rPr>
          <w:rFonts w:ascii="Calibri" w:eastAsia="Times New Roman" w:hAnsi="Calibri" w:cs="Maiandra GD"/>
          <w:i/>
          <w:color w:val="000000"/>
          <w:lang w:eastAsia="it-IT"/>
        </w:rPr>
        <w:t xml:space="preserve"> Mostly criminal cases about murder, terrorism, piracy and rape and also civil cases. </w:t>
      </w:r>
    </w:p>
    <w:p w:rsidR="006E6AAA" w:rsidRPr="006E6AAA" w:rsidRDefault="006E6AAA" w:rsidP="006E6AAA">
      <w:pPr>
        <w:numPr>
          <w:ilvl w:val="0"/>
          <w:numId w:val="44"/>
        </w:numPr>
        <w:autoSpaceDE w:val="0"/>
        <w:autoSpaceDN w:val="0"/>
        <w:adjustRightInd w:val="0"/>
        <w:spacing w:after="0" w:line="280" w:lineRule="exact"/>
        <w:jc w:val="both"/>
        <w:rPr>
          <w:rFonts w:ascii="Calibri" w:eastAsia="Times New Roman" w:hAnsi="Calibri" w:cs="Maiandra GD"/>
          <w:i/>
          <w:color w:val="000000"/>
          <w:lang w:eastAsia="it-IT"/>
        </w:rPr>
      </w:pPr>
      <w:r w:rsidRPr="006E6AAA">
        <w:rPr>
          <w:rFonts w:ascii="Calibri" w:eastAsia="Times New Roman" w:hAnsi="Calibri" w:cs="Calibri"/>
          <w:b/>
          <w:i/>
          <w:color w:val="000000"/>
          <w:lang w:eastAsia="it-IT"/>
        </w:rPr>
        <w:lastRenderedPageBreak/>
        <w:t>Togheer:</w:t>
      </w:r>
      <w:r w:rsidRPr="006E6AAA">
        <w:rPr>
          <w:rFonts w:ascii="Calibri" w:eastAsia="Times New Roman" w:hAnsi="Calibri" w:cs="Calibri"/>
          <w:i/>
          <w:color w:val="000000"/>
          <w:lang w:eastAsia="it-IT"/>
        </w:rPr>
        <w:t xml:space="preserve">  Most of the cases we concluded were rape, land and farms dispute.</w:t>
      </w:r>
    </w:p>
    <w:p w:rsidR="006E6AAA" w:rsidRPr="006E6AAA" w:rsidRDefault="006E6AAA" w:rsidP="006E6AAA">
      <w:pPr>
        <w:numPr>
          <w:ilvl w:val="0"/>
          <w:numId w:val="44"/>
        </w:numPr>
        <w:autoSpaceDE w:val="0"/>
        <w:autoSpaceDN w:val="0"/>
        <w:adjustRightInd w:val="0"/>
        <w:spacing w:after="0" w:line="280" w:lineRule="exact"/>
        <w:jc w:val="both"/>
        <w:rPr>
          <w:rFonts w:ascii="Calibri" w:eastAsia="Times New Roman" w:hAnsi="Calibri" w:cs="Maiandra GD"/>
          <w:i/>
          <w:color w:val="000000"/>
          <w:lang w:eastAsia="it-IT"/>
        </w:rPr>
      </w:pPr>
      <w:r w:rsidRPr="006E6AAA">
        <w:rPr>
          <w:rFonts w:ascii="Calibri" w:eastAsia="Times New Roman" w:hAnsi="Calibri" w:cs="Calibri"/>
          <w:b/>
          <w:i/>
          <w:color w:val="000000"/>
          <w:lang w:eastAsia="it-IT"/>
        </w:rPr>
        <w:t>Awadal:</w:t>
      </w:r>
      <w:r w:rsidRPr="006E6AAA">
        <w:rPr>
          <w:rFonts w:ascii="Calibri" w:eastAsia="Times New Roman" w:hAnsi="Calibri" w:cs="Calibri"/>
          <w:i/>
          <w:color w:val="000000"/>
          <w:lang w:eastAsia="it-IT"/>
        </w:rPr>
        <w:t xml:space="preserve">  Mostly criminal, such as rape, theft, serious hurts and robbery, mostly the parties were children, women, IDP</w:t>
      </w:r>
      <w:r w:rsidRPr="006E6AAA">
        <w:rPr>
          <w:rFonts w:ascii="Calibri" w:eastAsia="Times New Roman" w:hAnsi="Calibri" w:cs="Arial"/>
          <w:i/>
          <w:color w:val="000000"/>
          <w:lang w:eastAsia="it-IT"/>
        </w:rPr>
        <w:t>s</w:t>
      </w:r>
      <w:r w:rsidRPr="006E6AAA">
        <w:rPr>
          <w:rFonts w:ascii="Calibri" w:eastAsia="Times New Roman" w:hAnsi="Calibri" w:cs="Calibri"/>
          <w:i/>
          <w:color w:val="000000"/>
          <w:lang w:eastAsia="it-IT"/>
        </w:rPr>
        <w:t xml:space="preserve">, minorities and persons with disabilities. </w:t>
      </w:r>
    </w:p>
    <w:p w:rsidR="006E6AAA" w:rsidRPr="006E6AAA" w:rsidRDefault="006E6AAA" w:rsidP="006E6AAA">
      <w:pPr>
        <w:numPr>
          <w:ilvl w:val="0"/>
          <w:numId w:val="44"/>
        </w:numPr>
        <w:autoSpaceDE w:val="0"/>
        <w:autoSpaceDN w:val="0"/>
        <w:adjustRightInd w:val="0"/>
        <w:spacing w:after="0" w:line="280" w:lineRule="exact"/>
        <w:jc w:val="both"/>
        <w:rPr>
          <w:rFonts w:ascii="Calibri" w:eastAsia="Times New Roman" w:hAnsi="Calibri" w:cs="Maiandra GD"/>
          <w:i/>
          <w:color w:val="000000"/>
          <w:lang w:eastAsia="it-IT"/>
        </w:rPr>
      </w:pPr>
      <w:r w:rsidRPr="006E6AAA">
        <w:rPr>
          <w:rFonts w:ascii="Calibri" w:eastAsia="Times New Roman" w:hAnsi="Calibri" w:cs="Calibri"/>
          <w:b/>
          <w:i/>
          <w:color w:val="000000"/>
          <w:lang w:eastAsia="it-IT"/>
        </w:rPr>
        <w:t>Saanag:</w:t>
      </w:r>
      <w:r w:rsidRPr="006E6AAA">
        <w:rPr>
          <w:rFonts w:ascii="Calibri" w:eastAsia="Times New Roman" w:hAnsi="Calibri" w:cs="Calibri"/>
          <w:i/>
          <w:color w:val="000000"/>
          <w:lang w:eastAsia="it-IT"/>
        </w:rPr>
        <w:t xml:space="preserve">  Cases were mostly concerned about children, illegal immigrants, women and minorities </w:t>
      </w:r>
    </w:p>
    <w:p w:rsidR="006E6AAA" w:rsidRPr="006E6AAA" w:rsidRDefault="006E6AAA" w:rsidP="006E6AAA">
      <w:pPr>
        <w:numPr>
          <w:ilvl w:val="0"/>
          <w:numId w:val="44"/>
        </w:numPr>
        <w:autoSpaceDE w:val="0"/>
        <w:autoSpaceDN w:val="0"/>
        <w:adjustRightInd w:val="0"/>
        <w:spacing w:after="0" w:line="280" w:lineRule="exact"/>
        <w:jc w:val="both"/>
        <w:rPr>
          <w:rFonts w:ascii="Calibri" w:eastAsia="Times New Roman" w:hAnsi="Calibri" w:cs="Maiandra GD"/>
          <w:color w:val="000000"/>
          <w:lang w:eastAsia="it-IT"/>
        </w:rPr>
      </w:pPr>
      <w:r w:rsidRPr="006E6AAA">
        <w:rPr>
          <w:rFonts w:ascii="Calibri" w:eastAsia="Times New Roman" w:hAnsi="Calibri" w:cs="Calibri"/>
          <w:b/>
          <w:i/>
          <w:color w:val="000000"/>
          <w:lang w:eastAsia="it-IT"/>
        </w:rPr>
        <w:t>Hargeisa:</w:t>
      </w:r>
      <w:r w:rsidRPr="006E6AAA">
        <w:rPr>
          <w:rFonts w:ascii="Calibri" w:eastAsia="Times New Roman" w:hAnsi="Calibri" w:cs="Calibri"/>
          <w:i/>
          <w:color w:val="000000"/>
          <w:lang w:eastAsia="it-IT"/>
        </w:rPr>
        <w:t xml:space="preserve">  Cases were both criminal and civil, although most of the cases were criminal. We had around 60 cases of alcohol smuggling from Ethiopia; often these cases involve pregnant women as the criminals use them as couriers, because they face milder charges if arrested</w:t>
      </w:r>
      <w:r w:rsidRPr="006E6AAA">
        <w:rPr>
          <w:rFonts w:ascii="Calibri" w:eastAsia="Times New Roman" w:hAnsi="Calibri" w:cs="Calibri"/>
          <w:color w:val="000000"/>
          <w:lang w:eastAsia="it-IT"/>
        </w:rPr>
        <w:t>”.</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target of </w:t>
      </w:r>
      <w:r w:rsidRPr="006E6AAA">
        <w:rPr>
          <w:rFonts w:ascii="Calibri" w:eastAsia="Times New Roman" w:hAnsi="Calibri" w:cs="Times New Roman"/>
          <w:b/>
          <w:lang w:eastAsia="da-DK"/>
        </w:rPr>
        <w:t>8 legal awareness sessions per month carried out by MC teams</w:t>
      </w:r>
      <w:r w:rsidRPr="006E6AAA">
        <w:rPr>
          <w:rFonts w:ascii="Calibri" w:eastAsia="Times New Roman" w:hAnsi="Calibri" w:cs="Times New Roman"/>
          <w:lang w:eastAsia="da-DK"/>
        </w:rPr>
        <w:t xml:space="preserve"> can not be assessed, because of lack of related data.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During the 18 monitoring missions carried out by UNDP staff in the framework of the Baseline Study, mobile court staff conducted community legal awareness activities during four visits. These sessions included information on</w:t>
      </w:r>
      <w:r w:rsidRPr="006E6AAA">
        <w:rPr>
          <w:rFonts w:ascii="Calibri" w:eastAsia="Times New Roman" w:hAnsi="Calibri" w:cs="Times New Roman"/>
          <w:color w:val="FF0000"/>
          <w:lang w:val="en-GB" w:eastAsia="da-DK"/>
        </w:rPr>
        <w:t xml:space="preserve"> </w:t>
      </w:r>
      <w:r w:rsidRPr="006E6AAA">
        <w:rPr>
          <w:rFonts w:ascii="Calibri" w:eastAsia="Times New Roman" w:hAnsi="Calibri" w:cs="Times New Roman"/>
          <w:lang w:val="en-GB" w:eastAsia="da-DK"/>
        </w:rPr>
        <w:t xml:space="preserve">basic human rights, the right to a lawyer and legal aid.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It’s worth noting that according to UNDP A2J officers, </w:t>
      </w:r>
      <w:r w:rsidRPr="006E6AAA">
        <w:rPr>
          <w:rFonts w:ascii="Calibri" w:eastAsia="Times New Roman" w:hAnsi="Calibri" w:cs="Times New Roman"/>
          <w:lang w:val="en-GB" w:eastAsia="da-DK"/>
        </w:rPr>
        <w:t>MCs are often not reporting the legal advices they frequently give, so some of their achievements remain unreported.</w:t>
      </w:r>
      <w:r w:rsidRPr="006E6AAA">
        <w:rPr>
          <w:rFonts w:ascii="Calibri" w:eastAsia="Times New Roman" w:hAnsi="Calibri" w:cs="Times New Roman"/>
          <w:color w:val="FF0000"/>
          <w:lang w:eastAsia="da-DK"/>
        </w:rPr>
        <w:t xml:space="preserve"> </w:t>
      </w:r>
      <w:r w:rsidRPr="006E6AAA">
        <w:rPr>
          <w:rFonts w:ascii="Calibri" w:eastAsia="Times New Roman" w:hAnsi="Calibri" w:cs="Times New Roman"/>
          <w:lang w:eastAsia="da-DK"/>
        </w:rPr>
        <w:t>The monitoring tools described in § 2.1 could address this gap by including a specific indicator, at least to capture clusters of issues that are raised.</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Under a different LoA, the Faculty of Law of the University of Hargeisa, achieved remarkable results in delivering legal awareness sessions on MC.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 2012, 4 sessions of 7 days each were organised in the Districts of Hargeisa, Boroma and Berbera. Indicatively 40 LLB senior students participated in the programme and visited numerous villages in these 3 districts to deliver short awareness raising sessions explaining to the population the role of a MC and how its services can be accessed.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Involving law students to raise awareness on MC is an excellent initiative that shows exemplary intra-project coordination.</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impact of the sessions could be further strengthened if they were organised in closer coordination with the MC, for example by holding the sessions a few days before the arrival of a MC court in a village, so that people would be facilitated in accessing its services. The expansion of this activity, eventually in coordination with the paralegal network of court monitors discussed above, is strongly recommended.</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2.3</w:t>
      </w:r>
      <w:r w:rsidRPr="006E6AAA">
        <w:rPr>
          <w:rFonts w:ascii="Calibri" w:eastAsia="Times New Roman" w:hAnsi="Calibri" w:cs="Times New Roman"/>
          <w:b/>
          <w:lang w:eastAsia="da-DK"/>
        </w:rPr>
        <w:t>. Challenges in the implementation of a fair trial</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ArialNarrow"/>
          <w:lang w:eastAsia="it-IT"/>
        </w:rPr>
      </w:pPr>
      <w:r w:rsidRPr="006E6AAA">
        <w:rPr>
          <w:rFonts w:ascii="Calibri" w:eastAsia="Times New Roman" w:hAnsi="Calibri" w:cs="Times New Roman"/>
          <w:lang w:val="en-GB" w:eastAsia="da-DK"/>
        </w:rPr>
        <w:t>The present paragraph will provide a brief analysis of the achieved results in the light of basic fair trial standards and UNDP’s mandate, while acknowledging the strong inter-linkages between the formal and informal legal system.</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i/>
          <w:color w:val="000080"/>
          <w:lang w:val="en-GB" w:eastAsia="da-DK"/>
        </w:rPr>
      </w:pPr>
      <w:r w:rsidRPr="006E6AAA">
        <w:rPr>
          <w:rFonts w:ascii="Calibri" w:eastAsia="Times New Roman" w:hAnsi="Calibri" w:cs="Times New Roman"/>
          <w:b/>
          <w:i/>
          <w:color w:val="000080"/>
          <w:lang w:val="en-GB" w:eastAsia="da-DK"/>
        </w:rPr>
        <w:t>Legal representation</w:t>
      </w:r>
    </w:p>
    <w:p w:rsidR="006E6AAA" w:rsidRPr="006E6AAA" w:rsidRDefault="006E6AAA" w:rsidP="006E6AAA">
      <w:pPr>
        <w:spacing w:after="0" w:line="280" w:lineRule="exact"/>
        <w:jc w:val="both"/>
        <w:rPr>
          <w:rFonts w:ascii="Calibri" w:eastAsia="Times New Roman" w:hAnsi="Calibri" w:cs="Times New Roman"/>
          <w:b/>
          <w:i/>
          <w:color w:val="000080"/>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current MC LoA provides that “</w:t>
      </w:r>
      <w:r w:rsidRPr="006E6AAA">
        <w:rPr>
          <w:rFonts w:ascii="Calibri" w:eastAsia="Times New Roman" w:hAnsi="Calibri" w:cs="Times New Roman"/>
          <w:i/>
          <w:lang w:val="en-GB" w:eastAsia="da-DK"/>
        </w:rPr>
        <w:t>The mobile court shall ensure that they are accompanied by a lawyer representing the remanded prisoner</w:t>
      </w:r>
      <w:r w:rsidRPr="006E6AAA">
        <w:rPr>
          <w:rFonts w:ascii="Calibri" w:eastAsia="Times New Roman" w:hAnsi="Calibri" w:cs="Times New Roman"/>
          <w:lang w:val="en-GB" w:eastAsia="da-DK"/>
        </w:rPr>
        <w:t xml:space="preserve">”, however statistics reflecting the number of defence lawyers who have taken part in MC hearings are not available.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 Bar Association is not yet established in Somaliland, but SOLLA is an association representing 130 lawyers (80% of which work in Hargeisa) that is unofficially recognised as a Bar Association, although its mandate is strongly focussed on the representation of the accused.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Somaliland also developed a legal aid scheme for serious crimes supported by the government</w:t>
      </w:r>
      <w:r w:rsidRPr="006E6AAA">
        <w:rPr>
          <w:rFonts w:ascii="Calibri" w:eastAsia="Times New Roman" w:hAnsi="Calibri" w:cs="Times New Roman"/>
          <w:vertAlign w:val="superscript"/>
          <w:lang w:val="en-GB" w:eastAsia="da-DK"/>
        </w:rPr>
        <w:footnoteReference w:id="120"/>
      </w:r>
      <w:r w:rsidRPr="006E6AAA">
        <w:rPr>
          <w:rFonts w:ascii="Calibri" w:eastAsia="Times New Roman" w:hAnsi="Calibri" w:cs="Times New Roman"/>
          <w:lang w:val="en-GB" w:eastAsia="da-DK"/>
        </w:rPr>
        <w:t>.  In addition UNDP is supporting a Legal Aid Unit in the MOJ that mainly plays a role in coordination of legal aid, including ensuring that the lawyers are present for serious crimes to fulfil the constitutional mandate. Future plans include the development of the Unit into a publicly funded legal aid commission or public defenders office.</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Interviewed persons and some reports reveal that </w:t>
      </w:r>
      <w:r w:rsidRPr="006E6AAA">
        <w:rPr>
          <w:rFonts w:ascii="Calibri" w:eastAsia="Times New Roman" w:hAnsi="Calibri" w:cs="Times New Roman"/>
          <w:b/>
          <w:lang w:val="en-GB" w:eastAsia="da-DK"/>
        </w:rPr>
        <w:t>the presence of a defence lawyer is not always ensured during MC hearings</w:t>
      </w:r>
      <w:r w:rsidRPr="006E6AAA">
        <w:rPr>
          <w:rFonts w:ascii="Calibri" w:eastAsia="Times New Roman" w:hAnsi="Calibri" w:cs="Times New Roman"/>
          <w:lang w:val="en-GB" w:eastAsia="da-DK"/>
        </w:rPr>
        <w:t>. For example one of the Gabiley monitoring reports indicates that “</w:t>
      </w:r>
      <w:r w:rsidRPr="006E6AAA">
        <w:rPr>
          <w:rFonts w:ascii="Calibri" w:eastAsia="Times New Roman" w:hAnsi="Calibri" w:cs="Times New Roman"/>
          <w:i/>
          <w:lang w:eastAsia="da-DK"/>
        </w:rPr>
        <w:t>there are 8 criminal cases, (5 cases of alcohol smuggling and 3 rape cases) unfortunately there was no lawyer for all these cases. These four women were sentenced to three years and fine of 3 million S/L. shillings, two of them delivered babies in the prison, the other was 9 months pregnant and the 4</w:t>
      </w:r>
      <w:r w:rsidRPr="006E6AAA">
        <w:rPr>
          <w:rFonts w:ascii="Calibri" w:eastAsia="Times New Roman" w:hAnsi="Calibri" w:cs="Times New Roman"/>
          <w:i/>
          <w:vertAlign w:val="superscript"/>
          <w:lang w:eastAsia="da-DK"/>
        </w:rPr>
        <w:t>th</w:t>
      </w:r>
      <w:r w:rsidRPr="006E6AAA">
        <w:rPr>
          <w:rFonts w:ascii="Calibri" w:eastAsia="Times New Roman" w:hAnsi="Calibri" w:cs="Times New Roman"/>
          <w:i/>
          <w:lang w:eastAsia="da-DK"/>
        </w:rPr>
        <w:t xml:space="preserve"> one was of old age about 70 years old</w:t>
      </w:r>
      <w:r w:rsidRPr="006E6AAA">
        <w:rPr>
          <w:rFonts w:ascii="Calibri" w:eastAsia="Times New Roman" w:hAnsi="Calibri" w:cs="Times New Roman"/>
          <w:lang w:eastAsia="da-DK"/>
        </w:rPr>
        <w:t xml:space="preserve">” </w:t>
      </w:r>
      <w:r w:rsidRPr="006E6AAA">
        <w:rPr>
          <w:rFonts w:ascii="Calibri" w:eastAsia="Times New Roman" w:hAnsi="Calibri" w:cs="Times New Roman"/>
          <w:vertAlign w:val="superscript"/>
          <w:lang w:eastAsia="da-DK"/>
        </w:rPr>
        <w:footnoteReference w:id="121"/>
      </w:r>
      <w:r w:rsidRPr="006E6AAA">
        <w:rPr>
          <w:rFonts w:ascii="Calibri" w:eastAsia="Times New Roman" w:hAnsi="Calibri" w:cs="Times New Roman"/>
          <w:lang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The Advisor to the Prosecution office in Hargeisa</w:t>
      </w:r>
      <w:r w:rsidRPr="006E6AAA">
        <w:rPr>
          <w:rFonts w:ascii="Calibri" w:eastAsia="Times New Roman" w:hAnsi="Calibri" w:cs="Times New Roman"/>
          <w:color w:val="0000FF"/>
          <w:lang w:eastAsia="da-DK"/>
        </w:rPr>
        <w:t xml:space="preserve"> </w:t>
      </w:r>
      <w:r w:rsidRPr="006E6AAA">
        <w:rPr>
          <w:rFonts w:ascii="Calibri" w:eastAsia="Times New Roman" w:hAnsi="Calibri" w:cs="Times New Roman"/>
          <w:lang w:eastAsia="da-DK"/>
        </w:rPr>
        <w:t>confirmed that a defense lawyer</w:t>
      </w:r>
      <w:r w:rsidRPr="006E6AAA">
        <w:rPr>
          <w:rFonts w:ascii="Calibri" w:eastAsia="Times New Roman" w:hAnsi="Calibri" w:cs="Times New Roman"/>
          <w:lang w:val="en-GB" w:eastAsia="da-DK"/>
        </w:rPr>
        <w:t xml:space="preserve"> is not always present and admits that some cases (not the most serious) are decided without lawyer. A judge on the contrary reports that in such cases the hearing is postponed.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Also the Baseline study points out, with reference to 18 MC monitoring missions, that: “</w:t>
      </w:r>
      <w:r w:rsidRPr="006E6AAA">
        <w:rPr>
          <w:rFonts w:ascii="Calibri" w:eastAsia="Times New Roman" w:hAnsi="Calibri" w:cs="Times New Roman"/>
          <w:i/>
          <w:lang w:val="en-GB" w:eastAsia="da-DK"/>
        </w:rPr>
        <w:t>the lack of a legal aid lawyer at most hearings has meant many vulnerable people have participated in the formal legal process without legal assistance</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To be noted that in all 5 trials observed during the evaluation mission the accused persons where represented by lawyers and paralegals.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UNDP is supporting, with remarkable results (18.000 legal aid cases in 2012), the development of legal aid in Somaliland. This component is disciplined by a distinct letter of agreement with SOLLA, that includes the engagement of 12 lawyers to participate in MC hearings, upon request of the courts.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Interviews with SOLLA lawyers revealed some challenges in the coordination of the 2 LoAs. The Supreme Court LoA engages the Judiciary to ensure the presence of defence lawyers in MC sessions and the SOLLA LoA engages 12 lawyers to participate in the MC hearings, however</w:t>
      </w:r>
      <w:r w:rsidRPr="006E6AAA">
        <w:rPr>
          <w:rFonts w:ascii="Calibri" w:eastAsia="Times New Roman" w:hAnsi="Calibri" w:cs="Maiandra GD"/>
          <w:color w:val="000000"/>
          <w:lang w:eastAsia="it-IT"/>
        </w:rPr>
        <w:t xml:space="preserve"> the lack of a “</w:t>
      </w:r>
      <w:r w:rsidRPr="006E6AAA">
        <w:rPr>
          <w:rFonts w:ascii="Calibri" w:eastAsia="Times New Roman" w:hAnsi="Calibri" w:cs="Maiandra GD"/>
          <w:i/>
          <w:color w:val="000000"/>
          <w:lang w:eastAsia="it-IT"/>
        </w:rPr>
        <w:t>technical plan on the how the Mobile Courts and legal aid projects worked together</w:t>
      </w:r>
      <w:r w:rsidRPr="006E6AAA">
        <w:rPr>
          <w:rFonts w:ascii="Calibri" w:eastAsia="Times New Roman" w:hAnsi="Calibri" w:cs="Maiandra GD"/>
          <w:color w:val="000000"/>
          <w:lang w:eastAsia="it-IT"/>
        </w:rPr>
        <w:t>” has reduced the effectiveness of the initiative,</w:t>
      </w:r>
      <w:r w:rsidRPr="006E6AAA">
        <w:rPr>
          <w:rFonts w:ascii="Calibri" w:eastAsia="Times New Roman" w:hAnsi="Calibri" w:cs="Times New Roman"/>
          <w:lang w:val="en-GB" w:eastAsia="da-DK"/>
        </w:rPr>
        <w:t xml:space="preserve"> as highlighted by the Chief Justice in one of the MC review workshops</w:t>
      </w:r>
      <w:r w:rsidRPr="006E6AAA">
        <w:rPr>
          <w:rFonts w:ascii="Calibri" w:eastAsia="Times New Roman" w:hAnsi="Calibri" w:cs="Maiandra GD"/>
          <w:color w:val="000000"/>
          <w:vertAlign w:val="superscript"/>
          <w:lang w:eastAsia="it-IT"/>
        </w:rPr>
        <w:t xml:space="preserve"> </w:t>
      </w:r>
      <w:r w:rsidRPr="006E6AAA">
        <w:rPr>
          <w:rFonts w:ascii="Calibri" w:eastAsia="Times New Roman" w:hAnsi="Calibri" w:cs="Maiandra GD"/>
          <w:color w:val="000000"/>
          <w:vertAlign w:val="superscript"/>
          <w:lang w:eastAsia="it-IT"/>
        </w:rPr>
        <w:footnoteReference w:id="122"/>
      </w:r>
      <w:r w:rsidRPr="006E6AAA">
        <w:rPr>
          <w:rFonts w:ascii="Calibri" w:eastAsia="Times New Roman" w:hAnsi="Calibri" w:cs="Maiandra GD"/>
          <w:color w:val="000000"/>
          <w:lang w:eastAsia="it-IT"/>
        </w:rPr>
        <w:t xml:space="preserve">. </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 suggested solution proposed by the Judiciary is to “</w:t>
      </w:r>
      <w:r w:rsidRPr="006E6AAA">
        <w:rPr>
          <w:rFonts w:ascii="Calibri" w:eastAsia="Times New Roman" w:hAnsi="Calibri" w:cs="Times New Roman"/>
          <w:i/>
          <w:lang w:val="en-GB" w:eastAsia="da-DK"/>
        </w:rPr>
        <w:t>prepare weekly schedules from mobile court focal points which can be shared with SOLLA so lawyers can plan</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b/>
          <w:i/>
          <w:color w:val="000080"/>
          <w:lang w:val="en-GB" w:eastAsia="da-DK"/>
        </w:rPr>
      </w:pPr>
    </w:p>
    <w:p w:rsidR="006E6AAA" w:rsidRPr="006E6AAA" w:rsidRDefault="006E6AAA" w:rsidP="006E6AAA">
      <w:pPr>
        <w:spacing w:after="0" w:line="280" w:lineRule="exact"/>
        <w:jc w:val="both"/>
        <w:rPr>
          <w:rFonts w:ascii="Calibri" w:eastAsia="Times New Roman" w:hAnsi="Calibri" w:cs="Times New Roman"/>
          <w:i/>
          <w:color w:val="000080"/>
          <w:lang w:val="en-GB" w:eastAsia="da-DK"/>
        </w:rPr>
      </w:pPr>
      <w:r w:rsidRPr="006E6AAA">
        <w:rPr>
          <w:rFonts w:ascii="Calibri" w:eastAsia="Times New Roman" w:hAnsi="Calibri" w:cs="Times New Roman"/>
          <w:b/>
          <w:i/>
          <w:color w:val="000080"/>
          <w:lang w:val="en-GB" w:eastAsia="da-DK"/>
        </w:rPr>
        <w:t>Legal awareness</w:t>
      </w:r>
      <w:r w:rsidRPr="006E6AAA">
        <w:rPr>
          <w:rFonts w:ascii="Calibri" w:eastAsia="Times New Roman" w:hAnsi="Calibri" w:cs="Times New Roman"/>
          <w:i/>
          <w:color w:val="000080"/>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One of the challenges faced by the MC system is the limited knowledge of legal rights by the population, and particularity vulnerable groups as women.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One of the Prosecutors in Hargeisa highlighted that “</w:t>
      </w:r>
      <w:r w:rsidRPr="006E6AAA">
        <w:rPr>
          <w:rFonts w:ascii="Calibri" w:eastAsia="Times New Roman" w:hAnsi="Calibri" w:cs="Times New Roman"/>
          <w:i/>
          <w:lang w:val="en-GB" w:eastAsia="da-DK"/>
        </w:rPr>
        <w:t>the population do not perceive the 3 different parties of a case, but they think all MC team members are judges</w:t>
      </w:r>
      <w:r w:rsidRPr="006E6AAA">
        <w:rPr>
          <w:rFonts w:ascii="Calibri" w:eastAsia="Times New Roman" w:hAnsi="Calibri" w:cs="Times New Roman"/>
          <w:lang w:val="en-GB" w:eastAsia="da-DK"/>
        </w:rPr>
        <w:t>” and recommended to organise more awareness raising sessions and eventually ensure that the “</w:t>
      </w:r>
      <w:r w:rsidRPr="006E6AAA">
        <w:rPr>
          <w:rFonts w:ascii="Calibri" w:eastAsia="Times New Roman" w:hAnsi="Calibri" w:cs="Times New Roman"/>
          <w:i/>
          <w:lang w:val="en-GB" w:eastAsia="da-DK"/>
        </w:rPr>
        <w:t>Know your rights session</w:t>
      </w:r>
      <w:r w:rsidRPr="006E6AAA">
        <w:rPr>
          <w:rFonts w:ascii="Calibri" w:eastAsia="Times New Roman" w:hAnsi="Calibri" w:cs="Times New Roman"/>
          <w:lang w:val="en-GB" w:eastAsia="da-DK"/>
        </w:rPr>
        <w:t>” on the radio would include a discussion on MC.</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The president of the Sahil Regional Court alerted that “</w:t>
      </w:r>
      <w:r w:rsidRPr="006E6AAA">
        <w:rPr>
          <w:rFonts w:ascii="Calibri" w:eastAsia="Times New Roman" w:hAnsi="Calibri" w:cs="Times New Roman"/>
          <w:i/>
          <w:lang w:val="en-GB" w:eastAsia="da-DK"/>
        </w:rPr>
        <w:t>When a mobile team goes to the site the people think they are coming to make money from the people</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23"/>
      </w:r>
      <w:r w:rsidRPr="006E6AAA">
        <w:rPr>
          <w:rFonts w:ascii="Calibri" w:eastAsia="Times New Roman" w:hAnsi="Calibri" w:cs="Times New Roman"/>
          <w:lang w:val="en-GB" w:eastAsia="da-DK"/>
        </w:rPr>
        <w:t>. One of the participants in the Puntland MC review workshop reported that “</w:t>
      </w:r>
      <w:r w:rsidRPr="006E6AAA">
        <w:rPr>
          <w:rFonts w:ascii="Calibri" w:eastAsia="Times New Roman" w:hAnsi="Calibri" w:cs="Times New Roman"/>
          <w:i/>
          <w:lang w:val="en-GB" w:eastAsia="da-DK"/>
        </w:rPr>
        <w:t>People in villages at times do not even understand who a prosecutor is and get bewildered that a stranger is coming to accuse him in front of his peers and community</w:t>
      </w:r>
      <w:r w:rsidRPr="006E6AAA">
        <w:rPr>
          <w:rFonts w:ascii="Calibri" w:eastAsia="Times New Roman" w:hAnsi="Calibri" w:cs="Times New Roman"/>
          <w:lang w:val="en-GB" w:eastAsia="da-DK"/>
        </w:rPr>
        <w:t xml:space="preserve">” </w:t>
      </w:r>
      <w:r w:rsidRPr="006E6AAA">
        <w:rPr>
          <w:rFonts w:ascii="Calibri" w:eastAsia="Times New Roman" w:hAnsi="Calibri" w:cs="Times New Roman"/>
          <w:vertAlign w:val="superscript"/>
          <w:lang w:val="en-GB" w:eastAsia="da-DK"/>
        </w:rPr>
        <w:footnoteReference w:id="124"/>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Best practices for other CO show that paralegalism is an effective tool to increase legal awareness among the population</w:t>
      </w:r>
      <w:r w:rsidRPr="006E6AAA">
        <w:rPr>
          <w:rFonts w:ascii="Calibri" w:eastAsia="Times New Roman" w:hAnsi="Calibri" w:cs="Times New Roman"/>
          <w:vertAlign w:val="superscript"/>
          <w:lang w:val="en-GB" w:eastAsia="da-DK"/>
        </w:rPr>
        <w:footnoteReference w:id="125"/>
      </w:r>
      <w:r w:rsidRPr="006E6AAA">
        <w:rPr>
          <w:rFonts w:ascii="Calibri" w:eastAsia="Times New Roman" w:hAnsi="Calibri" w:cs="Times New Roman"/>
          <w:lang w:val="en-GB" w:eastAsia="da-DK"/>
        </w:rPr>
        <w:t>. The positive impact of a community based network on MC is demonstrated by the success of the MC pilot-project in Mogadishu where, as illustrated in § 2.2, community leaders from the IDP camps conduct awareness raising on mobile courts, organize the court sessions and refer cases.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Conversely several key programmatic documents mention support to paralegalism as a priority objective for the coming years. For example Point 5.8 of the Justice Strategy aims at “</w:t>
      </w:r>
      <w:r w:rsidRPr="006E6AAA">
        <w:rPr>
          <w:rFonts w:ascii="Calibri" w:eastAsia="Times New Roman" w:hAnsi="Calibri" w:cs="Times New Roman"/>
          <w:i/>
          <w:lang w:val="en-GB" w:eastAsia="da-DK"/>
        </w:rPr>
        <w:t>supporting and encouraging the establishment of a Para-legal, justice focused community activists and organizations coalition</w:t>
      </w:r>
      <w:r w:rsidRPr="006E6AAA">
        <w:rPr>
          <w:rFonts w:ascii="Calibri" w:eastAsia="Times New Roman" w:hAnsi="Calibri" w:cs="Times New Roman"/>
          <w:lang w:val="en-GB" w:eastAsia="da-DK"/>
        </w:rPr>
        <w:t>” and the current UNDP ROL programme states that “</w:t>
      </w:r>
      <w:r w:rsidRPr="006E6AAA">
        <w:rPr>
          <w:rFonts w:ascii="Calibri" w:eastAsia="Times New Roman" w:hAnsi="Calibri" w:cs="Times New Roman"/>
          <w:i/>
          <w:lang w:val="en-GB" w:eastAsia="da-DK"/>
        </w:rPr>
        <w:t>the programme will broaden its focus on legal aid to a legal empowerment model where legal awareness building, mediation and community engagement play as large, if not a larger role, as the legal representation of criminal defendants</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26"/>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Nagaad Network also suggested that MC could strengthen their linkages with the civil society.</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It is therefore recommended to continue exploring the possibility of setting up a network of community-based paralegals at district level. Paralegals could play 3 key roles in the MC system:</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4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Assist lawyers in preparing their cases</w:t>
      </w:r>
      <w:r w:rsidRPr="006E6AAA">
        <w:rPr>
          <w:rFonts w:ascii="Calibri" w:eastAsia="Times New Roman" w:hAnsi="Calibri" w:cs="Times New Roman"/>
          <w:b/>
          <w:vertAlign w:val="superscript"/>
          <w:lang w:val="en-GB" w:eastAsia="da-DK"/>
        </w:rPr>
        <w:footnoteReference w:id="127"/>
      </w:r>
      <w:r w:rsidRPr="006E6AAA">
        <w:rPr>
          <w:rFonts w:ascii="Calibri" w:eastAsia="Times New Roman" w:hAnsi="Calibri" w:cs="Times New Roman"/>
          <w:lang w:val="en-GB" w:eastAsia="da-DK"/>
        </w:rPr>
        <w:t xml:space="preserve">. This is a best practice developed in Sierra Leone by the NGO </w:t>
      </w:r>
      <w:r w:rsidRPr="006E6AAA">
        <w:rPr>
          <w:rFonts w:ascii="Calibri" w:eastAsia="Times New Roman" w:hAnsi="Calibri" w:cs="Times New Roman"/>
          <w:i/>
          <w:lang w:val="en-GB" w:eastAsia="da-DK"/>
        </w:rPr>
        <w:t>Timap for Justice</w:t>
      </w:r>
      <w:r w:rsidRPr="006E6AAA">
        <w:rPr>
          <w:rFonts w:ascii="Calibri" w:eastAsia="Times New Roman" w:hAnsi="Calibri" w:cs="Times New Roman"/>
          <w:lang w:val="en-GB" w:eastAsia="da-DK"/>
        </w:rPr>
        <w:t>, where community based paralegals prepare MC cases before the arrival of the lawyer: paralegals contact the parties to the case and ensure that all the required documents are available and the file is ready; for example if the client is minor, the paralegal will assist to provide the birth certificate needed to prove the age of the client</w:t>
      </w:r>
      <w:r w:rsidRPr="006E6AAA">
        <w:rPr>
          <w:rFonts w:ascii="Calibri" w:eastAsia="Times New Roman" w:hAnsi="Calibri" w:cs="Times New Roman"/>
          <w:vertAlign w:val="superscript"/>
          <w:lang w:val="en-GB" w:eastAsia="da-DK"/>
        </w:rPr>
        <w:footnoteReference w:id="128"/>
      </w:r>
      <w:r w:rsidRPr="006E6AAA">
        <w:rPr>
          <w:rFonts w:ascii="Calibri" w:eastAsia="Times New Roman" w:hAnsi="Calibri" w:cs="Times New Roman"/>
          <w:lang w:val="en-GB" w:eastAsia="da-DK"/>
        </w:rPr>
        <w:t>.</w:t>
      </w:r>
    </w:p>
    <w:p w:rsidR="006E6AAA" w:rsidRPr="006E6AAA" w:rsidRDefault="006E6AAA" w:rsidP="006E6AAA">
      <w:pPr>
        <w:numPr>
          <w:ilvl w:val="0"/>
          <w:numId w:val="4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Organise awareness raising sessions in their own communities</w:t>
      </w:r>
      <w:r w:rsidRPr="006E6AAA">
        <w:rPr>
          <w:rFonts w:ascii="Calibri" w:eastAsia="Times New Roman" w:hAnsi="Calibri" w:cs="Times New Roman"/>
          <w:lang w:val="en-GB" w:eastAsia="da-DK"/>
        </w:rPr>
        <w:t xml:space="preserve"> to explain the role of MCs, court procedures and court etiquette. To note the best practice established in DRC by </w:t>
      </w:r>
      <w:r w:rsidRPr="006E6AAA">
        <w:rPr>
          <w:rFonts w:ascii="Calibri" w:eastAsia="Times New Roman" w:hAnsi="Calibri" w:cs="Times New Roman"/>
          <w:lang w:eastAsia="da-DK"/>
        </w:rPr>
        <w:t>Avocats sans Frontières</w:t>
      </w:r>
      <w:r w:rsidRPr="006E6AAA">
        <w:rPr>
          <w:rFonts w:ascii="Calibri" w:eastAsia="Times New Roman" w:hAnsi="Calibri" w:cs="Times New Roman"/>
          <w:lang w:val="en-GB" w:eastAsia="da-DK"/>
        </w:rPr>
        <w:t xml:space="preserve">, where paralegals organise sessions with their communities a few days before the arrival of the MC and a Q&amp;A session after the departure of the MC. </w:t>
      </w:r>
    </w:p>
    <w:p w:rsidR="006E6AAA" w:rsidRPr="006E6AAA" w:rsidRDefault="006E6AAA" w:rsidP="006E6AAA">
      <w:pPr>
        <w:numPr>
          <w:ilvl w:val="0"/>
          <w:numId w:val="4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Monitor court proceedings</w:t>
      </w:r>
      <w:r w:rsidRPr="006E6AAA">
        <w:rPr>
          <w:rFonts w:ascii="Calibri" w:eastAsia="Times New Roman" w:hAnsi="Calibri" w:cs="Times New Roman"/>
          <w:lang w:val="en-GB" w:eastAsia="da-DK"/>
        </w:rPr>
        <w:t>: following a best practice developed by UNDP in Sierra Leone, a smaller group of paralegal could be trained as court monitors, eventually in cooperation with the UNDP sponsored District  Security Committees, described in § 2.1.</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role of paralegals should be clearly identified and eventually limited to assist people navigating the formal justice system; in particular they should not interfere with police investigations. In a “</w:t>
      </w:r>
      <w:r w:rsidRPr="006E6AAA">
        <w:rPr>
          <w:rFonts w:ascii="Calibri" w:eastAsia="Times New Roman" w:hAnsi="Calibri" w:cs="Times New Roman"/>
          <w:i/>
          <w:lang w:val="en-GB" w:eastAsia="da-DK"/>
        </w:rPr>
        <w:t>do no harm</w:t>
      </w:r>
      <w:r w:rsidRPr="006E6AAA">
        <w:rPr>
          <w:rFonts w:ascii="Calibri" w:eastAsia="Times New Roman" w:hAnsi="Calibri" w:cs="Times New Roman"/>
          <w:lang w:val="en-GB" w:eastAsia="da-DK"/>
        </w:rPr>
        <w:t xml:space="preserve"> “ approach a discussion should be promoted to define the competences between paralegals and Elders with the main objective to ensure that the introduction of an eventual new dispute resolution mechanism overseen by paralegals would not weaken the position of the elders in the communities.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Finally a brief comment on the </w:t>
      </w:r>
      <w:r w:rsidRPr="006E6AAA">
        <w:rPr>
          <w:rFonts w:ascii="Calibri" w:eastAsia="Times New Roman" w:hAnsi="Calibri" w:cs="Times New Roman"/>
          <w:b/>
          <w:lang w:val="en-GB" w:eastAsia="da-DK"/>
        </w:rPr>
        <w:t>role of the MC teams in awareness raising activities</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The approach adopted in several documents (LoA, Baseline Study, UNDP Project Document) to encourage MC team members to organise and deliver awareness raising sessions for the population might raise some concerns.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Firstly judges and prosecutors are already overloaded during the short days-mission; one of interviewed judges explained that the MC team spends a lot of additional time in mediating the conflicts that arise in relation to the enrolled cases</w:t>
      </w:r>
      <w:r w:rsidRPr="006E6AAA">
        <w:rPr>
          <w:rFonts w:ascii="Calibri" w:eastAsia="Times New Roman" w:hAnsi="Calibri" w:cs="Times New Roman"/>
          <w:vertAlign w:val="superscript"/>
          <w:lang w:val="en-GB" w:eastAsia="da-DK"/>
        </w:rPr>
        <w:footnoteReference w:id="129"/>
      </w:r>
      <w:r w:rsidRPr="006E6AAA">
        <w:rPr>
          <w:rFonts w:ascii="Calibri" w:eastAsia="Times New Roman" w:hAnsi="Calibri" w:cs="Times New Roman"/>
          <w:lang w:val="en-GB" w:eastAsia="da-DK"/>
        </w:rPr>
        <w:t xml:space="preserve">. Secondly judges do not in general have adequate training skills and might fail to communicate in a simple language that is easily understood by rural communities. </w:t>
      </w:r>
    </w:p>
    <w:p w:rsidR="006E6AAA" w:rsidRPr="006E6AAA" w:rsidRDefault="006E6AAA" w:rsidP="006E6AAA">
      <w:pPr>
        <w:spacing w:after="0" w:line="280" w:lineRule="exact"/>
        <w:jc w:val="both"/>
        <w:rPr>
          <w:rFonts w:ascii="Calibri" w:eastAsia="Times New Roman" w:hAnsi="Calibri" w:cs="Times New Roman"/>
          <w:color w:val="FF0000"/>
          <w:lang w:val="en-GB" w:eastAsia="da-DK"/>
        </w:rPr>
      </w:pPr>
      <w:r w:rsidRPr="006E6AAA">
        <w:rPr>
          <w:rFonts w:ascii="Calibri" w:eastAsia="Times New Roman" w:hAnsi="Calibri" w:cs="Times New Roman"/>
          <w:lang w:val="en-GB" w:eastAsia="da-DK"/>
        </w:rPr>
        <w:t>Awareness raising sessions should therefore be delivered by representatives of CSOs with specific competence or law students as UNDP is currently doing; judges and prosecutors can then be invited to join these sessions to share their experience and be introduced to the communities, but the burden of organising the sessions should not fall on the judicial staff.</w:t>
      </w:r>
      <w:r w:rsidRPr="006E6AAA">
        <w:rPr>
          <w:rFonts w:ascii="Calibri" w:eastAsia="Times New Roman" w:hAnsi="Calibri" w:cs="Times New Roman"/>
          <w:color w:val="FF0000"/>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color w:val="FF0000"/>
          <w:lang w:val="en-GB" w:eastAsia="da-DK"/>
        </w:rPr>
      </w:pPr>
      <w:r w:rsidRPr="006E6AAA">
        <w:rPr>
          <w:rFonts w:ascii="Calibri" w:eastAsia="Times New Roman" w:hAnsi="Calibri" w:cs="Times New Roman"/>
          <w:lang w:val="en-GB" w:eastAsia="da-DK"/>
        </w:rPr>
        <w:t xml:space="preserve">If judges and prosecutors are to deliver additional activities during their MC missions, they would be more effective in meeting the elders, eventually visiting the prisons and the police detention centres or carrying out on-the-job trainings for District Court judges.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It must finally be recognised, as specified by UNDP staff, that MC judges often find themselves unwittingly involved in explaining the legal procedures to the public, particularly after the hearings when they are approached with questions and requests for advices. It might therefore by useful to assist the Judiciary in identifying some standard key messages, eventually supported by brochures, to facilitate and speed up this process.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color w:val="FF0000"/>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lang w:eastAsia="da-DK"/>
        </w:rPr>
      </w:pPr>
      <w:r w:rsidRPr="006E6AAA">
        <w:rPr>
          <w:rFonts w:ascii="Calibri" w:eastAsia="Times New Roman" w:hAnsi="Calibri" w:cs="Times New Roman"/>
          <w:b/>
          <w:i/>
          <w:color w:val="000080"/>
          <w:lang w:eastAsia="da-DK"/>
        </w:rPr>
        <w:t>Police and prison system</w:t>
      </w:r>
    </w:p>
    <w:p w:rsidR="006E6AAA" w:rsidRPr="006E6AAA" w:rsidRDefault="006E6AAA" w:rsidP="006E6AAA">
      <w:pPr>
        <w:spacing w:after="0" w:line="280" w:lineRule="exact"/>
        <w:jc w:val="both"/>
        <w:rPr>
          <w:rFonts w:ascii="Calibri" w:eastAsia="Times New Roman" w:hAnsi="Calibri" w:cs="Times New Roman"/>
          <w:i/>
          <w:color w:val="000080"/>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lack of prisons in some areas and the difficulty in transferring the remandees have been mentioned as challenges affecting the MC system.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One of the interviewed Prosecutors explains that remandees from remote areas are transferred to District police stations where their detention is followed up by the Prosecution office. It is however unclear who is in charge of transferring the remandees: some respondents indicated the Police, other the prison system and a third group said this service is paid by the parties to the cases.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Some respondents maintain that due to the lack of prisons, in remote areas police stations can act as prisons and detain persons for more than the prescribed 48 hours, however this opinion was strongly denied by the acting Chief Prosecutor.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A best practice developed by UNDP in Central African Republic, suggests that during MC visits prosecutors could visit the prisons and detention center to verify the regularity of the pre-trial detentions. The acting Chief Prosecutor found this experience interesting and eventually applicable to Somaliland but noted that “</w:t>
      </w:r>
      <w:r w:rsidRPr="006E6AAA">
        <w:rPr>
          <w:rFonts w:ascii="Calibri" w:eastAsia="Times New Roman" w:hAnsi="Calibri" w:cs="Times New Roman"/>
          <w:i/>
          <w:lang w:val="en-GB" w:eastAsia="da-DK"/>
        </w:rPr>
        <w:t>there is a separate mechanism for this kind of activity, as it’s the Inspection Committee of the Judicial Council that has the responsibility of visiting the prisons</w:t>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One of the interviewed judges suggested to improve the security for the MC teams and reported that “</w:t>
      </w:r>
      <w:r w:rsidRPr="006E6AAA">
        <w:rPr>
          <w:rFonts w:ascii="Calibri" w:eastAsia="Times New Roman" w:hAnsi="Calibri" w:cs="Times New Roman"/>
          <w:i/>
          <w:lang w:val="en-GB" w:eastAsia="da-DK"/>
        </w:rPr>
        <w:t>sometimes people are standing in front of the courtrooms and chaos can result - you do not know who is who and insecurity can be caused</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lang w:val="en-GB" w:eastAsia="da-DK"/>
        </w:rPr>
      </w:pPr>
      <w:r w:rsidRPr="006E6AAA">
        <w:rPr>
          <w:rFonts w:ascii="Calibri" w:eastAsia="Times New Roman" w:hAnsi="Calibri" w:cs="Times New Roman"/>
          <w:b/>
          <w:i/>
          <w:color w:val="000080"/>
          <w:lang w:val="en-GB" w:eastAsia="da-DK"/>
        </w:rPr>
        <w:t>Interference of the elders in court proceedings</w:t>
      </w: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Most of the interviewed judges recognised the importance of the support from the elders and their role in the MC system, as illustrated in § 1.6, but also mentioned that occasionally interferences from the elders have affected their work and the adjudication of cases, although they concluded that in general “</w:t>
      </w:r>
      <w:r w:rsidRPr="006E6AAA">
        <w:rPr>
          <w:rFonts w:ascii="Calibri" w:eastAsia="Times New Roman" w:hAnsi="Calibri" w:cs="Times New Roman"/>
          <w:i/>
          <w:lang w:val="en-GB" w:eastAsia="da-DK"/>
        </w:rPr>
        <w:t>elders respect the authority of the formal courts</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b/>
          <w:u w:val="single"/>
          <w:lang w:val="en-GB" w:eastAsia="da-DK"/>
        </w:rPr>
      </w:pPr>
      <w:r w:rsidRPr="006E6AAA">
        <w:rPr>
          <w:rFonts w:ascii="Calibri" w:eastAsia="Times New Roman" w:hAnsi="Calibri" w:cs="Times New Roman"/>
          <w:lang w:val="en-GB" w:eastAsia="da-DK"/>
        </w:rPr>
        <w:t>For example in civil cases elders sometimes request to suspend the MC hearing while they deal with the matter, or in case of murder the judge may apply a death sentence, but the elders ensure that a discussion with the family takes place to verify  if they accept compensation (</w:t>
      </w:r>
      <w:r w:rsidRPr="006E6AAA">
        <w:rPr>
          <w:rFonts w:ascii="Calibri" w:eastAsia="Times New Roman" w:hAnsi="Calibri" w:cs="Times New Roman"/>
          <w:i/>
          <w:lang w:val="en-GB" w:eastAsia="da-DK"/>
        </w:rPr>
        <w:t>diya</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Times New Roman" w:eastAsia="Times New Roman" w:hAnsi="Times New Roman" w:cs="Times New Roman"/>
          <w:b/>
          <w:i/>
          <w:color w:val="000080"/>
          <w:u w:val="single"/>
          <w:lang w:val="en-GB" w:eastAsia="da-DK"/>
        </w:rPr>
      </w:pPr>
    </w:p>
    <w:p w:rsidR="006E6AAA" w:rsidRPr="006E6AAA" w:rsidRDefault="006E6AAA" w:rsidP="006E6AAA">
      <w:pPr>
        <w:spacing w:after="0" w:line="280" w:lineRule="exact"/>
        <w:jc w:val="both"/>
        <w:rPr>
          <w:rFonts w:ascii="Times New Roman" w:eastAsia="Times New Roman" w:hAnsi="Times New Roman" w:cs="Times New Roman"/>
          <w:b/>
          <w:i/>
          <w:color w:val="000080"/>
          <w:u w:val="single"/>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lang w:val="en-GB" w:eastAsia="da-DK"/>
        </w:rPr>
      </w:pPr>
      <w:r w:rsidRPr="006E6AAA">
        <w:rPr>
          <w:rFonts w:ascii="Calibri" w:eastAsia="Times New Roman" w:hAnsi="Calibri" w:cs="Times New Roman"/>
          <w:b/>
          <w:i/>
          <w:color w:val="000080"/>
          <w:lang w:val="en-GB" w:eastAsia="da-DK"/>
        </w:rPr>
        <w:t>Court fees</w:t>
      </w:r>
    </w:p>
    <w:p w:rsidR="006E6AAA" w:rsidRPr="006E6AAA" w:rsidRDefault="006E6AAA" w:rsidP="006E6AAA">
      <w:pPr>
        <w:spacing w:after="0" w:line="280" w:lineRule="exact"/>
        <w:jc w:val="both"/>
        <w:rPr>
          <w:rFonts w:ascii="Calibri" w:eastAsia="Times New Roman" w:hAnsi="Calibri" w:cs="Times New Roman"/>
          <w:b/>
          <w:color w:val="000080"/>
          <w:u w:val="single"/>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 clear policy for the payment of court fees does not seem to be available, but UNDP is planning to  work with the High Judicial Council in developing a court fee system clearly advertised in the courts and understood by court staff.  This is particularly relevant in relation to the issue of corruption: UNDP staff have often experienced that communities cannot differentiate corruption from legitimate fees the court can charge for civil cases.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president of the Appeal Court in Hargeisa explained that before UNDP started to support MCs, courts used to ask the parties to the cases to pay 50 USD each to support the cost of the MC.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current practice is unclear, however some respondents referred that court users pay 50 USD as fee for civil cases but no fees for criminal cases.  One of the interviewed court user reported that he had spent 100 USD to file his case (a land dispute) before the Regional Court. (7% of the value of the land). Another beneficiary said she paid 20.000 Somali Shillings to draft the statement, but other fees were waived.</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To be noted that according to Somaliland law, “</w:t>
      </w:r>
      <w:r w:rsidRPr="006E6AAA">
        <w:rPr>
          <w:rFonts w:ascii="Calibri" w:eastAsia="Times New Roman" w:hAnsi="Calibri" w:cs="Times New Roman"/>
          <w:i/>
          <w:lang w:val="en-GB" w:eastAsia="da-DK"/>
        </w:rPr>
        <w:t>the Chief Justice has the discretion to waive certain court costs in the case that a person cannot afford to pay, however anecdotal evidence from legal aid lawyers suggests that this discretion is rarely used</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30"/>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In  the light of the best practice developed in South Central where the Chief Justice waived courts fees for IDPs, it would be recommended to explore further this possibility for Somaliland in addition to assisting the Judiciary in developing clear criteria to assess the vulnerability of court users and identify who is eligible to be exempted from court fees. </w:t>
      </w:r>
    </w:p>
    <w:p w:rsidR="006E6AAA" w:rsidRPr="006E6AAA" w:rsidRDefault="006E6AAA" w:rsidP="006E6AAA">
      <w:pPr>
        <w:spacing w:after="0" w:line="280" w:lineRule="exact"/>
        <w:jc w:val="both"/>
        <w:rPr>
          <w:rFonts w:ascii="Calibri" w:eastAsia="Times New Roman" w:hAnsi="Calibri" w:cs="Times New Roman"/>
          <w:b/>
          <w:lang w:val="en-GB" w:eastAsia="da-DK"/>
        </w:rPr>
      </w:pPr>
    </w:p>
    <w:p w:rsidR="006E6AAA" w:rsidRPr="006E6AAA" w:rsidRDefault="006E6AAA" w:rsidP="006E6AAA">
      <w:pPr>
        <w:spacing w:after="0" w:line="280" w:lineRule="exact"/>
        <w:jc w:val="both"/>
        <w:rPr>
          <w:rFonts w:ascii="Calibri" w:eastAsia="Times New Roman" w:hAnsi="Calibri" w:cs="Times New Roman"/>
          <w:b/>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lang w:val="en-GB" w:eastAsia="da-DK"/>
        </w:rPr>
      </w:pPr>
      <w:r w:rsidRPr="006E6AAA">
        <w:rPr>
          <w:rFonts w:ascii="Calibri" w:eastAsia="Times New Roman" w:hAnsi="Calibri" w:cs="Times New Roman"/>
          <w:b/>
          <w:i/>
          <w:color w:val="000080"/>
          <w:lang w:val="en-GB" w:eastAsia="da-DK"/>
        </w:rPr>
        <w:t>Quality of the court decisions</w:t>
      </w:r>
    </w:p>
    <w:p w:rsidR="006E6AAA" w:rsidRPr="006E6AAA" w:rsidRDefault="006E6AAA" w:rsidP="006E6AAA">
      <w:pPr>
        <w:spacing w:after="0" w:line="280" w:lineRule="exact"/>
        <w:jc w:val="both"/>
        <w:rPr>
          <w:rFonts w:ascii="Calibri" w:eastAsia="Times New Roman" w:hAnsi="Calibri" w:cs="Times New Roman"/>
          <w:b/>
          <w:color w:val="000080"/>
          <w:lang w:val="en-GB" w:eastAsia="da-DK"/>
        </w:rPr>
      </w:pPr>
    </w:p>
    <w:p w:rsidR="006E6AAA" w:rsidRPr="006E6AAA" w:rsidRDefault="006E6AAA" w:rsidP="006E6AAA">
      <w:pPr>
        <w:tabs>
          <w:tab w:val="left" w:pos="81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UNDP and the University of Hargeisa reviewed about 60 criminal and civil court judgments and concluded that “ </w:t>
      </w:r>
      <w:r w:rsidRPr="006E6AAA">
        <w:rPr>
          <w:rFonts w:ascii="Calibri" w:eastAsia="Times New Roman" w:hAnsi="Calibri" w:cs="Times New Roman"/>
          <w:i/>
          <w:lang w:val="en-GB" w:eastAsia="da-DK"/>
        </w:rPr>
        <w:t>53% of the cases reviewed were legally sound but procedural law and legal drafting were identified as areas requiring further trainings.</w:t>
      </w:r>
      <w:r w:rsidRPr="006E6AAA">
        <w:rPr>
          <w:rFonts w:ascii="Calibri" w:eastAsia="Times New Roman" w:hAnsi="Calibri" w:cs="Times New Roman"/>
          <w:lang w:val="en-GB" w:eastAsia="da-DK"/>
        </w:rPr>
        <w:t xml:space="preserve"> </w:t>
      </w:r>
      <w:r w:rsidRPr="006E6AAA">
        <w:rPr>
          <w:rFonts w:ascii="Calibri" w:eastAsia="Times New Roman" w:hAnsi="Calibri" w:cs="Times New Roman"/>
          <w:i/>
          <w:lang w:val="en-GB" w:eastAsia="da-DK"/>
        </w:rPr>
        <w:t>In some cases, judges effectively adjudicated cases using Somaliland and International laws while other rulings demonstrated the need for additional trainings on admissibility, engaging witnesses, managing sexual and gender based violence cases and adhering to sentencing requirements</w:t>
      </w:r>
      <w:r w:rsidRPr="006E6AAA">
        <w:rPr>
          <w:rFonts w:ascii="Calibri" w:eastAsia="Times New Roman" w:hAnsi="Calibri" w:cs="Times New Roman"/>
          <w:vertAlign w:val="superscript"/>
          <w:lang w:val="en-GB" w:eastAsia="da-DK"/>
        </w:rPr>
        <w:footnoteReference w:id="131"/>
      </w:r>
      <w:r w:rsidRPr="006E6AAA">
        <w:rPr>
          <w:rFonts w:ascii="Calibri" w:eastAsia="Times New Roman" w:hAnsi="Calibri" w:cs="Times New Roman"/>
          <w:lang w:val="en-GB" w:eastAsia="da-DK"/>
        </w:rPr>
        <w:t xml:space="preserve">”. </w:t>
      </w:r>
    </w:p>
    <w:p w:rsidR="006E6AAA" w:rsidRPr="006E6AAA" w:rsidRDefault="006E6AAA" w:rsidP="006E6AAA">
      <w:pPr>
        <w:tabs>
          <w:tab w:val="left" w:pos="81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It is recommended to continue a regular analysis of a random number of MC court decisions each year in order to monitor the improvement in the judicial practice.</w:t>
      </w:r>
    </w:p>
    <w:p w:rsidR="006E6AAA" w:rsidRPr="006E6AAA" w:rsidRDefault="006E6AAA" w:rsidP="006E6AAA">
      <w:pPr>
        <w:tabs>
          <w:tab w:val="left" w:pos="810"/>
        </w:tabs>
        <w:spacing w:after="0" w:line="280" w:lineRule="exact"/>
        <w:ind w:left="-90"/>
        <w:jc w:val="both"/>
        <w:rPr>
          <w:rFonts w:ascii="Calibri" w:eastAsia="Times New Roman" w:hAnsi="Calibri" w:cs="Times New Roman"/>
          <w:lang w:val="en-GB" w:eastAsia="da-DK"/>
        </w:rPr>
      </w:pPr>
    </w:p>
    <w:p w:rsidR="006E6AAA" w:rsidRPr="006E6AAA" w:rsidRDefault="006E6AAA" w:rsidP="006E6AAA">
      <w:pPr>
        <w:tabs>
          <w:tab w:val="left" w:pos="810"/>
        </w:tabs>
        <w:spacing w:after="0" w:line="280" w:lineRule="exact"/>
        <w:ind w:left="-90"/>
        <w:jc w:val="both"/>
        <w:rPr>
          <w:rFonts w:ascii="Calibri" w:eastAsia="Times New Roman" w:hAnsi="Calibri" w:cs="Times New Roman"/>
          <w:lang w:val="en-GB"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2.4</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Observation of mobile court sessions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consultant had the opportunity to observe 3 MC sessions in Gabiley and 1 session in Waanchale, (about 60 Kms from Gabiley) organized by the Hargeisa Appeal Court.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5 cases were enrolled and the MC team was </w:t>
      </w:r>
      <w:r w:rsidRPr="006E6AAA">
        <w:rPr>
          <w:rFonts w:ascii="Calibri" w:eastAsia="Times New Roman" w:hAnsi="Calibri" w:cs="Times New Roman"/>
          <w:lang w:val="en-GB" w:eastAsia="da-DK"/>
        </w:rPr>
        <w:t>composed of 3 judges, 3 registrars and 2 prison officers.</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 SOLLA legal aid team participated in the MC.</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line="280" w:lineRule="exact"/>
        <w:contextualSpacing/>
        <w:jc w:val="both"/>
        <w:rPr>
          <w:rFonts w:ascii="Calibri" w:eastAsia="Calibri" w:hAnsi="Calibri" w:cs="Times New Roman"/>
          <w:lang w:val="en-GB"/>
        </w:rPr>
      </w:pPr>
      <w:r w:rsidRPr="006E6AAA">
        <w:rPr>
          <w:rFonts w:ascii="Calibri" w:eastAsia="Calibri" w:hAnsi="Calibri" w:cs="Times New Roman"/>
          <w:lang w:val="en-GB"/>
        </w:rPr>
        <w:t>In Gabiley the MC hearing took place in the District Court compound, where approximately 70 males (including 8 accused, 18 custodial corps, elders, and onlookers) and 18 females (3 beneficiaries, 3 prison officers, 3 registrars, 9 onlookers) where present</w:t>
      </w:r>
      <w:r w:rsidRPr="006E6AAA">
        <w:rPr>
          <w:rFonts w:ascii="Calibri" w:eastAsia="Calibri" w:hAnsi="Calibri" w:cs="Times New Roman"/>
          <w:vertAlign w:val="superscript"/>
          <w:lang w:val="en-GB"/>
        </w:rPr>
        <w:footnoteReference w:id="132"/>
      </w:r>
      <w:r w:rsidRPr="006E6AAA">
        <w:rPr>
          <w:rFonts w:ascii="Calibri" w:eastAsia="Calibri" w:hAnsi="Calibri" w:cs="Times New Roman"/>
          <w:lang w:val="en-GB"/>
        </w:rPr>
        <w:t>.</w:t>
      </w:r>
    </w:p>
    <w:p w:rsidR="006E6AAA" w:rsidRPr="006E6AAA" w:rsidRDefault="006E6AAA" w:rsidP="006E6AAA">
      <w:pPr>
        <w:spacing w:line="280" w:lineRule="exact"/>
        <w:contextualSpacing/>
        <w:jc w:val="both"/>
        <w:rPr>
          <w:rFonts w:ascii="Calibri" w:eastAsia="Calibri" w:hAnsi="Calibri" w:cs="Times New Roman"/>
          <w:lang w:val="en-GB"/>
        </w:rPr>
      </w:pPr>
      <w:r w:rsidRPr="006E6AAA">
        <w:rPr>
          <w:rFonts w:ascii="Calibri" w:eastAsia="Calibri" w:hAnsi="Calibri" w:cs="Times New Roman"/>
          <w:lang w:val="en-GB"/>
        </w:rPr>
        <w:t xml:space="preserve">A media crew from SOMSAT was covering the MC trials. </w:t>
      </w:r>
    </w:p>
    <w:p w:rsidR="006E6AAA" w:rsidRPr="006E6AAA" w:rsidRDefault="006E6AAA" w:rsidP="006E6AAA">
      <w:pPr>
        <w:spacing w:line="280" w:lineRule="exact"/>
        <w:contextualSpacing/>
        <w:jc w:val="both"/>
        <w:rPr>
          <w:rFonts w:ascii="Calibri" w:eastAsia="Calibri" w:hAnsi="Calibri" w:cs="Times New Roman"/>
          <w:lang w:val="en-GB"/>
        </w:rPr>
      </w:pPr>
      <w:r w:rsidRPr="006E6AAA">
        <w:rPr>
          <w:rFonts w:ascii="Calibri" w:eastAsia="Calibri" w:hAnsi="Calibri" w:cs="Times New Roman"/>
          <w:lang w:val="en-GB"/>
        </w:rPr>
        <w:t xml:space="preserve">SOMSAT journalists are regularly covering court cases by summarising the outcome of the cases and interviewing the judges and lawyers. This could represent an opportunity to further explore in order to disseminate the achievements of the MC system and to follow up how MC are described in the Somali media.  </w:t>
      </w:r>
      <w:r w:rsidRPr="006E6AAA">
        <w:rPr>
          <w:rFonts w:ascii="Calibri" w:eastAsia="Calibri" w:hAnsi="Calibri" w:cs="Times New Roman"/>
          <w:vertAlign w:val="superscript"/>
          <w:lang w:val="en-GB"/>
        </w:rPr>
        <w:footnoteReference w:id="133"/>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table below presents a summary of the cases heard during the observed MC sessions.</w:t>
      </w:r>
    </w:p>
    <w:p w:rsidR="006E6AAA" w:rsidRPr="006E6AAA" w:rsidRDefault="006E6AAA" w:rsidP="006E6AAA">
      <w:pPr>
        <w:spacing w:after="0" w:line="280" w:lineRule="exact"/>
        <w:jc w:val="both"/>
        <w:rPr>
          <w:rFonts w:ascii="Calibri" w:eastAsia="Times New Roman" w:hAnsi="Calibri" w:cs="Times New Roman"/>
          <w:sz w:val="20"/>
          <w:szCs w:val="20"/>
          <w:lang w:val="en-GB"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2377"/>
        <w:gridCol w:w="1258"/>
        <w:gridCol w:w="3383"/>
        <w:gridCol w:w="1567"/>
      </w:tblGrid>
      <w:tr w:rsidR="006E6AAA" w:rsidRPr="006E6AAA" w:rsidTr="00C8613A">
        <w:tc>
          <w:tcPr>
            <w:tcW w:w="9854" w:type="dxa"/>
            <w:gridSpan w:val="5"/>
          </w:tcPr>
          <w:p w:rsidR="006E6AAA" w:rsidRPr="006E6AAA" w:rsidRDefault="006E6AAA" w:rsidP="006E6AAA">
            <w:pPr>
              <w:spacing w:after="0" w:line="270" w:lineRule="atLeast"/>
              <w:jc w:val="center"/>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Cases heard by the MC sessions in Gabiley and  </w:t>
            </w:r>
            <w:r w:rsidRPr="006E6AAA">
              <w:rPr>
                <w:rFonts w:ascii="Calibri" w:eastAsia="Times New Roman" w:hAnsi="Calibri" w:cs="Times New Roman"/>
                <w:sz w:val="20"/>
                <w:szCs w:val="20"/>
                <w:lang w:eastAsia="da-DK"/>
              </w:rPr>
              <w:t>Waanchale (may 8</w:t>
            </w:r>
            <w:r w:rsidRPr="006E6AAA">
              <w:rPr>
                <w:rFonts w:ascii="Calibri" w:eastAsia="Times New Roman" w:hAnsi="Calibri" w:cs="Times New Roman"/>
                <w:sz w:val="20"/>
                <w:szCs w:val="20"/>
                <w:vertAlign w:val="superscript"/>
                <w:lang w:eastAsia="da-DK"/>
              </w:rPr>
              <w:t>th</w:t>
            </w:r>
            <w:r w:rsidRPr="006E6AAA">
              <w:rPr>
                <w:rFonts w:ascii="Calibri" w:eastAsia="Times New Roman" w:hAnsi="Calibri" w:cs="Times New Roman"/>
                <w:sz w:val="20"/>
                <w:szCs w:val="20"/>
                <w:lang w:eastAsia="da-DK"/>
              </w:rPr>
              <w:t>,2013)</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07"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Type and nature of case</w:t>
            </w:r>
          </w:p>
        </w:tc>
        <w:tc>
          <w:tcPr>
            <w:tcW w:w="127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Parties to the case</w:t>
            </w:r>
          </w:p>
        </w:tc>
        <w:tc>
          <w:tcPr>
            <w:tcW w:w="3665"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Outcome of the case</w:t>
            </w:r>
          </w:p>
        </w:tc>
        <w:tc>
          <w:tcPr>
            <w:tcW w:w="1581" w:type="dxa"/>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Legal representation</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1</w:t>
            </w:r>
          </w:p>
        </w:tc>
        <w:tc>
          <w:tcPr>
            <w:tcW w:w="250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 (Human trafficking)</w:t>
            </w:r>
          </w:p>
        </w:tc>
        <w:tc>
          <w:tcPr>
            <w:tcW w:w="1275"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Accused: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4, male</w:t>
            </w:r>
          </w:p>
        </w:tc>
        <w:tc>
          <w:tcPr>
            <w:tcW w:w="366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Acquittal (lack of evidence)</w:t>
            </w:r>
          </w:p>
        </w:tc>
        <w:tc>
          <w:tcPr>
            <w:tcW w:w="1581"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Yes, Solla </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2</w:t>
            </w:r>
          </w:p>
        </w:tc>
        <w:tc>
          <w:tcPr>
            <w:tcW w:w="250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 (Alcohol consumption)</w:t>
            </w:r>
          </w:p>
        </w:tc>
        <w:tc>
          <w:tcPr>
            <w:tcW w:w="1275"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Accused: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 male</w:t>
            </w:r>
          </w:p>
        </w:tc>
        <w:tc>
          <w:tcPr>
            <w:tcW w:w="366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Conviction (8 months of prison)</w:t>
            </w:r>
          </w:p>
        </w:tc>
        <w:tc>
          <w:tcPr>
            <w:tcW w:w="1581"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Yes, Solla female lawyer</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3</w:t>
            </w:r>
          </w:p>
        </w:tc>
        <w:tc>
          <w:tcPr>
            <w:tcW w:w="250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 (insulting Islam and physical damage)</w:t>
            </w:r>
          </w:p>
        </w:tc>
        <w:tc>
          <w:tcPr>
            <w:tcW w:w="1275"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Accused: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1, male </w:t>
            </w:r>
          </w:p>
        </w:tc>
        <w:tc>
          <w:tcPr>
            <w:tcW w:w="366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Conviction (3 months of prison for insulting Islam). The hearing on the second charge was postponed.</w:t>
            </w:r>
          </w:p>
        </w:tc>
        <w:tc>
          <w:tcPr>
            <w:tcW w:w="1581"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No</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4</w:t>
            </w:r>
          </w:p>
        </w:tc>
        <w:tc>
          <w:tcPr>
            <w:tcW w:w="250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Criminal (alcohol smuggling) </w:t>
            </w:r>
          </w:p>
        </w:tc>
        <w:tc>
          <w:tcPr>
            <w:tcW w:w="1275"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Accused: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 male</w:t>
            </w:r>
          </w:p>
        </w:tc>
        <w:tc>
          <w:tcPr>
            <w:tcW w:w="366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Acquittal </w:t>
            </w:r>
          </w:p>
        </w:tc>
        <w:tc>
          <w:tcPr>
            <w:tcW w:w="1581"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Yes, Solla</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5</w:t>
            </w:r>
          </w:p>
        </w:tc>
        <w:tc>
          <w:tcPr>
            <w:tcW w:w="250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Civil (Land dispute, concerning boundaries)</w:t>
            </w:r>
          </w:p>
        </w:tc>
        <w:tc>
          <w:tcPr>
            <w:tcW w:w="1275" w:type="dxa"/>
          </w:tcPr>
          <w:p w:rsidR="006E6AAA" w:rsidRPr="006E6AAA" w:rsidRDefault="006E6AAA" w:rsidP="006E6AAA">
            <w:pPr>
              <w:spacing w:after="0" w:line="270" w:lineRule="atLeast"/>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 xml:space="preserve">Plaintiff: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 woman</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i/>
                <w:sz w:val="20"/>
                <w:szCs w:val="20"/>
                <w:lang w:eastAsia="da-DK"/>
              </w:rPr>
              <w:t>Defendant:</w:t>
            </w:r>
            <w:r w:rsidRPr="006E6AAA">
              <w:rPr>
                <w:rFonts w:ascii="Calibri" w:eastAsia="Times New Roman" w:hAnsi="Calibri" w:cs="Times New Roman"/>
                <w:sz w:val="20"/>
                <w:szCs w:val="20"/>
                <w:lang w:eastAsia="da-DK"/>
              </w:rPr>
              <w:t xml:space="preserve"> 1, man</w:t>
            </w:r>
          </w:p>
        </w:tc>
        <w:tc>
          <w:tcPr>
            <w:tcW w:w="366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The Appeal Court ruled that the case should be re-opened before the Regional Court of Gabiley</w:t>
            </w:r>
          </w:p>
        </w:tc>
        <w:tc>
          <w:tcPr>
            <w:tcW w:w="1581"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Yes, Solla</w:t>
            </w:r>
          </w:p>
        </w:tc>
      </w:tr>
      <w:tr w:rsidR="006E6AAA" w:rsidRPr="006E6AAA" w:rsidTr="00C8613A">
        <w:tc>
          <w:tcPr>
            <w:tcW w:w="826"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Case 6</w:t>
            </w:r>
          </w:p>
        </w:tc>
        <w:tc>
          <w:tcPr>
            <w:tcW w:w="2507"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Criminal (violence related to a land dispute)</w:t>
            </w:r>
          </w:p>
        </w:tc>
        <w:tc>
          <w:tcPr>
            <w:tcW w:w="127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Accused:</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1, male</w:t>
            </w:r>
          </w:p>
        </w:tc>
        <w:tc>
          <w:tcPr>
            <w:tcW w:w="3665"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Settlement out of court (elders intervened and freed the arrested person before the arrival of the MC)</w:t>
            </w:r>
          </w:p>
        </w:tc>
        <w:tc>
          <w:tcPr>
            <w:tcW w:w="1581" w:type="dxa"/>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No</w:t>
            </w:r>
          </w:p>
        </w:tc>
      </w:tr>
    </w:tbl>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While the MC mission to Gabiley was effectively organised and achieved good results, the visit to</w:t>
      </w:r>
      <w:r w:rsidRPr="006E6AAA">
        <w:rPr>
          <w:rFonts w:ascii="Calibri" w:eastAsia="Times New Roman" w:hAnsi="Calibri" w:cs="Times New Roman"/>
          <w:lang w:eastAsia="da-DK"/>
        </w:rPr>
        <w:t xml:space="preserve"> Wajaale  presented some shortcomings</w:t>
      </w:r>
      <w:r w:rsidRPr="006E6AAA">
        <w:rPr>
          <w:rFonts w:ascii="Calibri" w:eastAsia="Times New Roman" w:hAnsi="Calibri" w:cs="Times New Roman"/>
          <w:lang w:val="en-GB" w:eastAsia="da-DK"/>
        </w:rPr>
        <w:t xml:space="preserve"> reflecting the lack of planning and a clear referral mechanism for the MC system.  The second part of visit was not effective in terms of use of time and resources, as illustrated below.</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The first case in </w:t>
      </w:r>
      <w:r w:rsidRPr="006E6AAA">
        <w:rPr>
          <w:rFonts w:ascii="Calibri" w:eastAsia="Times New Roman" w:hAnsi="Calibri" w:cs="Times New Roman"/>
          <w:lang w:eastAsia="da-DK"/>
        </w:rPr>
        <w:t xml:space="preserve">Wajaale </w:t>
      </w:r>
      <w:r w:rsidRPr="006E6AAA">
        <w:rPr>
          <w:rFonts w:ascii="Calibri" w:eastAsia="Times New Roman" w:hAnsi="Calibri" w:cs="Times New Roman"/>
          <w:lang w:val="en-GB" w:eastAsia="da-DK"/>
        </w:rPr>
        <w:t xml:space="preserve"> was referred by police officers who called the MC to request an immediate intervention for a case of a person in detention, but when the MC arrived the case had been settled by the elders and the accused freed.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second </w:t>
      </w:r>
      <w:r w:rsidRPr="006E6AAA">
        <w:rPr>
          <w:rFonts w:ascii="Calibri" w:eastAsia="Times New Roman" w:hAnsi="Calibri" w:cs="Times New Roman"/>
          <w:lang w:eastAsia="da-DK"/>
        </w:rPr>
        <w:t xml:space="preserve">Wajaale </w:t>
      </w:r>
      <w:r w:rsidRPr="006E6AAA">
        <w:rPr>
          <w:rFonts w:ascii="Calibri" w:eastAsia="Times New Roman" w:hAnsi="Calibri" w:cs="Times New Roman"/>
          <w:lang w:val="en-GB" w:eastAsia="da-DK"/>
        </w:rPr>
        <w:t xml:space="preserve"> case concerned an appeal for a land dispute, which did not either have an outcome: the President of the Appeal Court ordered to re-open the case before the Regional court as in first instance the court omitted to measure the disputed land.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It might be concerning that the President of the busiest Appeal Court in the country must travel 120 Km to verify the boundaries of a piece of land, so it could be suggested to explore if alternative mechanisms could achieve the same objective.</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lang w:val="en-GB" w:eastAsia="da-DK"/>
        </w:rPr>
      </w:pPr>
    </w:p>
    <w:p w:rsidR="006E6AAA" w:rsidRPr="006E6AAA" w:rsidRDefault="006E6AAA" w:rsidP="006E6AAA">
      <w:pPr>
        <w:tabs>
          <w:tab w:val="left" w:pos="540"/>
        </w:tabs>
        <w:spacing w:after="0" w:line="280" w:lineRule="atLeast"/>
        <w:jc w:val="both"/>
        <w:outlineLvl w:val="0"/>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3. EFFICIENCY</w:t>
      </w:r>
    </w:p>
    <w:p w:rsidR="006E6AAA" w:rsidRPr="006E6AAA" w:rsidRDefault="006E6AAA" w:rsidP="006E6AAA">
      <w:pPr>
        <w:tabs>
          <w:tab w:val="left" w:pos="540"/>
        </w:tabs>
        <w:spacing w:after="0" w:line="280" w:lineRule="atLeast"/>
        <w:jc w:val="both"/>
        <w:outlineLvl w:val="0"/>
        <w:rPr>
          <w:rFonts w:ascii="Calibri" w:eastAsia="Times New Roman" w:hAnsi="Calibri" w:cs="Times New Roman"/>
          <w:lang w:eastAsia="da-DK"/>
        </w:rPr>
      </w:pPr>
    </w:p>
    <w:p w:rsidR="006E6AAA" w:rsidRPr="006E6AAA" w:rsidRDefault="006E6AAA" w:rsidP="006E6AAA">
      <w:pPr>
        <w:pBdr>
          <w:bottom w:val="single" w:sz="12" w:space="1" w:color="000080"/>
        </w:pBdr>
        <w:tabs>
          <w:tab w:val="left" w:pos="540"/>
          <w:tab w:val="left" w:pos="8460"/>
        </w:tabs>
        <w:spacing w:after="0" w:line="280" w:lineRule="atLeast"/>
        <w:jc w:val="both"/>
        <w:rPr>
          <w:rFonts w:ascii="Calibri" w:eastAsia="Times New Roman" w:hAnsi="Calibri" w:cs="Times New Roman"/>
          <w:lang w:eastAsia="da-DK"/>
        </w:rPr>
      </w:pPr>
      <w:r w:rsidRPr="006E6AAA">
        <w:rPr>
          <w:rFonts w:ascii="Calibri" w:eastAsia="Times New Roman" w:hAnsi="Calibri" w:cs="Times New Roman"/>
          <w:b/>
          <w:color w:val="000080"/>
          <w:lang w:eastAsia="da-DK"/>
        </w:rPr>
        <w:t>§ 3.1</w:t>
      </w:r>
      <w:r w:rsidRPr="006E6AAA">
        <w:rPr>
          <w:rFonts w:ascii="Calibri" w:eastAsia="Times New Roman" w:hAnsi="Calibri" w:cs="Times New Roman"/>
          <w:color w:val="000080"/>
          <w:lang w:eastAsia="da-DK"/>
        </w:rPr>
        <w:t xml:space="preserve">. </w:t>
      </w:r>
      <w:r w:rsidRPr="006E6AAA">
        <w:rPr>
          <w:rFonts w:ascii="Calibri" w:eastAsia="Times New Roman" w:hAnsi="Calibri" w:cs="Times New Roman"/>
          <w:b/>
          <w:lang w:eastAsia="da-DK"/>
        </w:rPr>
        <w:t>Cost-effectiveness</w:t>
      </w:r>
    </w:p>
    <w:p w:rsidR="006E6AAA" w:rsidRPr="006E6AAA" w:rsidRDefault="006E6AAA" w:rsidP="006E6AAA">
      <w:pPr>
        <w:tabs>
          <w:tab w:val="left" w:pos="540"/>
          <w:tab w:val="left" w:pos="8460"/>
        </w:tabs>
        <w:spacing w:after="0" w:line="280" w:lineRule="atLeast"/>
        <w:jc w:val="both"/>
        <w:rPr>
          <w:rFonts w:ascii="Calibri" w:eastAsia="Times New Roman" w:hAnsi="Calibri" w:cs="Segoe UI"/>
          <w:color w:val="1F497D"/>
          <w:lang w:val="en-GB" w:eastAsia="da-DK"/>
        </w:rPr>
      </w:pPr>
    </w:p>
    <w:p w:rsidR="006E6AAA" w:rsidRPr="006E6AAA" w:rsidRDefault="006E6AAA" w:rsidP="006E6AAA">
      <w:pPr>
        <w:tabs>
          <w:tab w:val="left" w:pos="540"/>
          <w:tab w:val="left" w:pos="8460"/>
        </w:tabs>
        <w:spacing w:after="0" w:line="28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Despite in 2011 the Judiciary officially committed to contribute to the MC budget, this has not yet occurred, so MC are mainly funded by UNDP. The Judiciary is currently only contributing with the salaries of the MC staff, stationary  and the maintenance of the 3 vehicles donated by UNDP. </w:t>
      </w:r>
    </w:p>
    <w:p w:rsidR="006E6AAA" w:rsidRPr="006E6AAA" w:rsidRDefault="006E6AAA" w:rsidP="006E6AAA">
      <w:pPr>
        <w:tabs>
          <w:tab w:val="left" w:pos="540"/>
          <w:tab w:val="left" w:pos="8460"/>
        </w:tabs>
        <w:spacing w:after="0" w:line="280" w:lineRule="atLeas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atLeast"/>
        <w:jc w:val="both"/>
        <w:rPr>
          <w:rFonts w:ascii="Calibri" w:eastAsia="Times New Roman" w:hAnsi="Calibri" w:cs="Times New Roman"/>
          <w:b/>
          <w:lang w:val="en-GB" w:eastAsia="da-DK"/>
        </w:rPr>
      </w:pPr>
      <w:r w:rsidRPr="006E6AAA">
        <w:rPr>
          <w:rFonts w:ascii="Calibri" w:eastAsia="Times New Roman" w:hAnsi="Calibri" w:cs="Times New Roman"/>
          <w:lang w:val="en-GB" w:eastAsia="da-DK"/>
        </w:rPr>
        <w:t xml:space="preserve">The table below shows that UNDP’s total contribution for the MC system since 2008 has been of </w:t>
      </w:r>
      <w:r w:rsidRPr="006E6AAA">
        <w:rPr>
          <w:rFonts w:ascii="Calibri" w:eastAsia="Times New Roman" w:hAnsi="Calibri" w:cs="Times New Roman"/>
          <w:b/>
          <w:lang w:val="en-GB" w:eastAsia="da-DK"/>
        </w:rPr>
        <w:t>322.290 USD.</w:t>
      </w:r>
      <w:r w:rsidRPr="006E6AAA">
        <w:rPr>
          <w:rFonts w:ascii="Calibri" w:eastAsia="Times New Roman" w:hAnsi="Calibri" w:cs="Times New Roman"/>
          <w:lang w:val="en-GB" w:eastAsia="da-DK"/>
        </w:rPr>
        <w:t xml:space="preserve"> This amount does not include legal aid, and awareness raising activities, which are managed under different LoAs.</w:t>
      </w:r>
    </w:p>
    <w:p w:rsidR="006E6AAA" w:rsidRPr="006E6AAA" w:rsidRDefault="006E6AAA" w:rsidP="006E6AAA">
      <w:pPr>
        <w:tabs>
          <w:tab w:val="left" w:pos="540"/>
          <w:tab w:val="left" w:pos="8460"/>
        </w:tabs>
        <w:spacing w:after="0" w:line="270" w:lineRule="atLeast"/>
        <w:rPr>
          <w:rFonts w:ascii="Calibri" w:eastAsia="Times New Roman" w:hAnsi="Calibri" w:cs="Times New Roman"/>
          <w:lang w:val="en-GB" w:eastAsia="da-DK"/>
        </w:rPr>
      </w:pPr>
    </w:p>
    <w:tbl>
      <w:tblPr>
        <w:tblW w:w="7212" w:type="dxa"/>
        <w:tblInd w:w="1214" w:type="dxa"/>
        <w:tblBorders>
          <w:top w:val="single" w:sz="12" w:space="0" w:color="C0C0C0"/>
          <w:left w:val="single" w:sz="12" w:space="0" w:color="C0C0C0"/>
          <w:bottom w:val="single" w:sz="12" w:space="0" w:color="C0C0C0"/>
          <w:right w:val="single" w:sz="12" w:space="0" w:color="C0C0C0"/>
          <w:insideH w:val="single" w:sz="12" w:space="0" w:color="C0C0C0"/>
        </w:tblBorders>
        <w:tblCellMar>
          <w:left w:w="70" w:type="dxa"/>
          <w:right w:w="70" w:type="dxa"/>
        </w:tblCellMar>
        <w:tblLook w:val="0000" w:firstRow="0" w:lastRow="0" w:firstColumn="0" w:lastColumn="0" w:noHBand="0" w:noVBand="0"/>
      </w:tblPr>
      <w:tblGrid>
        <w:gridCol w:w="242"/>
        <w:gridCol w:w="1135"/>
        <w:gridCol w:w="1284"/>
        <w:gridCol w:w="1757"/>
        <w:gridCol w:w="1354"/>
        <w:gridCol w:w="1440"/>
      </w:tblGrid>
      <w:tr w:rsidR="006E6AAA" w:rsidRPr="006E6AAA" w:rsidTr="00C8613A">
        <w:trPr>
          <w:trHeight w:val="495"/>
        </w:trPr>
        <w:tc>
          <w:tcPr>
            <w:tcW w:w="242" w:type="dxa"/>
            <w:shd w:val="clear" w:color="auto" w:fill="4C4C4C"/>
            <w:noWrap/>
            <w:vAlign w:val="bottom"/>
          </w:tcPr>
          <w:p w:rsidR="006E6AAA" w:rsidRPr="006E6AAA" w:rsidRDefault="006E6AAA" w:rsidP="006E6AAA">
            <w:pPr>
              <w:spacing w:after="0" w:line="240" w:lineRule="auto"/>
              <w:rPr>
                <w:rFonts w:ascii="Calibri" w:eastAsia="Times New Roman" w:hAnsi="Calibri" w:cs="Arial"/>
                <w:color w:val="FFFFFF"/>
                <w:sz w:val="20"/>
                <w:szCs w:val="20"/>
                <w:lang w:eastAsia="it-IT"/>
              </w:rPr>
            </w:pPr>
          </w:p>
        </w:tc>
        <w:tc>
          <w:tcPr>
            <w:tcW w:w="1135" w:type="dxa"/>
            <w:shd w:val="clear" w:color="auto" w:fill="4C4C4C"/>
            <w:vAlign w:val="bottom"/>
          </w:tcPr>
          <w:p w:rsidR="006E6AAA" w:rsidRPr="006E6AAA" w:rsidRDefault="006E6AAA" w:rsidP="006E6AAA">
            <w:pPr>
              <w:spacing w:after="0" w:line="240" w:lineRule="auto"/>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 xml:space="preserve">From </w:t>
            </w:r>
          </w:p>
        </w:tc>
        <w:tc>
          <w:tcPr>
            <w:tcW w:w="1284" w:type="dxa"/>
            <w:shd w:val="clear" w:color="auto" w:fill="4C4C4C"/>
            <w:vAlign w:val="bottom"/>
          </w:tcPr>
          <w:p w:rsidR="006E6AAA" w:rsidRPr="006E6AAA" w:rsidRDefault="006E6AAA" w:rsidP="006E6AAA">
            <w:pPr>
              <w:spacing w:after="0" w:line="240" w:lineRule="auto"/>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To</w:t>
            </w:r>
          </w:p>
        </w:tc>
        <w:tc>
          <w:tcPr>
            <w:tcW w:w="1757" w:type="dxa"/>
            <w:shd w:val="clear" w:color="auto" w:fill="4C4C4C"/>
            <w:vAlign w:val="bottom"/>
          </w:tcPr>
          <w:p w:rsidR="006E6AAA" w:rsidRPr="006E6AAA" w:rsidRDefault="006E6AAA" w:rsidP="006E6AAA">
            <w:pPr>
              <w:spacing w:after="0" w:line="240" w:lineRule="auto"/>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National Partner</w:t>
            </w:r>
          </w:p>
        </w:tc>
        <w:tc>
          <w:tcPr>
            <w:tcW w:w="1354" w:type="dxa"/>
            <w:shd w:val="clear" w:color="auto" w:fill="4C4C4C"/>
            <w:vAlign w:val="bottom"/>
          </w:tcPr>
          <w:p w:rsidR="006E6AAA" w:rsidRPr="006E6AAA" w:rsidRDefault="006E6AAA" w:rsidP="006E6AAA">
            <w:pPr>
              <w:spacing w:after="0" w:line="240" w:lineRule="auto"/>
              <w:rPr>
                <w:rFonts w:ascii="Calibri" w:eastAsia="Times New Roman" w:hAnsi="Calibri" w:cs="Arial"/>
                <w:b/>
                <w:bCs/>
                <w:color w:val="FFFFFF"/>
                <w:sz w:val="20"/>
                <w:szCs w:val="20"/>
                <w:lang w:eastAsia="it-IT"/>
              </w:rPr>
            </w:pPr>
            <w:r w:rsidRPr="006E6AAA">
              <w:rPr>
                <w:rFonts w:ascii="Calibri" w:eastAsia="Times New Roman" w:hAnsi="Calibri" w:cs="Arial"/>
                <w:b/>
                <w:bCs/>
                <w:color w:val="FFFFFF"/>
                <w:sz w:val="20"/>
                <w:szCs w:val="20"/>
                <w:lang w:eastAsia="it-IT"/>
              </w:rPr>
              <w:t>Total budget of the LoA*</w:t>
            </w:r>
          </w:p>
        </w:tc>
        <w:tc>
          <w:tcPr>
            <w:tcW w:w="1440" w:type="dxa"/>
            <w:shd w:val="clear" w:color="auto" w:fill="4C4C4C"/>
            <w:vAlign w:val="bottom"/>
          </w:tcPr>
          <w:p w:rsidR="006E6AAA" w:rsidRPr="006E6AAA" w:rsidRDefault="006E6AAA" w:rsidP="006E6AAA">
            <w:pPr>
              <w:spacing w:after="0" w:line="240" w:lineRule="auto"/>
              <w:rPr>
                <w:rFonts w:ascii="Calibri" w:eastAsia="Times New Roman" w:hAnsi="Calibri" w:cs="Arial"/>
                <w:b/>
                <w:bCs/>
                <w:color w:val="FFFFFF"/>
                <w:sz w:val="20"/>
                <w:szCs w:val="20"/>
                <w:lang w:val="it-IT" w:eastAsia="it-IT"/>
              </w:rPr>
            </w:pPr>
            <w:r w:rsidRPr="006E6AAA">
              <w:rPr>
                <w:rFonts w:ascii="Calibri" w:eastAsia="Times New Roman" w:hAnsi="Calibri" w:cs="Arial"/>
                <w:b/>
                <w:bCs/>
                <w:color w:val="FFFFFF"/>
                <w:sz w:val="20"/>
                <w:szCs w:val="20"/>
                <w:lang w:val="it-IT" w:eastAsia="it-IT"/>
              </w:rPr>
              <w:t>Specific budget for MC</w:t>
            </w:r>
          </w:p>
        </w:tc>
      </w:tr>
      <w:tr w:rsidR="006E6AAA" w:rsidRPr="006E6AAA" w:rsidTr="00C8613A">
        <w:trPr>
          <w:trHeight w:val="255"/>
        </w:trPr>
        <w:tc>
          <w:tcPr>
            <w:tcW w:w="242" w:type="dxa"/>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w:t>
            </w:r>
          </w:p>
        </w:tc>
        <w:tc>
          <w:tcPr>
            <w:tcW w:w="1135"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1/10/2012</w:t>
            </w:r>
          </w:p>
        </w:tc>
        <w:tc>
          <w:tcPr>
            <w:tcW w:w="128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30/09/2013</w:t>
            </w:r>
          </w:p>
        </w:tc>
        <w:tc>
          <w:tcPr>
            <w:tcW w:w="1757"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Supreme Court</w:t>
            </w:r>
          </w:p>
        </w:tc>
        <w:tc>
          <w:tcPr>
            <w:tcW w:w="135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134,380</w:t>
            </w:r>
          </w:p>
        </w:tc>
        <w:tc>
          <w:tcPr>
            <w:tcW w:w="1440"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84,600</w:t>
            </w:r>
          </w:p>
        </w:tc>
      </w:tr>
      <w:tr w:rsidR="006E6AAA" w:rsidRPr="006E6AAA" w:rsidTr="00C8613A">
        <w:trPr>
          <w:trHeight w:val="255"/>
        </w:trPr>
        <w:tc>
          <w:tcPr>
            <w:tcW w:w="242" w:type="dxa"/>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2</w:t>
            </w:r>
          </w:p>
        </w:tc>
        <w:tc>
          <w:tcPr>
            <w:tcW w:w="1135"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1/9/2011</w:t>
            </w:r>
          </w:p>
        </w:tc>
        <w:tc>
          <w:tcPr>
            <w:tcW w:w="128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30/06/2012</w:t>
            </w:r>
          </w:p>
        </w:tc>
        <w:tc>
          <w:tcPr>
            <w:tcW w:w="1757"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Supreme Court</w:t>
            </w:r>
          </w:p>
        </w:tc>
        <w:tc>
          <w:tcPr>
            <w:tcW w:w="135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93,453</w:t>
            </w:r>
          </w:p>
        </w:tc>
        <w:tc>
          <w:tcPr>
            <w:tcW w:w="1440"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71,540</w:t>
            </w:r>
          </w:p>
        </w:tc>
      </w:tr>
      <w:tr w:rsidR="006E6AAA" w:rsidRPr="006E6AAA" w:rsidTr="00C8613A">
        <w:trPr>
          <w:trHeight w:val="255"/>
        </w:trPr>
        <w:tc>
          <w:tcPr>
            <w:tcW w:w="242" w:type="dxa"/>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w:t>
            </w:r>
          </w:p>
        </w:tc>
        <w:tc>
          <w:tcPr>
            <w:tcW w:w="1135"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1/1/2010</w:t>
            </w:r>
          </w:p>
        </w:tc>
        <w:tc>
          <w:tcPr>
            <w:tcW w:w="128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31/12/2010</w:t>
            </w:r>
          </w:p>
        </w:tc>
        <w:tc>
          <w:tcPr>
            <w:tcW w:w="1757"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MOJ</w:t>
            </w:r>
          </w:p>
        </w:tc>
        <w:tc>
          <w:tcPr>
            <w:tcW w:w="135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152,515</w:t>
            </w:r>
          </w:p>
        </w:tc>
        <w:tc>
          <w:tcPr>
            <w:tcW w:w="1440"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94,150</w:t>
            </w:r>
          </w:p>
        </w:tc>
      </w:tr>
      <w:tr w:rsidR="006E6AAA" w:rsidRPr="006E6AAA" w:rsidTr="00C8613A">
        <w:trPr>
          <w:trHeight w:val="284"/>
        </w:trPr>
        <w:tc>
          <w:tcPr>
            <w:tcW w:w="242"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w:t>
            </w:r>
          </w:p>
        </w:tc>
        <w:tc>
          <w:tcPr>
            <w:tcW w:w="1135"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1/6/2008</w:t>
            </w:r>
          </w:p>
        </w:tc>
        <w:tc>
          <w:tcPr>
            <w:tcW w:w="128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1/5/2009</w:t>
            </w:r>
          </w:p>
        </w:tc>
        <w:tc>
          <w:tcPr>
            <w:tcW w:w="1757"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MOJ</w:t>
            </w:r>
          </w:p>
        </w:tc>
        <w:tc>
          <w:tcPr>
            <w:tcW w:w="135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72,000</w:t>
            </w:r>
          </w:p>
        </w:tc>
        <w:tc>
          <w:tcPr>
            <w:tcW w:w="1440"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72,000</w:t>
            </w:r>
          </w:p>
        </w:tc>
      </w:tr>
      <w:tr w:rsidR="006E6AAA" w:rsidRPr="006E6AAA" w:rsidTr="00C8613A">
        <w:trPr>
          <w:trHeight w:val="255"/>
        </w:trPr>
        <w:tc>
          <w:tcPr>
            <w:tcW w:w="242" w:type="dxa"/>
            <w:shd w:val="clear" w:color="auto" w:fill="auto"/>
            <w:noWrap/>
            <w:vAlign w:val="bottom"/>
          </w:tcPr>
          <w:p w:rsidR="006E6AAA" w:rsidRPr="006E6AAA" w:rsidRDefault="006E6AAA" w:rsidP="006E6AAA">
            <w:pPr>
              <w:spacing w:after="0" w:line="240" w:lineRule="auto"/>
              <w:jc w:val="right"/>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4</w:t>
            </w:r>
          </w:p>
        </w:tc>
        <w:tc>
          <w:tcPr>
            <w:tcW w:w="2419" w:type="dxa"/>
            <w:gridSpan w:val="2"/>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amendment to LoA n.5</w:t>
            </w:r>
          </w:p>
        </w:tc>
        <w:tc>
          <w:tcPr>
            <w:tcW w:w="1757"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MOJ</w:t>
            </w:r>
          </w:p>
        </w:tc>
        <w:tc>
          <w:tcPr>
            <w:tcW w:w="135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13,800</w:t>
            </w:r>
          </w:p>
        </w:tc>
        <w:tc>
          <w:tcPr>
            <w:tcW w:w="1440"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r w:rsidRPr="006E6AAA">
              <w:rPr>
                <w:rFonts w:ascii="Calibri" w:eastAsia="Times New Roman" w:hAnsi="Calibri" w:cs="Arial"/>
                <w:sz w:val="20"/>
                <w:szCs w:val="20"/>
                <w:lang w:val="it-IT" w:eastAsia="it-IT"/>
              </w:rPr>
              <w:t>0</w:t>
            </w:r>
          </w:p>
        </w:tc>
      </w:tr>
      <w:tr w:rsidR="006E6AAA" w:rsidRPr="006E6AAA" w:rsidTr="00C8613A">
        <w:trPr>
          <w:trHeight w:val="255"/>
        </w:trPr>
        <w:tc>
          <w:tcPr>
            <w:tcW w:w="242"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p>
        </w:tc>
        <w:tc>
          <w:tcPr>
            <w:tcW w:w="1135"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p>
        </w:tc>
        <w:tc>
          <w:tcPr>
            <w:tcW w:w="1284"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p>
        </w:tc>
        <w:tc>
          <w:tcPr>
            <w:tcW w:w="1757" w:type="dxa"/>
            <w:shd w:val="clear" w:color="auto" w:fill="auto"/>
            <w:noWrap/>
            <w:vAlign w:val="bottom"/>
          </w:tcPr>
          <w:p w:rsidR="006E6AAA" w:rsidRPr="006E6AAA" w:rsidRDefault="006E6AAA" w:rsidP="006E6AAA">
            <w:pPr>
              <w:spacing w:after="0" w:line="240" w:lineRule="auto"/>
              <w:rPr>
                <w:rFonts w:ascii="Calibri" w:eastAsia="Times New Roman" w:hAnsi="Calibri" w:cs="Arial"/>
                <w:sz w:val="20"/>
                <w:szCs w:val="20"/>
                <w:lang w:val="it-IT" w:eastAsia="it-IT"/>
              </w:rPr>
            </w:pPr>
          </w:p>
        </w:tc>
        <w:tc>
          <w:tcPr>
            <w:tcW w:w="1354" w:type="dxa"/>
            <w:shd w:val="clear" w:color="auto" w:fill="auto"/>
            <w:noWrap/>
            <w:vAlign w:val="bottom"/>
          </w:tcPr>
          <w:p w:rsidR="006E6AAA" w:rsidRPr="006E6AAA" w:rsidRDefault="006E6AAA" w:rsidP="006E6AAA">
            <w:pPr>
              <w:spacing w:after="0" w:line="240" w:lineRule="auto"/>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466,148</w:t>
            </w:r>
          </w:p>
        </w:tc>
        <w:tc>
          <w:tcPr>
            <w:tcW w:w="1440" w:type="dxa"/>
            <w:shd w:val="clear" w:color="auto" w:fill="auto"/>
            <w:noWrap/>
            <w:vAlign w:val="bottom"/>
          </w:tcPr>
          <w:p w:rsidR="006E6AAA" w:rsidRPr="006E6AAA" w:rsidRDefault="006E6AAA" w:rsidP="006E6AAA">
            <w:pPr>
              <w:spacing w:after="0" w:line="240" w:lineRule="auto"/>
              <w:rPr>
                <w:rFonts w:ascii="Calibri" w:eastAsia="Times New Roman" w:hAnsi="Calibri" w:cs="Arial"/>
                <w:b/>
                <w:bCs/>
                <w:sz w:val="20"/>
                <w:szCs w:val="20"/>
                <w:lang w:val="it-IT" w:eastAsia="it-IT"/>
              </w:rPr>
            </w:pPr>
            <w:r w:rsidRPr="006E6AAA">
              <w:rPr>
                <w:rFonts w:ascii="Calibri" w:eastAsia="Times New Roman" w:hAnsi="Calibri" w:cs="Arial"/>
                <w:b/>
                <w:bCs/>
                <w:sz w:val="20"/>
                <w:szCs w:val="20"/>
                <w:lang w:val="it-IT" w:eastAsia="it-IT"/>
              </w:rPr>
              <w:t>322.290</w:t>
            </w:r>
          </w:p>
        </w:tc>
      </w:tr>
    </w:tbl>
    <w:p w:rsidR="006E6AAA" w:rsidRPr="006E6AAA" w:rsidRDefault="006E6AAA" w:rsidP="006E6AAA">
      <w:pPr>
        <w:tabs>
          <w:tab w:val="left" w:pos="540"/>
        </w:tabs>
        <w:spacing w:after="0" w:line="270" w:lineRule="atLeast"/>
        <w:rPr>
          <w:rFonts w:ascii="Calibri" w:eastAsia="Times New Roman" w:hAnsi="Calibri" w:cs="Segoe UI"/>
          <w:i/>
          <w:sz w:val="18"/>
          <w:szCs w:val="18"/>
          <w:lang w:val="en-GB" w:eastAsia="da-DK"/>
        </w:rPr>
      </w:pPr>
      <w:r w:rsidRPr="006E6AAA">
        <w:rPr>
          <w:rFonts w:ascii="Calibri" w:eastAsia="Times New Roman" w:hAnsi="Calibri" w:cs="Segoe UI"/>
          <w:color w:val="1F497D"/>
          <w:sz w:val="20"/>
          <w:szCs w:val="20"/>
          <w:lang w:val="en-GB" w:eastAsia="da-DK"/>
        </w:rPr>
        <w:tab/>
      </w:r>
      <w:r w:rsidRPr="006E6AAA">
        <w:rPr>
          <w:rFonts w:ascii="Calibri" w:eastAsia="Times New Roman" w:hAnsi="Calibri" w:cs="Segoe UI"/>
          <w:color w:val="1F497D"/>
          <w:sz w:val="20"/>
          <w:szCs w:val="20"/>
          <w:lang w:val="en-GB" w:eastAsia="da-DK"/>
        </w:rPr>
        <w:tab/>
        <w:t xml:space="preserve">         </w:t>
      </w:r>
      <w:r w:rsidRPr="006E6AAA">
        <w:rPr>
          <w:rFonts w:ascii="Calibri" w:eastAsia="Times New Roman" w:hAnsi="Calibri" w:cs="Segoe UI"/>
          <w:i/>
          <w:sz w:val="18"/>
          <w:szCs w:val="18"/>
          <w:lang w:val="en-GB" w:eastAsia="da-DK"/>
        </w:rPr>
        <w:t>* the LoA includes a Case management system component.</w:t>
      </w:r>
    </w:p>
    <w:p w:rsidR="006E6AAA" w:rsidRPr="006E6AAA" w:rsidRDefault="006E6AAA" w:rsidP="006E6AAA">
      <w:pPr>
        <w:tabs>
          <w:tab w:val="left" w:pos="540"/>
          <w:tab w:val="left" w:pos="8460"/>
        </w:tabs>
        <w:spacing w:after="0" w:line="270" w:lineRule="atLeast"/>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To be noted that </w:t>
      </w:r>
      <w:r w:rsidRPr="006E6AAA">
        <w:rPr>
          <w:rFonts w:ascii="Calibri" w:eastAsia="Times New Roman" w:hAnsi="Calibri" w:cs="Times New Roman"/>
          <w:b/>
          <w:lang w:val="en-GB" w:eastAsia="da-DK"/>
        </w:rPr>
        <w:t>fuel has been the highest budget line</w:t>
      </w:r>
      <w:r w:rsidRPr="006E6AAA">
        <w:rPr>
          <w:rFonts w:ascii="Calibri" w:eastAsia="Times New Roman" w:hAnsi="Calibri" w:cs="Times New Roman"/>
          <w:lang w:val="en-GB" w:eastAsia="da-DK"/>
        </w:rPr>
        <w:t xml:space="preserve"> in all LoAs: a total amount of 241.000 USD has been budgeted since the beginning of the MC project in 2008, meaning that 75% of the total UNDP budget for MC was earmarked for fuel.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Such important amounts might raise some concerns, in particular because they are negotiated as </w:t>
      </w:r>
      <w:r w:rsidRPr="006E6AAA">
        <w:rPr>
          <w:rFonts w:ascii="Calibri" w:eastAsia="Times New Roman" w:hAnsi="Calibri" w:cs="Times New Roman"/>
          <w:i/>
          <w:lang w:val="en-GB" w:eastAsia="da-DK"/>
        </w:rPr>
        <w:t>lump sums</w:t>
      </w:r>
      <w:r w:rsidRPr="006E6AAA">
        <w:rPr>
          <w:rFonts w:ascii="Calibri" w:eastAsia="Times New Roman" w:hAnsi="Calibri" w:cs="Times New Roman"/>
          <w:lang w:val="en-GB" w:eastAsia="da-DK"/>
        </w:rPr>
        <w:t>, at least in the last 2 LoA</w:t>
      </w:r>
      <w:r w:rsidRPr="006E6AAA">
        <w:rPr>
          <w:rFonts w:ascii="Calibri" w:eastAsia="Times New Roman" w:hAnsi="Calibri" w:cs="Times New Roman"/>
          <w:vertAlign w:val="superscript"/>
          <w:lang w:val="en-GB" w:eastAsia="da-DK"/>
        </w:rPr>
        <w:footnoteReference w:id="134"/>
      </w:r>
      <w:r w:rsidRPr="006E6AAA">
        <w:rPr>
          <w:rFonts w:ascii="Calibri" w:eastAsia="Times New Roman" w:hAnsi="Calibri" w:cs="Times New Roman"/>
          <w:lang w:val="en-GB" w:eastAsia="da-DK"/>
        </w:rPr>
        <w:t xml:space="preserve">. As UNDP is planning to do for the new LoA, the budget line should be further detailed, for example by indicating how many MC missions per year; how many km travelled; how many vehicles, etc.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This information is currently available, as MCs have to fill in forms indicating the travelled Kilometres and the fuel consumption</w:t>
      </w:r>
      <w:r w:rsidRPr="006E6AAA">
        <w:rPr>
          <w:rFonts w:ascii="Calibri" w:eastAsia="Times New Roman" w:hAnsi="Calibri" w:cs="Times New Roman"/>
          <w:vertAlign w:val="superscript"/>
          <w:lang w:val="en-GB" w:eastAsia="da-DK"/>
        </w:rPr>
        <w:footnoteReference w:id="135"/>
      </w:r>
      <w:r w:rsidRPr="006E6AAA">
        <w:rPr>
          <w:rFonts w:ascii="Calibri" w:eastAsia="Times New Roman" w:hAnsi="Calibri" w:cs="Times New Roman"/>
          <w:lang w:val="en-GB" w:eastAsia="da-DK"/>
        </w:rPr>
        <w:t>, but does not seem to be consolidated and analysed for programmatic purposes.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lastRenderedPageBreak/>
        <w:t xml:space="preserve">A related issue is the fact that the LoA does not cover </w:t>
      </w:r>
      <w:r w:rsidRPr="006E6AAA">
        <w:rPr>
          <w:rFonts w:ascii="Calibri" w:eastAsia="Times New Roman" w:hAnsi="Calibri" w:cs="Times New Roman"/>
          <w:i/>
          <w:lang w:val="en-GB" w:eastAsia="da-DK"/>
        </w:rPr>
        <w:t>Per diems</w:t>
      </w:r>
      <w:r w:rsidRPr="006E6AAA">
        <w:rPr>
          <w:rFonts w:ascii="Calibri" w:eastAsia="Times New Roman" w:hAnsi="Calibri" w:cs="Times New Roman"/>
          <w:lang w:val="en-GB" w:eastAsia="da-DK"/>
        </w:rPr>
        <w:t xml:space="preserve"> for the MC team, as this should in principle fall under the responsibility of the Judiciary. In practice this is not happening, so the lack of allowances has the consequence that MC are organized for 90% of the cases as day-missions.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Head of the Financial Department at the Supreme Court explained that the yearly budget for the </w:t>
      </w:r>
      <w:r w:rsidRPr="006E6AAA">
        <w:rPr>
          <w:rFonts w:ascii="Calibri" w:eastAsia="Times New Roman" w:hAnsi="Calibri" w:cs="Times New Roman"/>
          <w:i/>
          <w:lang w:val="en-GB" w:eastAsia="da-DK"/>
        </w:rPr>
        <w:t>Per diems</w:t>
      </w:r>
      <w:r w:rsidRPr="006E6AAA">
        <w:rPr>
          <w:rFonts w:ascii="Calibri" w:eastAsia="Times New Roman" w:hAnsi="Calibri" w:cs="Times New Roman"/>
          <w:lang w:val="en-GB" w:eastAsia="da-DK"/>
        </w:rPr>
        <w:t xml:space="preserve"> for all judicial staff (mobile or permanent) is 6.000 USD and the current </w:t>
      </w:r>
      <w:r w:rsidRPr="006E6AAA">
        <w:rPr>
          <w:rFonts w:ascii="Calibri" w:eastAsia="Times New Roman" w:hAnsi="Calibri" w:cs="Times New Roman"/>
          <w:i/>
          <w:lang w:val="en-GB" w:eastAsia="da-DK"/>
        </w:rPr>
        <w:t>Per diem</w:t>
      </w:r>
      <w:r w:rsidRPr="006E6AAA">
        <w:rPr>
          <w:rFonts w:ascii="Calibri" w:eastAsia="Times New Roman" w:hAnsi="Calibri" w:cs="Times New Roman"/>
          <w:lang w:val="en-GB" w:eastAsia="da-DK"/>
        </w:rPr>
        <w:t xml:space="preserve"> rate for all MC staff (judges, police etc… ) is 12 USD per day. Such amounts are clearly not sufficient and not in line with the current cost of living in Somaliland (she suggested that the rate should be increased to 40 USD).</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All interviewed judicial staff and in particularly judges, strongly complained about the lack of </w:t>
      </w:r>
      <w:r w:rsidRPr="006E6AAA">
        <w:rPr>
          <w:rFonts w:ascii="Calibri" w:eastAsia="Times New Roman" w:hAnsi="Calibri" w:cs="Times New Roman"/>
          <w:i/>
          <w:lang w:val="en-GB" w:eastAsia="da-DK"/>
        </w:rPr>
        <w:t>Per diems</w:t>
      </w:r>
      <w:r w:rsidRPr="006E6AAA">
        <w:rPr>
          <w:rFonts w:ascii="Calibri" w:eastAsia="Times New Roman" w:hAnsi="Calibri" w:cs="Times New Roman"/>
          <w:lang w:val="en-GB" w:eastAsia="da-DK"/>
        </w:rPr>
        <w:t>; some mentioned that “s</w:t>
      </w:r>
      <w:r w:rsidRPr="006E6AAA">
        <w:rPr>
          <w:rFonts w:ascii="Calibri" w:eastAsia="Times New Roman" w:hAnsi="Calibri" w:cs="Times New Roman"/>
          <w:i/>
          <w:lang w:val="en-GB" w:eastAsia="da-DK"/>
        </w:rPr>
        <w:t>ometimes more than 8 hours are needed to go back home</w:t>
      </w:r>
      <w:r w:rsidRPr="006E6AAA">
        <w:rPr>
          <w:rFonts w:ascii="Calibri" w:eastAsia="Times New Roman" w:hAnsi="Calibri" w:cs="Times New Roman"/>
          <w:lang w:val="en-GB" w:eastAsia="da-DK"/>
        </w:rPr>
        <w:t>”.</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Considered the high amounts allocated for fuel expenses and the challenges created by the lack of </w:t>
      </w:r>
      <w:r w:rsidRPr="006E6AAA">
        <w:rPr>
          <w:rFonts w:ascii="Calibri" w:eastAsia="Times New Roman" w:hAnsi="Calibri" w:cs="Times New Roman"/>
          <w:i/>
          <w:lang w:val="en-GB" w:eastAsia="da-DK"/>
        </w:rPr>
        <w:t>per diems</w:t>
      </w:r>
      <w:r w:rsidRPr="006E6AAA">
        <w:rPr>
          <w:rFonts w:ascii="Calibri" w:eastAsia="Times New Roman" w:hAnsi="Calibri" w:cs="Times New Roman"/>
          <w:lang w:val="en-GB" w:eastAsia="da-DK"/>
        </w:rPr>
        <w:t xml:space="preserve">, it might be worth exploring the possibility of 1) rationalising the number of MC by setting up a circuit court system as illustrated in § 2.1 which should reduce the fuel costs and 2) increasing the duration of each MC by allocating a minimum amount for </w:t>
      </w:r>
      <w:r w:rsidRPr="006E6AAA">
        <w:rPr>
          <w:rFonts w:ascii="Calibri" w:eastAsia="Times New Roman" w:hAnsi="Calibri" w:cs="Times New Roman"/>
          <w:i/>
          <w:lang w:val="en-GB" w:eastAsia="da-DK"/>
        </w:rPr>
        <w:t>per diems</w:t>
      </w:r>
      <w:r w:rsidRPr="006E6AAA">
        <w:rPr>
          <w:rFonts w:ascii="Calibri" w:eastAsia="Times New Roman" w:hAnsi="Calibri" w:cs="Times New Roman"/>
          <w:lang w:val="en-GB" w:eastAsia="da-DK"/>
        </w:rPr>
        <w:t>, which could be obtained from the reduction in the fuel budget line.</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An analysis of the MC caseload in 2011 and 2012 shows that 1.576 cases were filed for a budget of 140.000 USD, which indicates an approximate cost of 88 USD per case (UNDP contribution).  Considering that MC also had an impact on the elders and the public assisting the hearings, it can be concluded that </w:t>
      </w:r>
      <w:r w:rsidRPr="006E6AAA">
        <w:rPr>
          <w:rFonts w:ascii="Calibri" w:eastAsia="Times New Roman" w:hAnsi="Calibri" w:cs="Times New Roman"/>
          <w:lang w:eastAsia="da-DK"/>
        </w:rPr>
        <w:t>in absolute terms the MC initiative is cost effective, although financial resources could be allocated in a more effective way for the above mentioned reasons.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For a more in depth analysis the cost-effectiveness criteria, the disposal rate (and not only the number of filed cases) should be taken into consideration, so it is strongly recommended to include the “outcome of the case” indicator in the monthly reporting forms. (see § 2.1)</w:t>
      </w:r>
    </w:p>
    <w:p w:rsidR="006E6AAA" w:rsidRPr="006E6AAA" w:rsidRDefault="006E6AAA" w:rsidP="006E6AAA">
      <w:pPr>
        <w:spacing w:after="0" w:line="280" w:lineRule="exact"/>
        <w:jc w:val="both"/>
        <w:rPr>
          <w:rFonts w:ascii="Calibri" w:eastAsia="Times New Roman" w:hAnsi="Calibri" w:cs="Times New Roman"/>
          <w:lang w:val="en-GB"/>
        </w:rPr>
      </w:pPr>
    </w:p>
    <w:p w:rsidR="006E6AAA" w:rsidRPr="006E6AAA" w:rsidRDefault="006E6AAA" w:rsidP="006E6AAA">
      <w:pPr>
        <w:spacing w:after="0" w:line="280" w:lineRule="exact"/>
        <w:jc w:val="both"/>
        <w:rPr>
          <w:rFonts w:ascii="Calibri" w:eastAsia="Times New Roman" w:hAnsi="Calibri" w:cs="Times New Roman"/>
        </w:rPr>
      </w:pPr>
      <w:r w:rsidRPr="006E6AAA">
        <w:rPr>
          <w:rFonts w:ascii="Calibri" w:eastAsia="Times New Roman" w:hAnsi="Calibri" w:cs="Times New Roman"/>
          <w:lang w:val="en-GB"/>
        </w:rPr>
        <w:t>Finally it’s worth noting that UNDP has dedicated notable efforts to build the capacities of the Judiciary in financial reporting, for example UNDP staff have organised trainings to explain “</w:t>
      </w:r>
      <w:r w:rsidRPr="006E6AAA">
        <w:rPr>
          <w:rFonts w:ascii="Calibri" w:eastAsia="Times New Roman" w:hAnsi="Calibri" w:cs="Times New Roman"/>
          <w:i/>
        </w:rPr>
        <w:t>how to write financial reports per UNDP standards and the requirements to be fulfilled in their reports as well as the procurement process and financial reporting process</w:t>
      </w:r>
      <w:r w:rsidRPr="006E6AAA">
        <w:rPr>
          <w:rFonts w:ascii="Calibri" w:eastAsia="Times New Roman" w:hAnsi="Calibri" w:cs="Times New Roman"/>
        </w:rPr>
        <w:t>”.</w:t>
      </w:r>
      <w:r w:rsidRPr="006E6AAA">
        <w:rPr>
          <w:rFonts w:ascii="Calibri" w:eastAsia="Times New Roman" w:hAnsi="Calibri" w:cs="Times New Roman"/>
          <w:vertAlign w:val="superscript"/>
        </w:rPr>
        <w:footnoteReference w:id="136"/>
      </w:r>
      <w:r w:rsidRPr="006E6AAA">
        <w:rPr>
          <w:rFonts w:ascii="Calibri" w:eastAsia="Times New Roman" w:hAnsi="Calibri" w:cs="Times New Roman"/>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b/>
          <w:color w:val="000080"/>
          <w:lang w:eastAsia="da-DK"/>
        </w:rPr>
        <w:t xml:space="preserve">§ 3.2. </w:t>
      </w:r>
      <w:r w:rsidRPr="006E6AAA">
        <w:rPr>
          <w:rFonts w:ascii="Calibri" w:eastAsia="Times New Roman" w:hAnsi="Calibri" w:cs="Times New Roman"/>
          <w:b/>
          <w:lang w:eastAsia="da-DK"/>
        </w:rPr>
        <w:t>Internal coordination and synergies among justice and security actors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UNDP is the only international partner that is supporting MC in Somalia. Other actors active in the Justice sector are UNODC (legislative reform), UNICEF (justice for children programme) and CESVI (child protection).</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Exemplary coordination is in place among the different components of the UNDP A2J project</w:t>
      </w:r>
      <w:r w:rsidRPr="006E6AAA">
        <w:rPr>
          <w:rFonts w:ascii="Calibri" w:eastAsia="Times New Roman" w:hAnsi="Calibri" w:cs="Times New Roman"/>
          <w:lang w:val="en-GB" w:eastAsia="da-DK"/>
        </w:rPr>
        <w:t xml:space="preserve">: most of the MC judges have attended the UNDP sponsored 6 months training programme, legal aid lawyers representing MC users are working in the framework of either the LoA with SOLLA or SWLA; and the Hargeisa University is actively involved in raising awareness about MC.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Further linkages could be established with the UNDP </w:t>
      </w:r>
      <w:r w:rsidRPr="006E6AAA">
        <w:rPr>
          <w:rFonts w:ascii="Calibri" w:eastAsia="Times New Roman" w:hAnsi="Calibri" w:cs="Times New Roman"/>
          <w:i/>
          <w:lang w:val="en-GB" w:eastAsia="da-DK"/>
        </w:rPr>
        <w:t>Community Security project</w:t>
      </w:r>
      <w:r w:rsidRPr="006E6AAA">
        <w:rPr>
          <w:rFonts w:ascii="Calibri" w:eastAsia="Times New Roman" w:hAnsi="Calibri" w:cs="Times New Roman"/>
          <w:lang w:val="en-GB" w:eastAsia="da-DK"/>
        </w:rPr>
        <w:t xml:space="preserve"> as described in § 2.1 and the coordination with the Police component could be stronger, in particular to strengthen the investigation procedures and the linkages between Police and Prosecution. </w:t>
      </w:r>
    </w:p>
    <w:p w:rsidR="006E6AAA" w:rsidRPr="006E6AAA" w:rsidRDefault="006E6AAA" w:rsidP="006E6AAA">
      <w:pPr>
        <w:autoSpaceDE w:val="0"/>
        <w:autoSpaceDN w:val="0"/>
        <w:adjustRightInd w:val="0"/>
        <w:spacing w:after="0" w:line="240" w:lineRule="auto"/>
        <w:jc w:val="both"/>
        <w:rPr>
          <w:rFonts w:ascii="Calibri" w:eastAsia="Times New Roman" w:hAnsi="Calibri" w:cs="Calibri"/>
          <w:color w:val="000000"/>
          <w:lang w:eastAsia="it-IT"/>
        </w:rPr>
      </w:pPr>
      <w:r w:rsidRPr="006E6AAA">
        <w:rPr>
          <w:rFonts w:ascii="Calibri" w:eastAsia="Times New Roman" w:hAnsi="Calibri" w:cs="Calibri"/>
          <w:color w:val="000000"/>
          <w:lang w:eastAsia="it-IT"/>
        </w:rPr>
        <w:lastRenderedPageBreak/>
        <w:t xml:space="preserve">In addition and considered the recurrence of land disputes,  the UNDP </w:t>
      </w:r>
      <w:r w:rsidRPr="006E6AAA">
        <w:rPr>
          <w:rFonts w:ascii="Calibri" w:eastAsia="Times New Roman" w:hAnsi="Calibri" w:cs="Calibri"/>
          <w:i/>
          <w:color w:val="000000"/>
          <w:lang w:eastAsia="it-IT"/>
        </w:rPr>
        <w:t>Land Tenure project</w:t>
      </w:r>
      <w:r w:rsidRPr="006E6AAA">
        <w:rPr>
          <w:rFonts w:ascii="Calibri" w:eastAsia="Times New Roman" w:hAnsi="Calibri" w:cs="Calibri"/>
          <w:color w:val="000000"/>
          <w:lang w:eastAsia="it-IT"/>
        </w:rPr>
        <w:t xml:space="preserve"> could provide useful support, for example the maps indicating where the land conflicts are most violent could be a useful tool to plan the circuits for the MC.  </w:t>
      </w:r>
    </w:p>
    <w:p w:rsidR="006E6AAA" w:rsidRPr="006E6AAA" w:rsidRDefault="006E6AAA" w:rsidP="006E6AAA">
      <w:pPr>
        <w:autoSpaceDE w:val="0"/>
        <w:autoSpaceDN w:val="0"/>
        <w:adjustRightInd w:val="0"/>
        <w:spacing w:after="0" w:line="240" w:lineRule="auto"/>
        <w:jc w:val="both"/>
        <w:rPr>
          <w:rFonts w:ascii="Calibri" w:eastAsia="Times New Roman" w:hAnsi="Calibri" w:cs="Calibri"/>
          <w:lang w:eastAsia="it-IT"/>
        </w:rPr>
      </w:pPr>
      <w:r w:rsidRPr="006E6AAA">
        <w:rPr>
          <w:rFonts w:ascii="Calibri" w:eastAsia="Times New Roman" w:hAnsi="Calibri" w:cs="Calibri"/>
          <w:lang w:eastAsia="it-IT"/>
        </w:rPr>
        <w:t>Likewise linkages could be strengthened with UNHABITAT and their initiatives in the field of urban land disputes (e.g Regional land dispute tribunals and the development of administrative procedures and land dispute resolution guidelines)</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contextualSpacing/>
        <w:jc w:val="both"/>
        <w:rPr>
          <w:rFonts w:ascii="Calibri" w:eastAsia="Calibri" w:hAnsi="Calibri" w:cs="Times New Roman"/>
          <w:lang w:val="en-GB"/>
        </w:rPr>
      </w:pPr>
      <w:r w:rsidRPr="006E6AAA">
        <w:rPr>
          <w:rFonts w:ascii="Calibri" w:eastAsia="Calibri" w:hAnsi="Calibri" w:cs="Times New Roman"/>
          <w:lang w:val="en-GB"/>
        </w:rPr>
        <w:t xml:space="preserve">As illustrated in § 1.6, </w:t>
      </w:r>
      <w:r w:rsidRPr="006E6AAA">
        <w:rPr>
          <w:rFonts w:ascii="Calibri" w:eastAsia="Calibri" w:hAnsi="Calibri" w:cs="Times New Roman"/>
          <w:b/>
          <w:lang w:val="en-GB"/>
        </w:rPr>
        <w:t>elders play an important role in the MC system</w:t>
      </w:r>
      <w:r w:rsidRPr="006E6AAA">
        <w:rPr>
          <w:rFonts w:ascii="Calibri" w:eastAsia="Calibri" w:hAnsi="Calibri" w:cs="Times New Roman"/>
          <w:vertAlign w:val="superscript"/>
          <w:lang w:val="en-GB"/>
        </w:rPr>
        <w:footnoteReference w:id="137"/>
      </w:r>
      <w:r w:rsidRPr="006E6AAA">
        <w:rPr>
          <w:rFonts w:ascii="Calibri" w:eastAsia="Calibri" w:hAnsi="Calibri" w:cs="Times New Roman"/>
          <w:lang w:val="en-GB"/>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en-GB" w:eastAsia="da-DK"/>
        </w:rPr>
      </w:pPr>
      <w:r w:rsidRPr="006E6AAA">
        <w:rPr>
          <w:rFonts w:ascii="Calibri" w:eastAsia="Times New Roman" w:hAnsi="Calibri" w:cs="Times New Roman"/>
          <w:lang w:val="en-GB" w:eastAsia="da-DK"/>
        </w:rPr>
        <w:t xml:space="preserve">Interviewed MC judges confirmed that inter-linkages with the </w:t>
      </w:r>
      <w:r w:rsidRPr="006E6AAA">
        <w:rPr>
          <w:rFonts w:ascii="Calibri" w:eastAsia="Times New Roman" w:hAnsi="Calibri" w:cs="Times New Roman"/>
          <w:i/>
          <w:lang w:val="en-GB" w:eastAsia="da-DK"/>
        </w:rPr>
        <w:t>Xeer</w:t>
      </w:r>
      <w:r w:rsidRPr="006E6AAA">
        <w:rPr>
          <w:rFonts w:ascii="Calibri" w:eastAsia="Times New Roman" w:hAnsi="Calibri" w:cs="Times New Roman"/>
          <w:lang w:val="en-GB" w:eastAsia="da-DK"/>
        </w:rPr>
        <w:t xml:space="preserve"> system are currently promoted and concluded that “</w:t>
      </w:r>
      <w:r w:rsidRPr="006E6AAA">
        <w:rPr>
          <w:rFonts w:ascii="Calibri" w:eastAsia="Times New Roman" w:hAnsi="Calibri" w:cs="Times New Roman"/>
          <w:i/>
          <w:lang w:val="en-GB" w:eastAsia="da-DK"/>
        </w:rPr>
        <w:t>without the assistance of the elders the MC system would not work</w:t>
      </w:r>
      <w:r w:rsidRPr="006E6AAA">
        <w:rPr>
          <w:rFonts w:ascii="Calibri" w:eastAsia="Times New Roman" w:hAnsi="Calibri" w:cs="Times New Roman"/>
          <w:lang w:val="en-GB" w:eastAsia="da-DK"/>
        </w:rPr>
        <w:t xml:space="preserve">”. </w:t>
      </w:r>
      <w:r w:rsidRPr="006E6AAA">
        <w:rPr>
          <w:rFonts w:ascii="Calibri" w:eastAsia="Times New Roman" w:hAnsi="Calibri" w:cs="Times New Roman"/>
          <w:vertAlign w:val="superscript"/>
          <w:lang w:val="en-GB" w:eastAsia="da-DK"/>
        </w:rPr>
        <w:footnoteReference w:id="138"/>
      </w:r>
      <w:r w:rsidRPr="006E6AAA">
        <w:rPr>
          <w:rFonts w:ascii="Calibri" w:eastAsia="Times New Roman" w:hAnsi="Calibri" w:cs="Times New Roman"/>
          <w:lang w:val="en-GB" w:eastAsia="da-DK"/>
        </w:rPr>
        <w:t xml:space="preserve"> Several monitoring reports point out that “</w:t>
      </w:r>
      <w:r w:rsidRPr="006E6AAA">
        <w:rPr>
          <w:rFonts w:ascii="Calibri" w:eastAsia="Times New Roman" w:hAnsi="Calibri" w:cs="Calibri"/>
          <w:i/>
          <w:lang w:val="en-GB" w:eastAsia="da-DK"/>
        </w:rPr>
        <w:t>Mobile Court teams established a strong working relationship with the traditional elders</w:t>
      </w:r>
      <w:r w:rsidRPr="006E6AAA">
        <w:rPr>
          <w:rFonts w:ascii="Calibri" w:eastAsia="Times New Roman" w:hAnsi="Calibri" w:cs="Calibri"/>
          <w:lang w:val="en-GB" w:eastAsia="da-DK"/>
        </w:rPr>
        <w:t>”</w:t>
      </w:r>
      <w:r w:rsidRPr="006E6AAA">
        <w:rPr>
          <w:rFonts w:ascii="Calibri" w:eastAsia="Times New Roman" w:hAnsi="Calibri" w:cs="Calibri"/>
          <w:vertAlign w:val="superscript"/>
          <w:lang w:val="en-GB" w:eastAsia="da-DK"/>
        </w:rPr>
        <w:footnoteReference w:id="139"/>
      </w:r>
      <w:r w:rsidRPr="006E6AAA">
        <w:rPr>
          <w:rFonts w:ascii="Calibri" w:eastAsia="Times New Roman" w:hAnsi="Calibri" w:cs="Calibri"/>
          <w:lang w:val="en-GB" w:eastAsia="da-DK"/>
        </w:rPr>
        <w:t xml:space="preserve">. </w:t>
      </w:r>
    </w:p>
    <w:p w:rsidR="006E6AAA" w:rsidRPr="006E6AAA" w:rsidRDefault="006E6AAA" w:rsidP="006E6AAA">
      <w:pPr>
        <w:spacing w:after="0" w:line="280" w:lineRule="exact"/>
        <w:contextualSpacing/>
        <w:jc w:val="both"/>
        <w:rPr>
          <w:rFonts w:ascii="Calibri" w:eastAsia="Calibri" w:hAnsi="Calibri" w:cs="Times New Roman"/>
          <w:lang w:val="en-GB"/>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Interviewed</w:t>
      </w:r>
      <w:r w:rsidRPr="006E6AAA">
        <w:rPr>
          <w:rFonts w:ascii="Calibri" w:eastAsia="Times New Roman" w:hAnsi="Calibri" w:cs="Times New Roman"/>
          <w:lang w:eastAsia="da-DK"/>
        </w:rPr>
        <w:t xml:space="preserve"> judges identified the following activities as the main contribution of elders to the MC system: </w:t>
      </w:r>
    </w:p>
    <w:p w:rsidR="006E6AAA" w:rsidRPr="006E6AAA" w:rsidRDefault="006E6AAA" w:rsidP="006E6AAA">
      <w:pPr>
        <w:numPr>
          <w:ilvl w:val="0"/>
          <w:numId w:val="3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Elders refer cases by calling the judges or contacting the District Courts; the cases mostly consist in civil disputes that they have not managed to settle.</w:t>
      </w:r>
    </w:p>
    <w:p w:rsidR="006E6AAA" w:rsidRPr="006E6AAA" w:rsidRDefault="006E6AAA" w:rsidP="006E6AAA">
      <w:pPr>
        <w:numPr>
          <w:ilvl w:val="0"/>
          <w:numId w:val="3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Elders ensure that the perpetrator is captured and brought before the court with the assistance of the clan; as one judged explained: “</w:t>
      </w:r>
      <w:r w:rsidRPr="006E6AAA">
        <w:rPr>
          <w:rFonts w:ascii="Calibri" w:eastAsia="Times New Roman" w:hAnsi="Calibri" w:cs="Times New Roman"/>
          <w:i/>
          <w:lang w:val="en-GB" w:eastAsia="da-DK"/>
        </w:rPr>
        <w:t>there is no police station in villages so traditional elders always play the role of the police.</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40"/>
      </w:r>
    </w:p>
    <w:p w:rsidR="006E6AAA" w:rsidRPr="006E6AAA" w:rsidRDefault="006E6AAA" w:rsidP="006E6AAA">
      <w:pPr>
        <w:numPr>
          <w:ilvl w:val="0"/>
          <w:numId w:val="3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Elders ensure that parties to the case accept the court decision; a UNDP ROL officer clarifies that “</w:t>
      </w:r>
      <w:r w:rsidRPr="006E6AAA">
        <w:rPr>
          <w:rFonts w:ascii="Calibri" w:eastAsia="Times New Roman" w:hAnsi="Calibri" w:cs="Times New Roman"/>
          <w:i/>
          <w:lang w:val="en-GB" w:eastAsia="da-DK"/>
        </w:rPr>
        <w:t>they might intervene to mediate if things get out of control</w:t>
      </w:r>
      <w:r w:rsidRPr="006E6AAA">
        <w:rPr>
          <w:rFonts w:ascii="Calibri" w:eastAsia="Times New Roman" w:hAnsi="Calibri" w:cs="Times New Roman"/>
          <w:lang w:val="en-GB" w:eastAsia="da-DK"/>
        </w:rPr>
        <w:t xml:space="preserve">”. </w:t>
      </w:r>
      <w:r w:rsidRPr="006E6AAA">
        <w:rPr>
          <w:rFonts w:ascii="Calibri" w:eastAsia="Times New Roman" w:hAnsi="Calibri" w:cs="Times New Roman"/>
          <w:vertAlign w:val="superscript"/>
          <w:lang w:val="en-GB" w:eastAsia="da-DK"/>
        </w:rPr>
        <w:footnoteReference w:id="141"/>
      </w:r>
    </w:p>
    <w:p w:rsidR="006E6AAA" w:rsidRPr="006E6AAA" w:rsidRDefault="006E6AAA" w:rsidP="006E6AAA">
      <w:pPr>
        <w:numPr>
          <w:ilvl w:val="0"/>
          <w:numId w:val="3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Elders contribute to the enforcement of MC decisions by ensuring that the awarded payments are paid to the concerned party, for example by collecting the fine and giving it to the victim.</w:t>
      </w:r>
    </w:p>
    <w:p w:rsidR="006E6AAA" w:rsidRPr="006E6AAA" w:rsidRDefault="006E6AAA" w:rsidP="006E6AAA">
      <w:pPr>
        <w:numPr>
          <w:ilvl w:val="0"/>
          <w:numId w:val="38"/>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Elders provide information about the MC to the communities. The Baseline Study found that “</w:t>
      </w:r>
      <w:r w:rsidRPr="006E6AAA">
        <w:rPr>
          <w:rFonts w:ascii="Calibri" w:eastAsia="Times New Roman" w:hAnsi="Calibri" w:cs="Times New Roman"/>
          <w:i/>
          <w:lang w:val="en-GB" w:eastAsia="da-DK"/>
        </w:rPr>
        <w:t>the most common sources for legal information and assistance were local or community leaders (19%)</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42"/>
      </w:r>
    </w:p>
    <w:p w:rsidR="006E6AAA" w:rsidRPr="006E6AAA" w:rsidRDefault="006E6AAA" w:rsidP="006E6AAA">
      <w:pPr>
        <w:spacing w:after="0" w:line="280" w:lineRule="exact"/>
        <w:ind w:left="360"/>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To further improve the linkages between the formal and informal systems some representatives of the elders could be invited to participate in the MC review workshops; in addition more detailed information on the role of elders could be gathered during the MC monitoring visits.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Again it is suggested to include an “outcome of the case” indicator in the monthly reports, to follow up on how many cases entered the formal system, but were finally settled out of court.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val="en-GB" w:eastAsia="da-DK"/>
        </w:rPr>
      </w:pPr>
      <w:r w:rsidRPr="006E6AAA">
        <w:rPr>
          <w:rFonts w:ascii="Calibri" w:eastAsia="Times New Roman" w:hAnsi="Calibri" w:cs="Times New Roman"/>
          <w:b/>
          <w:color w:val="000080"/>
          <w:lang w:eastAsia="da-DK"/>
        </w:rPr>
        <w:t>§ 3.3</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Challenges</w:t>
      </w:r>
      <w:r w:rsidRPr="006E6AAA">
        <w:rPr>
          <w:rFonts w:ascii="Calibri" w:eastAsia="Times New Roman" w:hAnsi="Calibri" w:cs="Times New Roman"/>
          <w:b/>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All interviewed persons were asked to identify the main challenges in implementing Mobile Courts; most answers were illustrated in the previous paragraphs, but are summarised below for easy reference.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lastRenderedPageBreak/>
        <w:t xml:space="preserve">Procedural challenges, </w:t>
      </w:r>
      <w:r w:rsidRPr="006E6AAA">
        <w:rPr>
          <w:rFonts w:ascii="Calibri" w:eastAsia="Times New Roman" w:hAnsi="Calibri" w:cs="Times New Roman"/>
          <w:lang w:val="en-GB" w:eastAsia="da-DK"/>
        </w:rPr>
        <w:t xml:space="preserve">as illustrated in § 2.3 (legal aid not always ensured, weak legal awareness of court users; occasional interference of the elders, lack of procedures for court fees exemption; poor quality of court decisions in lower courts).  </w:t>
      </w: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Sustainability</w:t>
      </w:r>
      <w:r w:rsidRPr="006E6AAA">
        <w:rPr>
          <w:rFonts w:ascii="Calibri" w:eastAsia="Times New Roman" w:hAnsi="Calibri" w:cs="Times New Roman"/>
          <w:lang w:val="en-GB" w:eastAsia="da-DK"/>
        </w:rPr>
        <w:t xml:space="preserve"> (despite efforts and commitment from the Judiciary, the Government is not contributing to the MC budget and the management capacities of the judicial staff are still developing).</w:t>
      </w: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Planning </w:t>
      </w:r>
      <w:r w:rsidRPr="006E6AAA">
        <w:rPr>
          <w:rFonts w:ascii="Calibri" w:eastAsia="Times New Roman" w:hAnsi="Calibri" w:cs="Times New Roman"/>
          <w:lang w:val="en-GB" w:eastAsia="da-DK"/>
        </w:rPr>
        <w:t>(the “on demand” model does not allow to effectively plan the MC missions)</w:t>
      </w: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Gender mainstreaming</w:t>
      </w:r>
      <w:r w:rsidRPr="006E6AAA">
        <w:rPr>
          <w:rFonts w:ascii="Calibri" w:eastAsia="Times New Roman" w:hAnsi="Calibri" w:cs="Times New Roman"/>
          <w:lang w:val="en-GB" w:eastAsia="da-DK"/>
        </w:rPr>
        <w:t xml:space="preserve"> (few GBV cases; limited, although growing, number of women represented in MC teams).</w:t>
      </w: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Weak coordination in the criminal justice chain</w:t>
      </w: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Logistical constraints</w:t>
      </w:r>
      <w:r w:rsidRPr="006E6AAA">
        <w:rPr>
          <w:rFonts w:ascii="Calibri" w:eastAsia="Times New Roman" w:hAnsi="Calibri" w:cs="Times New Roman"/>
          <w:lang w:val="en-GB" w:eastAsia="da-DK"/>
        </w:rPr>
        <w:t xml:space="preserve"> (the lack of </w:t>
      </w:r>
      <w:r w:rsidRPr="006E6AAA">
        <w:rPr>
          <w:rFonts w:ascii="Calibri" w:eastAsia="Times New Roman" w:hAnsi="Calibri" w:cs="Times New Roman"/>
          <w:i/>
          <w:lang w:val="en-GB" w:eastAsia="da-DK"/>
        </w:rPr>
        <w:t>perdiems</w:t>
      </w:r>
      <w:r w:rsidRPr="006E6AAA">
        <w:rPr>
          <w:rFonts w:ascii="Calibri" w:eastAsia="Times New Roman" w:hAnsi="Calibri" w:cs="Times New Roman"/>
          <w:lang w:val="en-GB" w:eastAsia="da-DK"/>
        </w:rPr>
        <w:t xml:space="preserve"> only allows the organisation of day-missions; vehicles are not available for all MC team members; difficult road conditions) </w:t>
      </w:r>
    </w:p>
    <w:p w:rsidR="006E6AAA" w:rsidRPr="006E6AAA" w:rsidRDefault="006E6AAA" w:rsidP="006E6AAA">
      <w:pPr>
        <w:numPr>
          <w:ilvl w:val="0"/>
          <w:numId w:val="49"/>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b/>
          <w:lang w:val="en-GB" w:eastAsia="da-DK"/>
        </w:rPr>
        <w:t>Security</w:t>
      </w:r>
      <w:r w:rsidRPr="006E6AAA">
        <w:rPr>
          <w:rFonts w:ascii="Calibri" w:eastAsia="Times New Roman" w:hAnsi="Calibri" w:cs="Times New Roman"/>
          <w:lang w:val="en-GB" w:eastAsia="da-DK"/>
        </w:rPr>
        <w:t xml:space="preserve">. (Particularly in some areas, as the Sool Region, MC teams are exposed to serious risks for their personal security). </w:t>
      </w:r>
      <w:r w:rsidRPr="006E6AAA">
        <w:rPr>
          <w:rFonts w:ascii="Calibri" w:eastAsia="Times New Roman" w:hAnsi="Calibri" w:cs="Times New Roman"/>
          <w:vertAlign w:val="superscript"/>
          <w:lang w:val="en-GB" w:eastAsia="da-DK"/>
        </w:rPr>
        <w:footnoteReference w:id="143"/>
      </w:r>
    </w:p>
    <w:p w:rsidR="006E6AAA" w:rsidRPr="006E6AAA" w:rsidRDefault="006E6AAA" w:rsidP="006E6AAA">
      <w:pPr>
        <w:spacing w:after="0" w:line="280" w:lineRule="exact"/>
        <w:jc w:val="both"/>
        <w:rPr>
          <w:rFonts w:ascii="Calibri" w:eastAsia="Times New Roman" w:hAnsi="Calibri" w:cs="Times New Roman"/>
          <w:b/>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b/>
          <w:color w:val="000080"/>
          <w:lang w:eastAsia="da-DK"/>
        </w:rPr>
        <w:t>§ 3.4.</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Best practices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support to MC in Somaliland has developed a series of best practices that are described below as suggestions for eventual replication in other UNDP County Offices.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i/>
          <w:lang w:eastAsia="da-DK"/>
        </w:rPr>
      </w:pPr>
      <w:r w:rsidRPr="006E6AAA">
        <w:rPr>
          <w:rFonts w:ascii="Calibri" w:eastAsia="Times New Roman" w:hAnsi="Calibri" w:cs="Times New Roman"/>
          <w:i/>
          <w:lang w:eastAsia="da-DK"/>
        </w:rPr>
        <w:t>Strong monitoring framework</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As illustrated is § 2.1, UNDP has engaged notable efforts and adequate resources to develop a consistent monitoring framework, in close cooperation with the Judiciary. As illustrated in § 2.1, MC monitoring missions are undertaken by UNDP staff; monitoring tools and knowledge management products have been developed; regular MC review workshops are organised and finally UNDP is supporting a MC coordinator tasked to ensure the MC reporting.</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framework is being finalised and a few remaining tools are in the process of being developed.</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val="en-GB" w:eastAsia="da-DK"/>
        </w:rPr>
        <w:t>Good cooperation with the Xeer system</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Elders can represent a challenge as illustrated in § 2.3, however the MC project also recognises that they play a key role in supporting the MC system and informal linkages are established between the elders and the judges.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i/>
          <w:lang w:val="en-GB" w:eastAsia="da-DK"/>
        </w:rPr>
      </w:pPr>
      <w:r w:rsidRPr="006E6AAA">
        <w:rPr>
          <w:rFonts w:ascii="Calibri" w:eastAsia="Times New Roman" w:hAnsi="Calibri" w:cs="Times New Roman"/>
          <w:i/>
          <w:lang w:val="en-GB" w:eastAsia="da-DK"/>
        </w:rPr>
        <w:t>Excellent synergy with other A2J project components</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Exemplary coordination is in place among the different components of the UNDP A2J project: most of the MC judges have attended the UNDP sponsored 6 months training programme, lawyers representing MC users are working in the framework of either SOLLA or SWLA, the associations that UNDP is supporting for the provision of legal aid; Hargeisa Law Faculty is actively involved in raising awareness about MC and the new case management system is extended to MC.</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Finally it’s worth noting that the project recently piloted with the support of </w:t>
      </w:r>
      <w:r w:rsidRPr="006E6AAA">
        <w:rPr>
          <w:rFonts w:ascii="Calibri" w:eastAsia="Times New Roman" w:hAnsi="Calibri" w:cs="Times New Roman"/>
          <w:b/>
          <w:lang w:val="en-GB" w:eastAsia="da-DK"/>
        </w:rPr>
        <w:t>UNDP in South Central</w:t>
      </w:r>
      <w:r w:rsidRPr="006E6AAA">
        <w:rPr>
          <w:rFonts w:ascii="Calibri" w:eastAsia="Times New Roman" w:hAnsi="Calibri" w:cs="Times New Roman"/>
          <w:lang w:val="en-GB" w:eastAsia="da-DK"/>
        </w:rPr>
        <w:t xml:space="preserve"> could develop into a best practice, insofar as the MC implemented in the IDP camps around </w:t>
      </w:r>
      <w:r w:rsidRPr="006E6AAA">
        <w:rPr>
          <w:rFonts w:ascii="Calibri" w:eastAsia="Times New Roman" w:hAnsi="Calibri" w:cs="Times New Roman"/>
          <w:lang w:val="en-GB" w:eastAsia="da-DK"/>
        </w:rPr>
        <w:lastRenderedPageBreak/>
        <w:t xml:space="preserve">Mogadishu are representing an effective stop-gap measure while the future permanent courts are in the process of being established. </w:t>
      </w:r>
    </w:p>
    <w:p w:rsidR="006E6AAA" w:rsidRPr="006E6AAA" w:rsidRDefault="006E6AAA" w:rsidP="006E6AAA">
      <w:pPr>
        <w:tabs>
          <w:tab w:val="left" w:pos="540"/>
        </w:tabs>
        <w:spacing w:after="0" w:line="280" w:lineRule="exact"/>
        <w:jc w:val="both"/>
        <w:outlineLvl w:val="0"/>
        <w:rPr>
          <w:rFonts w:ascii="Calibri" w:eastAsia="Times New Roman" w:hAnsi="Calibri" w:cs="Times New Roman"/>
          <w:b/>
          <w:color w:val="000080"/>
          <w:lang w:val="en-GB" w:eastAsia="da-DK"/>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b/>
          <w:color w:val="000080"/>
          <w:lang w:eastAsia="da-DK"/>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eastAsia="da-DK"/>
        </w:rPr>
      </w:pPr>
      <w:r w:rsidRPr="006E6AAA">
        <w:rPr>
          <w:rFonts w:ascii="Calibri" w:eastAsia="Times New Roman" w:hAnsi="Calibri" w:cs="Times New Roman"/>
          <w:b/>
          <w:color w:val="000080"/>
          <w:lang w:eastAsia="da-DK"/>
        </w:rPr>
        <w:t>4</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b/>
          <w:color w:val="000080"/>
          <w:lang w:eastAsia="da-DK"/>
        </w:rPr>
        <w:t>SUSTAINABLITY</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evaluation findings suggest that some of the conditions for the MC system to continue without the support of UNDP would be in place, in particular: </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MC are rooted in the judicial system and existed before and during the Siad Barre regime; as put by the Director of SLWA </w:t>
      </w:r>
      <w:r w:rsidRPr="006E6AAA">
        <w:rPr>
          <w:rFonts w:ascii="Calibri" w:eastAsia="Times New Roman" w:hAnsi="Calibri" w:cs="Times New Roman"/>
          <w:i/>
          <w:lang w:eastAsia="da-DK"/>
        </w:rPr>
        <w:t>“MC are well suited for the Somali nomadic culture</w:t>
      </w:r>
      <w:r w:rsidRPr="006E6AAA">
        <w:rPr>
          <w:rFonts w:ascii="Calibri" w:eastAsia="Times New Roman" w:hAnsi="Calibri" w:cs="Times New Roman"/>
          <w:lang w:eastAsia="da-DK"/>
        </w:rPr>
        <w:t>”.</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MC are </w:t>
      </w:r>
      <w:r w:rsidRPr="006E6AAA">
        <w:rPr>
          <w:rFonts w:ascii="Calibri" w:eastAsia="Times New Roman" w:hAnsi="Calibri" w:cs="Times New Roman"/>
          <w:lang w:val="en-GB" w:eastAsia="da-DK"/>
        </w:rPr>
        <w:t>featured in both the National Development Plan and Judicial Reform strategies: these are Somaliland owned strategies that illustrate the importance the government attaches to mobile courts.</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Since 2008, when UNDP started to support MCs, they have been implemented independently under the lead of the national partner (MOJ initially and Judiciary more recently), so MCs are an </w:t>
      </w:r>
      <w:r w:rsidRPr="006E6AAA">
        <w:rPr>
          <w:rFonts w:ascii="Calibri" w:eastAsia="Times New Roman" w:hAnsi="Calibri" w:cs="Arial"/>
          <w:lang w:val="en-GB" w:eastAsia="da-DK"/>
        </w:rPr>
        <w:t>institutionalised</w:t>
      </w:r>
      <w:r w:rsidRPr="006E6AAA">
        <w:rPr>
          <w:rFonts w:ascii="Calibri" w:eastAsia="Times New Roman" w:hAnsi="Calibri" w:cs="Times New Roman"/>
          <w:lang w:eastAsia="da-DK"/>
        </w:rPr>
        <w:t xml:space="preserve"> process that is entirely implemented with local capacities. To be noted that those in the Sool region are implemented without financial support from UNDP.</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Chief Justice is strongly committed to the initiative and acknowledges that the Judiciary should increase its financial contribution in view of a future exit strategy of UNDP. </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monitoring aspects of the initiative have been consistently addressed by UNDP, in close cooperation with the Judiciary.</w:t>
      </w:r>
    </w:p>
    <w:p w:rsidR="006E6AAA" w:rsidRPr="006E6AAA" w:rsidRDefault="006E6AAA" w:rsidP="006E6AAA">
      <w:pPr>
        <w:numPr>
          <w:ilvl w:val="0"/>
          <w:numId w:val="25"/>
        </w:num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MCs are well accepted by the elders.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MCs are gradually evolving towards a sustainable initiative from a technical point of view; however in practice, due to the lack of financial contributions from the government, it is unlikely that MC will continue independently from UNDP’s support in the coming years, at least to the same extent as the current system.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It would be suggested to draft, eventually as an annex to the next LoA, an exit strategy identifying the priorities to be addressed in preparation of the transfer of responsibilities to the national partner.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b/>
          <w:color w:val="000080"/>
          <w:lang w:eastAsia="da-DK"/>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b/>
          <w:color w:val="000080"/>
          <w:lang w:eastAsia="da-DK"/>
        </w:rPr>
      </w:pPr>
      <w:r w:rsidRPr="006E6AAA">
        <w:rPr>
          <w:rFonts w:ascii="Calibri" w:eastAsia="Times New Roman" w:hAnsi="Calibri" w:cs="Times New Roman"/>
          <w:b/>
          <w:color w:val="000080"/>
          <w:lang w:eastAsia="da-DK"/>
        </w:rPr>
        <w:t>5</w:t>
      </w:r>
      <w:r w:rsidRPr="006E6AAA">
        <w:rPr>
          <w:rFonts w:ascii="Calibri" w:eastAsia="Times New Roman" w:hAnsi="Calibri" w:cs="Times New Roman"/>
          <w:b/>
          <w:lang w:eastAsia="da-DK"/>
        </w:rPr>
        <w:t>.</w:t>
      </w:r>
      <w:r w:rsidRPr="006E6AAA">
        <w:rPr>
          <w:rFonts w:ascii="Calibri" w:eastAsia="Times New Roman" w:hAnsi="Calibri" w:cs="Times New Roman"/>
          <w:lang w:eastAsia="da-DK"/>
        </w:rPr>
        <w:t xml:space="preserve"> </w:t>
      </w:r>
      <w:r w:rsidRPr="006E6AAA">
        <w:rPr>
          <w:rFonts w:ascii="Calibri" w:eastAsia="Times New Roman" w:hAnsi="Calibri" w:cs="Times New Roman"/>
          <w:b/>
          <w:color w:val="000080"/>
          <w:lang w:eastAsia="da-DK"/>
        </w:rPr>
        <w:t>IMPACT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xml:space="preserve">§  5.1. </w:t>
      </w:r>
      <w:r w:rsidRPr="006E6AAA">
        <w:rPr>
          <w:rFonts w:ascii="Calibri" w:eastAsia="Times New Roman" w:hAnsi="Calibri" w:cs="Times New Roman"/>
          <w:b/>
          <w:lang w:eastAsia="da-DK"/>
        </w:rPr>
        <w:t>Changes for the population</w:t>
      </w:r>
      <w:r w:rsidRPr="006E6AAA">
        <w:rPr>
          <w:rFonts w:ascii="Calibri" w:eastAsia="Times New Roman" w:hAnsi="Calibri" w:cs="Times New Roman"/>
          <w:lang w:eastAsia="da-DK"/>
        </w:rPr>
        <w:t xml:space="preserve"> </w:t>
      </w:r>
      <w:r w:rsidRPr="006E6AAA">
        <w:rPr>
          <w:rFonts w:ascii="Calibri" w:eastAsia="Times New Roman" w:hAnsi="Calibri" w:cs="Times New Roman"/>
          <w:b/>
          <w:lang w:eastAsia="da-DK"/>
        </w:rPr>
        <w:t>and the justice system</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i/>
          <w:color w:val="000080"/>
          <w:lang w:eastAsia="da-DK"/>
        </w:rPr>
      </w:pPr>
      <w:r w:rsidRPr="006E6AAA">
        <w:rPr>
          <w:rFonts w:ascii="Calibri" w:eastAsia="Times New Roman" w:hAnsi="Calibri" w:cs="Times New Roman"/>
          <w:b/>
          <w:i/>
          <w:color w:val="000080"/>
          <w:lang w:eastAsia="da-DK"/>
        </w:rPr>
        <w:t>Changes for the population (right holders)</w:t>
      </w:r>
    </w:p>
    <w:p w:rsidR="006E6AAA" w:rsidRPr="006E6AAA" w:rsidRDefault="006E6AAA" w:rsidP="006E6AAA">
      <w:pPr>
        <w:spacing w:after="0" w:line="280" w:lineRule="exact"/>
        <w:jc w:val="both"/>
        <w:rPr>
          <w:rFonts w:ascii="Calibri" w:eastAsia="Times New Roman" w:hAnsi="Calibri" w:cs="Times New Roman"/>
          <w:b/>
          <w:i/>
          <w:color w:val="000080"/>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It is widely recognized that MC are an opportunity to increase access to justice for the rural population; in addition the</w:t>
      </w:r>
      <w:r w:rsidRPr="006E6AAA">
        <w:rPr>
          <w:rFonts w:ascii="Calibri" w:eastAsia="Times New Roman" w:hAnsi="Calibri" w:cs="Times New Roman"/>
          <w:lang w:val="en-GB" w:eastAsia="da-DK"/>
        </w:rPr>
        <w:t xml:space="preserve"> economic burden of travelling to the court is reduced for litigants.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president of the Appeal Court in Hargeisa believes that MC have “</w:t>
      </w:r>
      <w:r w:rsidRPr="006E6AAA">
        <w:rPr>
          <w:rFonts w:ascii="Calibri" w:eastAsia="Times New Roman" w:hAnsi="Calibri" w:cs="Times New Roman"/>
          <w:i/>
          <w:lang w:val="en-GB" w:eastAsia="da-DK"/>
        </w:rPr>
        <w:t>reduced conflict in the communities</w:t>
      </w:r>
      <w:r w:rsidRPr="006E6AAA">
        <w:rPr>
          <w:rFonts w:ascii="Calibri" w:eastAsia="Times New Roman" w:hAnsi="Calibri" w:cs="Times New Roman"/>
          <w:lang w:val="en-GB" w:eastAsia="da-DK"/>
        </w:rPr>
        <w:t>”. Similarly the Mobile Court system in Puntland has “</w:t>
      </w:r>
      <w:r w:rsidRPr="006E6AAA">
        <w:rPr>
          <w:rFonts w:ascii="Calibri" w:eastAsia="Times New Roman" w:hAnsi="Calibri" w:cs="Times New Roman"/>
          <w:i/>
          <w:lang w:val="en-GB" w:eastAsia="da-DK"/>
        </w:rPr>
        <w:t xml:space="preserve"> persuaded people to abandon self-help justice, especially the use of violence to settle scores and disputes</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44"/>
      </w:r>
      <w:r w:rsidRPr="006E6AAA">
        <w:rPr>
          <w:rFonts w:ascii="Calibri" w:eastAsia="Times New Roman" w:hAnsi="Calibri" w:cs="Times New Roman"/>
          <w:lang w:val="en-GB" w:eastAsia="da-DK"/>
        </w:rPr>
        <w:t>.</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W</w:t>
      </w:r>
      <w:r w:rsidRPr="006E6AAA">
        <w:rPr>
          <w:rFonts w:ascii="Calibri" w:eastAsia="Times New Roman" w:hAnsi="Calibri" w:cs="Times New Roman"/>
          <w:lang w:eastAsia="da-DK"/>
        </w:rPr>
        <w:t>omen are accessing MC more frequently: the number of female court users increased</w:t>
      </w:r>
      <w:r w:rsidRPr="006E6AAA">
        <w:rPr>
          <w:rFonts w:ascii="Calibri" w:eastAsia="Times New Roman" w:hAnsi="Calibri" w:cs="Times New Roman"/>
          <w:lang w:val="en-GB" w:eastAsia="da-DK"/>
        </w:rPr>
        <w:t xml:space="preserve"> from 127 in 2011 to 150 in 2012.</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MC are an opportunity of change for rural populations: one of the most frequent feedback reported by UNDP staff is “</w:t>
      </w:r>
      <w:r w:rsidRPr="006E6AAA">
        <w:rPr>
          <w:rFonts w:ascii="Calibri" w:eastAsia="Times New Roman" w:hAnsi="Calibri" w:cs="Times New Roman"/>
          <w:i/>
          <w:lang w:val="en-GB" w:eastAsia="da-DK"/>
        </w:rPr>
        <w:t>we wouldn’t have used the court if they hadn’t come to us</w:t>
      </w:r>
      <w:r w:rsidRPr="006E6AAA">
        <w:rPr>
          <w:rFonts w:ascii="Calibri" w:eastAsia="Times New Roman" w:hAnsi="Calibri" w:cs="Times New Roman"/>
          <w:lang w:val="en-GB" w:eastAsia="da-DK"/>
        </w:rPr>
        <w:t>”.</w:t>
      </w:r>
    </w:p>
    <w:p w:rsidR="006E6AAA" w:rsidRPr="006E6AAA" w:rsidRDefault="006E6AAA" w:rsidP="006E6AAA">
      <w:pPr>
        <w:spacing w:after="0" w:line="270" w:lineRule="atLeast"/>
        <w:jc w:val="both"/>
        <w:rPr>
          <w:rFonts w:ascii="Times New Roman" w:eastAsia="Times New Roman" w:hAnsi="Times New Roman" w:cs="Times New Roman"/>
          <w:color w:val="FF0000"/>
          <w:sz w:val="20"/>
          <w:szCs w:val="20"/>
          <w:lang w:val="en-GB" w:eastAsia="da-DK"/>
        </w:rPr>
      </w:pPr>
      <w:r w:rsidRPr="006E6AAA">
        <w:rPr>
          <w:rFonts w:ascii="Calibri" w:eastAsia="Times New Roman" w:hAnsi="Calibri" w:cs="Times New Roman"/>
          <w:lang w:val="en-GB" w:eastAsia="da-DK"/>
        </w:rPr>
        <w:lastRenderedPageBreak/>
        <w:t>MCs also represent for the communities an alternative to the dispute resolution mechanisms overseen by the elders, which is particularly relevant in a context where the traditional system applies practices that are considered inconsistent with human rights standards, especially with regards to women’s rights. Further analysis is recommended to explore if there have been cases where the decision of an elder has been challenged before a mobile court.</w:t>
      </w:r>
      <w:r w:rsidRPr="006E6AAA">
        <w:rPr>
          <w:rFonts w:ascii="Times New Roman" w:eastAsia="Times New Roman" w:hAnsi="Times New Roman" w:cs="Times New Roman"/>
          <w:sz w:val="20"/>
          <w:szCs w:val="20"/>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The educational impact of MCs is not yet evident among the population. Interviews</w:t>
      </w:r>
      <w:r w:rsidRPr="006E6AAA">
        <w:rPr>
          <w:rFonts w:ascii="Calibri" w:eastAsia="Times New Roman" w:hAnsi="Calibri" w:cs="Times New Roman"/>
          <w:lang w:eastAsia="da-DK"/>
        </w:rPr>
        <w:t xml:space="preserve"> with 5 parties to the cases and the observation of MC sessions, revealed that court users had extremely limited awareness of their rights and understanding of court procedures. </w:t>
      </w:r>
    </w:p>
    <w:p w:rsidR="006E6AAA" w:rsidRPr="006E6AAA" w:rsidRDefault="006E6AAA" w:rsidP="006E6AAA">
      <w:pPr>
        <w:tabs>
          <w:tab w:val="left" w:pos="540"/>
          <w:tab w:val="left" w:pos="8460"/>
        </w:tabs>
        <w:spacing w:after="0" w:line="280" w:lineRule="exact"/>
        <w:jc w:val="both"/>
        <w:rPr>
          <w:rFonts w:ascii="Calibri" w:eastAsia="Times New Roman" w:hAnsi="Calibri" w:cs="Calibri"/>
          <w:lang w:val="en-GB" w:eastAsia="da-DK"/>
        </w:rPr>
      </w:pPr>
      <w:r w:rsidRPr="006E6AAA">
        <w:rPr>
          <w:rFonts w:ascii="Calibri" w:eastAsia="Times New Roman" w:hAnsi="Calibri" w:cs="Times New Roman"/>
          <w:lang w:eastAsia="da-DK"/>
        </w:rPr>
        <w:t xml:space="preserve">Reports indicate that </w:t>
      </w:r>
      <w:r w:rsidRPr="006E6AAA">
        <w:rPr>
          <w:rFonts w:ascii="Calibri" w:eastAsia="Times New Roman" w:hAnsi="Calibri" w:cs="Calibri"/>
          <w:lang w:eastAsia="da-DK"/>
        </w:rPr>
        <w:t>“</w:t>
      </w:r>
      <w:r w:rsidRPr="006E6AAA">
        <w:rPr>
          <w:rFonts w:ascii="Calibri" w:eastAsia="Times New Roman" w:hAnsi="Calibri" w:cs="Calibri"/>
          <w:i/>
          <w:lang w:val="en-GB" w:eastAsia="da-DK"/>
        </w:rPr>
        <w:t>hundreds show up to watch case hearing proceedings, which is of enormous educational benefit for those who have never seen a formal justice process before.</w:t>
      </w:r>
      <w:r w:rsidRPr="006E6AAA">
        <w:rPr>
          <w:rFonts w:ascii="Calibri" w:eastAsia="Times New Roman" w:hAnsi="Calibri" w:cs="Calibri"/>
          <w:lang w:val="en-GB" w:eastAsia="da-DK"/>
        </w:rPr>
        <w:t>’’</w:t>
      </w:r>
      <w:r w:rsidRPr="006E6AAA">
        <w:rPr>
          <w:rFonts w:ascii="Calibri" w:eastAsia="Times New Roman" w:hAnsi="Calibri" w:cs="Calibri"/>
          <w:vertAlign w:val="superscript"/>
          <w:lang w:val="en-GB" w:eastAsia="da-DK"/>
        </w:rPr>
        <w:footnoteReference w:id="145"/>
      </w:r>
      <w:r w:rsidRPr="006E6AAA">
        <w:rPr>
          <w:rFonts w:ascii="Calibri" w:eastAsia="Times New Roman" w:hAnsi="Calibri" w:cs="Calibri"/>
          <w:lang w:val="en-GB" w:eastAsia="da-DK"/>
        </w:rPr>
        <w:t xml:space="preserve"> Participation in MC hearings is indeed useful for the population, but would be more effective if combined with regular awareness raising sessions aimed at assisting the communities to understand the legal procedures. Compared to DRC and Sierra Leone, the judicial authorities did not seem fully aware of the educational role of MC, or least this aspect was not mentioned as frequently during the interviews. It is strongly recommended to continue and extend the awareness raising campaign for MC carried out by the University of Hargeisa.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Calibri"/>
          <w:lang w:val="en-GB" w:eastAsia="da-DK"/>
        </w:rPr>
        <w:t xml:space="preserve">Considered the high numbers of MC to the Mandera prison (108 in 2 years), it can be assumed that MC have been particularly active in protecting the rights of persons in detention. Further analysis would be needed on this point. </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i/>
          <w:color w:val="000080"/>
          <w:lang w:eastAsia="da-DK"/>
        </w:rPr>
      </w:pPr>
      <w:r w:rsidRPr="006E6AAA">
        <w:rPr>
          <w:rFonts w:ascii="Calibri" w:eastAsia="Times New Roman" w:hAnsi="Calibri" w:cs="Times New Roman"/>
          <w:b/>
          <w:i/>
          <w:color w:val="000080"/>
          <w:lang w:eastAsia="da-DK"/>
        </w:rPr>
        <w:t>Changes for the justice actors (duty bearers)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70" w:lineRule="atLeas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The presence of MC has strengthened the role of the formal justice system in the districts, as indicates the increase </w:t>
      </w:r>
      <w:r w:rsidRPr="006E6AAA">
        <w:rPr>
          <w:rFonts w:ascii="Calibri" w:eastAsia="Times New Roman" w:hAnsi="Calibri" w:cs="Times New Roman"/>
          <w:lang w:val="en-GB" w:eastAsia="da-DK"/>
        </w:rPr>
        <w:t xml:space="preserve">by 57% </w:t>
      </w:r>
      <w:r w:rsidRPr="006E6AAA">
        <w:rPr>
          <w:rFonts w:ascii="Calibri" w:eastAsia="Times New Roman" w:hAnsi="Calibri" w:cs="Times New Roman"/>
          <w:lang w:eastAsia="da-DK"/>
        </w:rPr>
        <w:t>in the number</w:t>
      </w:r>
      <w:r w:rsidRPr="006E6AAA">
        <w:rPr>
          <w:rFonts w:ascii="Calibri" w:eastAsia="Times New Roman" w:hAnsi="Calibri" w:cs="Times New Roman"/>
          <w:lang w:val="en-GB" w:eastAsia="da-DK"/>
        </w:rPr>
        <w:t xml:space="preserve"> of cases heard by mobile courts from 2009 to 2012. The arrival of MCs shows the presence of the State in rural areas and contributes to strengthen the state building process.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Chief Justice mentioned that MCs have facilitated the collection of evidence and the appearance of witnesses before a court, especially in remote areas.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Director of the prison of Gabiley noted that MCs have reduced the expenses for the transfer of the detainees: in the past all prisoners were transferred to Hargeisa prison, because that’s where the judges sat. He pointed out that 20 detainees (5 women) were released in May 2013 thanks to the intervention of MC.</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As illustrated by statistics and confirmed by key informants</w:t>
      </w:r>
      <w:r w:rsidRPr="006E6AAA">
        <w:rPr>
          <w:rFonts w:ascii="Calibri" w:eastAsia="Times New Roman" w:hAnsi="Calibri" w:cs="Times New Roman"/>
          <w:vertAlign w:val="superscript"/>
          <w:lang w:val="en-GB" w:eastAsia="da-DK"/>
        </w:rPr>
        <w:footnoteReference w:id="146"/>
      </w:r>
      <w:r w:rsidRPr="006E6AAA">
        <w:rPr>
          <w:rFonts w:ascii="Calibri" w:eastAsia="Times New Roman" w:hAnsi="Calibri" w:cs="Times New Roman"/>
          <w:lang w:val="en-GB" w:eastAsia="da-DK"/>
        </w:rPr>
        <w:t>, MC are taking up a particularly high number of appeal cases (51% of the total caseload), which can be highlighted as a positive impact on the lower courts decisions that are being reviewed.</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MC were an opportunity for the judges to establish linkages and mutual cooperation mechanisms with the elders; in addition to clarify the limits of their respective jurisdictions, in particular with regards to rape cases.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MCs have also improved the technical competences of the MC team members, as well as their monitoring skills as a result of the regular workshops organised by UNDP. </w:t>
      </w:r>
    </w:p>
    <w:p w:rsidR="006E6AAA" w:rsidRPr="006E6AAA" w:rsidRDefault="006E6AAA" w:rsidP="006E6AAA">
      <w:pPr>
        <w:spacing w:after="0" w:line="280" w:lineRule="exact"/>
        <w:jc w:val="both"/>
        <w:rPr>
          <w:rFonts w:ascii="Times New Roman" w:eastAsia="Times New Roman" w:hAnsi="Times New Roman" w:cs="Times New Roman"/>
          <w:sz w:val="23"/>
          <w:szCs w:val="20"/>
          <w:lang w:val="en-GB" w:eastAsia="da-DK"/>
        </w:rPr>
      </w:pPr>
      <w:r w:rsidRPr="006E6AAA">
        <w:rPr>
          <w:rFonts w:ascii="Calibri" w:eastAsia="Times New Roman" w:hAnsi="Calibri" w:cs="Times New Roman"/>
          <w:lang w:val="en-GB" w:eastAsia="da-DK"/>
        </w:rPr>
        <w:t xml:space="preserve">Finally MC have represented an important opportunity to improve coordination of the Justice sector: as pointed out by the UNDP A2J manager the 5 day MC workshop was </w:t>
      </w:r>
      <w:r w:rsidRPr="006E6AAA">
        <w:rPr>
          <w:rFonts w:ascii="Calibri" w:eastAsia="Times New Roman" w:hAnsi="Calibri" w:cs="Times New Roman"/>
          <w:i/>
          <w:lang w:val="en-GB" w:eastAsia="da-DK"/>
        </w:rPr>
        <w:t>“a historical event for the judiciary, as the first time that judiciary officials meet</w:t>
      </w:r>
      <w:r w:rsidRPr="006E6AAA">
        <w:rPr>
          <w:rFonts w:ascii="Calibri" w:eastAsia="Times New Roman" w:hAnsi="Calibri" w:cs="Times New Roman"/>
          <w:lang w:val="en-GB" w:eastAsia="da-DK"/>
        </w:rPr>
        <w:t>”</w:t>
      </w:r>
      <w:r w:rsidRPr="006E6AAA">
        <w:rPr>
          <w:rFonts w:ascii="Calibri" w:eastAsia="Times New Roman" w:hAnsi="Calibri" w:cs="Times New Roman"/>
          <w:vertAlign w:val="superscript"/>
          <w:lang w:val="en-GB" w:eastAsia="da-DK"/>
        </w:rPr>
        <w:footnoteReference w:id="147"/>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The director of SOLLA legal aid association mentioned that MC contributed to expand the coverage of legal aid in the districts and strengthened the knowledge of lawyers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eastAsia="da-DK"/>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eastAsia="da-DK"/>
        </w:rPr>
      </w:pPr>
      <w:r w:rsidRPr="006E6AAA">
        <w:rPr>
          <w:rFonts w:ascii="Calibri" w:eastAsia="Times New Roman" w:hAnsi="Calibri" w:cs="Times New Roman"/>
          <w:b/>
          <w:color w:val="000080"/>
          <w:lang w:eastAsia="da-DK"/>
        </w:rPr>
        <w:t>§ 5.2</w:t>
      </w:r>
      <w:r w:rsidRPr="006E6AAA">
        <w:rPr>
          <w:rFonts w:ascii="Calibri" w:eastAsia="Times New Roman" w:hAnsi="Calibri" w:cs="Times New Roman"/>
          <w:color w:val="000080"/>
          <w:lang w:eastAsia="da-DK"/>
        </w:rPr>
        <w:t xml:space="preserve">. </w:t>
      </w:r>
      <w:r w:rsidRPr="006E6AAA">
        <w:rPr>
          <w:rFonts w:ascii="Calibri" w:eastAsia="Times New Roman" w:hAnsi="Calibri" w:cs="Times New Roman"/>
          <w:b/>
          <w:lang w:eastAsia="da-DK"/>
        </w:rPr>
        <w:t xml:space="preserve">The impact of mobile court on the prosecution of international crimes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One of the objectives of the present evaluation is to analyze eventual contributions of the MC system to develop national capacities to prosecute international crimes </w:t>
      </w:r>
      <w:r w:rsidRPr="006E6AAA">
        <w:rPr>
          <w:rFonts w:ascii="Calibri" w:eastAsia="Times New Roman" w:hAnsi="Calibri" w:cs="Times New Roman"/>
          <w:b/>
          <w:lang w:val="en-GB" w:eastAsia="da-DK"/>
        </w:rPr>
        <w:t>in complementarity with the International Criminal Court (ICC)</w:t>
      </w:r>
      <w:r w:rsidRPr="006E6AAA">
        <w:rPr>
          <w:rFonts w:ascii="Calibri" w:eastAsia="Times New Roman" w:hAnsi="Calibri" w:cs="Times New Roman"/>
          <w:vertAlign w:val="superscript"/>
          <w:lang w:val="fr-FR" w:eastAsia="da-DK"/>
        </w:rPr>
        <w:footnoteReference w:id="148"/>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 w:eastAsia="da-DK"/>
        </w:rPr>
      </w:pPr>
      <w:r w:rsidRPr="006E6AAA">
        <w:rPr>
          <w:rFonts w:ascii="Calibri" w:eastAsia="Times New Roman" w:hAnsi="Calibri" w:cs="Times New Roman"/>
          <w:lang w:val="en" w:eastAsia="da-DK"/>
        </w:rPr>
        <w:t xml:space="preserve">Somalia is not party to the Rome Statute nor has the situation in Somalia been referred by the Security Council, so the ICC has currently no jurisdiction over international crimes committed in the country.  </w:t>
      </w:r>
    </w:p>
    <w:p w:rsidR="006E6AAA" w:rsidRPr="006E6AAA" w:rsidRDefault="006E6AAA" w:rsidP="006E6AAA">
      <w:pPr>
        <w:spacing w:after="0" w:line="280" w:lineRule="exact"/>
        <w:jc w:val="both"/>
        <w:rPr>
          <w:rFonts w:ascii="Calibri" w:eastAsia="Times New Roman" w:hAnsi="Calibri" w:cs="Times New Roman"/>
          <w:lang w:val="en" w:eastAsia="da-DK"/>
        </w:rPr>
      </w:pPr>
      <w:r w:rsidRPr="006E6AAA">
        <w:rPr>
          <w:rFonts w:ascii="Calibri" w:eastAsia="Times New Roman" w:hAnsi="Calibri" w:cs="Times New Roman"/>
          <w:lang w:val="en" w:eastAsia="da-DK"/>
        </w:rPr>
        <w:t xml:space="preserve">The paragraphs below will however point out a few issues that might be of interest for MCs in view of an eventual future engagement in </w:t>
      </w:r>
      <w:r w:rsidRPr="006E6AAA">
        <w:rPr>
          <w:rFonts w:ascii="Calibri" w:eastAsia="Times New Roman" w:hAnsi="Calibri" w:cs="Times New Roman"/>
          <w:lang w:val="en-GB" w:eastAsia="da-DK"/>
        </w:rPr>
        <w:t>prosecuting international crimes in complementarity with the ICC</w:t>
      </w:r>
      <w:r w:rsidRPr="006E6AAA">
        <w:rPr>
          <w:rFonts w:ascii="Calibri" w:eastAsia="Times New Roman" w:hAnsi="Calibri" w:cs="Times New Roman"/>
          <w:lang w:val="en" w:eastAsia="da-DK"/>
        </w:rPr>
        <w:t xml:space="preserve"> . </w:t>
      </w:r>
    </w:p>
    <w:p w:rsidR="006E6AAA" w:rsidRPr="006E6AAA" w:rsidRDefault="006E6AAA" w:rsidP="006E6AAA">
      <w:pPr>
        <w:spacing w:after="0" w:line="280" w:lineRule="exact"/>
        <w:jc w:val="both"/>
        <w:rPr>
          <w:rFonts w:ascii="Times New Roman" w:eastAsia="Times New Roman" w:hAnsi="Times New Roman" w:cs="Times New Roman"/>
          <w:sz w:val="23"/>
          <w:szCs w:val="20"/>
          <w:lang w:val="en" w:eastAsia="da-DK"/>
        </w:rPr>
      </w:pPr>
    </w:p>
    <w:p w:rsidR="006E6AAA" w:rsidRPr="006E6AAA" w:rsidRDefault="006E6AAA" w:rsidP="006E6AAA">
      <w:pPr>
        <w:spacing w:after="0" w:line="280" w:lineRule="exact"/>
        <w:jc w:val="both"/>
        <w:rPr>
          <w:rFonts w:ascii="Times New Roman" w:eastAsia="Times New Roman" w:hAnsi="Times New Roman" w:cs="Times New Roman"/>
          <w:sz w:val="23"/>
          <w:szCs w:val="20"/>
          <w:lang w:val="en" w:eastAsia="da-DK"/>
        </w:rPr>
      </w:pPr>
    </w:p>
    <w:p w:rsidR="006E6AAA" w:rsidRPr="006E6AAA" w:rsidRDefault="006E6AAA" w:rsidP="006E6AAA">
      <w:pPr>
        <w:spacing w:after="0" w:line="280" w:lineRule="exact"/>
        <w:jc w:val="both"/>
        <w:rPr>
          <w:rFonts w:ascii="Calibri" w:eastAsia="Times New Roman" w:hAnsi="Calibri" w:cs="Times New Roman"/>
          <w:b/>
          <w:i/>
          <w:color w:val="333399"/>
          <w:u w:val="single"/>
          <w:lang w:val="en" w:eastAsia="da-DK"/>
        </w:rPr>
      </w:pPr>
      <w:r w:rsidRPr="006E6AAA">
        <w:rPr>
          <w:rFonts w:ascii="Calibri" w:eastAsia="Times New Roman" w:hAnsi="Calibri" w:cs="Times New Roman"/>
          <w:b/>
          <w:i/>
          <w:color w:val="333399"/>
          <w:u w:val="single"/>
          <w:lang w:val="en" w:eastAsia="da-DK"/>
        </w:rPr>
        <w:t>Somaliland</w:t>
      </w:r>
    </w:p>
    <w:p w:rsidR="006E6AAA" w:rsidRPr="006E6AAA" w:rsidRDefault="006E6AAA" w:rsidP="006E6AAA">
      <w:pPr>
        <w:spacing w:after="0" w:line="280" w:lineRule="exact"/>
        <w:jc w:val="both"/>
        <w:rPr>
          <w:rFonts w:ascii="Calibri" w:eastAsia="Times New Roman" w:hAnsi="Calibri" w:cs="Times New Roman"/>
          <w:lang w:val="en" w:eastAsia="da-DK"/>
        </w:rPr>
      </w:pPr>
    </w:p>
    <w:p w:rsidR="006E6AAA" w:rsidRPr="006E6AAA" w:rsidRDefault="006E6AAA" w:rsidP="006E6AAA">
      <w:pPr>
        <w:spacing w:after="0" w:line="280" w:lineRule="exact"/>
        <w:jc w:val="both"/>
        <w:rPr>
          <w:rFonts w:ascii="Calibri" w:eastAsia="Times New Roman" w:hAnsi="Calibri" w:cs="Times New Roman"/>
          <w:lang w:val="en" w:eastAsia="da-DK"/>
        </w:rPr>
      </w:pPr>
      <w:r w:rsidRPr="006E6AAA">
        <w:rPr>
          <w:rFonts w:ascii="Calibri" w:eastAsia="Times New Roman" w:hAnsi="Calibri" w:cs="Times New Roman"/>
          <w:lang w:val="en" w:eastAsia="da-DK"/>
        </w:rPr>
        <w:t>Acts of</w:t>
      </w:r>
      <w:r w:rsidRPr="006E6AAA">
        <w:rPr>
          <w:rFonts w:ascii="Calibri" w:eastAsia="Times New Roman" w:hAnsi="Calibri" w:cs="Times New Roman"/>
          <w:b/>
          <w:lang w:val="en" w:eastAsia="da-DK"/>
        </w:rPr>
        <w:t xml:space="preserve"> terrorism, human trafficking and piracy</w:t>
      </w:r>
      <w:r w:rsidRPr="006E6AAA">
        <w:rPr>
          <w:rFonts w:ascii="Calibri" w:eastAsia="Times New Roman" w:hAnsi="Calibri" w:cs="Times New Roman"/>
          <w:lang w:val="en" w:eastAsia="da-DK"/>
        </w:rPr>
        <w:t xml:space="preserve"> are committed in some areas of </w:t>
      </w:r>
      <w:r w:rsidRPr="006E6AAA">
        <w:rPr>
          <w:rFonts w:ascii="Calibri" w:eastAsia="Times New Roman" w:hAnsi="Calibri" w:cs="Times New Roman"/>
          <w:b/>
          <w:lang w:val="en" w:eastAsia="da-DK"/>
        </w:rPr>
        <w:t xml:space="preserve">Somaliland. </w:t>
      </w:r>
      <w:r w:rsidRPr="006E6AAA">
        <w:rPr>
          <w:rFonts w:ascii="Calibri" w:eastAsia="Times New Roman" w:hAnsi="Calibri" w:cs="Times New Roman"/>
          <w:lang w:val="en" w:eastAsia="da-DK"/>
        </w:rPr>
        <w:t xml:space="preserve">Although not falling under the jurisdiction of the ICC, such international crimes represent serious cases </w:t>
      </w:r>
      <w:r w:rsidRPr="006E6AAA">
        <w:rPr>
          <w:rFonts w:ascii="Calibri" w:eastAsia="Times New Roman" w:hAnsi="Calibri" w:cs="Times New Roman"/>
          <w:lang w:val="en-GB" w:eastAsia="da-DK"/>
        </w:rPr>
        <w:t>of concern to the international community</w:t>
      </w:r>
      <w:r w:rsidRPr="006E6AAA">
        <w:rPr>
          <w:rFonts w:ascii="Calibri" w:eastAsia="Times New Roman" w:hAnsi="Calibri" w:cs="Times New Roman"/>
          <w:lang w:val="en" w:eastAsia="da-DK"/>
        </w:rPr>
        <w:t xml:space="preserve"> that would benefit from a stronger engagement at national level.</w:t>
      </w:r>
      <w:r w:rsidRPr="006E6AAA">
        <w:rPr>
          <w:rFonts w:ascii="Calibri" w:eastAsia="Times New Roman" w:hAnsi="Calibri" w:cs="MetaPro-Norm"/>
          <w:vertAlign w:val="superscript"/>
          <w:lang w:eastAsia="it-IT"/>
        </w:rPr>
        <w:footnoteReference w:id="149"/>
      </w:r>
    </w:p>
    <w:p w:rsidR="006E6AAA" w:rsidRPr="006E6AAA" w:rsidRDefault="006E6AAA" w:rsidP="006E6AAA">
      <w:pPr>
        <w:spacing w:after="0" w:line="280" w:lineRule="exact"/>
        <w:jc w:val="both"/>
        <w:rPr>
          <w:rFonts w:ascii="Calibri" w:eastAsia="Times New Roman" w:hAnsi="Calibri" w:cs="Times New Roman"/>
          <w:lang w:val="en"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 w:eastAsia="da-DK"/>
        </w:rPr>
        <w:t>Asked about the role of MC in the field of international crimes, most respondents replied that they are not heard before MCs but “</w:t>
      </w:r>
      <w:r w:rsidRPr="006E6AAA">
        <w:rPr>
          <w:rFonts w:ascii="Calibri" w:eastAsia="Times New Roman" w:hAnsi="Calibri" w:cs="Times New Roman"/>
          <w:i/>
          <w:lang w:val="en" w:eastAsia="da-DK"/>
        </w:rPr>
        <w:t>they are transferred to courts in Hargeisa that are mandated to deal with such high level crimes</w:t>
      </w:r>
      <w:r w:rsidRPr="006E6AAA">
        <w:rPr>
          <w:rFonts w:ascii="Calibri" w:eastAsia="Times New Roman" w:hAnsi="Calibri" w:cs="Times New Roman"/>
          <w:lang w:val="en" w:eastAsia="da-DK"/>
        </w:rPr>
        <w:t>”</w:t>
      </w:r>
      <w:r w:rsidRPr="006E6AAA">
        <w:rPr>
          <w:rFonts w:ascii="Calibri" w:eastAsia="Times New Roman" w:hAnsi="Calibri" w:cs="Times New Roman"/>
          <w:vertAlign w:val="superscript"/>
          <w:lang w:val="en" w:eastAsia="da-DK"/>
        </w:rPr>
        <w:footnoteReference w:id="150"/>
      </w:r>
      <w:r w:rsidRPr="006E6AAA">
        <w:rPr>
          <w:rFonts w:ascii="Calibri" w:eastAsia="Times New Roman" w:hAnsi="Calibri" w:cs="Times New Roman"/>
          <w:lang w:val="en" w:eastAsia="da-DK"/>
        </w:rPr>
        <w:t>.</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The president of the Sool</w:t>
      </w:r>
      <w:r w:rsidRPr="006E6AAA">
        <w:rPr>
          <w:rFonts w:ascii="Calibri" w:eastAsia="Times New Roman" w:hAnsi="Calibri" w:cs="Times New Roman"/>
          <w:vertAlign w:val="superscript"/>
          <w:lang w:val="en-GB" w:eastAsia="da-DK"/>
        </w:rPr>
        <w:footnoteReference w:id="151"/>
      </w:r>
      <w:r w:rsidRPr="006E6AAA">
        <w:rPr>
          <w:rFonts w:ascii="Calibri" w:eastAsia="Times New Roman" w:hAnsi="Calibri" w:cs="Times New Roman"/>
          <w:lang w:val="en-GB" w:eastAsia="da-DK"/>
        </w:rPr>
        <w:t xml:space="preserve"> Regional Court on the contrary referred that in “terrorist cases” (</w:t>
      </w:r>
      <w:r w:rsidRPr="006E6AAA">
        <w:rPr>
          <w:rFonts w:ascii="Calibri" w:eastAsia="Times New Roman" w:hAnsi="Calibri" w:cs="Times New Roman"/>
          <w:i/>
          <w:lang w:val="en-GB" w:eastAsia="da-DK"/>
        </w:rPr>
        <w:t>Al Shabab</w:t>
      </w:r>
      <w:r w:rsidRPr="006E6AAA">
        <w:rPr>
          <w:rFonts w:ascii="Calibri" w:eastAsia="Times New Roman" w:hAnsi="Calibri" w:cs="Times New Roman"/>
          <w:lang w:val="en-GB" w:eastAsia="da-DK"/>
        </w:rPr>
        <w:t xml:space="preserve"> related), the accused is transferred to Mandera prison (about 400 km away) for security reasons and subsequently his court travels to Mandera as a MC to hear the case (to be noted that these MC are organised without financial support from UNDP).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 w:eastAsia="da-DK"/>
        </w:rPr>
        <w:lastRenderedPageBreak/>
        <w:t xml:space="preserve">The </w:t>
      </w:r>
      <w:r w:rsidRPr="006E6AAA">
        <w:rPr>
          <w:rFonts w:ascii="Calibri" w:eastAsia="Times New Roman" w:hAnsi="Calibri" w:cs="Times New Roman"/>
          <w:lang w:eastAsia="da-DK"/>
        </w:rPr>
        <w:t xml:space="preserve">President of Sool region reported </w:t>
      </w:r>
      <w:r w:rsidRPr="006E6AAA">
        <w:rPr>
          <w:rFonts w:ascii="Calibri" w:eastAsia="Times New Roman" w:hAnsi="Calibri" w:cs="Times New Roman"/>
          <w:lang w:val="en-GB" w:eastAsia="da-DK"/>
        </w:rPr>
        <w:t>8 “terrorist cases” (</w:t>
      </w:r>
      <w:r w:rsidRPr="006E6AAA">
        <w:rPr>
          <w:rFonts w:ascii="Calibri" w:eastAsia="Times New Roman" w:hAnsi="Calibri" w:cs="Times New Roman"/>
          <w:i/>
          <w:lang w:val="en-GB" w:eastAsia="da-DK"/>
        </w:rPr>
        <w:t>Al Shabab</w:t>
      </w:r>
      <w:r w:rsidRPr="006E6AAA">
        <w:rPr>
          <w:rFonts w:ascii="Calibri" w:eastAsia="Times New Roman" w:hAnsi="Calibri" w:cs="Times New Roman"/>
          <w:lang w:val="en-GB" w:eastAsia="da-DK"/>
        </w:rPr>
        <w:t xml:space="preserve"> related) involving 24 accused in 2013</w:t>
      </w:r>
      <w:r w:rsidRPr="006E6AAA">
        <w:rPr>
          <w:rFonts w:ascii="Calibri" w:eastAsia="Times New Roman" w:hAnsi="Calibri" w:cs="Times New Roman"/>
          <w:vertAlign w:val="superscript"/>
          <w:lang w:val="en-GB" w:eastAsia="da-DK"/>
        </w:rPr>
        <w:footnoteReference w:id="152"/>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Times New Roman" w:eastAsia="Times New Roman" w:hAnsi="Times New Roman" w:cs="Times New Roman"/>
          <w:sz w:val="23"/>
          <w:szCs w:val="20"/>
          <w:lang w:val="en"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Additional analysis is suggested to clarify how international crimes are handled by the justice system in Somaliland and to verify if this typology of crime appears in MCs caseload (for example one case of human trafficking was adjudicated during the MC session observed by the consultant). </w:t>
      </w:r>
    </w:p>
    <w:p w:rsidR="006E6AAA" w:rsidRPr="006E6AAA" w:rsidRDefault="006E6AAA" w:rsidP="006E6AAA">
      <w:pPr>
        <w:spacing w:after="0" w:line="280" w:lineRule="exact"/>
        <w:jc w:val="both"/>
        <w:rPr>
          <w:rFonts w:ascii="Times New Roman" w:eastAsia="Times New Roman" w:hAnsi="Times New Roman" w:cs="Times New Roman"/>
          <w:b/>
          <w:sz w:val="23"/>
          <w:szCs w:val="20"/>
          <w:lang w:val="en-GB" w:eastAsia="da-DK"/>
        </w:rPr>
      </w:pPr>
      <w:r w:rsidRPr="006E6AAA">
        <w:rPr>
          <w:rFonts w:ascii="Calibri" w:eastAsia="Times New Roman" w:hAnsi="Calibri" w:cs="Times New Roman"/>
          <w:lang w:val="en-GB" w:eastAsia="da-DK"/>
        </w:rPr>
        <w:t xml:space="preserve">Meanwhile it would be important to sensitise judicial staff travelling on MC about available mechanisms to prosecute international crimes and eventually ensure that referral mechanism to competent courts are in place. UNODC supports a counter-piracy programme with a specific component aimed at supporting the prosecution of Somali piracy suspects and has a mandate to prevent transnational crimes, so an eventual cooperation with UNODC could be promoted to raise awareness of mobile court staff on these specific aspects.   </w:t>
      </w:r>
    </w:p>
    <w:p w:rsidR="006E6AAA" w:rsidRPr="006E6AAA" w:rsidRDefault="006E6AAA" w:rsidP="006E6AAA">
      <w:pPr>
        <w:spacing w:after="0" w:line="280" w:lineRule="exact"/>
        <w:jc w:val="both"/>
        <w:rPr>
          <w:rFonts w:ascii="Times New Roman" w:eastAsia="Times New Roman" w:hAnsi="Times New Roman" w:cs="Times New Roman"/>
          <w:b/>
          <w:sz w:val="23"/>
          <w:szCs w:val="20"/>
          <w:lang w:val="en-GB" w:eastAsia="da-DK"/>
        </w:rPr>
      </w:pPr>
    </w:p>
    <w:p w:rsidR="006E6AAA" w:rsidRPr="006E6AAA" w:rsidRDefault="006E6AAA" w:rsidP="006E6AAA">
      <w:pPr>
        <w:spacing w:after="0" w:line="280" w:lineRule="exact"/>
        <w:jc w:val="both"/>
        <w:rPr>
          <w:rFonts w:ascii="Calibri" w:eastAsia="Times New Roman" w:hAnsi="Calibri" w:cs="Times New Roman"/>
          <w:b/>
          <w:i/>
          <w:color w:val="333399"/>
          <w:u w:val="single"/>
          <w:lang w:val="en-GB" w:eastAsia="da-DK"/>
        </w:rPr>
      </w:pPr>
      <w:r w:rsidRPr="006E6AAA">
        <w:rPr>
          <w:rFonts w:ascii="Calibri" w:eastAsia="Times New Roman" w:hAnsi="Calibri" w:cs="Times New Roman"/>
          <w:b/>
          <w:i/>
          <w:color w:val="333399"/>
          <w:u w:val="single"/>
          <w:lang w:val="en-GB" w:eastAsia="da-DK"/>
        </w:rPr>
        <w:t>South-Central Somalia</w:t>
      </w:r>
    </w:p>
    <w:p w:rsidR="006E6AAA" w:rsidRPr="006E6AAA" w:rsidRDefault="006E6AAA" w:rsidP="006E6AAA">
      <w:pPr>
        <w:spacing w:after="0" w:line="280" w:lineRule="exact"/>
        <w:jc w:val="both"/>
        <w:rPr>
          <w:rFonts w:ascii="Calibri" w:eastAsia="Times New Roman" w:hAnsi="Calibri" w:cs="Times New Roman"/>
          <w:i/>
          <w:lang w:val="en-GB"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discussion seems to evolve differently in South/Central Somalia, where several international reports have denounced </w:t>
      </w:r>
      <w:r w:rsidRPr="006E6AAA">
        <w:rPr>
          <w:rFonts w:ascii="Calibri" w:eastAsia="Times New Roman" w:hAnsi="Calibri" w:cs="Times New Roman"/>
          <w:b/>
          <w:lang w:val="en-GB" w:eastAsia="da-DK"/>
        </w:rPr>
        <w:t>war crimes and crimes against humanity committed during the conflict</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HRW and Amnesty International have recently advocated for an independent commission of inquiry or similar mechanism to “</w:t>
      </w:r>
      <w:r w:rsidRPr="006E6AAA">
        <w:rPr>
          <w:rFonts w:ascii="Calibri" w:eastAsia="Times New Roman" w:hAnsi="Calibri" w:cs="Times New Roman"/>
          <w:i/>
          <w:lang w:val="en-GB" w:eastAsia="da-DK"/>
        </w:rPr>
        <w:t>to document and map serio</w:t>
      </w:r>
      <w:r w:rsidRPr="006E6AAA">
        <w:rPr>
          <w:rFonts w:ascii="Calibri" w:eastAsia="Times New Roman" w:hAnsi="Calibri" w:cs="Times New Roman"/>
          <w:i/>
          <w:lang w:val="en" w:eastAsia="da-DK"/>
        </w:rPr>
        <w:t>us international crimes committed in Somalia and recommend measures to improve accountability</w:t>
      </w:r>
      <w:r w:rsidRPr="006E6AAA">
        <w:rPr>
          <w:rFonts w:ascii="Calibri" w:eastAsia="Times New Roman" w:hAnsi="Calibri" w:cs="Times New Roman"/>
          <w:i/>
          <w:lang w:eastAsia="da-DK"/>
        </w:rPr>
        <w:t xml:space="preserve"> for </w:t>
      </w:r>
      <w:r w:rsidRPr="006E6AAA">
        <w:rPr>
          <w:rFonts w:ascii="Calibri" w:eastAsia="Times New Roman" w:hAnsi="Calibri" w:cs="TimesNewRomanPSMT"/>
          <w:i/>
          <w:lang w:eastAsia="it-IT"/>
        </w:rPr>
        <w:t>mass violence and gross human rights violations</w:t>
      </w:r>
      <w:r w:rsidRPr="006E6AAA">
        <w:rPr>
          <w:rFonts w:ascii="Calibri" w:eastAsia="Times New Roman" w:hAnsi="Calibri" w:cs="TimesNewRomanPSMT"/>
          <w:lang w:eastAsia="it-IT"/>
        </w:rPr>
        <w:t>”</w:t>
      </w:r>
      <w:r w:rsidRPr="006E6AAA">
        <w:rPr>
          <w:rFonts w:ascii="Calibri" w:eastAsia="Times New Roman" w:hAnsi="Calibri" w:cs="TimesNewRomanPSMT"/>
          <w:vertAlign w:val="superscript"/>
          <w:lang w:eastAsia="it-IT"/>
        </w:rPr>
        <w:footnoteReference w:id="153"/>
      </w:r>
      <w:r w:rsidRPr="006E6AAA">
        <w:rPr>
          <w:rFonts w:ascii="Calibri" w:eastAsia="Times New Roman" w:hAnsi="Calibri" w:cs="TimesNewRomanPSMT"/>
          <w:lang w:eastAsia="it-IT"/>
        </w:rPr>
        <w:t xml:space="preserve">. </w:t>
      </w:r>
      <w:r w:rsidRPr="006E6AAA">
        <w:rPr>
          <w:rFonts w:ascii="Calibri" w:eastAsia="Times New Roman" w:hAnsi="Calibri" w:cs="Times New Roman"/>
          <w:lang w:val="en-GB" w:eastAsia="da-DK"/>
        </w:rPr>
        <w:t>In November 2007 the UN Secretary-General's special envoy to Somalia called for the ICC to prosecute war crimes suspects and during the Universal Periodic Review of Somalia, a number of States recommended the establishment of commission of enquiry to investigate war crimes and crimes against humanity.</w:t>
      </w:r>
    </w:p>
    <w:p w:rsidR="006E6AAA" w:rsidRPr="006E6AAA" w:rsidRDefault="006E6AAA" w:rsidP="006E6AAA">
      <w:pPr>
        <w:spacing w:after="0" w:line="280" w:lineRule="exact"/>
        <w:jc w:val="both"/>
        <w:rPr>
          <w:rFonts w:ascii="Calibri" w:eastAsia="Times New Roman" w:hAnsi="Calibri" w:cs="Arial"/>
          <w:color w:val="555555"/>
          <w:lang w:val="en"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Considered the gradual recognition of the importance of prosecuting international crimes committed in Somalia, it might be worth exploring if MCs could play a role in promoting this debate further in South Central, on the model of the DRC experience. In DRC, the legislative framework for the national prosecution of international crimes is still under discussion, but meanwhile MCs are adjudicating a selected number of war crimes and crimes against humanity and are playing an important role in complementing the ICC prosecutions and also in promoting a debate at national level.  </w:t>
      </w:r>
    </w:p>
    <w:p w:rsidR="006E6AAA" w:rsidRPr="006E6AAA" w:rsidRDefault="006E6AAA" w:rsidP="006E6AAA">
      <w:pPr>
        <w:spacing w:after="0" w:line="280" w:lineRule="exact"/>
        <w:jc w:val="both"/>
        <w:rPr>
          <w:rFonts w:ascii="Calibri" w:eastAsia="Times New Roman" w:hAnsi="Calibri" w:cs="Times New Roman"/>
          <w:b/>
          <w:color w:val="000080"/>
          <w:lang w:eastAsia="da-DK"/>
        </w:rPr>
      </w:pPr>
      <w:r w:rsidRPr="006E6AAA">
        <w:rPr>
          <w:rFonts w:ascii="Calibri" w:eastAsia="Times New Roman" w:hAnsi="Calibri" w:cs="Times New Roman"/>
          <w:lang w:val="en-GB" w:eastAsia="da-DK"/>
        </w:rPr>
        <w:t xml:space="preserve">Further analysis is needed to explore if this approach would be appropriate and timely for the Somali context, but it would be suggested to consider it as a long term objective for the MC system that is successfully being piloted in Mogadishu.  </w:t>
      </w:r>
    </w:p>
    <w:p w:rsidR="006E6AAA" w:rsidRPr="006E6AAA" w:rsidRDefault="006E6AAA" w:rsidP="006E6AAA">
      <w:pPr>
        <w:spacing w:after="0" w:line="280" w:lineRule="exact"/>
        <w:jc w:val="both"/>
        <w:rPr>
          <w:rFonts w:ascii="Calibri" w:eastAsia="Times New Roman" w:hAnsi="Calibri" w:cs="MetaPro-Norm"/>
          <w:b/>
          <w:color w:val="000080"/>
          <w:sz w:val="24"/>
          <w:szCs w:val="24"/>
          <w:lang w:eastAsia="it-IT"/>
        </w:rPr>
      </w:pPr>
      <w:r w:rsidRPr="006E6AAA">
        <w:rPr>
          <w:rFonts w:ascii="Calibri" w:eastAsia="Times New Roman" w:hAnsi="Calibri" w:cs="MetaPro-Norm"/>
          <w:lang w:eastAsia="it-IT"/>
        </w:rPr>
        <w:br w:type="page"/>
      </w:r>
      <w:r w:rsidRPr="006E6AAA">
        <w:rPr>
          <w:rFonts w:ascii="Calibri" w:eastAsia="Times New Roman" w:hAnsi="Calibri" w:cs="MetaPro-Norm"/>
          <w:b/>
          <w:color w:val="000080"/>
          <w:sz w:val="24"/>
          <w:szCs w:val="24"/>
          <w:lang w:eastAsia="it-IT"/>
        </w:rPr>
        <w:lastRenderedPageBreak/>
        <w:t>PART II: CONCLUSIONS AND RECOMMENDATIONS</w:t>
      </w:r>
    </w:p>
    <w:p w:rsidR="006E6AAA" w:rsidRPr="006E6AAA" w:rsidRDefault="006E6AAA" w:rsidP="006E6AAA">
      <w:pPr>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color w:val="000080"/>
          <w:lang w:eastAsia="da-DK"/>
        </w:rPr>
        <w:t xml:space="preserve">§ 6. </w:t>
      </w:r>
      <w:r w:rsidRPr="006E6AAA">
        <w:rPr>
          <w:rFonts w:ascii="Calibri" w:eastAsia="Times New Roman" w:hAnsi="Calibri" w:cs="Times New Roman"/>
          <w:b/>
          <w:lang w:eastAsia="da-DK"/>
        </w:rPr>
        <w:t>Conclusions</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Despite the difficulties of intervening in a country where the traditional legal system is strongly prevalent and the formal system is still developing, UNDP’s support to mobile courts in Somaliland</w:t>
      </w:r>
      <w:r w:rsidRPr="006E6AAA">
        <w:rPr>
          <w:rFonts w:ascii="Calibri" w:eastAsia="Times New Roman" w:hAnsi="Calibri" w:cs="Times New Roman"/>
          <w:lang w:val="en-GB" w:eastAsia="da-DK"/>
        </w:rPr>
        <w:t xml:space="preserve"> is achieving results that are progressively improving</w:t>
      </w:r>
      <w:r w:rsidRPr="006E6AAA">
        <w:rPr>
          <w:rFonts w:ascii="Calibri" w:eastAsia="Times New Roman" w:hAnsi="Calibri" w:cs="Times New Roman"/>
          <w:lang w:eastAsia="da-DK"/>
        </w:rPr>
        <w:t>, particularly in terms of number of cases disposed and</w:t>
      </w:r>
      <w:r w:rsidRPr="006E6AAA">
        <w:rPr>
          <w:rFonts w:ascii="Calibri" w:eastAsia="Times New Roman" w:hAnsi="Calibri" w:cs="Times New Roman"/>
          <w:lang w:val="en-GB" w:eastAsia="da-DK"/>
        </w:rPr>
        <w:t xml:space="preserve"> </w:t>
      </w:r>
      <w:r w:rsidRPr="006E6AAA">
        <w:rPr>
          <w:rFonts w:ascii="Calibri" w:eastAsia="Times New Roman" w:hAnsi="Calibri" w:cs="Times New Roman"/>
          <w:i/>
          <w:lang w:val="en-GB" w:eastAsia="da-DK"/>
        </w:rPr>
        <w:t>inter alia</w:t>
      </w:r>
      <w:r w:rsidRPr="006E6AAA">
        <w:rPr>
          <w:rFonts w:ascii="Calibri" w:eastAsia="Times New Roman" w:hAnsi="Calibri" w:cs="Times New Roman"/>
          <w:lang w:val="en-GB" w:eastAsia="da-DK"/>
        </w:rPr>
        <w:t xml:space="preserve"> as a result of the notable efforts in implementing a monitoring system in close cooperation with the Judiciary.</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The current initiative appears strongly focussed on the supply side of justice, as support is mainly oriented towards the courts, however additional activities (as the awareness raising campaign for the population conducted by the University of Hargeisa) are gradually being introduced in order </w:t>
      </w:r>
      <w:r w:rsidRPr="006E6AAA">
        <w:rPr>
          <w:rFonts w:ascii="Calibri" w:eastAsia="Times New Roman" w:hAnsi="Calibri" w:cs="Times New Roman"/>
          <w:lang w:eastAsia="da-DK"/>
        </w:rPr>
        <w:t xml:space="preserve">to assist vulnerable groups to claim their rights before MC and understand the legal procedures.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UNDP’s support to mobile courts in Somaliland is contributing to gradually improve decentralized justice service delivery, but the focus on </w:t>
      </w:r>
      <w:r w:rsidRPr="006E6AAA">
        <w:rPr>
          <w:rFonts w:ascii="Calibri" w:eastAsia="Times New Roman" w:hAnsi="Calibri" w:cs="Calibri"/>
          <w:lang w:eastAsia="da-DK"/>
        </w:rPr>
        <w:t>activities targeting mobile court users to better understand their rights and legal procedures could be reinforced in a stronger access to justice approach.</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w:t>
      </w:r>
      <w:r w:rsidRPr="006E6AAA">
        <w:rPr>
          <w:rFonts w:ascii="Calibri" w:eastAsia="Times New Roman" w:hAnsi="Calibri" w:cs="Times New Roman"/>
          <w:b/>
          <w:lang w:eastAsia="da-DK"/>
        </w:rPr>
        <w:t>main findings for each evaluation criteria</w:t>
      </w:r>
      <w:r w:rsidRPr="006E6AAA">
        <w:rPr>
          <w:rFonts w:ascii="Calibri" w:eastAsia="Times New Roman" w:hAnsi="Calibri" w:cs="Times New Roman"/>
          <w:lang w:eastAsia="da-DK"/>
        </w:rPr>
        <w:t xml:space="preserve"> are summarized below. </w:t>
      </w: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smallCaps/>
          <w:color w:val="000080"/>
          <w:lang w:eastAsia="da-DK"/>
        </w:rPr>
        <w:t>relevance</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Mobile courts are aligned with national justice sector strategies and </w:t>
      </w:r>
      <w:r w:rsidRPr="006E6AAA">
        <w:rPr>
          <w:rFonts w:ascii="Calibri" w:eastAsia="Times New Roman" w:hAnsi="Calibri" w:cs="Times New Roman"/>
          <w:lang w:val="en-GB" w:eastAsia="da-DK"/>
        </w:rPr>
        <w:t xml:space="preserve">the national partner is strongly committed to the MC initiative, in particular after the transfer of the MC project from the Minister of Justice to the Judiciary. MC are rooted in the Somaliland legal system; the legal basis could be further detailed. </w:t>
      </w:r>
      <w:r w:rsidRPr="006E6AAA">
        <w:rPr>
          <w:rFonts w:ascii="Calibri" w:eastAsia="Times New Roman" w:hAnsi="Calibri" w:cs="Times New Roman"/>
          <w:lang w:eastAsia="da-DK"/>
        </w:rPr>
        <w:t xml:space="preserve">Mobile courts have been supported in full respect of the principle of national ownership and were found to be relevant by partners and other key stakeholders.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context in which MC operate seems to gradually become more responsive to women needs, in particular in the Hargeisa region, but </w:t>
      </w:r>
      <w:r w:rsidRPr="006E6AAA">
        <w:rPr>
          <w:rFonts w:ascii="Calibri" w:eastAsia="Times New Roman" w:hAnsi="Calibri" w:cs="Times New Roman"/>
          <w:lang w:eastAsia="da-DK"/>
        </w:rPr>
        <w:t>the role of women in accessing MC and the presence of female legal professionals is still to be improved</w:t>
      </w:r>
      <w:r w:rsidRPr="006E6AAA">
        <w:rPr>
          <w:rFonts w:ascii="Calibri" w:eastAsia="Times New Roman" w:hAnsi="Calibri" w:cs="Times New Roman"/>
          <w:lang w:val="en-GB" w:eastAsia="da-DK"/>
        </w:rPr>
        <w:t>. For SGBV cases the biggest challenge is the withdrawal from the courts in order to be settled by the elders outside the formal system; the option of establishing gender mobile courts does not seem to be appropriate for the Somali context.</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effectiveness</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 xml:space="preserve">MCs are supported by UNDP since 2008 and have been planned in the framework of 4 consecutive Letters of Agreement (LoA). The current MC model </w:t>
      </w:r>
      <w:r w:rsidRPr="006E6AAA">
        <w:rPr>
          <w:rFonts w:ascii="Calibri" w:eastAsia="Times New Roman" w:hAnsi="Calibri" w:cs="Times New Roman"/>
          <w:lang w:val="en-GB" w:eastAsia="da-DK"/>
        </w:rPr>
        <w:t xml:space="preserve">“on demand” has not allowed to plan the initiative as effectively as in “circuit court” models. Important efforts were undertaken in monitoring the system (to be noted as a best practice the MC review workshops); the lack of a database to consolidate the collected information remains a challenge to </w:t>
      </w:r>
      <w:r w:rsidRPr="006E6AAA">
        <w:rPr>
          <w:rFonts w:ascii="Calibri" w:eastAsia="Times New Roman" w:hAnsi="Calibri" w:cs="Times New Roman"/>
          <w:lang w:eastAsia="da-DK"/>
        </w:rPr>
        <w:t>measure progress towards set targets.</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Satisfactory results</w:t>
      </w:r>
      <w:r w:rsidRPr="006E6AAA">
        <w:rPr>
          <w:rFonts w:ascii="Calibri" w:eastAsia="Times New Roman" w:hAnsi="Calibri" w:cs="Times New Roman"/>
          <w:lang w:eastAsia="da-DK"/>
        </w:rPr>
        <w:t xml:space="preserve"> have been achieved, particularly in the light of the strong prevalence of the </w:t>
      </w:r>
      <w:r w:rsidRPr="006E6AAA">
        <w:rPr>
          <w:rFonts w:ascii="Calibri" w:eastAsia="Times New Roman" w:hAnsi="Calibri" w:cs="Times New Roman"/>
          <w:i/>
          <w:lang w:eastAsia="da-DK"/>
        </w:rPr>
        <w:t>Xeer</w:t>
      </w:r>
      <w:r w:rsidRPr="006E6AAA">
        <w:rPr>
          <w:rFonts w:ascii="Calibri" w:eastAsia="Times New Roman" w:hAnsi="Calibri" w:cs="Times New Roman"/>
          <w:lang w:eastAsia="da-DK"/>
        </w:rPr>
        <w:t xml:space="preserve"> system, but are difficult to analyze due to the lack of consolidated data.</w:t>
      </w:r>
      <w:r w:rsidRPr="006E6AAA">
        <w:rPr>
          <w:rFonts w:ascii="Calibri" w:eastAsia="Times New Roman" w:hAnsi="Calibri" w:cs="Times New Roman"/>
          <w:lang w:val="en-GB" w:eastAsia="da-DK"/>
        </w:rPr>
        <w:t xml:space="preserve"> </w:t>
      </w:r>
    </w:p>
    <w:p w:rsidR="006E6AAA" w:rsidRPr="006E6AAA" w:rsidRDefault="006E6AAA" w:rsidP="006E6AAA">
      <w:pPr>
        <w:spacing w:after="0" w:line="280" w:lineRule="exact"/>
        <w:jc w:val="both"/>
        <w:rPr>
          <w:rFonts w:ascii="Calibri" w:eastAsia="Times New Roman" w:hAnsi="Calibri" w:cs="Times New Roman"/>
          <w:lang w:val="en" w:eastAsia="da-DK"/>
        </w:rPr>
      </w:pPr>
      <w:r w:rsidRPr="006E6AAA">
        <w:rPr>
          <w:rFonts w:ascii="Calibri" w:eastAsia="Times New Roman" w:hAnsi="Calibri" w:cs="Times New Roman"/>
          <w:b/>
          <w:lang w:val="en-GB" w:eastAsia="da-DK"/>
        </w:rPr>
        <w:t xml:space="preserve">1.579 cases were filed </w:t>
      </w:r>
      <w:r w:rsidRPr="006E6AAA">
        <w:rPr>
          <w:rFonts w:ascii="Calibri" w:eastAsia="Times New Roman" w:hAnsi="Calibri" w:cs="Times New Roman"/>
          <w:lang w:val="en-GB" w:eastAsia="da-DK"/>
        </w:rPr>
        <w:t xml:space="preserve">by the MC system since the beginning of the project in 2008 and the total number of cases heard by mobile courts in the five regions </w:t>
      </w:r>
      <w:r w:rsidRPr="006E6AAA">
        <w:rPr>
          <w:rFonts w:ascii="Calibri" w:eastAsia="Times New Roman" w:hAnsi="Calibri" w:cs="Times New Roman"/>
          <w:b/>
          <w:lang w:val="en-GB" w:eastAsia="da-DK"/>
        </w:rPr>
        <w:t>increased by 57% from 2009 to 2012.</w:t>
      </w:r>
      <w:r w:rsidRPr="006E6AAA">
        <w:rPr>
          <w:rFonts w:ascii="Calibri" w:eastAsia="Times New Roman" w:hAnsi="Calibri" w:cs="Times New Roman"/>
          <w:lang w:val="en-GB" w:eastAsia="da-DK"/>
        </w:rPr>
        <w:t xml:space="preserve"> In 2010 the MC caseload represented </w:t>
      </w:r>
      <w:r w:rsidRPr="006E6AAA">
        <w:rPr>
          <w:rFonts w:ascii="Calibri" w:eastAsia="Times New Roman" w:hAnsi="Calibri" w:cs="Times New Roman"/>
          <w:b/>
          <w:lang w:val="en-GB" w:eastAsia="da-DK"/>
        </w:rPr>
        <w:t>6.5 % of the total caseload for the formal justice system</w:t>
      </w:r>
      <w:r w:rsidRPr="006E6AAA">
        <w:rPr>
          <w:rFonts w:ascii="Calibri" w:eastAsia="Times New Roman" w:hAnsi="Calibri" w:cs="Times New Roman"/>
          <w:lang w:val="en-GB" w:eastAsia="da-DK"/>
        </w:rPr>
        <w:t xml:space="preserve"> in Somaliland.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 xml:space="preserve">The 2012 targets have not been achieved, which is justified by the transfer of the MC initiative from </w:t>
      </w:r>
      <w:r w:rsidRPr="006E6AAA">
        <w:rPr>
          <w:rFonts w:ascii="Calibri" w:eastAsia="Times New Roman" w:hAnsi="Calibri" w:cs="Times New Roman"/>
          <w:lang w:eastAsia="da-DK"/>
        </w:rPr>
        <w:t xml:space="preserve">the MOJ to the Supreme Court. The campaign conducted by </w:t>
      </w:r>
      <w:r w:rsidRPr="006E6AAA">
        <w:rPr>
          <w:rFonts w:ascii="Calibri" w:eastAsia="Times New Roman" w:hAnsi="Calibri" w:cs="Times New Roman"/>
          <w:lang w:val="en-GB" w:eastAsia="da-DK"/>
        </w:rPr>
        <w:t>the University of Hargeisa (4 sessions of 7 days each in 2012) is to be noted as an exemplary coordination among the different components of the A2J project.</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The following aspects of the MC procedures could be improved: i) presence of defense lawyers ii) legal awareness of court users iii) coordination with police and prisons iv) policy for court fees exemption </w:t>
      </w: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lang w:eastAsia="da-DK"/>
        </w:rPr>
      </w:pP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r w:rsidRPr="006E6AAA">
        <w:rPr>
          <w:rFonts w:ascii="Calibri" w:eastAsia="Times New Roman" w:hAnsi="Calibri" w:cs="Times New Roman"/>
          <w:b/>
          <w:smallCaps/>
          <w:color w:val="000080"/>
          <w:lang w:eastAsia="da-DK"/>
        </w:rPr>
        <w:t>efficiency</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 xml:space="preserve">Despite a clear engagement from the Somaliland government to financially contribute to the MC initiative, the system is currently dependent on UNDP for 90% of its budget. The MC initiative is cost effective, although the financial resources could be allocated in a more effective way, in particular with regards to </w:t>
      </w:r>
      <w:r w:rsidRPr="006E6AAA">
        <w:rPr>
          <w:rFonts w:ascii="Calibri" w:eastAsia="Times New Roman" w:hAnsi="Calibri" w:cs="Times New Roman"/>
          <w:lang w:val="en-GB" w:eastAsia="da-DK"/>
        </w:rPr>
        <w:t xml:space="preserve">fuel, which represents 75% (241.000 USD) of the total UNDP contribution for MC. </w:t>
      </w:r>
      <w:r w:rsidRPr="006E6AAA">
        <w:rPr>
          <w:rFonts w:ascii="Calibri" w:eastAsia="Times New Roman" w:hAnsi="Calibri" w:cs="Times New Roman"/>
          <w:lang w:eastAsia="da-DK"/>
        </w:rPr>
        <w:t>Notable</w:t>
      </w:r>
      <w:r w:rsidRPr="006E6AAA">
        <w:rPr>
          <w:rFonts w:ascii="Calibri" w:eastAsia="Times New Roman" w:hAnsi="Calibri" w:cs="Times New Roman"/>
          <w:lang w:val="en-GB" w:eastAsia="da-DK"/>
        </w:rPr>
        <w:t xml:space="preserve"> efforts were undertaken to build the capacities of the Judiciary in financial reporting.</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 xml:space="preserve">UNDP is the only international partner that is supporting MC in Somalia. Exemplary coordination is in place among the different components of the UNDP A2J project. </w:t>
      </w:r>
      <w:r w:rsidRPr="006E6AAA">
        <w:rPr>
          <w:rFonts w:ascii="Calibri" w:eastAsia="Times New Roman" w:hAnsi="Calibri" w:cs="Times New Roman"/>
          <w:lang w:eastAsia="da-DK"/>
        </w:rPr>
        <w:t xml:space="preserve">Coordination among justice and security actors appears weak and no formal mechanism to promote linkages seems in place.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Synergies</w:t>
      </w:r>
      <w:r w:rsidRPr="006E6AAA">
        <w:rPr>
          <w:rFonts w:ascii="Calibri" w:eastAsia="Times New Roman" w:hAnsi="Calibri" w:cs="Times New Roman"/>
          <w:lang w:val="en-GB" w:eastAsia="da-DK"/>
        </w:rPr>
        <w:t xml:space="preserve"> and mutual cooperation with the elders have been promoted by MC teams and should </w:t>
      </w:r>
      <w:r w:rsidRPr="006E6AAA">
        <w:rPr>
          <w:rFonts w:ascii="Calibri" w:eastAsia="Times New Roman" w:hAnsi="Calibri" w:cs="Times New Roman"/>
          <w:lang w:eastAsia="da-DK"/>
        </w:rPr>
        <w:t>be noted, in terms of coordination, as one of the best practices of the Somaliland experience.</w:t>
      </w:r>
    </w:p>
    <w:p w:rsidR="006E6AAA" w:rsidRPr="006E6AAA" w:rsidRDefault="006E6AAA" w:rsidP="006E6AAA">
      <w:pPr>
        <w:spacing w:after="0" w:line="280" w:lineRule="exact"/>
        <w:jc w:val="both"/>
        <w:rPr>
          <w:rFonts w:ascii="Calibri" w:eastAsia="Times New Roman" w:hAnsi="Calibri" w:cs="Times New Roman"/>
          <w:b/>
          <w:smallCaps/>
          <w:color w:val="000080"/>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b/>
          <w:smallCaps/>
          <w:color w:val="000080"/>
          <w:lang w:eastAsia="da-DK"/>
        </w:rPr>
        <w:t xml:space="preserve">sustanablity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Some of the preconditions for the MC system to continue without international support are in place, in particular the fact that they are implemented independently under the lead of the Judiciary and having recourse to only local capacities; in addition MC are well accepted by the elders and rooted in the Somali traditions.</w:t>
      </w:r>
    </w:p>
    <w:p w:rsidR="006E6AAA" w:rsidRPr="006E6AAA" w:rsidRDefault="006E6AAA" w:rsidP="006E6AAA">
      <w:pPr>
        <w:spacing w:after="0" w:line="280" w:lineRule="exact"/>
        <w:jc w:val="both"/>
        <w:rPr>
          <w:rFonts w:ascii="Calibri" w:eastAsia="Times New Roman" w:hAnsi="Calibri" w:cs="Times New Roman"/>
          <w:b/>
          <w:color w:val="000080"/>
          <w:lang w:eastAsia="da-DK"/>
        </w:rPr>
      </w:pPr>
      <w:r w:rsidRPr="006E6AAA">
        <w:rPr>
          <w:rFonts w:ascii="Calibri" w:eastAsia="Times New Roman" w:hAnsi="Calibri" w:cs="Times New Roman"/>
          <w:lang w:eastAsia="da-DK"/>
        </w:rPr>
        <w:t>MCs are gradually evolving towards a sustainable initiative from a technical point of view; however in practice, due to the lack of financial contributions from the government, it is unlikely that MC will continue independently from UNDP’s support in the coming years, at least to the same extent as the current system.</w:t>
      </w:r>
    </w:p>
    <w:p w:rsidR="006E6AAA" w:rsidRPr="006E6AAA" w:rsidRDefault="006E6AAA" w:rsidP="006E6AAA">
      <w:pPr>
        <w:spacing w:after="0" w:line="280" w:lineRule="exact"/>
        <w:jc w:val="both"/>
        <w:rPr>
          <w:rFonts w:ascii="Calibri" w:eastAsia="Times New Roman" w:hAnsi="Calibri" w:cs="Times New Roman"/>
          <w:b/>
          <w:smallCaps/>
          <w:color w:val="000080"/>
          <w:lang w:eastAsia="da-DK"/>
        </w:rPr>
      </w:pPr>
    </w:p>
    <w:p w:rsidR="006E6AAA" w:rsidRPr="006E6AAA" w:rsidRDefault="006E6AAA" w:rsidP="006E6AAA">
      <w:pPr>
        <w:spacing w:after="0" w:line="280" w:lineRule="exact"/>
        <w:jc w:val="both"/>
        <w:rPr>
          <w:rFonts w:ascii="Calibri" w:eastAsia="Times New Roman" w:hAnsi="Calibri" w:cs="Times New Roman"/>
          <w:b/>
          <w:color w:val="000080"/>
          <w:lang w:eastAsia="da-DK"/>
        </w:rPr>
      </w:pPr>
      <w:r w:rsidRPr="006E6AAA">
        <w:rPr>
          <w:rFonts w:ascii="Calibri" w:eastAsia="Times New Roman" w:hAnsi="Calibri" w:cs="Times New Roman"/>
          <w:b/>
          <w:smallCaps/>
          <w:color w:val="000080"/>
          <w:lang w:eastAsia="da-DK"/>
        </w:rPr>
        <w:t xml:space="preserve">impact </w:t>
      </w:r>
    </w:p>
    <w:p w:rsidR="006E6AAA" w:rsidRPr="006E6AAA" w:rsidRDefault="006E6AAA" w:rsidP="006E6AAA">
      <w:p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eastAsia="da-DK"/>
        </w:rPr>
        <w:t>MC have fostered positive changes for the population, included: reduced conflict in the communities, reduced economic burden of travelling to courts,</w:t>
      </w:r>
      <w:r w:rsidRPr="006E6AAA">
        <w:rPr>
          <w:rFonts w:ascii="Calibri" w:eastAsia="Times New Roman" w:hAnsi="Calibri" w:cs="Times New Roman"/>
          <w:i/>
          <w:lang w:val="en-GB" w:eastAsia="da-DK"/>
        </w:rPr>
        <w:t xml:space="preserve"> </w:t>
      </w:r>
      <w:r w:rsidRPr="006E6AAA">
        <w:rPr>
          <w:rFonts w:ascii="Calibri" w:eastAsia="Times New Roman" w:hAnsi="Calibri" w:cs="Times New Roman"/>
          <w:lang w:eastAsia="da-DK"/>
        </w:rPr>
        <w:t>possibility of an alternative</w:t>
      </w:r>
      <w:r w:rsidRPr="006E6AAA">
        <w:rPr>
          <w:rFonts w:ascii="Calibri" w:eastAsia="Times New Roman" w:hAnsi="Calibri" w:cs="Times New Roman"/>
          <w:lang w:val="en-GB" w:eastAsia="da-DK"/>
        </w:rPr>
        <w:t xml:space="preserve"> to the dispute resolution mechanisms overseen by the elders. </w:t>
      </w:r>
      <w:r w:rsidRPr="006E6AAA">
        <w:rPr>
          <w:rFonts w:ascii="Calibri" w:eastAsia="Times New Roman" w:hAnsi="Calibri" w:cs="Times New Roman"/>
          <w:lang w:eastAsia="da-DK"/>
        </w:rPr>
        <w:t>Mobile courts have yet had a limited, although growing, impact on increasing legal awareness among the rural population.</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The technical competences of the MC team members have improved and MC workshops were important opportunities for the Judicial staff to meet as a group. MC have had stronger impact on appeal cases (51% of the total caseload) than first instance cases.</w:t>
      </w:r>
      <w:r w:rsidRPr="006E6AAA">
        <w:rPr>
          <w:rFonts w:ascii="Calibri" w:eastAsia="Times New Roman" w:hAnsi="Calibri" w:cs="Times New Roman"/>
          <w:lang w:eastAsia="da-DK"/>
        </w:rPr>
        <w:t xml:space="preserve"> The role of the formal justice system in remote areas has been strengthened, in particular by making the courts known (although not yet sufficiently understood) to the population, which is a successful achievement in a country where traditional justice is strongly prevalent. </w:t>
      </w: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val="en-GB" w:eastAsia="da-DK"/>
        </w:rPr>
        <w:t>The contribution</w:t>
      </w:r>
      <w:r w:rsidRPr="006E6AAA">
        <w:rPr>
          <w:rFonts w:ascii="Calibri" w:eastAsia="Times New Roman" w:hAnsi="Calibri" w:cs="Times New Roman"/>
          <w:lang w:eastAsia="da-DK"/>
        </w:rPr>
        <w:t xml:space="preserve"> of MCs to the prosecution of international crimes is limited as the issue is not relevant for Somaliland and currently at a very early stage in South Central.    </w:t>
      </w:r>
    </w:p>
    <w:p w:rsidR="006E6AAA" w:rsidRPr="006E6AAA" w:rsidRDefault="006E6AAA" w:rsidP="006E6AAA">
      <w:pPr>
        <w:spacing w:after="0" w:line="280" w:lineRule="exact"/>
        <w:jc w:val="both"/>
        <w:rPr>
          <w:rFonts w:ascii="Calibri" w:eastAsia="Times New Roman" w:hAnsi="Calibri" w:cs="Times New Roman"/>
          <w:b/>
          <w:color w:val="000080"/>
          <w:lang w:eastAsia="da-DK"/>
        </w:rPr>
      </w:pPr>
    </w:p>
    <w:p w:rsidR="006E6AAA" w:rsidRPr="006E6AAA" w:rsidRDefault="006E6AAA" w:rsidP="006E6AAA">
      <w:pPr>
        <w:spacing w:after="0" w:line="280" w:lineRule="exact"/>
        <w:jc w:val="both"/>
        <w:rPr>
          <w:rFonts w:ascii="Calibri" w:eastAsia="Times New Roman" w:hAnsi="Calibri" w:cs="Times New Roman"/>
          <w:b/>
          <w:color w:val="000080"/>
          <w:lang w:eastAsia="da-DK"/>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smallCaps/>
          <w:lang w:eastAsia="da-DK"/>
        </w:rPr>
      </w:pPr>
      <w:r w:rsidRPr="006E6AAA">
        <w:rPr>
          <w:rFonts w:ascii="Calibri" w:eastAsia="Times New Roman" w:hAnsi="Calibri" w:cs="Times New Roman"/>
          <w:b/>
          <w:color w:val="000080"/>
          <w:lang w:eastAsia="da-DK"/>
        </w:rPr>
        <w:t xml:space="preserve">§ 7. </w:t>
      </w:r>
      <w:r w:rsidRPr="006E6AAA">
        <w:rPr>
          <w:rFonts w:ascii="Calibri" w:eastAsia="Times New Roman" w:hAnsi="Calibri" w:cs="Times New Roman"/>
          <w:b/>
          <w:lang w:eastAsia="da-DK"/>
        </w:rPr>
        <w:t>Recommendations</w:t>
      </w:r>
    </w:p>
    <w:p w:rsidR="006E6AAA" w:rsidRPr="006E6AAA" w:rsidRDefault="006E6AAA" w:rsidP="006E6AAA">
      <w:pPr>
        <w:spacing w:after="0" w:line="280" w:lineRule="exact"/>
        <w:jc w:val="both"/>
        <w:rPr>
          <w:rFonts w:ascii="Calibri" w:eastAsia="Times New Roman" w:hAnsi="Calibri" w:cs="Times New Roman"/>
          <w:lang w:val="en-GB" w:eastAsia="da-DK"/>
        </w:rPr>
      </w:pPr>
    </w:p>
    <w:p w:rsidR="006E6AAA" w:rsidRPr="006E6AAA" w:rsidRDefault="006E6AAA" w:rsidP="006E6AAA">
      <w:pPr>
        <w:spacing w:after="0" w:line="280" w:lineRule="exact"/>
        <w:jc w:val="both"/>
        <w:rPr>
          <w:rFonts w:ascii="Calibri" w:eastAsia="Times New Roman" w:hAnsi="Calibri" w:cs="Times New Roman"/>
          <w:lang w:eastAsia="da-DK"/>
        </w:rPr>
      </w:pPr>
      <w:r w:rsidRPr="006E6AAA">
        <w:rPr>
          <w:rFonts w:ascii="Calibri" w:eastAsia="Times New Roman" w:hAnsi="Calibri" w:cs="Times New Roman"/>
          <w:lang w:eastAsia="da-DK"/>
        </w:rPr>
        <w:t>The recommendations summarized in the table below stem from the findings illustrated in the previous paragraphs and are directed at UNDP and the Judiciary.</w:t>
      </w:r>
    </w:p>
    <w:p w:rsidR="006E6AAA" w:rsidRPr="006E6AAA" w:rsidRDefault="006E6AAA" w:rsidP="006E6AAA">
      <w:pPr>
        <w:spacing w:after="0" w:line="280" w:lineRule="exact"/>
        <w:jc w:val="both"/>
        <w:rPr>
          <w:rFonts w:ascii="Calibri" w:eastAsia="Times New Roman" w:hAnsi="Calibri" w:cs="Times New Roman"/>
          <w:lang w:eastAsia="da-DK"/>
        </w:rPr>
      </w:pPr>
    </w:p>
    <w:tbl>
      <w:tblPr>
        <w:tblW w:w="0" w:type="auto"/>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1347"/>
        <w:gridCol w:w="903"/>
        <w:gridCol w:w="7136"/>
      </w:tblGrid>
      <w:tr w:rsidR="006E6AAA" w:rsidRPr="006E6AAA" w:rsidTr="00C8613A">
        <w:tc>
          <w:tcPr>
            <w:tcW w:w="1347" w:type="dxa"/>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Addressed to</w:t>
            </w:r>
          </w:p>
        </w:tc>
        <w:tc>
          <w:tcPr>
            <w:tcW w:w="903" w:type="dxa"/>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 xml:space="preserve">Priority </w:t>
            </w:r>
          </w:p>
        </w:tc>
        <w:tc>
          <w:tcPr>
            <w:tcW w:w="7136" w:type="dxa"/>
            <w:shd w:val="clear" w:color="auto" w:fill="404040"/>
          </w:tcPr>
          <w:p w:rsidR="006E6AAA" w:rsidRPr="006E6AAA" w:rsidRDefault="006E6AAA" w:rsidP="006E6AAA">
            <w:pPr>
              <w:spacing w:after="0" w:line="270" w:lineRule="atLeast"/>
              <w:rPr>
                <w:rFonts w:ascii="Calibri" w:eastAsia="Times New Roman" w:hAnsi="Calibri" w:cs="Times New Roman"/>
                <w:b/>
                <w:color w:val="FFFFFF"/>
                <w:sz w:val="20"/>
                <w:szCs w:val="20"/>
                <w:lang w:eastAsia="da-DK"/>
              </w:rPr>
            </w:pPr>
            <w:r w:rsidRPr="006E6AAA">
              <w:rPr>
                <w:rFonts w:ascii="Calibri" w:eastAsia="Times New Roman" w:hAnsi="Calibri" w:cs="Times New Roman"/>
                <w:b/>
                <w:color w:val="FFFFFF"/>
                <w:sz w:val="20"/>
                <w:szCs w:val="20"/>
                <w:lang w:eastAsia="da-DK"/>
              </w:rPr>
              <w:t>Recommendation</w:t>
            </w: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Judiciary</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Strengthen the</w:t>
            </w:r>
            <w:r w:rsidRPr="006E6AAA">
              <w:rPr>
                <w:rFonts w:ascii="Calibri" w:eastAsia="Times New Roman" w:hAnsi="Calibri" w:cs="Times New Roman"/>
                <w:color w:val="000080"/>
                <w:sz w:val="20"/>
                <w:szCs w:val="20"/>
                <w:lang w:eastAsia="da-DK"/>
              </w:rPr>
              <w:t xml:space="preserve"> </w:t>
            </w:r>
            <w:r w:rsidRPr="006E6AAA">
              <w:rPr>
                <w:rFonts w:ascii="Calibri" w:eastAsia="Times New Roman" w:hAnsi="Calibri" w:cs="Times New Roman"/>
                <w:b/>
                <w:color w:val="000080"/>
                <w:sz w:val="20"/>
                <w:szCs w:val="20"/>
                <w:lang w:eastAsia="da-DK"/>
              </w:rPr>
              <w:t>legal basis</w:t>
            </w:r>
            <w:r w:rsidRPr="006E6AAA">
              <w:rPr>
                <w:rFonts w:ascii="Calibri" w:eastAsia="Times New Roman" w:hAnsi="Calibri" w:cs="Times New Roman"/>
                <w:sz w:val="20"/>
                <w:szCs w:val="20"/>
                <w:lang w:eastAsia="da-DK"/>
              </w:rPr>
              <w:t xml:space="preserve"> </w:t>
            </w:r>
            <w:r w:rsidRPr="006E6AAA">
              <w:rPr>
                <w:rFonts w:ascii="Calibri" w:eastAsia="Times New Roman" w:hAnsi="Calibri" w:cs="Times New Roman"/>
                <w:b/>
                <w:color w:val="000080"/>
                <w:sz w:val="20"/>
                <w:szCs w:val="20"/>
                <w:lang w:eastAsia="da-DK"/>
              </w:rPr>
              <w:t>for MC</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Issue a yearly Chief Justice order to identify the areas of intervention for MC.</w:t>
            </w:r>
          </w:p>
          <w:p w:rsidR="006E6AAA" w:rsidRPr="006E6AAA" w:rsidRDefault="006E6AAA" w:rsidP="006E6AAA">
            <w:pPr>
              <w:spacing w:after="0" w:line="270" w:lineRule="atLeast"/>
              <w:rPr>
                <w:rFonts w:ascii="Calibri" w:eastAsia="Times New Roman" w:hAnsi="Calibri" w:cs="Times New Roman"/>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Judiciary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sz w:val="20"/>
                <w:szCs w:val="20"/>
                <w:lang w:eastAsia="da-DK"/>
              </w:rPr>
              <w:lastRenderedPageBreak/>
              <w:t>Low</w:t>
            </w:r>
            <w:r w:rsidRPr="006E6AAA">
              <w:rPr>
                <w:rFonts w:ascii="Calibri" w:eastAsia="Times New Roman" w:hAnsi="Calibri" w:cs="Times New Roman"/>
                <w:b/>
                <w:sz w:val="20"/>
                <w:szCs w:val="20"/>
                <w:lang w:eastAsia="da-DK"/>
              </w:rPr>
              <w:t xml:space="preserve"> </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b/>
                <w:color w:val="000080"/>
                <w:sz w:val="20"/>
                <w:szCs w:val="20"/>
                <w:lang w:eastAsia="da-DK"/>
              </w:rPr>
              <w:lastRenderedPageBreak/>
              <w:t>Improve the</w:t>
            </w:r>
            <w:r w:rsidRPr="006E6AAA">
              <w:rPr>
                <w:rFonts w:ascii="Calibri" w:eastAsia="Times New Roman" w:hAnsi="Calibri" w:cs="Times New Roman"/>
                <w:color w:val="000080"/>
                <w:sz w:val="20"/>
                <w:szCs w:val="20"/>
                <w:lang w:eastAsia="da-DK"/>
              </w:rPr>
              <w:t xml:space="preserve"> </w:t>
            </w:r>
            <w:r w:rsidRPr="006E6AAA">
              <w:rPr>
                <w:rFonts w:ascii="Calibri" w:eastAsia="Times New Roman" w:hAnsi="Calibri" w:cs="Times New Roman"/>
                <w:b/>
                <w:color w:val="000080"/>
                <w:sz w:val="20"/>
                <w:szCs w:val="20"/>
                <w:lang w:eastAsia="da-DK"/>
              </w:rPr>
              <w:t>planning of MC</w:t>
            </w:r>
            <w:r w:rsidRPr="006E6AAA">
              <w:rPr>
                <w:rFonts w:ascii="Calibri" w:eastAsia="Times New Roman" w:hAnsi="Calibri" w:cs="Times New Roman"/>
                <w:sz w:val="20"/>
                <w:szCs w:val="20"/>
                <w:lang w:eastAsia="da-DK"/>
              </w:rPr>
              <w:t xml:space="preserve"> </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shift from a MC model “on demand” to a “circuit court” model</w:t>
            </w:r>
          </w:p>
          <w:p w:rsidR="006E6AAA" w:rsidRPr="006E6AAA" w:rsidRDefault="006E6AAA" w:rsidP="006E6AAA">
            <w:pPr>
              <w:numPr>
                <w:ilvl w:val="0"/>
                <w:numId w:val="50"/>
              </w:numPr>
              <w:spacing w:after="0" w:line="240" w:lineRule="auto"/>
              <w:rPr>
                <w:rFonts w:ascii="Calibri" w:eastAsia="Times New Roman" w:hAnsi="Calibri" w:cs="Times New Roman"/>
                <w:b/>
                <w:sz w:val="20"/>
                <w:szCs w:val="20"/>
                <w:lang w:eastAsia="da-DK"/>
              </w:rPr>
            </w:pPr>
            <w:r w:rsidRPr="006E6AAA">
              <w:rPr>
                <w:rFonts w:ascii="Calibri" w:eastAsia="Times New Roman" w:hAnsi="Calibri" w:cs="Times New Roman"/>
                <w:sz w:val="20"/>
                <w:szCs w:val="20"/>
                <w:lang w:eastAsia="da-DK"/>
              </w:rPr>
              <w:t>maintain a limited number of “MC on demand”, eventually in Sool region</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conduct an assessment of District Courts to evaluate if they would have the </w:t>
            </w:r>
            <w:r w:rsidRPr="006E6AAA">
              <w:rPr>
                <w:rFonts w:ascii="Calibri" w:eastAsia="Times New Roman" w:hAnsi="Calibri" w:cs="Times New Roman"/>
                <w:sz w:val="20"/>
                <w:szCs w:val="20"/>
                <w:lang w:eastAsia="da-DK"/>
              </w:rPr>
              <w:lastRenderedPageBreak/>
              <w:t>capacity to run MC in their jurisdictions.</w:t>
            </w:r>
          </w:p>
          <w:p w:rsidR="006E6AAA" w:rsidRPr="006E6AAA" w:rsidRDefault="006E6AAA" w:rsidP="006E6AAA">
            <w:pPr>
              <w:spacing w:after="0" w:line="270" w:lineRule="atLeast"/>
              <w:rPr>
                <w:rFonts w:ascii="Calibri" w:eastAsia="Times New Roman" w:hAnsi="Calibri" w:cs="Times New Roman"/>
                <w:b/>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Judiciary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High </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Complete the monitoring framework</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Establish an Excel database to consolidate the statistics compiled by the Judiciary</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Refine the monitoring indicators in the quarterly reports ( e.g include the disposal rate, the outcome of the case..) </w:t>
            </w:r>
          </w:p>
          <w:p w:rsidR="006E6AAA" w:rsidRPr="006E6AAA" w:rsidRDefault="006E6AAA" w:rsidP="006E6AAA">
            <w:pPr>
              <w:numPr>
                <w:ilvl w:val="0"/>
                <w:numId w:val="50"/>
              </w:numPr>
              <w:spacing w:after="0" w:line="240" w:lineRule="auto"/>
              <w:rPr>
                <w:rFonts w:ascii="Calibri" w:eastAsia="Times New Roman" w:hAnsi="Calibri" w:cs="Times New Roman"/>
                <w:color w:val="000000"/>
                <w:sz w:val="20"/>
                <w:szCs w:val="20"/>
                <w:lang w:eastAsia="da-DK"/>
              </w:rPr>
            </w:pPr>
            <w:r w:rsidRPr="006E6AAA">
              <w:rPr>
                <w:rFonts w:ascii="Calibri" w:eastAsia="Times New Roman" w:hAnsi="Calibri" w:cs="Times New Roman"/>
                <w:sz w:val="20"/>
                <w:szCs w:val="20"/>
                <w:lang w:eastAsia="da-DK"/>
              </w:rPr>
              <w:t xml:space="preserve">Explore if </w:t>
            </w:r>
            <w:r w:rsidRPr="006E6AAA">
              <w:rPr>
                <w:rFonts w:ascii="Calibri" w:eastAsia="Times New Roman" w:hAnsi="Calibri" w:cs="Times New Roman"/>
                <w:color w:val="000000"/>
                <w:sz w:val="20"/>
                <w:szCs w:val="20"/>
                <w:lang w:eastAsia="da-DK"/>
              </w:rPr>
              <w:t>data-collection methodologies running on Smart-phones are applicable</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Establish a network of community-based Court Monitors eventually in connection with “</w:t>
            </w:r>
            <w:r w:rsidRPr="006E6AAA">
              <w:rPr>
                <w:rFonts w:ascii="Calibri" w:eastAsia="Times New Roman" w:hAnsi="Calibri" w:cs="Times New Roman"/>
                <w:i/>
                <w:sz w:val="20"/>
                <w:szCs w:val="20"/>
                <w:lang w:eastAsia="da-DK"/>
              </w:rPr>
              <w:t>District and Village Safety Committees</w:t>
            </w:r>
            <w:r w:rsidRPr="006E6AAA">
              <w:rPr>
                <w:rFonts w:ascii="Calibri" w:eastAsia="Times New Roman" w:hAnsi="Calibri" w:cs="Times New Roman"/>
                <w:sz w:val="20"/>
                <w:szCs w:val="20"/>
                <w:lang w:eastAsia="da-DK"/>
              </w:rPr>
              <w:t>” supported by UNDP</w:t>
            </w:r>
          </w:p>
          <w:p w:rsidR="006E6AAA" w:rsidRPr="006E6AAA" w:rsidRDefault="006E6AAA" w:rsidP="006E6AAA">
            <w:pPr>
              <w:numPr>
                <w:ilvl w:val="0"/>
                <w:numId w:val="50"/>
              </w:numPr>
              <w:spacing w:after="0" w:line="240" w:lineRule="auto"/>
              <w:rPr>
                <w:rFonts w:ascii="Calibri" w:eastAsia="Times New Roman" w:hAnsi="Calibri" w:cs="Times New Roman"/>
                <w:b/>
                <w:sz w:val="20"/>
                <w:szCs w:val="20"/>
                <w:lang w:eastAsia="da-DK"/>
              </w:rPr>
            </w:pPr>
            <w:r w:rsidRPr="006E6AAA">
              <w:rPr>
                <w:rFonts w:ascii="Calibri" w:eastAsia="Times New Roman" w:hAnsi="Calibri" w:cs="Times New Roman"/>
                <w:sz w:val="20"/>
                <w:szCs w:val="20"/>
                <w:lang w:eastAsia="da-DK"/>
              </w:rPr>
              <w:t>Improve the coordination of monitoring activities with the Inspection Services</w:t>
            </w:r>
          </w:p>
          <w:p w:rsidR="006E6AAA" w:rsidRPr="006E6AAA" w:rsidRDefault="006E6AAA" w:rsidP="006E6AAA">
            <w:pPr>
              <w:numPr>
                <w:ilvl w:val="0"/>
                <w:numId w:val="50"/>
              </w:numPr>
              <w:spacing w:after="0" w:line="240" w:lineRule="auto"/>
              <w:rPr>
                <w:rFonts w:ascii="Calibri" w:eastAsia="Times New Roman" w:hAnsi="Calibri" w:cs="Times New Roman"/>
                <w:b/>
                <w:sz w:val="20"/>
                <w:szCs w:val="20"/>
                <w:lang w:eastAsia="da-DK"/>
              </w:rPr>
            </w:pPr>
            <w:r w:rsidRPr="006E6AAA">
              <w:rPr>
                <w:rFonts w:ascii="Calibri" w:eastAsia="Times New Roman" w:hAnsi="Calibri" w:cs="Times New Roman"/>
                <w:sz w:val="20"/>
                <w:szCs w:val="20"/>
                <w:lang w:eastAsia="da-DK"/>
              </w:rPr>
              <w:t>Continue to train judicial staff, in particular the MC Coordinator, and organize MC review workshops to develop further a RBM culture</w:t>
            </w:r>
          </w:p>
          <w:p w:rsidR="006E6AAA" w:rsidRPr="006E6AAA" w:rsidRDefault="006E6AAA" w:rsidP="006E6AAA">
            <w:pPr>
              <w:spacing w:after="0" w:line="270" w:lineRule="atLeast"/>
              <w:rPr>
                <w:rFonts w:ascii="Calibri" w:eastAsia="Times New Roman" w:hAnsi="Calibri" w:cs="Times New Roman"/>
                <w:b/>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SOLLA and CSO</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Promote legal awareness and understating of MC procedures by the population</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Set up a network of community-based paralegals at district level aimed at i) assisting lawyers in preparing their cases , ii) organizing awareness raising sessions in their communities, iii) monitor court proceedings</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Expand the awareness raising sessions organized by the University of Hargeisa and ensure that the sessions are held a few days before or/and after the MC</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Remove the responsibility for the awareness raising component on MC teams, but use CSOs/law students instead.</w:t>
            </w:r>
          </w:p>
          <w:p w:rsidR="006E6AAA" w:rsidRPr="006E6AAA" w:rsidRDefault="006E6AAA" w:rsidP="006E6AAA">
            <w:pPr>
              <w:spacing w:after="0" w:line="270" w:lineRule="atLeast"/>
              <w:rPr>
                <w:rFonts w:ascii="Calibri" w:eastAsia="Times New Roman" w:hAnsi="Calibri" w:cs="Times New Roman"/>
                <w:b/>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Revise budget allocation</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Ensure that the budget line for fuel is adequately detailed and not negotiated as a </w:t>
            </w:r>
            <w:r w:rsidRPr="006E6AAA">
              <w:rPr>
                <w:rFonts w:ascii="Calibri" w:eastAsia="Times New Roman" w:hAnsi="Calibri" w:cs="Times New Roman"/>
                <w:i/>
                <w:sz w:val="20"/>
                <w:szCs w:val="20"/>
                <w:lang w:eastAsia="da-DK"/>
              </w:rPr>
              <w:t>lump sum.</w:t>
            </w:r>
            <w:r w:rsidRPr="006E6AAA">
              <w:rPr>
                <w:rFonts w:ascii="Calibri" w:eastAsia="Times New Roman" w:hAnsi="Calibri" w:cs="Times New Roman"/>
                <w:sz w:val="20"/>
                <w:szCs w:val="20"/>
                <w:lang w:eastAsia="da-DK"/>
              </w:rPr>
              <w:t xml:space="preserve"> </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Explore the possibility of reducing the fuel costs and increasing the duration of each MC, by allocating a minimum amount for </w:t>
            </w:r>
            <w:r w:rsidRPr="006E6AAA">
              <w:rPr>
                <w:rFonts w:ascii="Calibri" w:eastAsia="Times New Roman" w:hAnsi="Calibri" w:cs="Times New Roman"/>
                <w:i/>
                <w:sz w:val="20"/>
                <w:szCs w:val="20"/>
                <w:lang w:eastAsia="da-DK"/>
              </w:rPr>
              <w:t>per diems</w:t>
            </w:r>
            <w:r w:rsidRPr="006E6AAA">
              <w:rPr>
                <w:rFonts w:ascii="Calibri" w:eastAsia="Times New Roman" w:hAnsi="Calibri" w:cs="Times New Roman"/>
                <w:sz w:val="20"/>
                <w:szCs w:val="20"/>
                <w:lang w:eastAsia="da-DK"/>
              </w:rPr>
              <w:t xml:space="preserve">. </w:t>
            </w:r>
          </w:p>
          <w:p w:rsidR="006E6AAA" w:rsidRPr="006E6AAA" w:rsidRDefault="006E6AAA" w:rsidP="006E6AAA">
            <w:pPr>
              <w:spacing w:after="0" w:line="270" w:lineRule="atLeast"/>
              <w:rPr>
                <w:rFonts w:ascii="Calibri" w:eastAsia="Times New Roman" w:hAnsi="Calibri" w:cs="Times New Roman"/>
                <w:b/>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Judiciary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Improve the quality of MC services</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Develop criteria to assess the vulnerability of court users and identify who is eligible to be exempted from court fees.</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Establish referral mechanisms between  legal aid providers and the courts to ensure the presence of lawyers</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Strengthen Police investigations and coordination between Police and Prosecution</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Assess if MC judges could supervise the District Courts judges and eventually carry out on-the job trainings with the objective to gradually reduce the number of appeals.</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Explore the possibility of including a special MC component for prisons and/or if prosecutors on MC teams could visit prisons and detention centers to verify the regularity of pre-trial detentions</w:t>
            </w:r>
          </w:p>
          <w:p w:rsidR="006E6AAA" w:rsidRPr="006E6AAA" w:rsidRDefault="006E6AAA" w:rsidP="006E6AAA">
            <w:pPr>
              <w:spacing w:after="0" w:line="270" w:lineRule="atLeast"/>
              <w:rPr>
                <w:rFonts w:ascii="Calibri" w:eastAsia="Times New Roman" w:hAnsi="Calibri" w:cs="Times New Roman"/>
                <w:b/>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Judiciary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Continue to promote the sustainability of the MC system</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Ensure that the government allocates consistent financial resources to the MC system</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Draft, eventually as an annex to the next LoA, an exit strategy identifying the priorities to be addressed in preparation of the transfer of responsibilities to the national partner.</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Continue to ensure the support of the elders to the MC system</w:t>
            </w:r>
          </w:p>
          <w:p w:rsidR="006E6AAA" w:rsidRPr="006E6AAA" w:rsidRDefault="006E6AAA" w:rsidP="006E6AAA">
            <w:pPr>
              <w:spacing w:after="0" w:line="270" w:lineRule="atLeast"/>
              <w:rPr>
                <w:rFonts w:ascii="Calibri" w:eastAsia="Times New Roman" w:hAnsi="Calibri" w:cs="Times New Roman"/>
                <w:b/>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Judiciary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High</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Medium</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lastRenderedPageBreak/>
              <w:t>Strengthen the prosecution of SGBV cases and gender/child mainstreaming</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Include additional female staff in the MC team, without adopting the “</w:t>
            </w:r>
            <w:r w:rsidRPr="006E6AAA">
              <w:rPr>
                <w:rFonts w:ascii="Calibri" w:eastAsia="Times New Roman" w:hAnsi="Calibri" w:cs="Times New Roman"/>
                <w:i/>
                <w:sz w:val="20"/>
                <w:szCs w:val="20"/>
                <w:lang w:eastAsia="da-DK"/>
              </w:rPr>
              <w:t>gender mobile court</w:t>
            </w:r>
            <w:r w:rsidRPr="006E6AAA">
              <w:rPr>
                <w:rFonts w:ascii="Calibri" w:eastAsia="Times New Roman" w:hAnsi="Calibri" w:cs="Times New Roman"/>
                <w:sz w:val="20"/>
                <w:szCs w:val="20"/>
                <w:lang w:eastAsia="da-DK"/>
              </w:rPr>
              <w:t>” model</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Continue to train judges and judicial staff on the promotion of women’s rights and the prosecution of SGBV cases</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Monitor how MC handle cases involving minors, in particular with regards to </w:t>
            </w:r>
            <w:r w:rsidRPr="006E6AAA">
              <w:rPr>
                <w:rFonts w:ascii="Calibri" w:eastAsia="Times New Roman" w:hAnsi="Calibri" w:cs="Times New Roman"/>
                <w:sz w:val="20"/>
                <w:szCs w:val="20"/>
                <w:lang w:eastAsia="da-DK"/>
              </w:rPr>
              <w:lastRenderedPageBreak/>
              <w:t>“discipline cases”</w:t>
            </w:r>
          </w:p>
          <w:p w:rsidR="006E6AAA" w:rsidRPr="006E6AAA" w:rsidRDefault="006E6AAA" w:rsidP="006E6AAA">
            <w:pPr>
              <w:spacing w:after="0" w:line="240" w:lineRule="auto"/>
              <w:rPr>
                <w:rFonts w:ascii="Calibri" w:eastAsia="Times New Roman" w:hAnsi="Calibri" w:cs="Times New Roman"/>
                <w:sz w:val="20"/>
                <w:szCs w:val="20"/>
                <w:lang w:eastAsia="da-DK"/>
              </w:rPr>
            </w:pPr>
          </w:p>
        </w:tc>
      </w:tr>
      <w:tr w:rsidR="006E6AAA" w:rsidRPr="006E6AAA" w:rsidTr="00C8613A">
        <w:tc>
          <w:tcPr>
            <w:tcW w:w="1347"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lastRenderedPageBreak/>
              <w:t xml:space="preserve">Judiciary </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UNDP</w:t>
            </w:r>
          </w:p>
        </w:tc>
        <w:tc>
          <w:tcPr>
            <w:tcW w:w="903"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Medium</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Low</w:t>
            </w:r>
          </w:p>
        </w:tc>
        <w:tc>
          <w:tcPr>
            <w:tcW w:w="7136" w:type="dxa"/>
            <w:shd w:val="clear" w:color="auto" w:fill="auto"/>
          </w:tcPr>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r w:rsidRPr="006E6AAA">
              <w:rPr>
                <w:rFonts w:ascii="Calibri" w:eastAsia="Times New Roman" w:hAnsi="Calibri" w:cs="Times New Roman"/>
                <w:b/>
                <w:color w:val="000080"/>
                <w:sz w:val="20"/>
                <w:szCs w:val="20"/>
                <w:lang w:eastAsia="da-DK"/>
              </w:rPr>
              <w:t xml:space="preserve">Assess the role of MCs in prosecuting international crimes </w:t>
            </w:r>
          </w:p>
          <w:p w:rsidR="006E6AAA" w:rsidRPr="006E6AAA" w:rsidRDefault="006E6AAA" w:rsidP="006E6AAA">
            <w:pPr>
              <w:numPr>
                <w:ilvl w:val="0"/>
                <w:numId w:val="51"/>
              </w:num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Clarify how international crimes (acts of terrorism, human trafficking and piracy) are handled by the justice system in Somaliland and verify if this typology of crime appears in MCs caseload</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Sensitize judicial staff travelling on MC about available mechanisms to prosecute international crimes and eventually ensure that referral mechanism to competent courts are in place. </w:t>
            </w:r>
          </w:p>
          <w:p w:rsidR="006E6AAA" w:rsidRPr="006E6AAA" w:rsidRDefault="006E6AAA" w:rsidP="006E6AAA">
            <w:pPr>
              <w:numPr>
                <w:ilvl w:val="0"/>
                <w:numId w:val="50"/>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In South Central assess if the MC system that is being piloted in Mogadishu could, in the long term, play a role in the prosecution of war crimes and crimes against humanity</w:t>
            </w:r>
          </w:p>
          <w:p w:rsidR="006E6AAA" w:rsidRPr="006E6AAA" w:rsidRDefault="006E6AAA" w:rsidP="006E6AAA">
            <w:pPr>
              <w:spacing w:after="0" w:line="270" w:lineRule="atLeast"/>
              <w:rPr>
                <w:rFonts w:ascii="Calibri" w:eastAsia="Times New Roman" w:hAnsi="Calibri" w:cs="Times New Roman"/>
                <w:b/>
                <w:color w:val="000080"/>
                <w:sz w:val="20"/>
                <w:szCs w:val="20"/>
                <w:lang w:eastAsia="da-DK"/>
              </w:rPr>
            </w:pPr>
          </w:p>
        </w:tc>
      </w:tr>
    </w:tbl>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autoSpaceDE w:val="0"/>
        <w:autoSpaceDN w:val="0"/>
        <w:adjustRightInd w:val="0"/>
        <w:spacing w:after="0" w:line="240" w:lineRule="auto"/>
        <w:rPr>
          <w:rFonts w:ascii="Calibri" w:eastAsia="Times New Roman" w:hAnsi="Calibri" w:cs="Calibri"/>
          <w:b/>
          <w:color w:val="000080"/>
          <w:sz w:val="28"/>
          <w:szCs w:val="28"/>
          <w:u w:val="single"/>
          <w:lang w:eastAsia="it-IT"/>
        </w:rPr>
      </w:pPr>
      <w:r w:rsidRPr="006E6AAA">
        <w:rPr>
          <w:rFonts w:ascii="Calibri" w:eastAsia="Times New Roman" w:hAnsi="Calibri" w:cs="Calibri"/>
          <w:color w:val="000000"/>
          <w:sz w:val="20"/>
          <w:szCs w:val="24"/>
          <w:lang w:eastAsia="it-IT"/>
        </w:rPr>
        <w:br w:type="page"/>
      </w:r>
      <w:r w:rsidRPr="006E6AAA">
        <w:rPr>
          <w:rFonts w:ascii="Calibri" w:eastAsia="Times New Roman" w:hAnsi="Calibri" w:cs="Calibri"/>
          <w:b/>
          <w:color w:val="000080"/>
          <w:sz w:val="28"/>
          <w:szCs w:val="28"/>
          <w:u w:val="single"/>
          <w:lang w:eastAsia="it-IT"/>
        </w:rPr>
        <w:lastRenderedPageBreak/>
        <w:t>ANNEX 1: Reviewed literature</w:t>
      </w:r>
    </w:p>
    <w:p w:rsidR="006E6AAA" w:rsidRPr="006E6AAA" w:rsidRDefault="006E6AAA" w:rsidP="006E6AAA">
      <w:pPr>
        <w:autoSpaceDE w:val="0"/>
        <w:autoSpaceDN w:val="0"/>
        <w:adjustRightInd w:val="0"/>
        <w:spacing w:after="0" w:line="240" w:lineRule="auto"/>
        <w:rPr>
          <w:rFonts w:ascii="Calibri" w:eastAsia="Times New Roman" w:hAnsi="Calibri" w:cs="Times New Roman"/>
          <w:i/>
          <w:sz w:val="20"/>
          <w:szCs w:val="20"/>
          <w:lang w:eastAsia="da-DK"/>
        </w:rPr>
      </w:pPr>
      <w:r w:rsidRPr="006E6AAA">
        <w:rPr>
          <w:rFonts w:ascii="Calibri" w:eastAsia="Times New Roman" w:hAnsi="Calibri" w:cs="Times New Roman"/>
          <w:i/>
          <w:sz w:val="20"/>
          <w:szCs w:val="20"/>
          <w:lang w:eastAsia="da-DK"/>
        </w:rPr>
        <w:t>Consulted documents are available on the shared folder created on Dropbox for the present evaluation:</w:t>
      </w:r>
    </w:p>
    <w:p w:rsidR="006E6AAA" w:rsidRPr="006E6AAA" w:rsidRDefault="006E6AAA" w:rsidP="006E6AAA">
      <w:pPr>
        <w:spacing w:after="0" w:line="270" w:lineRule="atLeast"/>
        <w:rPr>
          <w:rFonts w:ascii="Calibri" w:eastAsia="Times New Roman" w:hAnsi="Calibri" w:cs="Times New Roman"/>
          <w:i/>
          <w:lang w:eastAsia="da-DK"/>
        </w:rPr>
      </w:pPr>
      <w:hyperlink r:id="rId35" w:history="1">
        <w:r w:rsidRPr="006E6AAA">
          <w:rPr>
            <w:rFonts w:ascii="Calibri" w:eastAsia="Times New Roman" w:hAnsi="Calibri" w:cs="Times New Roman"/>
            <w:i/>
            <w:color w:val="0000FF"/>
            <w:u w:val="single"/>
            <w:lang w:eastAsia="da-DK"/>
          </w:rPr>
          <w:t>https://www.dropbox.com/sh/kn177z4dddfvgyp/AbtqXNN4Ai</w:t>
        </w:r>
      </w:hyperlink>
    </w:p>
    <w:p w:rsidR="006E6AAA" w:rsidRPr="006E6AAA" w:rsidRDefault="006E6AAA" w:rsidP="006E6AAA">
      <w:pPr>
        <w:autoSpaceDE w:val="0"/>
        <w:autoSpaceDN w:val="0"/>
        <w:adjustRightInd w:val="0"/>
        <w:spacing w:after="0" w:line="240" w:lineRule="auto"/>
        <w:rPr>
          <w:rFonts w:ascii="Calibri" w:eastAsia="Times New Roman" w:hAnsi="Calibri" w:cs="Times New Roman"/>
          <w:b/>
          <w:lang w:eastAsia="it-IT"/>
        </w:rPr>
      </w:pPr>
    </w:p>
    <w:p w:rsidR="006E6AAA" w:rsidRPr="006E6AAA" w:rsidRDefault="006E6AAA" w:rsidP="006E6AAA">
      <w:pPr>
        <w:autoSpaceDE w:val="0"/>
        <w:autoSpaceDN w:val="0"/>
        <w:adjustRightInd w:val="0"/>
        <w:spacing w:after="0" w:line="240" w:lineRule="auto"/>
        <w:rPr>
          <w:rFonts w:ascii="Calibri" w:eastAsia="Times New Roman" w:hAnsi="Calibri" w:cs="Times New Roman"/>
          <w:b/>
          <w:i/>
          <w:lang w:val="en-GB" w:eastAsia="it-IT"/>
        </w:rPr>
      </w:pPr>
      <w:r w:rsidRPr="006E6AAA">
        <w:rPr>
          <w:rFonts w:ascii="Calibri" w:eastAsia="Times New Roman" w:hAnsi="Calibri" w:cs="Times New Roman"/>
          <w:b/>
          <w:i/>
          <w:lang w:val="en-GB" w:eastAsia="it-IT"/>
        </w:rPr>
        <w:t>1. Articles</w:t>
      </w:r>
    </w:p>
    <w:p w:rsidR="006E6AAA" w:rsidRPr="006E6AAA" w:rsidRDefault="006E6AAA" w:rsidP="006E6AAA">
      <w:pPr>
        <w:autoSpaceDE w:val="0"/>
        <w:autoSpaceDN w:val="0"/>
        <w:adjustRightInd w:val="0"/>
        <w:spacing w:after="0" w:line="240" w:lineRule="auto"/>
        <w:rPr>
          <w:rFonts w:ascii="Calibri" w:eastAsia="Times New Roman" w:hAnsi="Calibri" w:cs="Times New Roman"/>
          <w:b/>
          <w:lang w:val="en-GB" w:eastAsia="it-IT"/>
        </w:rPr>
      </w:pPr>
    </w:p>
    <w:p w:rsidR="006E6AAA" w:rsidRPr="006E6AAA" w:rsidRDefault="006E6AAA" w:rsidP="006E6AAA">
      <w:pPr>
        <w:numPr>
          <w:ilvl w:val="0"/>
          <w:numId w:val="53"/>
        </w:numPr>
        <w:spacing w:after="0" w:line="240" w:lineRule="auto"/>
        <w:rPr>
          <w:rFonts w:ascii="Calibri" w:eastAsia="Times New Roman" w:hAnsi="Calibri" w:cs="Arial"/>
          <w:lang w:eastAsia="it-IT"/>
        </w:rPr>
      </w:pPr>
      <w:r w:rsidRPr="006E6AAA">
        <w:rPr>
          <w:rFonts w:ascii="Calibri" w:eastAsia="Times New Roman" w:hAnsi="Calibri" w:cs="Arial"/>
          <w:b/>
          <w:lang w:eastAsia="it-IT"/>
        </w:rPr>
        <w:t>Academy for Peace and Development</w:t>
      </w:r>
      <w:r w:rsidRPr="006E6AAA">
        <w:rPr>
          <w:rFonts w:ascii="Calibri" w:eastAsia="Times New Roman" w:hAnsi="Calibri" w:cs="Arial"/>
          <w:lang w:eastAsia="it-IT"/>
        </w:rPr>
        <w:t xml:space="preserve"> “</w:t>
      </w:r>
      <w:r w:rsidRPr="006E6AAA">
        <w:rPr>
          <w:rFonts w:ascii="Calibri" w:eastAsia="Times New Roman" w:hAnsi="Calibri" w:cs="Arial"/>
          <w:i/>
          <w:lang w:eastAsia="it-IT"/>
        </w:rPr>
        <w:t>The Judicial System in Somaliand</w:t>
      </w:r>
      <w:r w:rsidRPr="006E6AAA">
        <w:rPr>
          <w:rFonts w:ascii="Calibri" w:eastAsia="Times New Roman" w:hAnsi="Calibri" w:cs="Arial"/>
          <w:lang w:eastAsia="it-IT"/>
        </w:rPr>
        <w:t>” Akaademiga Nabadda Horumarka 2002</w:t>
      </w:r>
    </w:p>
    <w:p w:rsidR="006E6AAA" w:rsidRPr="006E6AAA" w:rsidRDefault="006E6AAA" w:rsidP="006E6AAA">
      <w:pPr>
        <w:numPr>
          <w:ilvl w:val="0"/>
          <w:numId w:val="53"/>
        </w:numPr>
        <w:spacing w:after="0" w:line="240" w:lineRule="auto"/>
        <w:rPr>
          <w:rFonts w:ascii="Calibri" w:eastAsia="Times New Roman" w:hAnsi="Calibri" w:cs="Times New Roman"/>
          <w:lang w:eastAsia="it-IT"/>
        </w:rPr>
      </w:pPr>
      <w:r w:rsidRPr="006E6AAA">
        <w:rPr>
          <w:rFonts w:ascii="Calibri" w:eastAsia="Times New Roman" w:hAnsi="Calibri" w:cs="Times New Roman"/>
          <w:b/>
          <w:lang w:eastAsia="it-IT"/>
        </w:rPr>
        <w:t>Africa Watch</w:t>
      </w:r>
      <w:r w:rsidRPr="006E6AAA">
        <w:rPr>
          <w:rFonts w:ascii="Calibri" w:eastAsia="Times New Roman" w:hAnsi="Calibri" w:cs="Times New Roman"/>
          <w:lang w:eastAsia="it-IT"/>
        </w:rPr>
        <w:t>,  “</w:t>
      </w:r>
      <w:r w:rsidRPr="006E6AAA">
        <w:rPr>
          <w:rFonts w:ascii="Calibri" w:eastAsia="Times New Roman" w:hAnsi="Calibri" w:cs="Times New Roman"/>
          <w:i/>
          <w:lang w:eastAsia="it-IT"/>
        </w:rPr>
        <w:t>Somalia: a government at war with tits own people. Testimonies about the killings and the conflict in the North</w:t>
      </w:r>
      <w:r w:rsidRPr="006E6AAA">
        <w:rPr>
          <w:rFonts w:ascii="Calibri" w:eastAsia="Times New Roman" w:hAnsi="Calibri" w:cs="Times New Roman"/>
          <w:lang w:eastAsia="it-IT"/>
        </w:rPr>
        <w:t>”, 1990</w:t>
      </w:r>
    </w:p>
    <w:p w:rsidR="006E6AAA" w:rsidRPr="006E6AAA" w:rsidRDefault="006E6AAA" w:rsidP="006E6AAA">
      <w:pPr>
        <w:numPr>
          <w:ilvl w:val="0"/>
          <w:numId w:val="53"/>
        </w:numPr>
        <w:spacing w:after="0" w:line="240" w:lineRule="auto"/>
        <w:rPr>
          <w:rFonts w:ascii="Calibri" w:eastAsia="Arial-BoldMT" w:hAnsi="Calibri" w:cs="ArialMT"/>
          <w:lang w:eastAsia="it-IT"/>
        </w:rPr>
      </w:pPr>
      <w:r w:rsidRPr="006E6AAA">
        <w:rPr>
          <w:rFonts w:ascii="Calibri" w:eastAsia="Times New Roman" w:hAnsi="Calibri" w:cs="Arial"/>
          <w:b/>
          <w:lang w:eastAsia="it-IT"/>
        </w:rPr>
        <w:t>Alejandro Bendaña and Tanja Chopra</w:t>
      </w:r>
      <w:r w:rsidRPr="006E6AAA">
        <w:rPr>
          <w:rFonts w:ascii="Calibri" w:eastAsia="Times New Roman" w:hAnsi="Calibri" w:cs="Arial"/>
          <w:lang w:eastAsia="it-IT"/>
        </w:rPr>
        <w:t xml:space="preserve"> in “</w:t>
      </w:r>
      <w:r w:rsidRPr="006E6AAA">
        <w:rPr>
          <w:rFonts w:ascii="Calibri" w:eastAsia="Times New Roman" w:hAnsi="Calibri" w:cs="Arial"/>
          <w:i/>
          <w:lang w:eastAsia="it-IT"/>
        </w:rPr>
        <w:t>Women's Rights, State Centric Rule of Law, and Legal Pluralism in Somaliland</w:t>
      </w:r>
      <w:r w:rsidRPr="006E6AAA">
        <w:rPr>
          <w:rFonts w:ascii="Calibri" w:eastAsia="Times New Roman" w:hAnsi="Calibri" w:cs="Arial"/>
          <w:lang w:eastAsia="it-IT"/>
        </w:rPr>
        <w:t>”</w:t>
      </w:r>
      <w:r w:rsidRPr="006E6AAA">
        <w:rPr>
          <w:rFonts w:ascii="Calibri" w:eastAsia="Times New Roman" w:hAnsi="Calibri" w:cs="Arial"/>
          <w:sz w:val="23"/>
          <w:lang w:eastAsia="it-IT"/>
        </w:rPr>
        <w:t xml:space="preserve"> </w:t>
      </w:r>
      <w:r w:rsidRPr="006E6AAA">
        <w:rPr>
          <w:rFonts w:ascii="Calibri" w:eastAsia="Times New Roman" w:hAnsi="Calibri" w:cs="Arial"/>
          <w:lang w:eastAsia="it-IT"/>
        </w:rPr>
        <w:t>Hague</w:t>
      </w:r>
      <w:r w:rsidRPr="006E6AAA">
        <w:rPr>
          <w:rFonts w:ascii="Calibri" w:eastAsia="Arial-BoldMT" w:hAnsi="Calibri" w:cs="ArialMT"/>
          <w:lang w:eastAsia="it-IT"/>
        </w:rPr>
        <w:t xml:space="preserve"> Journal on the Rule of Law / Volume 5 / Issue 01 / March 2013.</w:t>
      </w:r>
    </w:p>
    <w:p w:rsidR="006E6AAA" w:rsidRPr="006E6AAA" w:rsidRDefault="006E6AAA" w:rsidP="006E6AAA">
      <w:pPr>
        <w:numPr>
          <w:ilvl w:val="0"/>
          <w:numId w:val="53"/>
        </w:numPr>
        <w:spacing w:after="0" w:line="240" w:lineRule="auto"/>
        <w:rPr>
          <w:rFonts w:ascii="Calibri" w:eastAsia="Times New Roman" w:hAnsi="Calibri" w:cs="Times New Roman"/>
          <w:bCs/>
          <w:lang w:eastAsia="da-DK"/>
        </w:rPr>
      </w:pPr>
      <w:r w:rsidRPr="006E6AAA">
        <w:rPr>
          <w:rFonts w:ascii="Calibri" w:eastAsia="Times New Roman" w:hAnsi="Calibri" w:cs="Times New Roman"/>
          <w:b/>
          <w:bCs/>
          <w:lang w:val="en-GB" w:eastAsia="da-DK"/>
        </w:rPr>
        <w:t>C</w:t>
      </w:r>
      <w:r w:rsidRPr="006E6AAA">
        <w:rPr>
          <w:rFonts w:ascii="Calibri" w:eastAsia="Times New Roman" w:hAnsi="Calibri" w:cs="Times New Roman"/>
          <w:b/>
          <w:bCs/>
          <w:lang w:eastAsia="da-DK"/>
        </w:rPr>
        <w:t>entre for humanitarian dialogue</w:t>
      </w:r>
      <w:r w:rsidRPr="006E6AAA">
        <w:rPr>
          <w:rFonts w:ascii="Calibri" w:eastAsia="Times New Roman" w:hAnsi="Calibri" w:cs="Times New Roman"/>
          <w:bCs/>
          <w:lang w:eastAsia="da-DK"/>
        </w:rPr>
        <w:t>, « S</w:t>
      </w:r>
      <w:r w:rsidRPr="006E6AAA">
        <w:rPr>
          <w:rFonts w:ascii="Calibri" w:eastAsia="Times New Roman" w:hAnsi="Calibri" w:cs="Times New Roman"/>
          <w:bCs/>
          <w:i/>
          <w:lang w:eastAsia="da-DK"/>
        </w:rPr>
        <w:t>tateless justice in Somalia: formal and informal rule of law initiatives </w:t>
      </w:r>
      <w:r w:rsidRPr="006E6AAA">
        <w:rPr>
          <w:rFonts w:ascii="Calibri" w:eastAsia="Times New Roman" w:hAnsi="Calibri" w:cs="Times New Roman"/>
          <w:bCs/>
          <w:lang w:eastAsia="da-DK"/>
        </w:rPr>
        <w:t xml:space="preserve">»,  Andre Le Sage, </w:t>
      </w:r>
      <w:r w:rsidRPr="006E6AAA">
        <w:rPr>
          <w:rFonts w:ascii="Calibri" w:eastAsia="Times New Roman" w:hAnsi="Calibri" w:cs="Times New Roman"/>
          <w:lang w:val="en-GB" w:eastAsia="da-DK"/>
        </w:rPr>
        <w:t xml:space="preserve">2005 </w:t>
      </w:r>
    </w:p>
    <w:p w:rsidR="006E6AAA" w:rsidRPr="006E6AAA" w:rsidRDefault="006E6AAA" w:rsidP="006E6AAA">
      <w:pPr>
        <w:widowControl w:val="0"/>
        <w:numPr>
          <w:ilvl w:val="0"/>
          <w:numId w:val="53"/>
        </w:numPr>
        <w:shd w:val="clear" w:color="auto" w:fill="FFFFFF"/>
        <w:autoSpaceDE w:val="0"/>
        <w:autoSpaceDN w:val="0"/>
        <w:adjustRightInd w:val="0"/>
        <w:spacing w:after="0" w:line="240" w:lineRule="auto"/>
        <w:ind w:right="432"/>
        <w:rPr>
          <w:rFonts w:ascii="Calibri" w:eastAsia="Times New Roman" w:hAnsi="Calibri" w:cs="Verdana"/>
          <w:lang w:eastAsia="it-IT"/>
        </w:rPr>
      </w:pPr>
      <w:r w:rsidRPr="006E6AAA">
        <w:rPr>
          <w:rFonts w:ascii="Calibri" w:eastAsia="Times New Roman" w:hAnsi="Calibri" w:cs="Verdana"/>
          <w:b/>
          <w:sz w:val="23"/>
          <w:lang w:eastAsia="it-IT"/>
        </w:rPr>
        <w:t>Human Rights W</w:t>
      </w:r>
      <w:r w:rsidRPr="006E6AAA">
        <w:rPr>
          <w:rFonts w:ascii="Calibri" w:eastAsia="Times New Roman" w:hAnsi="Calibri" w:cs="Verdana"/>
          <w:b/>
          <w:lang w:eastAsia="it-IT"/>
        </w:rPr>
        <w:t>atch</w:t>
      </w:r>
      <w:r w:rsidRPr="006E6AAA">
        <w:rPr>
          <w:rFonts w:ascii="Calibri" w:eastAsia="Times New Roman" w:hAnsi="Calibri" w:cs="Verdana"/>
          <w:lang w:eastAsia="it-IT"/>
        </w:rPr>
        <w:t xml:space="preserve">, </w:t>
      </w:r>
      <w:r w:rsidRPr="006E6AAA">
        <w:rPr>
          <w:rFonts w:ascii="Calibri" w:eastAsia="Times New Roman" w:hAnsi="Calibri" w:cs="Verdana"/>
          <w:sz w:val="23"/>
          <w:lang w:eastAsia="it-IT"/>
        </w:rPr>
        <w:t>“</w:t>
      </w:r>
      <w:r w:rsidRPr="006E6AAA">
        <w:rPr>
          <w:rFonts w:ascii="Calibri" w:eastAsia="Times New Roman" w:hAnsi="Calibri" w:cs="Verdana"/>
          <w:i/>
          <w:lang w:eastAsia="it-IT"/>
        </w:rPr>
        <w:t>Hostages of the gatekeepers. Abuses against Internally Displaced in Mogadishu, Somalia</w:t>
      </w:r>
      <w:r w:rsidRPr="006E6AAA">
        <w:rPr>
          <w:rFonts w:ascii="Calibri" w:eastAsia="Times New Roman" w:hAnsi="Calibri" w:cs="Verdana"/>
          <w:sz w:val="23"/>
          <w:lang w:eastAsia="it-IT"/>
        </w:rPr>
        <w:t>”, 2013</w:t>
      </w:r>
    </w:p>
    <w:p w:rsidR="006E6AAA" w:rsidRPr="006E6AAA" w:rsidRDefault="006E6AAA" w:rsidP="006E6AAA">
      <w:pPr>
        <w:numPr>
          <w:ilvl w:val="0"/>
          <w:numId w:val="53"/>
        </w:numPr>
        <w:spacing w:after="0" w:line="240" w:lineRule="auto"/>
        <w:rPr>
          <w:rFonts w:ascii="Calibri" w:eastAsia="Times New Roman" w:hAnsi="Calibri" w:cs="Arial"/>
          <w:lang w:val="en-GB" w:eastAsia="da-DK"/>
        </w:rPr>
      </w:pPr>
      <w:r w:rsidRPr="006E6AAA">
        <w:rPr>
          <w:rFonts w:ascii="Calibri" w:eastAsia="Times New Roman" w:hAnsi="Calibri" w:cs="Arial"/>
          <w:b/>
          <w:lang w:val="en-GB" w:eastAsia="da-DK"/>
        </w:rPr>
        <w:t>Hussein Mohamed Farah</w:t>
      </w:r>
      <w:r w:rsidRPr="006E6AAA">
        <w:rPr>
          <w:rFonts w:ascii="Calibri" w:eastAsia="Times New Roman" w:hAnsi="Calibri" w:cs="Arial"/>
          <w:sz w:val="23"/>
          <w:lang w:val="en-GB" w:eastAsia="da-DK"/>
        </w:rPr>
        <w:t>, “</w:t>
      </w:r>
      <w:r w:rsidRPr="006E6AAA">
        <w:rPr>
          <w:rFonts w:ascii="Calibri" w:eastAsia="Times New Roman" w:hAnsi="Calibri" w:cs="Arial"/>
          <w:i/>
          <w:sz w:val="23"/>
          <w:lang w:val="en-GB" w:eastAsia="da-DK"/>
        </w:rPr>
        <w:t>Baseline assessment of the Somaliland Judiciary</w:t>
      </w:r>
      <w:r w:rsidRPr="006E6AAA">
        <w:rPr>
          <w:rFonts w:ascii="Calibri" w:eastAsia="Times New Roman" w:hAnsi="Calibri" w:cs="Arial"/>
          <w:sz w:val="23"/>
          <w:lang w:val="en-GB" w:eastAsia="da-DK"/>
        </w:rPr>
        <w:t>”</w:t>
      </w:r>
      <w:r w:rsidRPr="006E6AAA">
        <w:rPr>
          <w:rFonts w:ascii="Calibri" w:eastAsia="Times New Roman" w:hAnsi="Calibri" w:cs="Arial"/>
          <w:lang w:val="en-GB" w:eastAsia="da-DK"/>
        </w:rPr>
        <w:t>, unknown year</w:t>
      </w:r>
    </w:p>
    <w:p w:rsidR="006E6AAA" w:rsidRPr="006E6AAA" w:rsidRDefault="006E6AAA" w:rsidP="006E6AAA">
      <w:pPr>
        <w:numPr>
          <w:ilvl w:val="0"/>
          <w:numId w:val="53"/>
        </w:numPr>
        <w:autoSpaceDE w:val="0"/>
        <w:autoSpaceDN w:val="0"/>
        <w:adjustRightInd w:val="0"/>
        <w:spacing w:after="0" w:line="240" w:lineRule="auto"/>
        <w:rPr>
          <w:rFonts w:ascii="Calibri" w:eastAsia="Times New Roman" w:hAnsi="Calibri" w:cs="Verdana"/>
          <w:lang w:eastAsia="it-IT"/>
        </w:rPr>
      </w:pPr>
      <w:r w:rsidRPr="006E6AAA">
        <w:rPr>
          <w:rFonts w:ascii="Calibri" w:eastAsia="Times New Roman" w:hAnsi="Calibri" w:cs="Verdana"/>
          <w:b/>
          <w:lang w:eastAsia="it-IT"/>
        </w:rPr>
        <w:t>IDLO,</w:t>
      </w:r>
      <w:r w:rsidRPr="006E6AAA">
        <w:rPr>
          <w:rFonts w:ascii="Calibri" w:eastAsia="Times New Roman" w:hAnsi="Calibri" w:cs="Verdana"/>
          <w:sz w:val="23"/>
          <w:lang w:eastAsia="it-IT"/>
        </w:rPr>
        <w:t xml:space="preserve"> “</w:t>
      </w:r>
      <w:r w:rsidRPr="006E6AAA">
        <w:rPr>
          <w:rFonts w:ascii="Calibri" w:eastAsia="Times New Roman" w:hAnsi="Calibri" w:cs="Verdana"/>
          <w:i/>
          <w:lang w:eastAsia="it-IT"/>
        </w:rPr>
        <w:t>Evaluating the Effectiveness of Legal Empowerment</w:t>
      </w:r>
      <w:r w:rsidRPr="006E6AAA">
        <w:rPr>
          <w:rFonts w:ascii="Calibri" w:eastAsia="Times New Roman" w:hAnsi="Calibri" w:cs="Verdana"/>
          <w:i/>
          <w:sz w:val="23"/>
          <w:lang w:eastAsia="it-IT"/>
        </w:rPr>
        <w:t xml:space="preserve"> </w:t>
      </w:r>
      <w:r w:rsidRPr="006E6AAA">
        <w:rPr>
          <w:rFonts w:ascii="Calibri" w:eastAsia="Times New Roman" w:hAnsi="Calibri" w:cs="Verdana"/>
          <w:i/>
          <w:lang w:eastAsia="it-IT"/>
        </w:rPr>
        <w:t>Approaches to Customary Law Reform in Somaliland and</w:t>
      </w:r>
      <w:r w:rsidRPr="006E6AAA">
        <w:rPr>
          <w:rFonts w:ascii="Calibri" w:eastAsia="Times New Roman" w:hAnsi="Calibri" w:cs="Verdana"/>
          <w:i/>
          <w:sz w:val="23"/>
          <w:lang w:eastAsia="it-IT"/>
        </w:rPr>
        <w:t xml:space="preserve"> </w:t>
      </w:r>
      <w:r w:rsidRPr="006E6AAA">
        <w:rPr>
          <w:rFonts w:ascii="Calibri" w:eastAsia="Times New Roman" w:hAnsi="Calibri" w:cs="Verdana"/>
          <w:i/>
          <w:lang w:eastAsia="it-IT"/>
        </w:rPr>
        <w:t>Puntland</w:t>
      </w:r>
      <w:r w:rsidRPr="006E6AAA">
        <w:rPr>
          <w:rFonts w:ascii="Calibri" w:eastAsia="Times New Roman" w:hAnsi="Calibri" w:cs="Verdana"/>
          <w:sz w:val="23"/>
          <w:lang w:eastAsia="it-IT"/>
        </w:rPr>
        <w:t>”</w:t>
      </w:r>
      <w:r w:rsidRPr="006E6AAA">
        <w:rPr>
          <w:rFonts w:ascii="Calibri" w:eastAsia="Times New Roman" w:hAnsi="Calibri" w:cs="Verdana"/>
          <w:lang w:eastAsia="it-IT"/>
        </w:rPr>
        <w:t>, unknown year</w:t>
      </w:r>
    </w:p>
    <w:p w:rsidR="006E6AAA" w:rsidRPr="006E6AAA" w:rsidRDefault="006E6AAA" w:rsidP="006E6AAA">
      <w:pPr>
        <w:numPr>
          <w:ilvl w:val="0"/>
          <w:numId w:val="53"/>
        </w:numPr>
        <w:autoSpaceDE w:val="0"/>
        <w:autoSpaceDN w:val="0"/>
        <w:adjustRightInd w:val="0"/>
        <w:spacing w:after="0" w:line="240" w:lineRule="auto"/>
        <w:rPr>
          <w:rFonts w:ascii="Calibri" w:eastAsia="Times New Roman" w:hAnsi="Calibri" w:cs="HelveticaNeueLTStd-Hv"/>
          <w:i/>
          <w:lang w:eastAsia="it-IT"/>
        </w:rPr>
      </w:pPr>
      <w:r w:rsidRPr="006E6AAA">
        <w:rPr>
          <w:rFonts w:ascii="Calibri" w:eastAsia="Times New Roman" w:hAnsi="Calibri" w:cs="BaskervilleBT-Italic"/>
          <w:b/>
          <w:iCs/>
          <w:lang w:eastAsia="it-IT"/>
        </w:rPr>
        <w:t>Margherita Zuin</w:t>
      </w:r>
      <w:r w:rsidRPr="006E6AAA">
        <w:rPr>
          <w:rFonts w:ascii="Calibri" w:eastAsia="Times New Roman" w:hAnsi="Calibri" w:cs="BaskervilleBT-Italic"/>
          <w:iCs/>
          <w:lang w:eastAsia="it-IT"/>
        </w:rPr>
        <w:t>,</w:t>
      </w:r>
      <w:r w:rsidRPr="006E6AAA">
        <w:rPr>
          <w:rFonts w:ascii="Calibri" w:eastAsia="Times New Roman" w:hAnsi="Calibri" w:cs="BaskervilleBT-Italic"/>
          <w:i/>
          <w:iCs/>
          <w:lang w:eastAsia="it-IT"/>
        </w:rPr>
        <w:t xml:space="preserve"> </w:t>
      </w:r>
      <w:r w:rsidRPr="006E6AAA">
        <w:rPr>
          <w:rFonts w:ascii="Calibri" w:eastAsia="Times New Roman" w:hAnsi="Calibri" w:cs="BaskervilleBT-Italic"/>
          <w:i/>
          <w:iCs/>
          <w:sz w:val="23"/>
          <w:lang w:eastAsia="it-IT"/>
        </w:rPr>
        <w:t>“</w:t>
      </w:r>
      <w:r w:rsidRPr="006E6AAA">
        <w:rPr>
          <w:rFonts w:ascii="Calibri" w:eastAsia="Times New Roman" w:hAnsi="Calibri" w:cs="HelveticaNeueLTStd-Hv"/>
          <w:i/>
          <w:lang w:eastAsia="it-IT"/>
        </w:rPr>
        <w:t>A Model of Transitional</w:t>
      </w:r>
      <w:r w:rsidRPr="006E6AAA">
        <w:rPr>
          <w:rFonts w:ascii="Calibri" w:eastAsia="Times New Roman" w:hAnsi="Calibri" w:cs="HelveticaNeueLTStd-Hv"/>
          <w:i/>
          <w:sz w:val="23"/>
          <w:lang w:eastAsia="it-IT"/>
        </w:rPr>
        <w:t xml:space="preserve"> </w:t>
      </w:r>
      <w:r w:rsidRPr="006E6AAA">
        <w:rPr>
          <w:rFonts w:ascii="Calibri" w:eastAsia="Times New Roman" w:hAnsi="Calibri" w:cs="HelveticaNeueLTStd-Hv"/>
          <w:i/>
          <w:lang w:eastAsia="it-IT"/>
        </w:rPr>
        <w:t>Justice for Somalia</w:t>
      </w:r>
      <w:r w:rsidRPr="006E6AAA">
        <w:rPr>
          <w:rFonts w:ascii="Calibri" w:eastAsia="Times New Roman" w:hAnsi="Calibri" w:cs="HelveticaNeueLTStd-Hv"/>
          <w:sz w:val="23"/>
          <w:lang w:eastAsia="it-IT"/>
        </w:rPr>
        <w:t xml:space="preserve">”, </w:t>
      </w:r>
      <w:r w:rsidRPr="006E6AAA">
        <w:rPr>
          <w:rFonts w:ascii="Calibri" w:eastAsia="Times New Roman" w:hAnsi="Calibri" w:cs="BaskervilleBT-Italic"/>
          <w:iCs/>
          <w:lang w:eastAsia="it-IT"/>
        </w:rPr>
        <w:t>Fletcher Journal of Human Security, 2008</w:t>
      </w:r>
    </w:p>
    <w:p w:rsidR="006E6AAA" w:rsidRPr="006E6AAA" w:rsidRDefault="006E6AAA" w:rsidP="006E6AAA">
      <w:pPr>
        <w:numPr>
          <w:ilvl w:val="0"/>
          <w:numId w:val="53"/>
        </w:numPr>
        <w:autoSpaceDE w:val="0"/>
        <w:autoSpaceDN w:val="0"/>
        <w:adjustRightInd w:val="0"/>
        <w:spacing w:after="0" w:line="240" w:lineRule="auto"/>
        <w:rPr>
          <w:rFonts w:ascii="Calibri" w:eastAsia="Times New Roman" w:hAnsi="Calibri" w:cs="Times-Bold"/>
          <w:bCs/>
          <w:lang w:eastAsia="it-IT"/>
        </w:rPr>
      </w:pPr>
      <w:r w:rsidRPr="006E6AAA">
        <w:rPr>
          <w:rFonts w:ascii="Calibri" w:eastAsia="Times New Roman" w:hAnsi="Calibri" w:cs="Times-Roman"/>
          <w:b/>
          <w:lang w:eastAsia="it-IT"/>
        </w:rPr>
        <w:t xml:space="preserve">Michael Van Notten </w:t>
      </w:r>
      <w:r w:rsidRPr="006E6AAA">
        <w:rPr>
          <w:rFonts w:ascii="Calibri" w:eastAsia="Times New Roman" w:hAnsi="Calibri" w:cs="Times-Roman"/>
          <w:b/>
          <w:sz w:val="23"/>
          <w:lang w:eastAsia="it-IT"/>
        </w:rPr>
        <w:t>“</w:t>
      </w:r>
      <w:r w:rsidRPr="006E6AAA">
        <w:rPr>
          <w:rFonts w:ascii="Calibri" w:eastAsia="Times New Roman" w:hAnsi="Calibri" w:cs="Times-Bold"/>
          <w:bCs/>
          <w:i/>
          <w:lang w:eastAsia="it-IT"/>
        </w:rPr>
        <w:t>The Somali Legal System</w:t>
      </w:r>
      <w:r w:rsidRPr="006E6AAA">
        <w:rPr>
          <w:rFonts w:ascii="Calibri" w:eastAsia="Times New Roman" w:hAnsi="Calibri" w:cs="Times-Bold"/>
          <w:bCs/>
          <w:sz w:val="23"/>
          <w:lang w:eastAsia="it-IT"/>
        </w:rPr>
        <w:t xml:space="preserve">” </w:t>
      </w:r>
      <w:r w:rsidRPr="006E6AAA">
        <w:rPr>
          <w:rFonts w:ascii="Calibri" w:eastAsia="Times New Roman" w:hAnsi="Calibri" w:cs="Times-Roman"/>
          <w:lang w:eastAsia="it-IT"/>
        </w:rPr>
        <w:t xml:space="preserve">in </w:t>
      </w:r>
      <w:r w:rsidRPr="006E6AAA">
        <w:rPr>
          <w:rFonts w:ascii="Calibri" w:eastAsia="Times New Roman" w:hAnsi="Calibri" w:cs="Arial"/>
          <w:lang w:val="en" w:eastAsia="da-DK"/>
        </w:rPr>
        <w:t xml:space="preserve">The Law of </w:t>
      </w:r>
      <w:r w:rsidRPr="006E6AAA">
        <w:rPr>
          <w:rFonts w:ascii="Calibri" w:eastAsia="Times New Roman" w:hAnsi="Calibri" w:cs="Arial"/>
          <w:bCs/>
          <w:lang w:val="en" w:eastAsia="da-DK"/>
        </w:rPr>
        <w:t>the Somalis</w:t>
      </w:r>
      <w:r w:rsidRPr="006E6AAA">
        <w:rPr>
          <w:rFonts w:ascii="Calibri" w:eastAsia="Times New Roman" w:hAnsi="Calibri" w:cs="Arial"/>
          <w:sz w:val="23"/>
          <w:lang w:val="en" w:eastAsia="da-DK"/>
        </w:rPr>
        <w:t xml:space="preserve">, Red Sea Press, </w:t>
      </w:r>
      <w:r w:rsidRPr="006E6AAA">
        <w:rPr>
          <w:rFonts w:ascii="Calibri" w:eastAsia="Times New Roman" w:hAnsi="Calibri" w:cs="Arial"/>
          <w:lang w:val="en" w:eastAsia="da-DK"/>
        </w:rPr>
        <w:t xml:space="preserve"> 2005</w:t>
      </w:r>
    </w:p>
    <w:p w:rsidR="006E6AAA" w:rsidRPr="006E6AAA" w:rsidRDefault="006E6AAA" w:rsidP="006E6AAA">
      <w:pPr>
        <w:numPr>
          <w:ilvl w:val="0"/>
          <w:numId w:val="53"/>
        </w:numPr>
        <w:autoSpaceDE w:val="0"/>
        <w:autoSpaceDN w:val="0"/>
        <w:adjustRightInd w:val="0"/>
        <w:spacing w:after="0" w:line="240" w:lineRule="auto"/>
        <w:rPr>
          <w:rFonts w:ascii="Calibri" w:eastAsia="Times New Roman" w:hAnsi="Calibri" w:cs="HelveticaNeueLTCom-Bd"/>
          <w:bCs/>
          <w:lang w:eastAsia="it-IT"/>
        </w:rPr>
      </w:pPr>
      <w:r w:rsidRPr="006E6AAA">
        <w:rPr>
          <w:rFonts w:ascii="Calibri" w:eastAsia="Times New Roman" w:hAnsi="Calibri" w:cs="HelveticaNeueLTCom-Md"/>
          <w:b/>
          <w:lang w:eastAsia="it-IT"/>
        </w:rPr>
        <w:t>Minority Rights Group</w:t>
      </w:r>
      <w:r w:rsidRPr="006E6AAA">
        <w:rPr>
          <w:rFonts w:ascii="Calibri" w:eastAsia="Times New Roman" w:hAnsi="Calibri" w:cs="HelveticaNeueLTCom-Bd"/>
          <w:bCs/>
          <w:sz w:val="23"/>
          <w:lang w:eastAsia="it-IT"/>
        </w:rPr>
        <w:t xml:space="preserve"> “</w:t>
      </w:r>
      <w:r w:rsidRPr="006E6AAA">
        <w:rPr>
          <w:rFonts w:ascii="Calibri" w:eastAsia="Times New Roman" w:hAnsi="Calibri" w:cs="HelveticaNeueLTCom-Bd"/>
          <w:bCs/>
          <w:i/>
          <w:lang w:eastAsia="it-IT"/>
        </w:rPr>
        <w:t>No redress: Somalia’s forgotten minorities</w:t>
      </w:r>
      <w:r w:rsidRPr="006E6AAA">
        <w:rPr>
          <w:rFonts w:ascii="Calibri" w:eastAsia="Times New Roman" w:hAnsi="Calibri" w:cs="HelveticaNeueLTCom-Bd"/>
          <w:bCs/>
          <w:sz w:val="23"/>
          <w:lang w:eastAsia="it-IT"/>
        </w:rPr>
        <w:t xml:space="preserve">”, </w:t>
      </w:r>
      <w:r w:rsidRPr="006E6AAA">
        <w:rPr>
          <w:rFonts w:ascii="Calibri" w:eastAsia="Times New Roman" w:hAnsi="Calibri" w:cs="HelveticaNeueLTCom-Bd"/>
          <w:bCs/>
          <w:lang w:eastAsia="it-IT"/>
        </w:rPr>
        <w:t>Martin Hill</w:t>
      </w:r>
      <w:r w:rsidRPr="006E6AAA">
        <w:rPr>
          <w:rFonts w:ascii="Calibri" w:eastAsia="Times New Roman" w:hAnsi="Calibri" w:cs="HelveticaNeueLTCom-Md"/>
          <w:lang w:eastAsia="it-IT"/>
        </w:rPr>
        <w:t>, 2010</w:t>
      </w:r>
    </w:p>
    <w:p w:rsidR="006E6AAA" w:rsidRPr="006E6AAA" w:rsidRDefault="006E6AAA" w:rsidP="006E6AAA">
      <w:pPr>
        <w:widowControl w:val="0"/>
        <w:numPr>
          <w:ilvl w:val="0"/>
          <w:numId w:val="53"/>
        </w:numPr>
        <w:autoSpaceDE w:val="0"/>
        <w:autoSpaceDN w:val="0"/>
        <w:adjustRightInd w:val="0"/>
        <w:spacing w:after="0" w:line="240" w:lineRule="auto"/>
        <w:ind w:right="432"/>
        <w:rPr>
          <w:rFonts w:ascii="Calibri" w:eastAsia="Times New Roman" w:hAnsi="Calibri" w:cs="Calibri"/>
          <w:lang w:val="en-GB" w:eastAsia="da-DK"/>
        </w:rPr>
      </w:pPr>
      <w:r w:rsidRPr="006E6AAA">
        <w:rPr>
          <w:rFonts w:ascii="Calibri" w:eastAsia="Times New Roman" w:hAnsi="Calibri" w:cs="Times New Roman"/>
          <w:b/>
          <w:bCs/>
          <w:lang w:eastAsia="da-DK"/>
        </w:rPr>
        <w:t>Report of the Independent Expert on the situation of human rights in Somalia</w:t>
      </w:r>
      <w:r w:rsidRPr="006E6AAA">
        <w:rPr>
          <w:rFonts w:ascii="Calibri" w:eastAsia="Times New Roman" w:hAnsi="Calibri" w:cs="Times New Roman"/>
          <w:bCs/>
          <w:lang w:eastAsia="da-DK"/>
        </w:rPr>
        <w:t>, Shamsul Bari, August 2012</w:t>
      </w:r>
    </w:p>
    <w:p w:rsidR="006E6AAA" w:rsidRPr="006E6AAA" w:rsidRDefault="006E6AAA" w:rsidP="006E6AAA">
      <w:pPr>
        <w:numPr>
          <w:ilvl w:val="0"/>
          <w:numId w:val="53"/>
        </w:numPr>
        <w:spacing w:after="0" w:line="24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UNDOS</w:t>
      </w:r>
      <w:r w:rsidRPr="006E6AAA">
        <w:rPr>
          <w:rFonts w:ascii="Calibri" w:eastAsia="Times New Roman" w:hAnsi="Calibri" w:cs="Times New Roman"/>
          <w:b/>
          <w:sz w:val="23"/>
          <w:lang w:val="en-GB" w:eastAsia="da-DK"/>
        </w:rPr>
        <w:t xml:space="preserve"> </w:t>
      </w:r>
      <w:r w:rsidRPr="006E6AAA">
        <w:rPr>
          <w:rFonts w:ascii="Calibri" w:eastAsia="Times New Roman" w:hAnsi="Calibri" w:cs="Times New Roman"/>
          <w:sz w:val="23"/>
          <w:lang w:val="en-GB" w:eastAsia="da-DK"/>
        </w:rPr>
        <w:t xml:space="preserve">“Assessment of the judiciary system of Somaliland”, </w:t>
      </w:r>
      <w:r w:rsidRPr="006E6AAA">
        <w:rPr>
          <w:rFonts w:ascii="Calibri" w:eastAsia="Times New Roman" w:hAnsi="Calibri" w:cs="Times New Roman"/>
          <w:lang w:val="en-GB" w:eastAsia="da-DK"/>
        </w:rPr>
        <w:t>October 1999</w:t>
      </w:r>
    </w:p>
    <w:p w:rsidR="006E6AAA" w:rsidRPr="006E6AAA" w:rsidRDefault="006E6AAA" w:rsidP="006E6AAA">
      <w:pPr>
        <w:numPr>
          <w:ilvl w:val="0"/>
          <w:numId w:val="53"/>
        </w:numPr>
        <w:spacing w:after="0" w:line="240" w:lineRule="auto"/>
        <w:rPr>
          <w:rFonts w:ascii="Calibri" w:eastAsia="Calibri" w:hAnsi="Calibri" w:cs="Times New Roman"/>
        </w:rPr>
      </w:pPr>
      <w:r w:rsidRPr="006E6AAA">
        <w:rPr>
          <w:rFonts w:ascii="Calibri" w:eastAsia="Calibri" w:hAnsi="Calibri" w:cs="Times New Roman"/>
          <w:b/>
        </w:rPr>
        <w:t>UNDP</w:t>
      </w:r>
      <w:r w:rsidRPr="006E6AAA">
        <w:rPr>
          <w:rFonts w:ascii="Calibri" w:eastAsia="Calibri" w:hAnsi="Calibri" w:cs="Times New Roman"/>
        </w:rPr>
        <w:t>, “</w:t>
      </w:r>
      <w:r w:rsidRPr="006E6AAA">
        <w:rPr>
          <w:rFonts w:ascii="Calibri" w:eastAsia="Calibri" w:hAnsi="Calibri" w:cs="Times New Roman"/>
          <w:i/>
        </w:rPr>
        <w:t>empowering rural communities through access: assessing the mobile courts in Somalia and the lessons learned from DRC, Indonesia and Timor</w:t>
      </w:r>
      <w:r w:rsidRPr="006E6AAA">
        <w:rPr>
          <w:rFonts w:ascii="Calibri" w:eastAsia="Calibri" w:hAnsi="Calibri" w:cs="Times New Roman"/>
        </w:rPr>
        <w:t>” 2013</w:t>
      </w:r>
    </w:p>
    <w:p w:rsidR="006E6AAA" w:rsidRPr="006E6AAA" w:rsidRDefault="006E6AAA" w:rsidP="006E6AAA">
      <w:pPr>
        <w:widowControl w:val="0"/>
        <w:numPr>
          <w:ilvl w:val="0"/>
          <w:numId w:val="53"/>
        </w:numPr>
        <w:shd w:val="clear" w:color="auto" w:fill="FFFFFF"/>
        <w:autoSpaceDE w:val="0"/>
        <w:autoSpaceDN w:val="0"/>
        <w:adjustRightInd w:val="0"/>
        <w:spacing w:after="0" w:line="240" w:lineRule="auto"/>
        <w:ind w:right="432"/>
        <w:rPr>
          <w:rFonts w:ascii="Calibri" w:eastAsia="Times New Roman" w:hAnsi="Calibri" w:cs="Calibri"/>
          <w:bCs/>
          <w:lang w:val="en-GB" w:eastAsia="da-DK" w:bidi="he-IL"/>
        </w:rPr>
      </w:pPr>
      <w:r w:rsidRPr="006E6AAA">
        <w:rPr>
          <w:rFonts w:ascii="Calibri" w:eastAsia="Times New Roman" w:hAnsi="Calibri" w:cs="Calibri"/>
          <w:b/>
          <w:lang w:val="en-GB" w:eastAsia="da-DK"/>
        </w:rPr>
        <w:t>University of Hargeisa</w:t>
      </w:r>
      <w:r w:rsidRPr="006E6AAA">
        <w:rPr>
          <w:rFonts w:ascii="Calibri" w:eastAsia="Times New Roman" w:hAnsi="Calibri" w:cs="Calibri"/>
          <w:bCs/>
          <w:sz w:val="23"/>
          <w:lang w:val="en-GB" w:eastAsia="da-DK" w:bidi="he-IL"/>
        </w:rPr>
        <w:t xml:space="preserve"> </w:t>
      </w:r>
      <w:r w:rsidRPr="006E6AAA">
        <w:rPr>
          <w:rFonts w:ascii="Calibri" w:eastAsia="Times New Roman" w:hAnsi="Calibri" w:cs="Calibri"/>
          <w:sz w:val="23"/>
          <w:lang w:val="en-GB" w:eastAsia="da-DK"/>
        </w:rPr>
        <w:t xml:space="preserve">with support from </w:t>
      </w:r>
      <w:r w:rsidRPr="006E6AAA">
        <w:rPr>
          <w:rFonts w:ascii="Calibri" w:eastAsia="Times New Roman" w:hAnsi="Calibri" w:cs="Calibri"/>
          <w:lang w:val="en-GB" w:eastAsia="da-DK"/>
        </w:rPr>
        <w:t>UNDP</w:t>
      </w:r>
      <w:r w:rsidRPr="006E6AAA">
        <w:rPr>
          <w:rFonts w:ascii="Calibri" w:eastAsia="Times New Roman" w:hAnsi="Calibri" w:cs="Calibri"/>
          <w:sz w:val="23"/>
          <w:lang w:val="en-GB" w:eastAsia="da-DK"/>
        </w:rPr>
        <w:t>, “</w:t>
      </w:r>
      <w:r w:rsidRPr="006E6AAA">
        <w:rPr>
          <w:rFonts w:ascii="Calibri" w:eastAsia="Times New Roman" w:hAnsi="Calibri" w:cs="Calibri"/>
          <w:bCs/>
          <w:i/>
          <w:lang w:val="en-GB" w:eastAsia="da-DK" w:bidi="he-IL"/>
        </w:rPr>
        <w:t>Strengthening the Quality and Scope of Justice Provi</w:t>
      </w:r>
      <w:r w:rsidRPr="006E6AAA">
        <w:rPr>
          <w:rFonts w:ascii="Calibri" w:eastAsia="Times New Roman" w:hAnsi="Calibri" w:cs="Calibri"/>
          <w:bCs/>
          <w:i/>
          <w:sz w:val="23"/>
          <w:lang w:val="en-GB" w:eastAsia="da-DK" w:bidi="he-IL"/>
        </w:rPr>
        <w:t xml:space="preserve">sion and Policing in Somaliland. </w:t>
      </w:r>
      <w:r w:rsidRPr="006E6AAA">
        <w:rPr>
          <w:rFonts w:ascii="Calibri" w:eastAsia="Times New Roman" w:hAnsi="Calibri" w:cs="Calibri"/>
          <w:i/>
          <w:lang w:val="en-GB" w:eastAsia="da-DK"/>
        </w:rPr>
        <w:t>A Baseline Study</w:t>
      </w:r>
      <w:r w:rsidRPr="006E6AAA">
        <w:rPr>
          <w:rFonts w:ascii="Calibri" w:eastAsia="Times New Roman" w:hAnsi="Calibri" w:cs="Calibri"/>
          <w:sz w:val="23"/>
          <w:lang w:val="en-GB" w:eastAsia="da-DK"/>
        </w:rPr>
        <w:t>”</w:t>
      </w:r>
      <w:r w:rsidRPr="006E6AAA">
        <w:rPr>
          <w:rFonts w:ascii="Calibri" w:eastAsia="Times New Roman" w:hAnsi="Calibri" w:cs="Calibri"/>
          <w:lang w:val="en-GB" w:eastAsia="da-DK"/>
        </w:rPr>
        <w:t xml:space="preserve"> July 2012</w:t>
      </w:r>
    </w:p>
    <w:p w:rsidR="006E6AAA" w:rsidRPr="006E6AAA" w:rsidRDefault="006E6AAA" w:rsidP="006E6AAA">
      <w:pPr>
        <w:widowControl w:val="0"/>
        <w:numPr>
          <w:ilvl w:val="0"/>
          <w:numId w:val="53"/>
        </w:numPr>
        <w:shd w:val="clear" w:color="auto" w:fill="FFFFFF"/>
        <w:autoSpaceDE w:val="0"/>
        <w:autoSpaceDN w:val="0"/>
        <w:adjustRightInd w:val="0"/>
        <w:spacing w:after="0" w:line="240" w:lineRule="auto"/>
        <w:ind w:right="432"/>
        <w:rPr>
          <w:rFonts w:ascii="Calibri" w:eastAsia="Times New Roman" w:hAnsi="Calibri" w:cs="Calibri"/>
          <w:bCs/>
          <w:lang w:val="en-GB" w:eastAsia="da-DK" w:bidi="he-IL"/>
        </w:rPr>
      </w:pPr>
      <w:r w:rsidRPr="006E6AAA">
        <w:rPr>
          <w:rFonts w:ascii="Calibri" w:eastAsia="Times New Roman" w:hAnsi="Calibri" w:cs="Calibri"/>
          <w:b/>
          <w:lang w:val="en-GB" w:eastAsia="da-DK"/>
        </w:rPr>
        <w:t>Geneva International Centre for Humanitarian Demining</w:t>
      </w:r>
      <w:r w:rsidRPr="006E6AAA">
        <w:rPr>
          <w:rFonts w:ascii="Calibri" w:eastAsia="Times New Roman" w:hAnsi="Calibri" w:cs="Times New Roman"/>
          <w:sz w:val="20"/>
          <w:szCs w:val="20"/>
          <w:lang w:eastAsia="da-DK"/>
        </w:rPr>
        <w:t xml:space="preserve"> in “</w:t>
      </w:r>
      <w:r w:rsidRPr="006E6AAA">
        <w:rPr>
          <w:rFonts w:ascii="Calibri" w:eastAsia="Times New Roman" w:hAnsi="Calibri" w:cs="Times New Roman"/>
          <w:i/>
          <w:sz w:val="20"/>
          <w:szCs w:val="20"/>
          <w:lang w:eastAsia="da-DK"/>
        </w:rPr>
        <w:t>Danish Demining Group Community Safety Programme. Somaliland case study</w:t>
      </w:r>
      <w:r w:rsidRPr="006E6AAA">
        <w:rPr>
          <w:rFonts w:ascii="Calibri" w:eastAsia="Times New Roman" w:hAnsi="Calibri" w:cs="Times New Roman"/>
          <w:sz w:val="20"/>
          <w:szCs w:val="20"/>
          <w:lang w:eastAsia="da-DK"/>
        </w:rPr>
        <w:t>”, September 2012</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autoSpaceDE w:val="0"/>
        <w:autoSpaceDN w:val="0"/>
        <w:adjustRightInd w:val="0"/>
        <w:spacing w:after="0" w:line="240" w:lineRule="auto"/>
        <w:rPr>
          <w:rFonts w:ascii="Calibri" w:eastAsia="Times New Roman" w:hAnsi="Calibri" w:cs="Times New Roman"/>
          <w:b/>
          <w:i/>
          <w:lang w:val="en-GB" w:eastAsia="it-IT"/>
        </w:rPr>
      </w:pPr>
      <w:r w:rsidRPr="006E6AAA">
        <w:rPr>
          <w:rFonts w:ascii="Calibri" w:eastAsia="Times New Roman" w:hAnsi="Calibri" w:cs="Times New Roman"/>
          <w:b/>
          <w:i/>
          <w:lang w:val="en-GB" w:eastAsia="it-IT"/>
        </w:rPr>
        <w:t xml:space="preserve">2. Legislation and other documents </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numPr>
          <w:ilvl w:val="0"/>
          <w:numId w:val="56"/>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Letter of Agreement between UNDP and the Ministry of Justice (2008 and 2010)</w:t>
      </w:r>
    </w:p>
    <w:p w:rsidR="006E6AAA" w:rsidRPr="006E6AAA" w:rsidRDefault="006E6AAA" w:rsidP="006E6AAA">
      <w:pPr>
        <w:numPr>
          <w:ilvl w:val="0"/>
          <w:numId w:val="56"/>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Letter of Agreement between UNDP and the Supreme Court (2011 and 2012)</w:t>
      </w:r>
    </w:p>
    <w:p w:rsidR="006E6AAA" w:rsidRPr="006E6AAA" w:rsidRDefault="006E6AAA" w:rsidP="006E6AAA">
      <w:pPr>
        <w:numPr>
          <w:ilvl w:val="0"/>
          <w:numId w:val="56"/>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Somaliland Mobile Courts: procedural guidelines for implementation</w:t>
      </w:r>
    </w:p>
    <w:p w:rsidR="006E6AAA" w:rsidRPr="006E6AAA" w:rsidRDefault="006E6AAA" w:rsidP="006E6AAA">
      <w:pPr>
        <w:numPr>
          <w:ilvl w:val="0"/>
          <w:numId w:val="56"/>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Somaliland Judicail reform workplan (2011-2015)</w:t>
      </w:r>
    </w:p>
    <w:p w:rsidR="006E6AAA" w:rsidRPr="006E6AAA" w:rsidRDefault="006E6AAA" w:rsidP="006E6AAA">
      <w:pPr>
        <w:numPr>
          <w:ilvl w:val="0"/>
          <w:numId w:val="56"/>
        </w:numPr>
        <w:spacing w:after="0" w:line="270" w:lineRule="atLeast"/>
        <w:rPr>
          <w:rFonts w:ascii="Calibri" w:eastAsia="Times New Roman" w:hAnsi="Calibri" w:cs="Times New Roman"/>
          <w:lang w:eastAsia="da-DK"/>
        </w:rPr>
      </w:pPr>
      <w:r w:rsidRPr="006E6AAA">
        <w:rPr>
          <w:rFonts w:ascii="Calibri" w:eastAsia="Times New Roman" w:hAnsi="Calibri" w:cs="Times New Roman"/>
          <w:lang w:eastAsia="da-DK"/>
        </w:rPr>
        <w:t>UNDP Somalia, Governance and rule of law programme document (2012-2015)</w:t>
      </w:r>
    </w:p>
    <w:p w:rsidR="006E6AAA" w:rsidRPr="006E6AAA" w:rsidRDefault="006E6AAA" w:rsidP="006E6AAA">
      <w:pPr>
        <w:numPr>
          <w:ilvl w:val="0"/>
          <w:numId w:val="56"/>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Report of the 1</w:t>
      </w:r>
      <w:r w:rsidRPr="006E6AAA">
        <w:rPr>
          <w:rFonts w:ascii="Calibri" w:eastAsia="Times New Roman" w:hAnsi="Calibri" w:cs="Times New Roman"/>
          <w:i/>
          <w:vertAlign w:val="superscript"/>
          <w:lang w:val="en-GB" w:eastAsia="da-DK"/>
        </w:rPr>
        <w:t>st</w:t>
      </w:r>
      <w:r w:rsidRPr="006E6AAA">
        <w:rPr>
          <w:rFonts w:ascii="Calibri" w:eastAsia="Times New Roman" w:hAnsi="Calibri" w:cs="Times New Roman"/>
          <w:i/>
          <w:lang w:val="en-GB" w:eastAsia="da-DK"/>
        </w:rPr>
        <w:t xml:space="preserve"> Mobile Courts review workshop</w:t>
      </w:r>
      <w:r w:rsidRPr="006E6AAA">
        <w:rPr>
          <w:rFonts w:ascii="Calibri" w:eastAsia="Times New Roman" w:hAnsi="Calibri" w:cs="Times New Roman"/>
          <w:lang w:val="en-GB" w:eastAsia="da-DK"/>
        </w:rPr>
        <w:t>, 10</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to 14</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September 2011, Hargeisa, Somaliland </w:t>
      </w:r>
    </w:p>
    <w:p w:rsidR="006E6AAA" w:rsidRPr="006E6AAA" w:rsidRDefault="006E6AAA" w:rsidP="006E6AAA">
      <w:pPr>
        <w:numPr>
          <w:ilvl w:val="0"/>
          <w:numId w:val="56"/>
        </w:numPr>
        <w:tabs>
          <w:tab w:val="left" w:pos="540"/>
          <w:tab w:val="left" w:pos="8460"/>
        </w:tabs>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Report of the 2</w:t>
      </w:r>
      <w:r w:rsidRPr="006E6AAA">
        <w:rPr>
          <w:rFonts w:ascii="Calibri" w:eastAsia="Times New Roman" w:hAnsi="Calibri" w:cs="Times New Roman"/>
          <w:i/>
          <w:vertAlign w:val="superscript"/>
          <w:lang w:val="en-GB" w:eastAsia="da-DK"/>
        </w:rPr>
        <w:t>nd</w:t>
      </w:r>
      <w:r w:rsidRPr="006E6AAA">
        <w:rPr>
          <w:rFonts w:ascii="Calibri" w:eastAsia="Times New Roman" w:hAnsi="Calibri" w:cs="Times New Roman"/>
          <w:i/>
          <w:lang w:val="en-GB" w:eastAsia="da-DK"/>
        </w:rPr>
        <w:t xml:space="preserve"> Mobile Courts review workshop</w:t>
      </w:r>
      <w:r w:rsidRPr="006E6AAA">
        <w:rPr>
          <w:rFonts w:ascii="Calibri" w:eastAsia="Times New Roman" w:hAnsi="Calibri" w:cs="Times New Roman"/>
          <w:lang w:val="en-GB" w:eastAsia="da-DK"/>
        </w:rPr>
        <w:t>, 14</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to 18</w:t>
      </w:r>
      <w:r w:rsidRPr="006E6AAA">
        <w:rPr>
          <w:rFonts w:ascii="Calibri" w:eastAsia="Times New Roman" w:hAnsi="Calibri" w:cs="Times New Roman"/>
          <w:vertAlign w:val="superscript"/>
          <w:lang w:val="en-GB" w:eastAsia="da-DK"/>
        </w:rPr>
        <w:t>th</w:t>
      </w:r>
      <w:r w:rsidRPr="006E6AAA">
        <w:rPr>
          <w:rFonts w:ascii="Calibri" w:eastAsia="Times New Roman" w:hAnsi="Calibri" w:cs="Times New Roman"/>
          <w:lang w:val="en-GB" w:eastAsia="da-DK"/>
        </w:rPr>
        <w:t xml:space="preserve"> July 2012, Burao, Somaliland</w:t>
      </w:r>
    </w:p>
    <w:p w:rsidR="006E6AAA" w:rsidRPr="006E6AAA" w:rsidRDefault="006E6AAA" w:rsidP="006E6AAA">
      <w:pPr>
        <w:numPr>
          <w:ilvl w:val="0"/>
          <w:numId w:val="56"/>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i/>
          <w:lang w:val="en-GB" w:eastAsia="da-DK"/>
        </w:rPr>
        <w:t>Report: training Workshop on the improvement of Mobile Court Services and Court Case Management system</w:t>
      </w:r>
      <w:r w:rsidRPr="006E6AAA">
        <w:rPr>
          <w:rFonts w:ascii="Calibri" w:eastAsia="Times New Roman" w:hAnsi="Calibri" w:cs="Times New Roman"/>
          <w:lang w:val="en-GB" w:eastAsia="da-DK"/>
        </w:rPr>
        <w:t xml:space="preserve"> 30th Sept. to 3rd Oct. 2012, Borama, Somaliland , </w:t>
      </w:r>
    </w:p>
    <w:p w:rsidR="006E6AAA" w:rsidRPr="006E6AAA" w:rsidRDefault="006E6AAA" w:rsidP="006E6AAA">
      <w:pPr>
        <w:numPr>
          <w:ilvl w:val="0"/>
          <w:numId w:val="56"/>
        </w:numPr>
        <w:spacing w:after="0" w:line="280" w:lineRule="exact"/>
        <w:jc w:val="both"/>
        <w:rPr>
          <w:rFonts w:ascii="Calibri" w:eastAsia="Times New Roman" w:hAnsi="Calibri" w:cs="Times New Roman"/>
          <w:lang w:val="en-GB" w:eastAsia="da-DK"/>
        </w:rPr>
      </w:pPr>
      <w:r w:rsidRPr="006E6AAA">
        <w:rPr>
          <w:rFonts w:ascii="Calibri" w:eastAsia="Times New Roman" w:hAnsi="Calibri" w:cs="Times New Roman"/>
          <w:lang w:val="en-GB" w:eastAsia="da-DK"/>
        </w:rPr>
        <w:t>UNDP, evalauiotn of ROLSIII programme, 2011</w:t>
      </w:r>
    </w:p>
    <w:p w:rsidR="006E6AAA" w:rsidRPr="006E6AAA" w:rsidRDefault="006E6AAA" w:rsidP="006E6AAA">
      <w:pPr>
        <w:numPr>
          <w:ilvl w:val="0"/>
          <w:numId w:val="56"/>
        </w:numPr>
        <w:spacing w:after="0" w:line="270" w:lineRule="atLeast"/>
        <w:rPr>
          <w:rFonts w:ascii="Calibri" w:eastAsia="Times New Roman" w:hAnsi="Calibri" w:cs="Times New Roman"/>
          <w:lang w:val="en-GB" w:eastAsia="da-DK"/>
        </w:rPr>
      </w:pPr>
      <w:r w:rsidRPr="006E6AAA">
        <w:rPr>
          <w:rFonts w:ascii="Calibri" w:eastAsia="Times New Roman" w:hAnsi="Calibri" w:cs="Times New Roman"/>
          <w:lang w:val="en-GB" w:eastAsia="da-DK"/>
        </w:rPr>
        <w:t>Mobile court review worshop report, Puntland, 2013</w:t>
      </w:r>
    </w:p>
    <w:p w:rsidR="006E6AAA" w:rsidRPr="006E6AAA" w:rsidRDefault="006E6AAA" w:rsidP="006E6AAA">
      <w:pPr>
        <w:numPr>
          <w:ilvl w:val="0"/>
          <w:numId w:val="56"/>
        </w:numPr>
        <w:autoSpaceDE w:val="0"/>
        <w:autoSpaceDN w:val="0"/>
        <w:adjustRightInd w:val="0"/>
        <w:spacing w:after="0" w:line="240" w:lineRule="auto"/>
        <w:rPr>
          <w:rFonts w:ascii="Calibri" w:eastAsia="Times New Roman" w:hAnsi="Calibri" w:cs="Times New Roman"/>
          <w:lang w:eastAsia="da-DK"/>
        </w:rPr>
      </w:pPr>
      <w:r w:rsidRPr="006E6AAA">
        <w:rPr>
          <w:rFonts w:ascii="Calibri" w:eastAsia="Times New Roman" w:hAnsi="Calibri" w:cs="Times New Roman"/>
          <w:lang w:eastAsia="da-DK"/>
        </w:rPr>
        <w:t>Sub Outcome Monitoring: Case Study 2.4 JUSTICE AND THE JUDICIARY, UNDP, 2012</w:t>
      </w:r>
    </w:p>
    <w:p w:rsidR="006E6AAA" w:rsidRPr="006E6AAA" w:rsidRDefault="006E6AAA" w:rsidP="006E6AAA">
      <w:pPr>
        <w:numPr>
          <w:ilvl w:val="0"/>
          <w:numId w:val="56"/>
        </w:numPr>
        <w:autoSpaceDE w:val="0"/>
        <w:autoSpaceDN w:val="0"/>
        <w:adjustRightInd w:val="0"/>
        <w:spacing w:after="0" w:line="240" w:lineRule="auto"/>
        <w:rPr>
          <w:rFonts w:ascii="Calibri" w:eastAsia="Times New Roman" w:hAnsi="Calibri" w:cs="Times New Roman"/>
          <w:lang w:eastAsia="da-DK"/>
        </w:rPr>
      </w:pPr>
      <w:r w:rsidRPr="006E6AAA">
        <w:rPr>
          <w:rFonts w:ascii="Calibri" w:eastAsia="Times New Roman" w:hAnsi="Calibri" w:cs="Times New Roman"/>
          <w:lang w:eastAsia="da-DK"/>
        </w:rPr>
        <w:t>MC monitoring report in Nugal, Puntland</w:t>
      </w:r>
    </w:p>
    <w:p w:rsidR="006E6AAA" w:rsidRPr="006E6AAA" w:rsidRDefault="006E6AAA" w:rsidP="006E6AAA">
      <w:pPr>
        <w:numPr>
          <w:ilvl w:val="0"/>
          <w:numId w:val="56"/>
        </w:numPr>
        <w:autoSpaceDE w:val="0"/>
        <w:autoSpaceDN w:val="0"/>
        <w:adjustRightInd w:val="0"/>
        <w:spacing w:after="0" w:line="240" w:lineRule="auto"/>
        <w:rPr>
          <w:rFonts w:ascii="Calibri" w:eastAsia="Times New Roman" w:hAnsi="Calibri" w:cs="Times New Roman"/>
          <w:lang w:eastAsia="da-DK"/>
        </w:rPr>
      </w:pPr>
      <w:r w:rsidRPr="006E6AAA">
        <w:rPr>
          <w:rFonts w:ascii="Calibri" w:eastAsia="Times New Roman" w:hAnsi="Calibri" w:cs="Times New Roman"/>
          <w:lang w:eastAsia="da-DK"/>
        </w:rPr>
        <w:t xml:space="preserve">MC monitoring report in Boon, Somaliland </w:t>
      </w:r>
    </w:p>
    <w:p w:rsidR="006E6AAA" w:rsidRPr="006E6AAA" w:rsidRDefault="006E6AAA" w:rsidP="006E6AAA">
      <w:pPr>
        <w:numPr>
          <w:ilvl w:val="0"/>
          <w:numId w:val="56"/>
        </w:numPr>
        <w:autoSpaceDE w:val="0"/>
        <w:autoSpaceDN w:val="0"/>
        <w:adjustRightInd w:val="0"/>
        <w:spacing w:after="0" w:line="240" w:lineRule="auto"/>
        <w:rPr>
          <w:rFonts w:ascii="Calibri" w:eastAsia="Times New Roman" w:hAnsi="Calibri" w:cs="Times New Roman"/>
          <w:lang w:eastAsia="da-DK"/>
        </w:rPr>
      </w:pPr>
      <w:r w:rsidRPr="006E6AAA">
        <w:rPr>
          <w:rFonts w:ascii="Calibri" w:eastAsia="Times New Roman" w:hAnsi="Calibri" w:cs="Times New Roman"/>
          <w:lang w:eastAsia="da-DK"/>
        </w:rPr>
        <w:t>MC monitoring report in Gabiley, Somaliland</w:t>
      </w:r>
    </w:p>
    <w:p w:rsidR="006E6AAA" w:rsidRPr="006E6AAA" w:rsidRDefault="006E6AAA" w:rsidP="006E6AAA">
      <w:pPr>
        <w:numPr>
          <w:ilvl w:val="0"/>
          <w:numId w:val="56"/>
        </w:numPr>
        <w:autoSpaceDE w:val="0"/>
        <w:autoSpaceDN w:val="0"/>
        <w:adjustRightInd w:val="0"/>
        <w:spacing w:after="0" w:line="240" w:lineRule="auto"/>
        <w:rPr>
          <w:rFonts w:ascii="Calibri" w:eastAsia="Times New Roman" w:hAnsi="Calibri" w:cs="Times New Roman"/>
          <w:lang w:eastAsia="da-DK"/>
        </w:rPr>
      </w:pPr>
      <w:r w:rsidRPr="006E6AAA">
        <w:rPr>
          <w:rFonts w:ascii="Calibri" w:eastAsia="Times New Roman" w:hAnsi="Calibri" w:cs="Times New Roman"/>
          <w:lang w:eastAsia="da-DK"/>
        </w:rPr>
        <w:t xml:space="preserve">Video produced by UNDP on Mobile Courts in Somalia available on You Tube </w:t>
      </w:r>
      <w:hyperlink r:id="rId36" w:tgtFrame="_blank" w:history="1">
        <w:r w:rsidRPr="006E6AAA">
          <w:rPr>
            <w:rFonts w:ascii="Calibri" w:eastAsia="Times New Roman" w:hAnsi="Calibri" w:cs="Times New Roman"/>
            <w:lang w:val="en-GB" w:eastAsia="da-DK"/>
          </w:rPr>
          <w:t>http://www.youtube.com/watch?v=WwXYtze_9J4</w:t>
        </w:r>
      </w:hyperlink>
    </w:p>
    <w:p w:rsidR="006E6AAA" w:rsidRPr="006E6AAA" w:rsidRDefault="006E6AAA" w:rsidP="006E6AAA">
      <w:pPr>
        <w:spacing w:after="0" w:line="270" w:lineRule="atLeast"/>
        <w:rPr>
          <w:rFonts w:ascii="Calibri" w:eastAsia="Times New Roman" w:hAnsi="Calibri" w:cs="Times New Roman"/>
          <w:b/>
          <w:color w:val="000080"/>
          <w:sz w:val="28"/>
          <w:szCs w:val="28"/>
          <w:u w:val="single"/>
          <w:lang w:eastAsia="da-DK"/>
        </w:rPr>
      </w:pPr>
      <w:r w:rsidRPr="006E6AAA">
        <w:rPr>
          <w:rFonts w:ascii="Calibri" w:eastAsia="Times New Roman" w:hAnsi="Calibri" w:cs="Times New Roman"/>
          <w:lang w:eastAsia="da-DK"/>
        </w:rPr>
        <w:br w:type="page"/>
      </w:r>
      <w:r w:rsidRPr="006E6AAA">
        <w:rPr>
          <w:rFonts w:ascii="Calibri" w:eastAsia="Times New Roman" w:hAnsi="Calibri" w:cs="Times New Roman"/>
          <w:b/>
          <w:color w:val="000080"/>
          <w:sz w:val="28"/>
          <w:szCs w:val="28"/>
          <w:u w:val="single"/>
          <w:lang w:eastAsia="da-DK"/>
        </w:rPr>
        <w:lastRenderedPageBreak/>
        <w:t>ANNEX 2: List of interviewed persons</w:t>
      </w:r>
    </w:p>
    <w:p w:rsidR="006E6AAA" w:rsidRPr="006E6AAA" w:rsidRDefault="006E6AAA" w:rsidP="006E6AAA">
      <w:pPr>
        <w:spacing w:after="0" w:line="270" w:lineRule="atLeast"/>
        <w:rPr>
          <w:rFonts w:ascii="Calibri" w:eastAsia="Times New Roman" w:hAnsi="Calibri" w:cs="Times New Roman"/>
          <w:b/>
          <w:color w:val="000080"/>
          <w:sz w:val="28"/>
          <w:szCs w:val="28"/>
          <w:u w:val="single"/>
          <w:lang w:eastAsia="da-DK"/>
        </w:rPr>
      </w:pPr>
    </w:p>
    <w:p w:rsidR="006E6AAA" w:rsidRPr="006E6AAA" w:rsidRDefault="006E6AAA" w:rsidP="006E6AAA">
      <w:pPr>
        <w:spacing w:after="0" w:line="270" w:lineRule="atLeast"/>
        <w:rPr>
          <w:rFonts w:ascii="Calibri" w:eastAsia="Times New Roman" w:hAnsi="Calibri" w:cs="Times New Roman"/>
          <w:smallCaps/>
          <w:sz w:val="23"/>
          <w:szCs w:val="20"/>
          <w:lang w:val="en-GB" w:eastAsia="da-DK"/>
        </w:rPr>
      </w:pPr>
      <w:r w:rsidRPr="006E6AAA">
        <w:rPr>
          <w:rFonts w:ascii="Calibri" w:eastAsia="Times New Roman" w:hAnsi="Calibri" w:cs="Times New Roman"/>
          <w:b/>
          <w:smallCaps/>
          <w:sz w:val="23"/>
          <w:szCs w:val="20"/>
          <w:lang w:val="en-GB" w:eastAsia="da-DK"/>
        </w:rPr>
        <w:t xml:space="preserve">Evaluation of UNDP supported Mobile Courts – Somaliland </w:t>
      </w:r>
      <w:r w:rsidRPr="006E6AAA">
        <w:rPr>
          <w:rFonts w:ascii="Calibri" w:eastAsia="Times New Roman" w:hAnsi="Calibri" w:cs="Times New Roman"/>
          <w:smallCaps/>
          <w:sz w:val="23"/>
          <w:szCs w:val="20"/>
          <w:lang w:val="en-GB" w:eastAsia="da-DK"/>
        </w:rPr>
        <w:t>(01/05/2013 to 12/05/2013)</w:t>
      </w:r>
    </w:p>
    <w:p w:rsidR="006E6AAA" w:rsidRPr="006E6AAA" w:rsidRDefault="006E6AAA" w:rsidP="006E6AAA">
      <w:pPr>
        <w:spacing w:after="0" w:line="270" w:lineRule="atLeast"/>
        <w:rPr>
          <w:rFonts w:ascii="Calibri" w:eastAsia="Times New Roman" w:hAnsi="Calibri" w:cs="Times New Roman"/>
          <w:b/>
          <w:color w:val="000080"/>
          <w:sz w:val="28"/>
          <w:szCs w:val="28"/>
          <w:u w:val="single"/>
          <w:lang w:eastAsia="da-DK"/>
        </w:rPr>
      </w:pP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Abdikarim Sheik Mohamed</w:t>
      </w:r>
      <w:r w:rsidRPr="006E6AAA">
        <w:rPr>
          <w:rFonts w:ascii="Calibri" w:eastAsia="Times New Roman" w:hAnsi="Calibri" w:cs="Times New Roman"/>
          <w:lang w:val="en-GB" w:eastAsia="da-DK"/>
        </w:rPr>
        <w:t>,  Vice-Dean the faculty of Law and legal clinic, Hargeisa University</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Abdirasheed Duraan</w:t>
      </w:r>
      <w:r w:rsidRPr="006E6AAA">
        <w:rPr>
          <w:rFonts w:ascii="Calibri" w:eastAsia="Times New Roman" w:hAnsi="Calibri" w:cs="Times New Roman"/>
          <w:lang w:val="en-GB" w:eastAsia="da-DK"/>
        </w:rPr>
        <w:t xml:space="preserve"> - President of Appeal Court Hargeisa </w:t>
      </w:r>
    </w:p>
    <w:p w:rsidR="006E6AAA" w:rsidRPr="006E6AAA" w:rsidRDefault="006E6AAA" w:rsidP="006E6AAA">
      <w:pPr>
        <w:numPr>
          <w:ilvl w:val="0"/>
          <w:numId w:val="52"/>
        </w:numPr>
        <w:spacing w:after="0" w:line="360" w:lineRule="auto"/>
        <w:rPr>
          <w:rFonts w:ascii="Calibri" w:eastAsia="Times New Roman" w:hAnsi="Calibri" w:cs="Segoe UI"/>
          <w:color w:val="000000"/>
          <w:lang w:val="en-GB" w:eastAsia="da-DK"/>
        </w:rPr>
      </w:pPr>
      <w:r w:rsidRPr="006E6AAA">
        <w:rPr>
          <w:rFonts w:ascii="Calibri" w:eastAsia="Times New Roman" w:hAnsi="Calibri" w:cs="Segoe UI"/>
          <w:b/>
          <w:color w:val="000000"/>
          <w:lang w:val="en-GB" w:eastAsia="da-DK"/>
        </w:rPr>
        <w:t>Abdisalam Farah</w:t>
      </w:r>
      <w:r w:rsidRPr="006E6AAA">
        <w:rPr>
          <w:rFonts w:ascii="Calibri" w:eastAsia="Times New Roman" w:hAnsi="Calibri" w:cs="Segoe UI"/>
          <w:color w:val="000000"/>
          <w:lang w:val="en-GB" w:eastAsia="da-DK"/>
        </w:rPr>
        <w:t xml:space="preserve">, </w:t>
      </w:r>
      <w:r w:rsidRPr="006E6AAA">
        <w:rPr>
          <w:rFonts w:ascii="Calibri" w:eastAsia="Times New Roman" w:hAnsi="Calibri" w:cs="Times New Roman"/>
          <w:lang w:val="en-GB" w:eastAsia="da-DK"/>
        </w:rPr>
        <w:t>Access to justice officer, UNDP</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Segoe UI"/>
          <w:b/>
          <w:color w:val="000000"/>
          <w:lang w:val="en-GB" w:eastAsia="da-DK"/>
        </w:rPr>
        <w:t>Abdulhakim Mohamed Abdi</w:t>
      </w:r>
      <w:r w:rsidRPr="006E6AAA">
        <w:rPr>
          <w:rFonts w:ascii="Calibri" w:eastAsia="Times New Roman" w:hAnsi="Calibri" w:cs="Segoe UI"/>
          <w:color w:val="000000"/>
          <w:lang w:val="en-GB" w:eastAsia="da-DK"/>
        </w:rPr>
        <w:t xml:space="preserve">, </w:t>
      </w:r>
      <w:r w:rsidRPr="006E6AAA">
        <w:rPr>
          <w:rFonts w:ascii="Calibri" w:eastAsia="Times New Roman" w:hAnsi="Calibri" w:cs="Times New Roman"/>
          <w:lang w:val="en-GB" w:eastAsia="da-DK"/>
        </w:rPr>
        <w:t>Access to Justice Team Leader, UNDP</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Aden Ahmed</w:t>
      </w:r>
      <w:r w:rsidRPr="006E6AAA">
        <w:rPr>
          <w:rFonts w:ascii="Calibri" w:eastAsia="Times New Roman" w:hAnsi="Calibri" w:cs="Times New Roman"/>
          <w:lang w:val="en-GB" w:eastAsia="da-DK"/>
        </w:rPr>
        <w:t xml:space="preserve"> , Acting Attorney General, Prosecution Office</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lang w:val="en-GB" w:eastAsia="da-DK"/>
        </w:rPr>
        <w:t>Beneficiaries/court users (5 men and 2 women)</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Elizabeth Wamaitha Kang’atta</w:t>
      </w:r>
      <w:r w:rsidRPr="006E6AAA">
        <w:rPr>
          <w:rFonts w:ascii="Calibri" w:eastAsia="Times New Roman" w:hAnsi="Calibri" w:cs="Times New Roman"/>
          <w:lang w:val="en-GB" w:eastAsia="da-DK"/>
        </w:rPr>
        <w:t>, Access to justice officer, UNDP</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Faysal Abdilahi Ismail</w:t>
      </w:r>
      <w:r w:rsidRPr="006E6AAA">
        <w:rPr>
          <w:rFonts w:ascii="Calibri" w:eastAsia="Times New Roman" w:hAnsi="Calibri" w:cs="Times New Roman"/>
          <w:lang w:val="en-GB" w:eastAsia="da-DK"/>
        </w:rPr>
        <w:t xml:space="preserve"> - President of Hargeisa Regional court</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Harum Mohamed</w:t>
      </w:r>
      <w:r w:rsidRPr="006E6AAA">
        <w:rPr>
          <w:rFonts w:ascii="Calibri" w:eastAsia="Times New Roman" w:hAnsi="Calibri" w:cs="Times New Roman"/>
          <w:lang w:val="en-GB" w:eastAsia="da-DK"/>
        </w:rPr>
        <w:t>, Acting Director, Nagaad Women Network for Somaliland</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Hassan Ali Hassan</w:t>
      </w:r>
      <w:r w:rsidRPr="006E6AAA">
        <w:rPr>
          <w:rFonts w:ascii="Calibri" w:eastAsia="Times New Roman" w:hAnsi="Calibri" w:cs="Times New Roman"/>
          <w:lang w:val="en-GB" w:eastAsia="da-DK"/>
        </w:rPr>
        <w:t xml:space="preserve"> – vice-chairman, Somaliland lawyers Association ( SOLLA)</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Hassan Sudi</w:t>
      </w:r>
      <w:r w:rsidRPr="006E6AAA">
        <w:rPr>
          <w:rFonts w:ascii="Calibri" w:eastAsia="Times New Roman" w:hAnsi="Calibri" w:cs="Times New Roman"/>
          <w:lang w:val="en-GB" w:eastAsia="da-DK"/>
        </w:rPr>
        <w:t xml:space="preserve"> Gender advisor, Nagaad</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Hussein  Abdilahi</w:t>
      </w:r>
      <w:r w:rsidRPr="006E6AAA">
        <w:rPr>
          <w:rFonts w:ascii="Calibri" w:eastAsia="Times New Roman" w:hAnsi="Calibri" w:cs="Times New Roman"/>
          <w:lang w:val="en-GB" w:eastAsia="da-DK"/>
        </w:rPr>
        <w:t xml:space="preserve"> – Director, Prison of Gabiley</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Hussein Belel</w:t>
      </w:r>
      <w:r w:rsidRPr="006E6AAA">
        <w:rPr>
          <w:rFonts w:ascii="Calibri" w:eastAsia="Times New Roman" w:hAnsi="Calibri" w:cs="Times New Roman"/>
          <w:lang w:val="en-GB" w:eastAsia="da-DK"/>
        </w:rPr>
        <w:t xml:space="preserve"> – Judge, Hargeisa regional Court</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Hussein Fadal</w:t>
      </w:r>
      <w:r w:rsidRPr="006E6AAA">
        <w:rPr>
          <w:rFonts w:ascii="Calibri" w:eastAsia="Times New Roman" w:hAnsi="Calibri" w:cs="Times New Roman"/>
          <w:lang w:val="en-GB" w:eastAsia="da-DK"/>
        </w:rPr>
        <w:t xml:space="preserve"> – Judge, Hargeisa Appeal Court</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Hussein Jama</w:t>
      </w:r>
      <w:r w:rsidRPr="006E6AAA">
        <w:rPr>
          <w:rFonts w:ascii="Calibri" w:eastAsia="Times New Roman" w:hAnsi="Calibri" w:cs="Times New Roman"/>
          <w:lang w:val="en-GB" w:eastAsia="da-DK"/>
        </w:rPr>
        <w:t xml:space="preserve"> ,Technical Advisor, Prosecution Office</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Jama Ali Ismail-Admin,  Xamze Mohamoud, Mohamoud Abdi Nour, Amina Hassan</w:t>
      </w:r>
      <w:r w:rsidRPr="006E6AAA">
        <w:rPr>
          <w:rFonts w:ascii="Calibri" w:eastAsia="Times New Roman" w:hAnsi="Calibri" w:cs="Times New Roman"/>
          <w:lang w:val="en-GB" w:eastAsia="da-DK"/>
        </w:rPr>
        <w:t xml:space="preserve"> (SOLLA lawyers)</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Khadra Muse Ahmed</w:t>
      </w:r>
      <w:r w:rsidRPr="006E6AAA">
        <w:rPr>
          <w:rFonts w:ascii="Calibri" w:eastAsia="Times New Roman" w:hAnsi="Calibri" w:cs="Times New Roman"/>
          <w:lang w:val="en-GB" w:eastAsia="da-DK"/>
        </w:rPr>
        <w:t>, Executive Director, Somaliland Women Lawyers Association</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Mohamed Farah</w:t>
      </w:r>
      <w:r w:rsidRPr="006E6AAA">
        <w:rPr>
          <w:rFonts w:ascii="Calibri" w:eastAsia="Times New Roman" w:hAnsi="Calibri" w:cs="Times New Roman"/>
          <w:lang w:val="en-GB" w:eastAsia="da-DK"/>
        </w:rPr>
        <w:t xml:space="preserve"> - President of Appeal court – Sool region</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Mohamed Said Hersi</w:t>
      </w:r>
      <w:r w:rsidRPr="006E6AAA">
        <w:rPr>
          <w:rFonts w:ascii="Calibri" w:eastAsia="Times New Roman" w:hAnsi="Calibri" w:cs="Times New Roman"/>
          <w:lang w:val="en-GB" w:eastAsia="da-DK"/>
        </w:rPr>
        <w:t xml:space="preserve"> – Executive director, SOLLA</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Roda Mohamed</w:t>
      </w:r>
      <w:r w:rsidRPr="006E6AAA">
        <w:rPr>
          <w:rFonts w:ascii="Calibri" w:eastAsia="Times New Roman" w:hAnsi="Calibri" w:cs="Times New Roman"/>
          <w:lang w:val="en-GB" w:eastAsia="da-DK"/>
        </w:rPr>
        <w:t xml:space="preserve"> –Paralegal, SOLLA</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 xml:space="preserve">Sahal Dayax- </w:t>
      </w:r>
      <w:r w:rsidRPr="006E6AAA">
        <w:rPr>
          <w:rFonts w:ascii="Calibri" w:eastAsia="Times New Roman" w:hAnsi="Calibri" w:cs="Times New Roman"/>
          <w:lang w:val="en-GB" w:eastAsia="da-DK"/>
        </w:rPr>
        <w:t>Judge, Hargeisa Appeal Court</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Sahra Ismail</w:t>
      </w:r>
      <w:r w:rsidRPr="006E6AAA">
        <w:rPr>
          <w:rFonts w:ascii="Calibri" w:eastAsia="Times New Roman" w:hAnsi="Calibri" w:cs="Times New Roman"/>
          <w:lang w:val="en-GB" w:eastAsia="da-DK"/>
        </w:rPr>
        <w:t xml:space="preserve"> , Head of Finance Department, Supreme Court</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Sharmarke Yusuf</w:t>
      </w:r>
      <w:r w:rsidRPr="006E6AAA">
        <w:rPr>
          <w:rFonts w:ascii="Calibri" w:eastAsia="Times New Roman" w:hAnsi="Calibri" w:cs="Times New Roman"/>
          <w:lang w:val="en-GB" w:eastAsia="da-DK"/>
        </w:rPr>
        <w:t>,  coordinator for the Mobile Courts, Supreme Court</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Simon Ridley</w:t>
      </w:r>
      <w:r w:rsidRPr="006E6AAA">
        <w:rPr>
          <w:rFonts w:ascii="Calibri" w:eastAsia="Times New Roman" w:hAnsi="Calibri" w:cs="Times New Roman"/>
          <w:lang w:val="en-GB" w:eastAsia="da-DK"/>
        </w:rPr>
        <w:t>, Access to justice Project manager, UNDP</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Yasin Hassan</w:t>
      </w:r>
      <w:r w:rsidRPr="006E6AAA">
        <w:rPr>
          <w:rFonts w:ascii="Calibri" w:eastAsia="Times New Roman" w:hAnsi="Calibri" w:cs="Times New Roman"/>
          <w:lang w:val="en-GB" w:eastAsia="da-DK"/>
        </w:rPr>
        <w:t>, vice Chief Justice</w:t>
      </w:r>
    </w:p>
    <w:p w:rsidR="006E6AAA" w:rsidRPr="006E6AAA" w:rsidRDefault="006E6AAA" w:rsidP="006E6AAA">
      <w:pPr>
        <w:numPr>
          <w:ilvl w:val="0"/>
          <w:numId w:val="52"/>
        </w:numPr>
        <w:spacing w:after="0" w:line="360" w:lineRule="auto"/>
        <w:rPr>
          <w:rFonts w:ascii="Calibri" w:eastAsia="Times New Roman" w:hAnsi="Calibri" w:cs="Times New Roman"/>
          <w:lang w:val="en-GB" w:eastAsia="da-DK"/>
        </w:rPr>
      </w:pPr>
      <w:r w:rsidRPr="006E6AAA">
        <w:rPr>
          <w:rFonts w:ascii="Calibri" w:eastAsia="Times New Roman" w:hAnsi="Calibri" w:cs="Times New Roman"/>
          <w:b/>
          <w:lang w:val="en-GB" w:eastAsia="da-DK"/>
        </w:rPr>
        <w:t>Yusuf Ismail Ali</w:t>
      </w:r>
      <w:r w:rsidRPr="006E6AAA">
        <w:rPr>
          <w:rFonts w:ascii="Calibri" w:eastAsia="Times New Roman" w:hAnsi="Calibri" w:cs="Times New Roman"/>
          <w:lang w:val="en-GB" w:eastAsia="da-DK"/>
        </w:rPr>
        <w:t>, Chief Justice</w:t>
      </w: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sectPr w:rsidR="006E6AAA" w:rsidRPr="006E6AAA" w:rsidSect="00211565">
          <w:pgSz w:w="11906" w:h="16838"/>
          <w:pgMar w:top="1411" w:right="1296" w:bottom="1138" w:left="1440" w:header="720" w:footer="720" w:gutter="0"/>
          <w:cols w:space="720"/>
          <w:docGrid w:linePitch="360"/>
        </w:sectPr>
      </w:pP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pPr>
      <w:r w:rsidRPr="006E6AAA">
        <w:rPr>
          <w:rFonts w:ascii="Calibri" w:eastAsia="Times New Roman" w:hAnsi="Calibri" w:cs="Times New Roman"/>
          <w:b/>
          <w:color w:val="000080"/>
          <w:sz w:val="28"/>
          <w:szCs w:val="28"/>
          <w:u w:val="single"/>
          <w:lang w:val="en-GB" w:eastAsia="da-DK"/>
        </w:rPr>
        <w:lastRenderedPageBreak/>
        <w:t>ANNEX 3: Map of Somaliland justice institutions</w:t>
      </w: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pPr>
      <w:r>
        <w:rPr>
          <w:rFonts w:ascii="Calibri" w:eastAsia="Times New Roman" w:hAnsi="Calibri" w:cs="Times New Roman"/>
          <w:b/>
          <w:noProof/>
          <w:color w:val="000080"/>
          <w:sz w:val="28"/>
          <w:szCs w:val="28"/>
          <w:u w:val="single"/>
        </w:rPr>
        <w:lastRenderedPageBreak/>
        <w:drawing>
          <wp:inline distT="0" distB="0" distL="0" distR="0">
            <wp:extent cx="8597900" cy="6032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0" cy="6032500"/>
                    </a:xfrm>
                    <a:prstGeom prst="rect">
                      <a:avLst/>
                    </a:prstGeom>
                    <a:noFill/>
                    <a:ln>
                      <a:noFill/>
                    </a:ln>
                  </pic:spPr>
                </pic:pic>
              </a:graphicData>
            </a:graphic>
          </wp:inline>
        </w:drawing>
      </w: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sectPr w:rsidR="006E6AAA" w:rsidRPr="006E6AAA" w:rsidSect="00397B16">
          <w:pgSz w:w="16838" w:h="11906" w:orient="landscape"/>
          <w:pgMar w:top="720" w:right="1411" w:bottom="720" w:left="1138" w:header="720" w:footer="720" w:gutter="0"/>
          <w:cols w:space="720"/>
          <w:docGrid w:linePitch="360"/>
        </w:sectPr>
      </w:pPr>
      <w:r>
        <w:rPr>
          <w:rFonts w:ascii="Calibri" w:eastAsia="Times New Roman" w:hAnsi="Calibri" w:cs="Times New Roman"/>
          <w:b/>
          <w:noProof/>
          <w:color w:val="000080"/>
          <w:sz w:val="28"/>
          <w:szCs w:val="28"/>
          <w:u w:val="single"/>
        </w:rPr>
        <w:lastRenderedPageBreak/>
        <w:drawing>
          <wp:inline distT="0" distB="0" distL="0" distR="0">
            <wp:extent cx="8597900" cy="6085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97900" cy="6085205"/>
                    </a:xfrm>
                    <a:prstGeom prst="rect">
                      <a:avLst/>
                    </a:prstGeom>
                    <a:noFill/>
                    <a:ln>
                      <a:noFill/>
                    </a:ln>
                  </pic:spPr>
                </pic:pic>
              </a:graphicData>
            </a:graphic>
          </wp:inline>
        </w:drawing>
      </w: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r w:rsidRPr="006E6AAA">
        <w:rPr>
          <w:rFonts w:ascii="Calibri" w:eastAsia="Times New Roman" w:hAnsi="Calibri" w:cs="CG Omega"/>
          <w:b/>
          <w:color w:val="000080"/>
          <w:sz w:val="28"/>
          <w:szCs w:val="28"/>
          <w:u w:val="single"/>
          <w:lang w:eastAsia="it-IT"/>
        </w:rPr>
        <w:lastRenderedPageBreak/>
        <w:t xml:space="preserve">ANNEX 5: Evaluation Matrix </w:t>
      </w: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p>
    <w:p w:rsidR="006E6AAA" w:rsidRPr="006E6AAA" w:rsidRDefault="006E6AAA" w:rsidP="006E6AAA">
      <w:pPr>
        <w:spacing w:after="0" w:line="270" w:lineRule="atLeast"/>
        <w:rPr>
          <w:rFonts w:ascii="Calibri" w:eastAsia="Times New Roman" w:hAnsi="Calibri" w:cs="Times New Roman"/>
          <w:b/>
          <w:lang w:val="en-GB"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5"/>
        <w:gridCol w:w="663"/>
        <w:gridCol w:w="1413"/>
        <w:gridCol w:w="492"/>
        <w:gridCol w:w="1987"/>
      </w:tblGrid>
      <w:tr w:rsidR="006E6AAA" w:rsidRPr="006E6AAA" w:rsidTr="00C8613A">
        <w:tc>
          <w:tcPr>
            <w:tcW w:w="9846" w:type="dxa"/>
            <w:gridSpan w:val="5"/>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jc w:val="center"/>
              <w:rPr>
                <w:rFonts w:ascii="Calibri" w:eastAsia="Times New Roman" w:hAnsi="Calibri" w:cs="Times New Roman"/>
                <w:b/>
                <w:sz w:val="20"/>
                <w:szCs w:val="20"/>
                <w:lang w:val="en-GB" w:eastAsia="da-DK"/>
              </w:rPr>
            </w:pPr>
            <w:r w:rsidRPr="006E6AAA">
              <w:rPr>
                <w:rFonts w:ascii="Calibri" w:eastAsia="Times New Roman" w:hAnsi="Calibri" w:cs="Times New Roman"/>
                <w:b/>
                <w:sz w:val="20"/>
                <w:szCs w:val="20"/>
                <w:lang w:val="en-GB" w:eastAsia="da-DK"/>
              </w:rPr>
              <w:t>Evaluation of UNDP support to mobile courts arrangements in post-conflict situations</w:t>
            </w:r>
          </w:p>
          <w:p w:rsidR="006E6AAA" w:rsidRPr="006E6AAA" w:rsidRDefault="006E6AAA" w:rsidP="006E6AAA">
            <w:pPr>
              <w:spacing w:after="0" w:line="270" w:lineRule="atLeast"/>
              <w:jc w:val="center"/>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EVALUATION MATRIX</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9846" w:type="dxa"/>
            <w:gridSpan w:val="5"/>
            <w:tcBorders>
              <w:bottom w:val="single" w:sz="4" w:space="0" w:color="auto"/>
            </w:tcBorders>
            <w:shd w:val="clear" w:color="auto" w:fill="E7EDF5"/>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1. RELEVANCE</w:t>
            </w:r>
          </w:p>
        </w:tc>
      </w:tr>
      <w:tr w:rsidR="006E6AAA" w:rsidRPr="006E6AAA" w:rsidTr="00C8613A">
        <w:tc>
          <w:tcPr>
            <w:tcW w:w="5861"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1933"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052"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861" w:type="dxa"/>
            <w:gridSpan w:val="2"/>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Q.1.1. To what extent do the mobile courts’ support interventions respond to the priorities outlined in national strategies?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legal basis for implementing mobile courts?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a national strategy and a national budget available for MC?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Is there an MOU between UNDP and the Judiciary/MOJ to support mobile courts?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Has the Judiciary implemented MC without the support of international donors? If so, what were the results?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does the country legal system (civil/common law, pluralistic..) influence mobile courts arrangements?</w:t>
            </w:r>
          </w:p>
        </w:tc>
        <w:tc>
          <w:tcPr>
            <w:tcW w:w="1933"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National legislation</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National Justice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Sector strategies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MOU between        UNDP and Judiciary</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052"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Online research</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Interviews: judicial authorities.. </w:t>
            </w:r>
          </w:p>
        </w:tc>
      </w:tr>
      <w:tr w:rsidR="006E6AAA" w:rsidRPr="006E6AAA" w:rsidTr="00C8613A">
        <w:tc>
          <w:tcPr>
            <w:tcW w:w="5861" w:type="dxa"/>
            <w:gridSpan w:val="2"/>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Q.1.2. How well do programming and implementation modalities match the needs of the population and national partners?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influenced UNDP’s decisions on where, how and to what extent to engage in supporting mobile courts? Was the decision discussed with relevant stakeholders?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Was a needs assessment conducted before launching the mobile court intervention? Was the Judiciary  involved?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Which are the most vulnerable groups in the country? Are they targeted by mobile courts interventions?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To what extent were issues related to the restorative v. retributive conception of justice in remote areas taken into consideration?</w:t>
            </w:r>
          </w:p>
        </w:tc>
        <w:tc>
          <w:tcPr>
            <w:tcW w:w="1933"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Needs assessment or baseline analysis reports (by UNDP, Judiciary  or other actors)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research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tc>
        <w:tc>
          <w:tcPr>
            <w:tcW w:w="2052"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Online research</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MOJ, judicial authorities, UNDP staff..</w:t>
            </w:r>
          </w:p>
        </w:tc>
      </w:tr>
      <w:tr w:rsidR="006E6AAA" w:rsidRPr="006E6AAA" w:rsidTr="00C8613A">
        <w:tc>
          <w:tcPr>
            <w:tcW w:w="5861"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Q.1.3. What was the relevance of mobile courts assistance for other priorities of UNDP Rule of Law programmes and the cross-cutting areas of gender equality, capacity building and national ownership?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synergies established between MC and other components of UNDP Rule of law programmes?  (Legal aid, Paralegalism, Policing, …), If so, what was the added value of a mobile court component?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was gender mainstreamed across the mobile court intervention?</w:t>
            </w:r>
          </w:p>
          <w:p w:rsidR="006E6AAA" w:rsidRPr="006E6AAA" w:rsidRDefault="006E6AAA" w:rsidP="006E6AAA">
            <w:pPr>
              <w:numPr>
                <w:ilvl w:val="1"/>
                <w:numId w:val="27"/>
              </w:numPr>
              <w:spacing w:after="0" w:line="240" w:lineRule="auto"/>
              <w:rPr>
                <w:rFonts w:ascii="Verdana" w:eastAsia="Times New Roman" w:hAnsi="Verdana" w:cs="Times New Roman"/>
                <w:color w:val="FF0000"/>
                <w:sz w:val="11"/>
                <w:szCs w:val="11"/>
                <w:lang w:eastAsia="da-DK"/>
              </w:rPr>
            </w:pPr>
            <w:r w:rsidRPr="006E6AAA">
              <w:rPr>
                <w:rFonts w:ascii="Calibri" w:eastAsia="Times New Roman" w:hAnsi="Calibri" w:cs="Times New Roman"/>
                <w:sz w:val="20"/>
                <w:szCs w:val="20"/>
                <w:lang w:eastAsia="da-DK"/>
              </w:rPr>
              <w:t>Have mobile courts interventions utilized existing local capacities of rights holders and duty bearers to achieve their results? How were their capacities strengthened?</w:t>
            </w:r>
          </w:p>
        </w:tc>
        <w:tc>
          <w:tcPr>
            <w:tcW w:w="1933"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UNDP documents: CPAP/UNDP project documents /BCPR field visits reports/ BCPR integrated projects/ evaluation reports…</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 reported opinions from key informants</w:t>
            </w:r>
          </w:p>
        </w:tc>
        <w:tc>
          <w:tcPr>
            <w:tcW w:w="2052"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 Interviews:   UNDP staff..</w:t>
            </w: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2. EFFECTIVENESS</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lastRenderedPageBreak/>
              <w:t xml:space="preserve">Q.2.1: What model of MC emerges from the CO practice?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is the composition of the MC? How are the judges/prosecutors/lawyers selected to participate?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jurisdiction of mobile courts with regards to subject matters, litigants and geographical coverage?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average distance between the permanent tribunal and the mobile court?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long does the mobile court session last and how often does it visit the same area per year?</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To what extent have interventions addressed transitional justice process and impunity of international crimes? </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Databases /statistics</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Map of the judiciary</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Q.2.2: What results (quantitative and qualitative) were achieved in each phase of mobile court interventions?</w:t>
            </w: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r w:rsidRPr="006E6AAA">
              <w:rPr>
                <w:rFonts w:ascii="Calibri" w:eastAsia="Times New Roman" w:hAnsi="Calibri" w:cs="Times New Roman"/>
                <w:smallCaps/>
                <w:u w:val="single"/>
                <w:lang w:eastAsia="da-DK"/>
              </w:rPr>
              <w:t>phase 1: before mobile court sessions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support did UNDP ensure to the logistical aspects of mobile courts (transport, courtroom, accommodation, office and legal material for judges on circuit)?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the population and local authorities informed about the arrival of the mobile court in an appropriate and timely manner?</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investigations in criminal cases effectively conducted? Were eventual pretrial detention issues addressed? Were linkages between Prosecutors and Police promoted?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notifications of procedural acts issued and communicated in a timely manner?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specific trainings for mobile court staff organized? (knowledge of the local culture and traditional law practices, gender/child rights…)</w:t>
            </w:r>
          </w:p>
          <w:p w:rsidR="006E6AAA" w:rsidRPr="006E6AAA" w:rsidRDefault="006E6AAA" w:rsidP="006E6AAA">
            <w:pPr>
              <w:spacing w:after="0" w:line="270" w:lineRule="atLeast"/>
              <w:rPr>
                <w:rFonts w:ascii="Calibri" w:eastAsia="Times New Roman" w:hAnsi="Calibri" w:cs="Times New Roman"/>
                <w:smallCaps/>
                <w:u w:val="single"/>
                <w:lang w:eastAsia="da-DK"/>
              </w:rPr>
            </w:pP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r w:rsidRPr="006E6AAA">
              <w:rPr>
                <w:rFonts w:ascii="Calibri" w:eastAsia="Times New Roman" w:hAnsi="Calibri" w:cs="Times New Roman"/>
                <w:smallCaps/>
                <w:u w:val="single"/>
                <w:lang w:eastAsia="da-DK"/>
              </w:rPr>
              <w:t>phase 2: during mobile court sessions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many and what cases received free legal aid from a lawyer? Was the Bar Association involved?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many witnesses appeared before the mobile court? Which measures were in place to protect witnesses and victims, and in particular SGBV victims? Is there a “travel cost reimbursement program” to assist witnesses and victims to appear in court?</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hearings translated into local languages?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many people participated in the public hearings? Were they assisted in better understanding the hearings?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mechanisms in place to ensure the security of mobile court staff?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the proceedings adequately recorded? Are there higher rates of adjournment for MC proceedings?</w:t>
            </w:r>
          </w:p>
          <w:p w:rsidR="006E6AAA" w:rsidRPr="006E6AAA" w:rsidRDefault="006E6AAA" w:rsidP="006E6AAA">
            <w:pPr>
              <w:spacing w:after="0" w:line="240" w:lineRule="auto"/>
              <w:ind w:left="144"/>
              <w:rPr>
                <w:rFonts w:ascii="Calibri" w:eastAsia="Times New Roman" w:hAnsi="Calibri" w:cs="Times New Roman"/>
                <w:smallCaps/>
                <w:u w:val="single"/>
                <w:lang w:eastAsia="da-DK"/>
              </w:rPr>
            </w:pPr>
          </w:p>
          <w:p w:rsidR="006E6AAA" w:rsidRPr="006E6AAA" w:rsidRDefault="006E6AAA" w:rsidP="006E6AAA">
            <w:pPr>
              <w:spacing w:after="0" w:line="270" w:lineRule="atLeast"/>
              <w:ind w:left="144" w:firstLine="432"/>
              <w:rPr>
                <w:rFonts w:ascii="Calibri" w:eastAsia="Times New Roman" w:hAnsi="Calibri" w:cs="Times New Roman"/>
                <w:smallCaps/>
                <w:u w:val="single"/>
                <w:lang w:eastAsia="da-DK"/>
              </w:rPr>
            </w:pPr>
            <w:r w:rsidRPr="006E6AAA">
              <w:rPr>
                <w:rFonts w:ascii="Calibri" w:eastAsia="Times New Roman" w:hAnsi="Calibri" w:cs="Times New Roman"/>
                <w:smallCaps/>
                <w:u w:val="single"/>
                <w:lang w:eastAsia="da-DK"/>
              </w:rPr>
              <w:t>phase 3: after mobile court sessions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How many judgments were enforced </w:t>
            </w:r>
            <w:r w:rsidRPr="006E6AAA">
              <w:rPr>
                <w:rFonts w:ascii="Calibri" w:eastAsia="Times New Roman" w:hAnsi="Calibri" w:cs="Times New Roman"/>
                <w:sz w:val="20"/>
                <w:szCs w:val="20"/>
                <w:lang w:eastAsia="da-DK"/>
              </w:rPr>
              <w:lastRenderedPageBreak/>
              <w:t xml:space="preserve">(criminal/civil)?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mechanisms in place to enforce prison sentences in the absence of local prison facilities?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rate of appeal of MC decisions?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Are there mechanisms in place to ensure the communication of MC decisions to the rest of the justice chain to ensure decision enforcement and information sharing?</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parties assisted to collect eventual financial compensation that they were awarded?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If alternative sanctions to imprisonment were applied (community services), was a follow up ensured?</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Project performance indicators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Databases/ statistics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MC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Judiciary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Research studies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Ministry of Justice, judicial authorities, police, prison staff, traditional authorities, lawyers, other implementing partners, UNDP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Focus group with beneficiaries</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Q.2.3: Were planning and monitoring procedures appropriate to achieve results and ensure accountability?</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Is a clear results framework with SMART indicators, targets and risks analysis available?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monitoring tools are available? Are court statistics available?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national partners involved in monitoring activities?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Is there a system in place for trial observation?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Is feedback from mobile court users collected to assess needs and adjust services accordingly?</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How is the quality of mobile court judgments assessed?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landmark cases identified and disseminated? </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 and results framework</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evaluation reports of broader ROL projects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reports drafted by MC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Q.2.4: What were the reasons for achievement and non-achievement of results and the factors contributing or hindering their achievement?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How can UNDP build upon or replicate the achievements?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How can the shortcomings be overcome?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are the lessons learned?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there any unanticipated events, opportunities or constraints?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could be done differently in the future?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What were the unintended results (positive/negative)</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Judiciary reports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Mobile court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3. EFFICIENCY</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Q.3.1: Has the MC intervention been implemented within its cost estimates and is it cost-effective?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sufficient resources allocated for mobile courts’ support interventions? Is the national government contributing to the budget for MC?</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the expenditures for MC proportionate to the number of cases and broader indicators as the number of participants in public hearings?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are the costs per trial? would it be cheaper to build court rooms and provide staff in remote </w:t>
            </w:r>
            <w:r w:rsidRPr="006E6AAA">
              <w:rPr>
                <w:rFonts w:ascii="Calibri" w:eastAsia="Times New Roman" w:hAnsi="Calibri" w:cs="Times New Roman"/>
                <w:sz w:val="20"/>
                <w:szCs w:val="20"/>
                <w:lang w:eastAsia="da-DK"/>
              </w:rPr>
              <w:lastRenderedPageBreak/>
              <w:t xml:space="preserve">areas?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Are perdiems for judges and MC staff in line with local market?</w:t>
            </w: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 Resource frameworks, budgets, AWP,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UNDP quarterly and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MOJ reports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Q.3.2: Has UNDP promoted a partnership strategy at the global, regional and national level to implement MC interventions? If so, was it effective and appropriate?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was the nature and added value of these partnerships?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Did such partnerships promote an integrated approach aiming at addressing complementary aspects of mobile courts interventions (legal awareness for the population; support to police and prisons; linkages with traditional justice …)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UNDP’s comparative advantages perceived/ interpreted and were these reflected in the division of responsibilities?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If the Judiciary received specific support for mobile courts interventions from several donors, were the initiatives efficiently coordinated?</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UNDAF</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partnership agreements/MOU</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xml:space="preserve">Protection cluster, UN agencies and INGOs, civil society organisations, universities… </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Request CO/HQ</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Q.3.3: What effect did UNDP technical assistance and management arrangements have on the quality of mobile courts interventions in terms of programming, delivery and monitoring for results?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Were the project management structure and the administrative modalities appropriate and effective?</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Was the support from UNDP staff effective and timely?</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 and monitoring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Mobile court staff…</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r>
      <w:tr w:rsidR="006E6AAA" w:rsidRPr="006E6AAA" w:rsidTr="00C8613A">
        <w:tc>
          <w:tcPr>
            <w:tcW w:w="5170" w:type="dxa"/>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p>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 xml:space="preserve">Q.3.4: Did mobile courts interventions focus on the set of activities that were expected to produce significant results?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all the planned activities implemented? Should additional activities be planned?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Are mobile courts ensuring the implementation of the international standards of fair trial? Would some of the fair trial rights need more attention? </w:t>
            </w: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tc>
        <w:tc>
          <w:tcPr>
            <w:tcW w:w="2108"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international standards on fair trial</w:t>
            </w:r>
          </w:p>
          <w:p w:rsidR="006E6AAA" w:rsidRPr="006E6AAA" w:rsidRDefault="006E6AAA" w:rsidP="006E6AAA">
            <w:pPr>
              <w:spacing w:after="0" w:line="270" w:lineRule="atLeast"/>
              <w:rPr>
                <w:rFonts w:ascii="Calibri" w:eastAsia="Times New Roman" w:hAnsi="Calibri" w:cs="Times New Roman"/>
                <w:sz w:val="20"/>
                <w:szCs w:val="20"/>
                <w:lang w:eastAsia="da-DK"/>
              </w:rPr>
            </w:pPr>
          </w:p>
        </w:tc>
        <w:tc>
          <w:tcPr>
            <w:tcW w:w="2568" w:type="dxa"/>
            <w:gridSpan w:val="2"/>
            <w:tcBorders>
              <w:bottom w:val="single" w:sz="4" w:space="0" w:color="auto"/>
            </w:tcBorders>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other implementing partners…</w:t>
            </w: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4. SUSTAINABILITY</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 xml:space="preserve">Q.4.1: To what extent were sustainability considerations taken into account in the design and implementation of interventions?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Were exit strategies for mobile courts interventions appropriately defined and implemented?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steps were taken to ensure that the effects of the intervention would continue beyond UNDP’s support?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Has the development of partnerships contributed to </w:t>
            </w:r>
            <w:r w:rsidRPr="006E6AAA">
              <w:rPr>
                <w:rFonts w:ascii="Calibri" w:eastAsia="Times New Roman" w:hAnsi="Calibri" w:cs="Times New Roman"/>
                <w:sz w:val="20"/>
                <w:szCs w:val="20"/>
                <w:lang w:eastAsia="da-DK"/>
              </w:rPr>
              <w:lastRenderedPageBreak/>
              <w:t>the sustainability of results?</w:t>
            </w:r>
          </w:p>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Ministry of Justice, Judiciary other implementing partners…</w:t>
            </w:r>
          </w:p>
        </w:tc>
      </w:tr>
      <w:tr w:rsidR="006E6AAA" w:rsidRPr="006E6AAA" w:rsidTr="00C8613A">
        <w:tc>
          <w:tcPr>
            <w:tcW w:w="5170" w:type="dxa"/>
            <w:shd w:val="clear" w:color="auto" w:fill="auto"/>
          </w:tcPr>
          <w:p w:rsidR="006E6AAA" w:rsidRPr="006E6AAA" w:rsidRDefault="006E6AAA" w:rsidP="006E6AAA">
            <w:pPr>
              <w:spacing w:after="0" w:line="270" w:lineRule="atLeast"/>
              <w:ind w:left="144"/>
              <w:rPr>
                <w:rFonts w:ascii="Calibri" w:eastAsia="Times New Roman" w:hAnsi="Calibri" w:cs="Times New Roman"/>
                <w:b/>
                <w:sz w:val="20"/>
                <w:szCs w:val="20"/>
                <w:lang w:eastAsia="da-DK"/>
              </w:rPr>
            </w:pPr>
          </w:p>
          <w:p w:rsidR="006E6AAA" w:rsidRPr="006E6AAA" w:rsidRDefault="006E6AAA" w:rsidP="006E6AAA">
            <w:pPr>
              <w:spacing w:after="0" w:line="270" w:lineRule="atLeast"/>
              <w:ind w:left="144"/>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Q.4.2: How were different stakeholders engaged designing, monitoring and implementing mobile courts interventions</w:t>
            </w:r>
            <w:r w:rsidRPr="006E6AAA">
              <w:rPr>
                <w:rFonts w:ascii="Calibri" w:eastAsia="Times New Roman" w:hAnsi="Calibri" w:cs="Times New Roman"/>
                <w:sz w:val="20"/>
                <w:szCs w:val="20"/>
                <w:lang w:eastAsia="da-DK"/>
              </w:rPr>
              <w:t xml:space="preserv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Has UNDP promoted and facilitated the coordination among local justice and security actors (Police, Prisons, Traditional justice, local authorities…) ?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Have linkages been established between mobile courts and ADR mechanisms? (for example to establish mandatory court annexed mediations). </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Project document</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annual reports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Reported opinions from key informants</w:t>
            </w:r>
          </w:p>
          <w:p w:rsidR="006E6AAA" w:rsidRPr="006E6AAA" w:rsidRDefault="006E6AAA" w:rsidP="006E6AAA">
            <w:pPr>
              <w:spacing w:after="0" w:line="270" w:lineRule="atLeast"/>
              <w:rPr>
                <w:rFonts w:ascii="Calibri" w:eastAsia="Times New Roman" w:hAnsi="Calibri" w:cs="Times New Roman"/>
                <w:sz w:val="20"/>
                <w:szCs w:val="20"/>
                <w:lang w:val="en-GB" w:eastAsia="da-DK"/>
              </w:rPr>
            </w:pP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 Interviews: UNDP staff, Judiciary, Ministry of Justice, Police, Prison staff, traditional authorities, local authorities…</w:t>
            </w:r>
          </w:p>
        </w:tc>
      </w:tr>
      <w:tr w:rsidR="006E6AAA" w:rsidRPr="006E6AAA" w:rsidTr="00C8613A">
        <w:tc>
          <w:tcPr>
            <w:tcW w:w="9846" w:type="dxa"/>
            <w:gridSpan w:val="5"/>
            <w:tcBorders>
              <w:bottom w:val="single" w:sz="4" w:space="0" w:color="auto"/>
            </w:tcBorders>
            <w:shd w:val="clear" w:color="auto" w:fill="E7EDEB"/>
          </w:tcPr>
          <w:p w:rsidR="006E6AAA" w:rsidRPr="006E6AAA" w:rsidRDefault="006E6AAA" w:rsidP="006E6AAA">
            <w:pPr>
              <w:spacing w:after="0" w:line="270" w:lineRule="atLeast"/>
              <w:rPr>
                <w:rFonts w:ascii="Calibri" w:eastAsia="Times New Roman" w:hAnsi="Calibri" w:cs="Times New Roman"/>
                <w:b/>
                <w:smallCaps/>
                <w:spacing w:val="28"/>
                <w:lang w:val="en-GB" w:eastAsia="da-DK"/>
              </w:rPr>
            </w:pPr>
            <w:r w:rsidRPr="006E6AAA">
              <w:rPr>
                <w:rFonts w:ascii="Calibri" w:eastAsia="Times New Roman" w:hAnsi="Calibri" w:cs="Times New Roman"/>
                <w:b/>
                <w:smallCaps/>
                <w:spacing w:val="28"/>
                <w:lang w:val="en-GB" w:eastAsia="da-DK"/>
              </w:rPr>
              <w:t>5. IMPACT</w:t>
            </w:r>
          </w:p>
        </w:tc>
      </w:tr>
      <w:tr w:rsidR="006E6AAA" w:rsidRPr="006E6AAA" w:rsidTr="00C8613A">
        <w:tc>
          <w:tcPr>
            <w:tcW w:w="5170" w:type="dxa"/>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questions &amp; sub-questions</w:t>
            </w:r>
          </w:p>
        </w:tc>
        <w:tc>
          <w:tcPr>
            <w:tcW w:w="210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sources</w:t>
            </w:r>
          </w:p>
        </w:tc>
        <w:tc>
          <w:tcPr>
            <w:tcW w:w="2568" w:type="dxa"/>
            <w:gridSpan w:val="2"/>
            <w:shd w:val="clear" w:color="auto" w:fill="000080"/>
          </w:tcPr>
          <w:p w:rsidR="006E6AAA" w:rsidRPr="006E6AAA" w:rsidRDefault="006E6AAA" w:rsidP="006E6AAA">
            <w:pPr>
              <w:spacing w:after="0" w:line="270" w:lineRule="atLeast"/>
              <w:rPr>
                <w:rFonts w:ascii="Calibri" w:eastAsia="Times New Roman" w:hAnsi="Calibri" w:cs="Times New Roman"/>
                <w:b/>
                <w:smallCaps/>
                <w:sz w:val="20"/>
                <w:szCs w:val="20"/>
                <w:lang w:val="en-GB" w:eastAsia="da-DK"/>
              </w:rPr>
            </w:pPr>
            <w:r w:rsidRPr="006E6AAA">
              <w:rPr>
                <w:rFonts w:ascii="Calibri" w:eastAsia="Times New Roman" w:hAnsi="Calibri" w:cs="Times New Roman"/>
                <w:b/>
                <w:smallCaps/>
                <w:sz w:val="20"/>
                <w:szCs w:val="20"/>
                <w:lang w:val="en-GB" w:eastAsia="da-DK"/>
              </w:rPr>
              <w:t>data collection method</w:t>
            </w:r>
          </w:p>
        </w:tc>
      </w:tr>
      <w:tr w:rsidR="006E6AAA" w:rsidRPr="006E6AAA" w:rsidTr="00C8613A">
        <w:tc>
          <w:tcPr>
            <w:tcW w:w="5170" w:type="dxa"/>
            <w:shd w:val="clear" w:color="auto" w:fill="auto"/>
          </w:tcPr>
          <w:p w:rsidR="006E6AAA" w:rsidRPr="006E6AAA" w:rsidRDefault="006E6AAA" w:rsidP="006E6AAA">
            <w:pPr>
              <w:spacing w:after="0" w:line="270" w:lineRule="atLeast"/>
              <w:rPr>
                <w:rFonts w:ascii="Calibri" w:eastAsia="Times New Roman" w:hAnsi="Calibri" w:cs="Times New Roman"/>
                <w:b/>
                <w:sz w:val="20"/>
                <w:szCs w:val="20"/>
                <w:lang w:eastAsia="da-DK"/>
              </w:rPr>
            </w:pPr>
            <w:r w:rsidRPr="006E6AAA">
              <w:rPr>
                <w:rFonts w:ascii="Calibri" w:eastAsia="Times New Roman" w:hAnsi="Calibri" w:cs="Times New Roman"/>
                <w:b/>
                <w:sz w:val="20"/>
                <w:szCs w:val="20"/>
                <w:lang w:eastAsia="da-DK"/>
              </w:rPr>
              <w:t>Q.5.1: What changes did mobile courts interventions bring for rights holders in terms of making justice more accessible to them?</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MC interventions promoted a better confidence in the justice system? Is there a perception that impunity is being addressed?</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Are vulnerable groups in remote areas more aware of their rights and do they have a better understanding of the formal justice system?</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Do MC provide an alternative to traditional justice?</w:t>
            </w:r>
          </w:p>
          <w:p w:rsidR="006E6AAA" w:rsidRPr="006E6AAA" w:rsidRDefault="006E6AAA" w:rsidP="006E6AAA">
            <w:pPr>
              <w:spacing w:after="0" w:line="270" w:lineRule="atLeast"/>
              <w:rPr>
                <w:rFonts w:ascii="Calibri" w:eastAsia="Times New Roman" w:hAnsi="Calibri" w:cs="Times New Roman"/>
                <w:color w:val="333333"/>
                <w:lang w:eastAsia="da-DK"/>
              </w:rPr>
            </w:pP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Reported opinions from key informants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Focus groups with  beneficiaries and interviews with their lawyers / Eventual users perception survey</w:t>
            </w:r>
          </w:p>
        </w:tc>
      </w:tr>
      <w:tr w:rsidR="006E6AAA" w:rsidRPr="006E6AAA" w:rsidTr="00C8613A">
        <w:tc>
          <w:tcPr>
            <w:tcW w:w="5170" w:type="dxa"/>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b/>
                <w:sz w:val="20"/>
                <w:szCs w:val="20"/>
                <w:lang w:eastAsia="da-DK"/>
              </w:rPr>
              <w:t>Q.5.2: What changes did mobile courts interventions bring for duty bearers in terms of making them more effective in responding to justice need of conflict affected populations in remote/underserved areas?</w:t>
            </w:r>
            <w:r w:rsidRPr="006E6AAA">
              <w:rPr>
                <w:rFonts w:ascii="Calibri" w:eastAsia="Times New Roman" w:hAnsi="Calibri" w:cs="Times New Roman"/>
                <w:sz w:val="20"/>
                <w:szCs w:val="20"/>
                <w:lang w:eastAsia="da-DK"/>
              </w:rPr>
              <w:t xml:space="preserve">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is the impact of MCs on ordinary courts? (in terms of  case backlog, promoting case management systems, costs)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 xml:space="preserve">What was the impact on ordinary courts of assigning judges and other judicial staff to mobile courts? </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MC interventions led to the re-establishment of the justice system eventually in conflict-affected areas?</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MC interventions promoted closer coordination among the different actors in the justice chain?</w:t>
            </w:r>
          </w:p>
          <w:p w:rsidR="006E6AAA" w:rsidRPr="006E6AAA" w:rsidRDefault="006E6AAA" w:rsidP="006E6AAA">
            <w:pPr>
              <w:numPr>
                <w:ilvl w:val="1"/>
                <w:numId w:val="27"/>
              </w:numPr>
              <w:spacing w:after="0" w:line="240" w:lineRule="auto"/>
              <w:rPr>
                <w:rFonts w:ascii="Calibri" w:eastAsia="Times New Roman" w:hAnsi="Calibri" w:cs="Times New Roman"/>
                <w:sz w:val="20"/>
                <w:szCs w:val="20"/>
                <w:lang w:eastAsia="da-DK"/>
              </w:rPr>
            </w:pPr>
            <w:r w:rsidRPr="006E6AAA">
              <w:rPr>
                <w:rFonts w:ascii="Calibri" w:eastAsia="Times New Roman" w:hAnsi="Calibri" w:cs="Times New Roman"/>
                <w:sz w:val="20"/>
                <w:szCs w:val="20"/>
                <w:lang w:eastAsia="da-DK"/>
              </w:rPr>
              <w:t>Have judicial authorities acquired additional skills and knowledge in terms of managing a MC intervention?</w:t>
            </w:r>
          </w:p>
        </w:tc>
        <w:tc>
          <w:tcPr>
            <w:tcW w:w="210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eastAsia="da-DK"/>
              </w:rPr>
            </w:pPr>
            <w:r w:rsidRPr="006E6AAA">
              <w:rPr>
                <w:rFonts w:ascii="Calibri" w:eastAsia="Times New Roman" w:hAnsi="Calibri" w:cs="Times New Roman"/>
                <w:sz w:val="20"/>
                <w:szCs w:val="20"/>
                <w:lang w:val="en-GB" w:eastAsia="da-DK"/>
              </w:rPr>
              <w:t>Reported opinions from key informants</w:t>
            </w:r>
          </w:p>
        </w:tc>
        <w:tc>
          <w:tcPr>
            <w:tcW w:w="2568" w:type="dxa"/>
            <w:gridSpan w:val="2"/>
            <w:shd w:val="clear" w:color="auto" w:fill="auto"/>
          </w:tcPr>
          <w:p w:rsidR="006E6AAA" w:rsidRPr="006E6AAA" w:rsidRDefault="006E6AAA" w:rsidP="006E6AAA">
            <w:pPr>
              <w:spacing w:after="0" w:line="270" w:lineRule="atLeast"/>
              <w:rPr>
                <w:rFonts w:ascii="Calibri" w:eastAsia="Times New Roman" w:hAnsi="Calibri" w:cs="Times New Roman"/>
                <w:sz w:val="20"/>
                <w:szCs w:val="20"/>
                <w:lang w:val="en-GB" w:eastAsia="da-DK"/>
              </w:rPr>
            </w:pPr>
            <w:r w:rsidRPr="006E6AAA">
              <w:rPr>
                <w:rFonts w:ascii="Calibri" w:eastAsia="Times New Roman" w:hAnsi="Calibri" w:cs="Times New Roman"/>
                <w:sz w:val="20"/>
                <w:szCs w:val="20"/>
                <w:lang w:val="en-GB" w:eastAsia="da-DK"/>
              </w:rPr>
              <w:t>Interviews: Judicial authorities and Ministry of Justice, Police, Prison staff, traditional authorities</w:t>
            </w:r>
          </w:p>
        </w:tc>
      </w:tr>
    </w:tbl>
    <w:p w:rsidR="006E6AAA" w:rsidRPr="006E6AAA" w:rsidRDefault="006E6AAA" w:rsidP="006E6AAA">
      <w:pPr>
        <w:spacing w:after="0" w:line="270" w:lineRule="atLeast"/>
        <w:rPr>
          <w:rFonts w:ascii="Calibri" w:eastAsia="Times New Roman" w:hAnsi="Calibri" w:cs="Times New Roman"/>
          <w:sz w:val="20"/>
          <w:szCs w:val="20"/>
          <w:lang w:val="en-GB" w:eastAsia="da-DK"/>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p>
    <w:p w:rsidR="006E6AAA" w:rsidRPr="006E6AAA" w:rsidRDefault="006E6AAA" w:rsidP="006E6AAA">
      <w:pPr>
        <w:spacing w:after="0" w:line="270" w:lineRule="atLeast"/>
        <w:rPr>
          <w:rFonts w:ascii="Calibri" w:eastAsia="Times New Roman" w:hAnsi="Calibri" w:cs="CG Omega"/>
          <w:b/>
          <w:color w:val="000080"/>
          <w:sz w:val="28"/>
          <w:szCs w:val="28"/>
          <w:u w:val="single"/>
          <w:lang w:val="en-GB" w:eastAsia="it-IT"/>
        </w:rPr>
      </w:pPr>
      <w:r w:rsidRPr="006E6AAA">
        <w:rPr>
          <w:rFonts w:ascii="Calibri" w:eastAsia="Times New Roman" w:hAnsi="Calibri" w:cs="CG Omega"/>
          <w:b/>
          <w:color w:val="000080"/>
          <w:sz w:val="28"/>
          <w:szCs w:val="28"/>
          <w:u w:val="single"/>
          <w:lang w:val="en-GB" w:eastAsia="it-IT"/>
        </w:rPr>
        <w:br w:type="page"/>
      </w: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r w:rsidRPr="006E6AAA">
        <w:rPr>
          <w:rFonts w:ascii="Calibri" w:eastAsia="Times New Roman" w:hAnsi="Calibri" w:cs="CG Omega"/>
          <w:b/>
          <w:color w:val="000080"/>
          <w:sz w:val="28"/>
          <w:szCs w:val="28"/>
          <w:u w:val="single"/>
          <w:lang w:eastAsia="it-IT"/>
        </w:rPr>
        <w:lastRenderedPageBreak/>
        <w:t>ANNEX 6 Terms of reference</w:t>
      </w:r>
    </w:p>
    <w:p w:rsidR="006E6AAA" w:rsidRPr="006E6AAA" w:rsidRDefault="006E6AAA" w:rsidP="006E6AAA">
      <w:pPr>
        <w:spacing w:after="0" w:line="270" w:lineRule="atLeast"/>
        <w:rPr>
          <w:rFonts w:ascii="Calibri" w:eastAsia="Times New Roman" w:hAnsi="Calibri" w:cs="CG Omega"/>
          <w:b/>
          <w:color w:val="000080"/>
          <w:sz w:val="28"/>
          <w:szCs w:val="28"/>
          <w:u w:val="single"/>
          <w:lang w:eastAsia="it-IT"/>
        </w:rPr>
      </w:pPr>
    </w:p>
    <w:p w:rsidR="006E6AAA" w:rsidRPr="006E6AAA" w:rsidRDefault="006E6AAA" w:rsidP="006E6AAA">
      <w:pPr>
        <w:spacing w:after="0" w:line="270" w:lineRule="atLeast"/>
        <w:rPr>
          <w:rFonts w:ascii="Times New Roman" w:eastAsia="Times New Roman" w:hAnsi="Times New Roman" w:cs="Times New Roman"/>
          <w:sz w:val="23"/>
          <w:szCs w:val="20"/>
          <w:lang w:val="en-GB" w:eastAsia="da-DK"/>
        </w:rPr>
      </w:pPr>
    </w:p>
    <w:tbl>
      <w:tblPr>
        <w:tblW w:w="0" w:type="auto"/>
        <w:tblCellSpacing w:w="30" w:type="dxa"/>
        <w:tblCellMar>
          <w:top w:w="15" w:type="dxa"/>
          <w:left w:w="15" w:type="dxa"/>
          <w:bottom w:w="15" w:type="dxa"/>
          <w:right w:w="15" w:type="dxa"/>
        </w:tblCellMar>
        <w:tblLook w:val="0000" w:firstRow="0" w:lastRow="0" w:firstColumn="0" w:lastColumn="0" w:noHBand="0" w:noVBand="0"/>
      </w:tblPr>
      <w:tblGrid>
        <w:gridCol w:w="5215"/>
        <w:gridCol w:w="4249"/>
      </w:tblGrid>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t>EVALUATION CONSULTANT: SUPPORT TO MOBILE COURT ARRANGEMENTS IN POST-CONFLICT SITUATIONS</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Location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Home-based with travel to selected countries</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Application Deadline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22-Aug-12</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Type of Contract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Individual Contract</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Post Level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International Consultant</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Languages Required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English </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b/>
                <w:bCs/>
                <w:color w:val="333333"/>
                <w:sz w:val="10"/>
                <w:szCs w:val="10"/>
                <w:lang w:val="en-GB" w:eastAsia="da-DK"/>
              </w:rPr>
              <w:t>Starting Date :</w:t>
            </w:r>
            <w:r w:rsidRPr="006E6AAA">
              <w:rPr>
                <w:rFonts w:ascii="Verdana" w:eastAsia="Times New Roman" w:hAnsi="Verdana" w:cs="Times New Roman"/>
                <w:color w:val="333333"/>
                <w:sz w:val="10"/>
                <w:szCs w:val="10"/>
                <w:lang w:eastAsia="da-DK"/>
              </w:rPr>
              <w:br/>
              <w:t>(date when the selected candidate is expected to start)</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24-Sep-2012</w:t>
            </w:r>
          </w:p>
        </w:tc>
      </w:tr>
      <w:tr w:rsidR="006E6AAA" w:rsidRPr="006E6AAA" w:rsidTr="00C8613A">
        <w:trPr>
          <w:tblCellSpacing w:w="30" w:type="dxa"/>
        </w:trPr>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b/>
                <w:bCs/>
                <w:color w:val="333333"/>
                <w:sz w:val="10"/>
                <w:szCs w:val="10"/>
                <w:lang w:val="en-GB" w:eastAsia="da-DK"/>
              </w:rPr>
              <w:t>Expected Duration of Assignment :</w:t>
            </w:r>
          </w:p>
        </w:tc>
        <w:tc>
          <w:tcPr>
            <w:tcW w:w="0" w:type="auto"/>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50 working days spread over 3 months</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jc w:val="right"/>
              <w:rPr>
                <w:rFonts w:ascii="Verdana" w:eastAsia="Times New Roman" w:hAnsi="Verdana" w:cs="Times New Roman"/>
                <w:color w:val="333333"/>
                <w:sz w:val="10"/>
                <w:szCs w:val="10"/>
                <w:lang w:eastAsia="da-DK"/>
              </w:rPr>
            </w:pPr>
            <w:hyperlink r:id="rId39" w:history="1">
              <w:r w:rsidRPr="006E6AAA">
                <w:rPr>
                  <w:rFonts w:ascii="Trebuchet MS" w:eastAsia="Times New Roman" w:hAnsi="Trebuchet MS" w:cs="Times New Roman"/>
                  <w:caps/>
                  <w:color w:val="0000FF"/>
                  <w:spacing w:val="19"/>
                  <w:sz w:val="8"/>
                  <w:szCs w:val="8"/>
                  <w:u w:val="single"/>
                  <w:bdr w:val="single" w:sz="4" w:space="0" w:color="336699" w:frame="1"/>
                  <w:shd w:val="clear" w:color="auto" w:fill="E9F0F6"/>
                  <w:lang w:eastAsia="da-DK"/>
                </w:rPr>
                <w:t>Refer a Friend</w:t>
              </w:r>
            </w:hyperlink>
            <w:r w:rsidRPr="006E6AAA">
              <w:rPr>
                <w:rFonts w:ascii="Verdana" w:eastAsia="Times New Roman" w:hAnsi="Verdana" w:cs="Times New Roman"/>
                <w:color w:val="333333"/>
                <w:sz w:val="10"/>
                <w:szCs w:val="10"/>
                <w:lang w:eastAsia="da-DK"/>
              </w:rPr>
              <w:t xml:space="preserve"> </w:t>
            </w:r>
            <w:hyperlink r:id="rId40" w:history="1">
              <w:r w:rsidRPr="006E6AAA">
                <w:rPr>
                  <w:rFonts w:ascii="Trebuchet MS" w:eastAsia="Times New Roman" w:hAnsi="Trebuchet MS" w:cs="Times New Roman"/>
                  <w:caps/>
                  <w:color w:val="0000FF"/>
                  <w:spacing w:val="19"/>
                  <w:sz w:val="8"/>
                  <w:szCs w:val="8"/>
                  <w:u w:val="single"/>
                  <w:bdr w:val="single" w:sz="4" w:space="0" w:color="336699" w:frame="1"/>
                  <w:shd w:val="clear" w:color="auto" w:fill="E9F0F6"/>
                  <w:lang w:eastAsia="da-DK"/>
                </w:rPr>
                <w:t>Apply Now</w:t>
              </w:r>
            </w:hyperlink>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t>Background</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Background and Context:</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UNDP provides rule of law support to over 100 countries, including 37 crisis-affected and fragile situations. Particular attention is paid to 21 priority countries supported through the Global Rule of Law Programme (2008-2011) which provides support to the implementation justice and security programmes in those countries. Recently, UNDP launched the second phase (2012-2015) of the Global Programme (GP) “Strengthening the rule of law in crisis-affected and fragile situations”.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The rule of law programmes in countries supported by the GP are focusing on enhancing access to justice and improved justice and security service delivery, tackling impunity for sexual and gender-based violence (SGBV), strengthening security sector governance, and supporting transitional justice processes. This assistance responds to urgent needs for justice and security, and simultaneously lays the foundations for recovery and long term development. The GP also provides support to joint programmes with DPKO, UNHCR, UNODC and UN Women which continue to deepen impact on the ground where it is most needed, particularly in UN mission areas such as Haiti, Liberia, South Sudan and Timor-Leste.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Barriers to access justice exist in many societies but they are especially pervasive in conflict and post-conflict contexts. The administration of justice system might have been disrupted and the population displaced as a consequence of the conflict. Consequently, for many people the formal justice system is too far away. UNDP programmes assist people to find their through the justice system by supporting legal aid and by bringing justice closer to conflict-affected populations through the establishment of mobile courts.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Support to mobile courts is provided in the aftermath of conflict to provide population to access to justice and seek redress for their grievances. In some countries, support to mobile courts arrangements is provided in the context of the UN’s support to transitional justice processes.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UNDP provided support to mobile courts in several countries, including in DRC, Central African Republic, Sierra Leone, Guinea-Bissau and Timor-Leste. In some countries this support was provided jointly with DPKO, OHCHR as well as civil society organizations. UNDP is now conducting a study to evaluate the impact of the UNDP support provided to mobile court arrangements in countries supported by the Global Programme.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Evaluation Purpose:</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The purpose of this evaluation is to assess the progress, achievements and lessons learned, including challenges faced with regard to the support to mobile courts’ systems in the framework of UNDP RoL programmes. The evaluation will review the impact of such activities and interventions at the sub-regional and national levels within the wider context of the technical and financial assistance provided by UNDP and its partners on RoL. In particular, the evaluation will measure the impact UNDP’s support regarding the facilitation of mobile court sessions and capacity development to bring justice closer to conflict-affected population and increase the access to justice of vulnerable people. In a second step, the evaluation will assess the impact of UNDP supported mobile court system for conflict-affected population to seek redress for their grievances and the consequences this might have for transitional justice and peace building and reconciliation efforts.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findings and conclusions of this evaluation will help generate lessons learned and identify best practices and strategies for UNDP’s (and its partners) RoL programming in post conflict-countries and for the continued engagement of UNDP in supporting development of mobile court’s systems and their relevance for legal/justice programming post conflict transitions..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Evaluation Scope and Objectives: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The evaluation will review components of RoL programmes supporting mobile courts project components in DRC, Central African Republic, Sierra Leone, Guinea-Bissau and Timor-Leste in terms of their contributions to improve access to justice for the conflict-affected population and increased justice service delivery at the sub-regional and national level in these </w:t>
            </w:r>
            <w:r w:rsidRPr="006E6AAA">
              <w:rPr>
                <w:rFonts w:ascii="Verdana" w:eastAsia="Times New Roman" w:hAnsi="Verdana" w:cs="Times New Roman"/>
                <w:color w:val="333333"/>
                <w:sz w:val="10"/>
                <w:szCs w:val="10"/>
                <w:lang w:eastAsia="da-DK"/>
              </w:rPr>
              <w:lastRenderedPageBreak/>
              <w:t xml:space="preserve">countries. The evaluation will specifically focus on the mobile courts’ impact for the population i) to seek redress for their grievances and ii) the consequences this might have for transitional justice processes and iii) for peace building and reconciliation efforts. The evaluation will examine the relevance of mobile courts project components in the context of their contributions towards improved justice service delivery and capacity development of justice institutions.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Specific objectives of the evaluation are as follows: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assess the extent to which the mobile courts’ assistance interventions met their intended objectives and contributed to the achievement of outcomes/outputs;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systematically review the implementation modalities, capacity development efforts, knowledge management and considerations for access to justice for vulnerable groups including women and in particular survivors of sexual violence;</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determine the extent to which support to mobile courts has contributed to increasing access to or decentralizing provision of justice services;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extent to which mobile courts contribute towards developing and strengthening long term national capacities and strategies;</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Assess the exit strategy for UNDP’s support to the mobile courts given their temporary nature;</w:t>
            </w:r>
          </w:p>
          <w:p w:rsidR="006E6AAA" w:rsidRPr="006E6AAA" w:rsidRDefault="006E6AAA" w:rsidP="006E6AAA">
            <w:pPr>
              <w:numPr>
                <w:ilvl w:val="0"/>
                <w:numId w:val="28"/>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present key findings, generate lessons learned, and provide a set of clear and forward-looking recommendations for enhancing the quality of future engagement of UNDP and its partners in supporting mobile courts’ arrangements.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evaluation will assess programme performance against the following criteria: relevance, effectiveness, efficiency and sustainability.</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Evaluation Questions: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This paragraph includes suggested evaluation questions against the 5 criteria listed below:</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Relevance</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what extent do the mobile courts’ support interventions respond to the priorities outlined in the national development strategies (or similar plans/strategies)? </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How does the support for mobile courts’ arrangements contribute to the longer term development results in terms of approaches, capacities, policies and strategies in the Rule of Law/Justice provision.</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How well do programming mix and support modalities match the needs of the population and national partners?</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has influenced UNDP’s decisions on where, how and to what extent to engage in supporting decentralization of justice service delivery through mobile courts assistance?</w:t>
            </w:r>
          </w:p>
          <w:p w:rsidR="006E6AAA" w:rsidRPr="006E6AAA" w:rsidRDefault="006E6AAA" w:rsidP="006E6AAA">
            <w:pPr>
              <w:numPr>
                <w:ilvl w:val="0"/>
                <w:numId w:val="29"/>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What was the relevance of and possible synergies between mobile courts assistance and other priorities identified in the Rule of Law programmes and the cross-cutting areas of gender equality, capacity building and national ownership? </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Efficiency </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Has the programme been implemented within its deadline and cost estimates?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Did the mobile courts’ support interventions focus on the set of activities that were expected to produce significant results?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Was there any identified synergy between UNDP-funded mobile courts’ support interventions and other similar interventions that contributed to reducing costs while supporting results?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Has there been over expenditure or under expenditure of the mobile courts’ support interventions?</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eastAsia="da-DK"/>
              </w:rPr>
              <w:t xml:space="preserve">Were there any unanticipated events, opportunities or constraints? Were the anticipated policy influences achieved? Did alternative ones emerge? </w:t>
            </w:r>
            <w:r w:rsidRPr="006E6AAA">
              <w:rPr>
                <w:rFonts w:ascii="Verdana" w:eastAsia="Times New Roman" w:hAnsi="Verdana" w:cs="Times New Roman"/>
                <w:color w:val="333333"/>
                <w:sz w:val="10"/>
                <w:szCs w:val="10"/>
                <w:lang w:val="en-GB" w:eastAsia="da-DK"/>
              </w:rPr>
              <w:t xml:space="preserve">What could be done differently in the future? </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Were there sufficient resources allocated towards achievement of the objectives of the mobile courts’ support interventions? How well did the mobile courts’ support interventions leverage non-core resources towards achievement of results? </w:t>
            </w:r>
          </w:p>
          <w:p w:rsidR="006E6AAA" w:rsidRPr="006E6AAA" w:rsidRDefault="006E6AAA" w:rsidP="006E6AAA">
            <w:pPr>
              <w:numPr>
                <w:ilvl w:val="0"/>
                <w:numId w:val="30"/>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effect did management and institutional arrangements have on the quality of mobile courts’ support interventions in terms of programming, delivery and monitoring for results? What measures were taken to assure the quality of development results and management practices, both in relation to process and products, and to partnership strategies? What monitoring and evaluation procedures were applied by UNDP and partners to ensure greater accountability?</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Effectiveness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Have the expected development (quantitative and qualitative) results been achieved and what were the supporting or impeding factors? </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the approaches, resources, models and conceptual frameworks relevant to achieve intended outcomes and outputs?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are the main lessons learned from the partnership strategies and what are the possibilities of replication?</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UNDP’s comparative advantages perceived/interpreted and were these reflected in the division of responsibilities?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To what extent have interventions addressed transitional justice process and impunity of international crimes?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Which aspects of the interventions had the greatest achievements? What have been the supporting factors? How can UNDP build upon or replicate these achievements? </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In which areas does the project component have the least achievements? What have been the constraining factors and why? How can they be overcome? </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the approaches, resources, models and conceptual frameworks used for mobile courts support relevant to the achievement of planned outcomes/outputs?</w:t>
            </w:r>
          </w:p>
          <w:p w:rsidR="006E6AAA" w:rsidRPr="006E6AAA" w:rsidRDefault="006E6AAA" w:rsidP="006E6AAA">
            <w:pPr>
              <w:numPr>
                <w:ilvl w:val="0"/>
                <w:numId w:val="31"/>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What were the unintended results (positive/negative) of mobile courts assistance interventions?</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Sustainability </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what extent was the timeframe/timeline of support to mobile courts as an immediate measure to improve access to justice of the conflict-affected population taken into account? </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To what extent were sustainability considerations were taken into account in the design and implementation of interventions? How was this concern reflected in the design of the project component, in the implementation of activities at different levels, in the delivery of outputs and the achievement of outcomes? </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Were exit strategies for mobile courts’ support interventions appropriately defined and implemented, and what steps have been taken to ensure sustainability of results?</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How the development of partnerships at the global, regional and national level contributed to sustainability of the results?</w:t>
            </w:r>
          </w:p>
          <w:p w:rsidR="006E6AAA" w:rsidRPr="006E6AAA" w:rsidRDefault="006E6AAA" w:rsidP="006E6AAA">
            <w:pPr>
              <w:numPr>
                <w:ilvl w:val="0"/>
                <w:numId w:val="32"/>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How different stakeholders been engaged in the design and implementation of mobile courts’ support interventions? Have interventions been implemented with appropriate and effective inter-agency and partnership strategies? What has been the nature and added value of these partnerships? </w:t>
            </w:r>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lastRenderedPageBreak/>
              <w:t>Duties and Responsibilities</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Inception: Based on the indicative questions listed in the above section, project component and content specific questions will be elaborated further by the evaluation consultant in the inception report. The inception report should contain an evaluation matrix that displays for each of the evaluation criteria the questions and sub-questions that the evaluation will answer, and for each question, the primary and secondary data that will be collected.</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Data collection: In view of the complexity of the evaluation, the consultant will seek to obtain data from a range of sources, including desk reviews and document analyses, surveys and questionnaires, stakeholder consultations, interviews and focus group discussions at UNDP Headquarters and in a range of programme countries, UN agencies, international organizations, and other relevant institutions. The rationale for using a range of data sources (data, perceptions, evidence) is to triangulate findings in a situation where much of the data, due to the very complex nature of interventions, is qualitative, and its interpretation thus critically dependent on the evaluators’ judgment. Triangulation provides an important tool in filtering evidence by using different data sources to inform the analysis of specific issues. The evaluators will provide empirical evidence to support all conclusions and recommendations, and the evidence will be validated from multiple sources. Where possible and appropriate, the evaluation should seek to obtain evidence as to what might or might not have occurred in the absence of these interventions. A three-phased approach will be adopted in conducting the evaluation: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First phase (Initial briefings/ meetings in New York and desk reviews):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During this phase, the Evaluation consultant will conduct a desk review of relevant project documents and related documentation such as routine monitoring reports, project progress reports, and relevant review and evaluation reports, other analytical studies. The desk review will enable the consultant to: i) examine the quality of results baselines and indicators established for the projects; ii) assess the adequacy of the response strategies as reflected in the results framework; iii) review the quality of project baselines and indicators as well as existing monitoring mechanisms and resources (financial and human), and iv) conduct an initial assessment of progress towards results and/or impact as reflected in available progress reports. During the first two weeks of this phase the Evaluation Consultant will participate in briefings and meetings in UNDP and other UN agencies based in New York and interviews with the members of the Evaluation Reference Group. Within the first two weeks of the assignment the Evaluation Consultant will submit the inception report, describing the methodological/analytical framework for the evaluation and overall timeframe.</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second phase (country visits):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in-country evaluations will require extensive review of existing documentation with particular attention to evaluations and studies, consultations with senior and operational managers and field staff, as well as consultations/interviews with a sample of beneficiaries. This will also include review of existing UNDP programme evaluations and assessments, studies, research and evaluations conducted by other development partners, and other relevant documentation. The Evaluation Consultant will conduct individual country visits to validate the documentary data against actual results on the ground. The focus will be to triangulate information from documents and interviews by gathering objective data on key achievements and areas for improvement. At the end of each country visit, the Evaluation Consultant is expected to present initial findings to the concerned country offices for validation of factual information and findings.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third phase (finalizing reports):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third phase of the evaluation will include finalization of the evaluation report, presentation of its findings to the Evaluation Reference Group and dissemination of lessons learned through existing UNDP mechanisms. The report should specifically highlight key lessons learned and good practices that could be replicated in future programs.</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Evaluation Products / Deliverables:</w:t>
            </w:r>
          </w:p>
          <w:p w:rsidR="006E6AAA" w:rsidRPr="006E6AAA" w:rsidRDefault="006E6AAA" w:rsidP="006E6AAA">
            <w:pPr>
              <w:numPr>
                <w:ilvl w:val="0"/>
                <w:numId w:val="33"/>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Inception report— detailing the evaluators’ understanding of what is being evaluated and why, showing how each evaluation question will be answered by way of: proposed methods, proposed sources of data and data collection procedures. The inception report will also include a proposed schedule of tasks, activities and deliverables, designating a team member with the lead responsibility for each task or product;</w:t>
            </w:r>
          </w:p>
          <w:p w:rsidR="006E6AAA" w:rsidRPr="006E6AAA" w:rsidRDefault="006E6AAA" w:rsidP="006E6AAA">
            <w:pPr>
              <w:numPr>
                <w:ilvl w:val="0"/>
                <w:numId w:val="33"/>
              </w:numPr>
              <w:spacing w:before="100" w:beforeAutospacing="1" w:after="100" w:afterAutospacing="1" w:line="240" w:lineRule="auto"/>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Draft evaluation report; and</w:t>
            </w:r>
          </w:p>
          <w:p w:rsidR="006E6AAA" w:rsidRPr="006E6AAA" w:rsidRDefault="006E6AAA" w:rsidP="006E6AAA">
            <w:pPr>
              <w:numPr>
                <w:ilvl w:val="0"/>
                <w:numId w:val="33"/>
              </w:numPr>
              <w:spacing w:before="100" w:beforeAutospacing="1" w:after="100" w:afterAutospacing="1" w:line="240" w:lineRule="auto"/>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 xml:space="preserve">Final evaluation report. </w:t>
            </w:r>
          </w:p>
          <w:p w:rsidR="006E6AAA" w:rsidRPr="006E6AAA" w:rsidRDefault="006E6AAA" w:rsidP="006E6AAA">
            <w:pPr>
              <w:spacing w:after="0" w:line="270" w:lineRule="atLeast"/>
              <w:rPr>
                <w:rFonts w:ascii="Verdana" w:eastAsia="Times New Roman" w:hAnsi="Verdana" w:cs="Times New Roman"/>
                <w:color w:val="333333"/>
                <w:sz w:val="10"/>
                <w:szCs w:val="10"/>
                <w:lang w:val="en-GB" w:eastAsia="da-DK"/>
              </w:rPr>
            </w:pPr>
            <w:r w:rsidRPr="006E6AAA">
              <w:rPr>
                <w:rFonts w:ascii="Verdana" w:eastAsia="Times New Roman" w:hAnsi="Verdana" w:cs="Times New Roman"/>
                <w:color w:val="333333"/>
                <w:sz w:val="10"/>
                <w:szCs w:val="10"/>
                <w:lang w:val="en-GB" w:eastAsia="da-DK"/>
              </w:rPr>
              <w:t>Evaluatiuon Ethics: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evaluation will be conducted in accordance with the principles outlined in the UNEG “Ethical Guidelines for Evaluation” and evaluators must address, in the design and implementation of the evaluation critical issues, critical issues including evaluation ethics and procedures to safeguard the rights and confidentiality of information providers, such for example: measures to ensure compliance with legal codes governing areas such as provisions to collect and report data, particularly permissions needed to interview or obtain information about children and young people; provisions to store and maintain security of collected information; and protocols to ensure anonymity and confidentiality.</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Implementation Arrangements:</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The ROL Team and the Monitoring and Evaluation team (M&amp;E) of the Bureau for Crisis Prevention and Recovery (BCPR) will jointly manage the evaluation process and ensure the coordination and liaison with concerned agencies at the headquarter level as well as the country level. An Evaluation Reference Group will be established at the outset of the evaluation, consisting of key stakeholders and partners, i.e. focal points/representative from UN agencies, multilateral development banks (the World Bank), academia, as well as client countries’ representatives and implementing partners. The Reference Group will play an important role in providing strategic, methodological and substantive inputs into the evaluation process, as well as feedback on the inception and final evaluation report. In addition, the reference group will ensure that the evaluation results are appropriately disseminated and discussed within their respective organizations.</w:t>
            </w:r>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Arial" w:eastAsia="Times New Roman" w:hAnsi="Arial" w:cs="Arial"/>
                <w:b/>
                <w:bCs/>
                <w:sz w:val="26"/>
                <w:szCs w:val="26"/>
                <w:lang w:val="en-GB" w:eastAsia="da-DK"/>
              </w:rPr>
            </w:pPr>
            <w:r w:rsidRPr="006E6AAA">
              <w:rPr>
                <w:rFonts w:ascii="Arial" w:eastAsia="Times New Roman" w:hAnsi="Arial" w:cs="Arial"/>
                <w:b/>
                <w:bCs/>
                <w:sz w:val="26"/>
                <w:szCs w:val="26"/>
                <w:lang w:val="en-GB" w:eastAsia="da-DK"/>
              </w:rPr>
              <w:lastRenderedPageBreak/>
              <w:t>Competencies</w:t>
            </w:r>
          </w:p>
        </w:tc>
      </w:tr>
      <w:tr w:rsidR="006E6AAA" w:rsidRPr="006E6AAA" w:rsidTr="00C8613A">
        <w:trPr>
          <w:tblCellSpacing w:w="30" w:type="dxa"/>
        </w:trPr>
        <w:tc>
          <w:tcPr>
            <w:tcW w:w="0" w:type="auto"/>
            <w:gridSpan w:val="2"/>
            <w:vAlign w:val="center"/>
          </w:tcPr>
          <w:p w:rsidR="006E6AAA" w:rsidRPr="006E6AAA" w:rsidRDefault="006E6AAA" w:rsidP="006E6AAA">
            <w:pPr>
              <w:numPr>
                <w:ilvl w:val="0"/>
                <w:numId w:val="34"/>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Superior leadership and strategic management skills with an excellent understanding of international development issues and knowledge of the UN system;</w:t>
            </w:r>
          </w:p>
          <w:p w:rsidR="006E6AAA" w:rsidRPr="006E6AAA" w:rsidRDefault="006E6AAA" w:rsidP="006E6AAA">
            <w:pPr>
              <w:numPr>
                <w:ilvl w:val="0"/>
                <w:numId w:val="34"/>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Strong written and verbal communication skills, in a multi-cultural setting; ability to conduct results-based management and reporting, objectivity and ability to analyze large multi-country data sets in short period;</w:t>
            </w:r>
          </w:p>
          <w:p w:rsidR="006E6AAA" w:rsidRPr="006E6AAA" w:rsidRDefault="006E6AAA" w:rsidP="006E6AAA">
            <w:pPr>
              <w:numPr>
                <w:ilvl w:val="0"/>
                <w:numId w:val="34"/>
              </w:numPr>
              <w:spacing w:before="100" w:beforeAutospacing="1" w:after="100" w:afterAutospacing="1"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Experience working collaboratively in small teams with tight deadlines. </w:t>
            </w:r>
          </w:p>
        </w:tc>
      </w:tr>
      <w:tr w:rsidR="006E6AAA" w:rsidRPr="006E6AAA" w:rsidTr="00C8613A">
        <w:trPr>
          <w:tblCellSpacing w:w="30" w:type="dxa"/>
        </w:trPr>
        <w:tc>
          <w:tcPr>
            <w:tcW w:w="0" w:type="auto"/>
            <w:gridSpan w:val="2"/>
            <w:vAlign w:val="center"/>
          </w:tcPr>
          <w:p w:rsidR="006E6AAA" w:rsidRPr="006E6AAA" w:rsidRDefault="006E6AAA" w:rsidP="006E6AAA">
            <w:pPr>
              <w:keepNext/>
              <w:spacing w:before="240" w:after="60" w:line="270" w:lineRule="atLeast"/>
              <w:outlineLvl w:val="2"/>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Required Skills and Experience</w:t>
            </w:r>
          </w:p>
        </w:tc>
      </w:tr>
      <w:tr w:rsidR="006E6AAA" w:rsidRPr="006E6AAA" w:rsidTr="00C8613A">
        <w:trPr>
          <w:tblCellSpacing w:w="30" w:type="dxa"/>
        </w:trPr>
        <w:tc>
          <w:tcPr>
            <w:tcW w:w="0" w:type="auto"/>
            <w:gridSpan w:val="2"/>
            <w:vAlign w:val="center"/>
          </w:tcPr>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Education: </w:t>
            </w:r>
          </w:p>
          <w:p w:rsidR="006E6AAA" w:rsidRPr="006E6AAA" w:rsidRDefault="006E6AAA" w:rsidP="006E6AAA">
            <w:pPr>
              <w:numPr>
                <w:ilvl w:val="0"/>
                <w:numId w:val="35"/>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Masters or PhD in law or other relevant fields. </w:t>
            </w:r>
          </w:p>
          <w:p w:rsidR="006E6AAA" w:rsidRPr="006E6AAA" w:rsidRDefault="006E6AAA" w:rsidP="006E6AAA">
            <w:pPr>
              <w:spacing w:after="0"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Experience:</w:t>
            </w:r>
          </w:p>
          <w:p w:rsidR="006E6AAA" w:rsidRPr="006E6AAA" w:rsidRDefault="006E6AAA" w:rsidP="006E6AAA">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At least 7 years of international development experience or well established and well-functioning organization with at least 5 years of experience in project/programme design and implementation; </w:t>
            </w:r>
          </w:p>
          <w:p w:rsidR="006E6AAA" w:rsidRPr="006E6AAA" w:rsidRDefault="006E6AAA" w:rsidP="006E6AAA">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Relevant professional experience in evaluation of rule of law or other relevant programmes – at national, regional, and global levels; </w:t>
            </w:r>
          </w:p>
          <w:p w:rsidR="006E6AAA" w:rsidRPr="006E6AAA" w:rsidRDefault="006E6AAA" w:rsidP="006E6AAA">
            <w:pPr>
              <w:numPr>
                <w:ilvl w:val="0"/>
                <w:numId w:val="36"/>
              </w:numPr>
              <w:spacing w:before="100" w:beforeAutospacing="1" w:after="100" w:afterAutospacing="1" w:line="240" w:lineRule="auto"/>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Strong monitoring and evaluation background, sound methodological skills and knowledge of evaluation methods and techniques; </w:t>
            </w:r>
          </w:p>
          <w:p w:rsidR="006E6AAA" w:rsidRPr="006E6AAA" w:rsidRDefault="006E6AAA" w:rsidP="006E6AAA">
            <w:pPr>
              <w:numPr>
                <w:ilvl w:val="0"/>
                <w:numId w:val="36"/>
              </w:numPr>
              <w:spacing w:before="100" w:beforeAutospacing="1" w:after="100" w:afterAutospacing="1" w:line="270" w:lineRule="atLeast"/>
              <w:rPr>
                <w:rFonts w:ascii="Verdana" w:eastAsia="Times New Roman" w:hAnsi="Verdana" w:cs="Times New Roman"/>
                <w:color w:val="333333"/>
                <w:sz w:val="10"/>
                <w:szCs w:val="10"/>
                <w:lang w:eastAsia="da-DK"/>
              </w:rPr>
            </w:pPr>
            <w:r w:rsidRPr="006E6AAA">
              <w:rPr>
                <w:rFonts w:ascii="Verdana" w:eastAsia="Times New Roman" w:hAnsi="Verdana" w:cs="Times New Roman"/>
                <w:color w:val="333333"/>
                <w:sz w:val="10"/>
                <w:szCs w:val="10"/>
                <w:lang w:eastAsia="da-DK"/>
              </w:rPr>
              <w:t xml:space="preserve">Extensive experience in working with the UN/multilateral development agencies, UNDP country offices and/or regional centres is an asset. </w:t>
            </w:r>
          </w:p>
        </w:tc>
      </w:tr>
    </w:tbl>
    <w:p w:rsidR="006E6AAA" w:rsidRPr="006E6AAA" w:rsidRDefault="006E6AAA" w:rsidP="006E6AAA">
      <w:pPr>
        <w:spacing w:after="0" w:line="270" w:lineRule="atLeast"/>
        <w:rPr>
          <w:rFonts w:ascii="Times New Roman" w:eastAsia="Times New Roman" w:hAnsi="Times New Roman" w:cs="Times New Roman"/>
          <w:sz w:val="23"/>
          <w:szCs w:val="20"/>
          <w:lang w:eastAsia="da-DK"/>
        </w:rPr>
      </w:pPr>
    </w:p>
    <w:p w:rsidR="006E6AAA" w:rsidRPr="006E6AAA" w:rsidRDefault="006E6AAA" w:rsidP="006E6AAA">
      <w:pPr>
        <w:spacing w:after="0" w:line="270" w:lineRule="atLeast"/>
        <w:rPr>
          <w:rFonts w:ascii="Calibri" w:eastAsia="Times New Roman" w:hAnsi="Calibri" w:cs="Times New Roman"/>
          <w:b/>
          <w:color w:val="000080"/>
          <w:sz w:val="28"/>
          <w:szCs w:val="28"/>
          <w:u w:val="single"/>
          <w:lang w:eastAsia="da-DK"/>
        </w:rPr>
      </w:pP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pP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pP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pPr>
    </w:p>
    <w:p w:rsidR="006E6AAA" w:rsidRPr="006E6AAA" w:rsidRDefault="006E6AAA" w:rsidP="006E6AAA">
      <w:pPr>
        <w:spacing w:after="0" w:line="270" w:lineRule="atLeast"/>
        <w:rPr>
          <w:rFonts w:ascii="Calibri" w:eastAsia="Times New Roman" w:hAnsi="Calibri" w:cs="Times New Roman"/>
          <w:b/>
          <w:color w:val="000080"/>
          <w:sz w:val="28"/>
          <w:szCs w:val="28"/>
          <w:u w:val="single"/>
          <w:lang w:val="en-GB" w:eastAsia="da-DK"/>
        </w:rPr>
      </w:pPr>
    </w:p>
    <w:p w:rsidR="006E6AAA" w:rsidRDefault="006E6AAA">
      <w:pPr>
        <w:rPr>
          <w:lang w:val="en-GB"/>
        </w:rPr>
      </w:pPr>
      <w:r>
        <w:rPr>
          <w:lang w:val="en-GB"/>
        </w:rPr>
        <w:br w:type="page"/>
      </w:r>
    </w:p>
    <w:p w:rsidR="006E6AAA" w:rsidRDefault="006E6AAA">
      <w:pPr>
        <w:rPr>
          <w:lang w:val="en-GB"/>
        </w:rPr>
      </w:pPr>
    </w:p>
    <w:p w:rsidR="006E6AAA" w:rsidRDefault="006E6AAA">
      <w:pPr>
        <w:rPr>
          <w:lang w:val="en-GB"/>
        </w:rPr>
      </w:pPr>
    </w:p>
    <w:p w:rsidR="006E6AAA" w:rsidRPr="006E6AAA" w:rsidRDefault="006E6AAA">
      <w:pPr>
        <w:rPr>
          <w:lang w:val="en-GB"/>
        </w:rPr>
      </w:pPr>
    </w:p>
    <w:p w:rsidR="006E6AAA" w:rsidRDefault="006E6AAA"/>
    <w:p w:rsidR="006E6AAA" w:rsidRPr="006E6AAA" w:rsidRDefault="006E6AAA" w:rsidP="006E6AAA">
      <w:pPr>
        <w:spacing w:after="0" w:line="240" w:lineRule="auto"/>
        <w:jc w:val="center"/>
        <w:rPr>
          <w:rFonts w:ascii="Constantia" w:eastAsia="Times New Roman" w:hAnsi="Constantia" w:cs="Kalinga"/>
          <w:b/>
          <w:i/>
          <w:sz w:val="32"/>
          <w:szCs w:val="32"/>
          <w:lang w:val="fr-FR" w:eastAsia="it-IT"/>
        </w:rPr>
      </w:pPr>
      <w:r w:rsidRPr="006E6AAA">
        <w:rPr>
          <w:rFonts w:ascii="Constantia" w:eastAsia="Times New Roman" w:hAnsi="Constantia" w:cs="Kalinga"/>
          <w:b/>
          <w:i/>
          <w:sz w:val="32"/>
          <w:szCs w:val="32"/>
          <w:lang w:val="fr-FR" w:eastAsia="it-IT"/>
        </w:rPr>
        <w:t>L’appui du PNUD dans l’organisation des audiences foraines</w:t>
      </w:r>
    </w:p>
    <w:p w:rsidR="006E6AAA" w:rsidRPr="006E6AAA" w:rsidRDefault="006E6AAA" w:rsidP="006E6AAA">
      <w:pPr>
        <w:spacing w:after="0" w:line="240" w:lineRule="auto"/>
        <w:ind w:left="720" w:right="-442"/>
        <w:rPr>
          <w:rFonts w:ascii="Constantia" w:eastAsia="Times New Roman" w:hAnsi="Constantia" w:cs="Kalinga"/>
          <w:sz w:val="44"/>
          <w:szCs w:val="44"/>
          <w:lang w:val="fr-FR" w:eastAsia="it-IT"/>
        </w:rPr>
      </w:pPr>
    </w:p>
    <w:p w:rsidR="006E6AAA" w:rsidRPr="006E6AAA" w:rsidRDefault="006E6AAA" w:rsidP="006E6AAA">
      <w:pPr>
        <w:spacing w:after="0" w:line="240" w:lineRule="auto"/>
        <w:ind w:left="720"/>
        <w:jc w:val="center"/>
        <w:rPr>
          <w:rFonts w:ascii="Constantia" w:eastAsia="Times New Roman" w:hAnsi="Constantia" w:cs="Kalinga"/>
          <w:smallCaps/>
          <w:spacing w:val="60"/>
          <w:sz w:val="36"/>
          <w:szCs w:val="36"/>
          <w:lang w:val="fr-FR" w:eastAsia="it-IT"/>
        </w:rPr>
      </w:pPr>
      <w:r w:rsidRPr="006E6AAA">
        <w:rPr>
          <w:rFonts w:ascii="Constantia" w:eastAsia="Times New Roman" w:hAnsi="Constantia" w:cs="Kalinga"/>
          <w:smallCaps/>
          <w:spacing w:val="60"/>
          <w:sz w:val="36"/>
          <w:szCs w:val="36"/>
          <w:lang w:val="fr-FR" w:eastAsia="it-IT"/>
        </w:rPr>
        <w:t>RAPPORT D’EVALUATION</w:t>
      </w:r>
    </w:p>
    <w:p w:rsidR="006E6AAA" w:rsidRPr="006E6AAA" w:rsidRDefault="006E6AAA" w:rsidP="006E6AAA">
      <w:pPr>
        <w:spacing w:after="0" w:line="240" w:lineRule="auto"/>
        <w:ind w:left="720"/>
        <w:rPr>
          <w:rFonts w:ascii="Constantia" w:eastAsia="Times New Roman" w:hAnsi="Constantia" w:cs="Kalinga"/>
          <w:smallCaps/>
          <w:spacing w:val="60"/>
          <w:sz w:val="48"/>
          <w:szCs w:val="48"/>
          <w:lang w:val="fr-FR" w:eastAsia="it-IT"/>
        </w:rPr>
      </w:pPr>
    </w:p>
    <w:p w:rsidR="006E6AAA" w:rsidRPr="006E6AAA" w:rsidRDefault="006E6AAA" w:rsidP="006E6AAA">
      <w:pPr>
        <w:spacing w:after="0" w:line="240" w:lineRule="auto"/>
        <w:jc w:val="right"/>
        <w:rPr>
          <w:rFonts w:ascii="Calibri" w:eastAsia="Times New Roman" w:hAnsi="Calibri" w:cs="Times New Roman"/>
          <w:sz w:val="28"/>
          <w:szCs w:val="28"/>
          <w:lang w:val="it-IT" w:eastAsia="it-IT"/>
        </w:rPr>
      </w:pPr>
      <w:r>
        <w:rPr>
          <w:rFonts w:ascii="Calibri" w:eastAsia="Times New Roman" w:hAnsi="Calibri" w:cs="Times New Roman"/>
          <w:noProof/>
          <w:sz w:val="28"/>
          <w:szCs w:val="28"/>
        </w:rPr>
        <w:drawing>
          <wp:inline distT="0" distB="0" distL="0" distR="0">
            <wp:extent cx="6124575" cy="4775835"/>
            <wp:effectExtent l="0" t="0" r="9525" b="5715"/>
            <wp:docPr id="7" name="Picture 7" descr="Copertina berit 2 copy ritoc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ertina berit 2 copy ritocca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4575" cy="4775835"/>
                    </a:xfrm>
                    <a:prstGeom prst="rect">
                      <a:avLst/>
                    </a:prstGeom>
                    <a:noFill/>
                    <a:ln>
                      <a:noFill/>
                    </a:ln>
                  </pic:spPr>
                </pic:pic>
              </a:graphicData>
            </a:graphic>
          </wp:inline>
        </w:drawing>
      </w:r>
    </w:p>
    <w:p w:rsidR="006E6AAA" w:rsidRPr="006E6AAA" w:rsidRDefault="006E6AAA" w:rsidP="006E6AAA">
      <w:pPr>
        <w:spacing w:after="0" w:line="240" w:lineRule="auto"/>
        <w:ind w:left="-360" w:right="62" w:firstLine="1080"/>
        <w:jc w:val="right"/>
        <w:rPr>
          <w:rFonts w:ascii="Calibri" w:eastAsia="Times New Roman" w:hAnsi="Calibri" w:cs="Times New Roman"/>
          <w:i/>
          <w:sz w:val="18"/>
          <w:szCs w:val="18"/>
          <w:lang w:val="fr-FR" w:eastAsia="it-IT"/>
        </w:rPr>
      </w:pPr>
      <w:r w:rsidRPr="006E6AAA">
        <w:rPr>
          <w:rFonts w:ascii="Calibri" w:eastAsia="Times New Roman" w:hAnsi="Calibri" w:cs="Times New Roman"/>
          <w:i/>
          <w:sz w:val="16"/>
          <w:szCs w:val="16"/>
          <w:lang w:val="fr-FR" w:eastAsia="it-IT"/>
        </w:rPr>
        <w:t xml:space="preserve">        </w:t>
      </w:r>
      <w:r w:rsidRPr="006E6AAA">
        <w:rPr>
          <w:rFonts w:ascii="Calibri" w:eastAsia="Times New Roman" w:hAnsi="Calibri" w:cs="Times New Roman"/>
          <w:i/>
          <w:sz w:val="18"/>
          <w:szCs w:val="18"/>
          <w:lang w:val="fr-FR" w:eastAsia="it-IT"/>
        </w:rPr>
        <w:t>Carrefour de la justice, Goma, RDC</w:t>
      </w:r>
    </w:p>
    <w:p w:rsidR="006E6AAA" w:rsidRPr="006E6AAA" w:rsidRDefault="006E6AAA" w:rsidP="006E6AAA">
      <w:pPr>
        <w:spacing w:after="0" w:line="240" w:lineRule="auto"/>
        <w:jc w:val="right"/>
        <w:rPr>
          <w:rFonts w:ascii="Calibri" w:eastAsia="Times New Roman" w:hAnsi="Calibri" w:cs="Times New Roman"/>
          <w:sz w:val="28"/>
          <w:szCs w:val="28"/>
          <w:lang w:val="fr-FR" w:eastAsia="it-IT"/>
        </w:rPr>
      </w:pPr>
    </w:p>
    <w:p w:rsidR="006E6AAA" w:rsidRPr="006E6AAA" w:rsidRDefault="006E6AAA" w:rsidP="006E6AAA">
      <w:pPr>
        <w:spacing w:after="0" w:line="240" w:lineRule="auto"/>
        <w:rPr>
          <w:rFonts w:ascii="Calibri" w:eastAsia="Times New Roman" w:hAnsi="Calibri" w:cs="Times New Roman"/>
          <w:sz w:val="28"/>
          <w:szCs w:val="28"/>
          <w:lang w:val="fr-FR" w:eastAsia="it-IT"/>
        </w:rPr>
      </w:pPr>
    </w:p>
    <w:p w:rsidR="006E6AAA" w:rsidRPr="006E6AAA" w:rsidRDefault="006E6AAA" w:rsidP="006E6AAA">
      <w:pPr>
        <w:spacing w:after="0" w:line="240" w:lineRule="auto"/>
        <w:rPr>
          <w:rFonts w:ascii="Constantia" w:eastAsia="Times New Roman" w:hAnsi="Constantia" w:cs="Kalinga"/>
          <w:sz w:val="32"/>
          <w:szCs w:val="32"/>
          <w:u w:val="single"/>
          <w:lang w:val="fr-FR" w:eastAsia="it-IT"/>
        </w:rPr>
      </w:pPr>
      <w:r w:rsidRPr="006E6AAA">
        <w:rPr>
          <w:rFonts w:ascii="Constantia" w:eastAsia="Times New Roman" w:hAnsi="Constantia" w:cs="Kalinga"/>
          <w:sz w:val="32"/>
          <w:szCs w:val="32"/>
          <w:u w:val="single"/>
          <w:lang w:val="fr-FR" w:eastAsia="it-IT"/>
        </w:rPr>
        <w:t>Rapport pays n.2</w:t>
      </w:r>
    </w:p>
    <w:p w:rsidR="006E6AAA" w:rsidRPr="006E6AAA" w:rsidRDefault="006E6AAA" w:rsidP="006E6AAA">
      <w:pPr>
        <w:spacing w:after="0" w:line="240" w:lineRule="auto"/>
        <w:ind w:left="720"/>
        <w:rPr>
          <w:rFonts w:ascii="Constantia" w:eastAsia="Times New Roman" w:hAnsi="Constantia" w:cs="Kalinga"/>
          <w:sz w:val="36"/>
          <w:szCs w:val="36"/>
          <w:u w:val="single"/>
          <w:lang w:val="fr-FR" w:eastAsia="it-IT"/>
        </w:rPr>
      </w:pPr>
    </w:p>
    <w:p w:rsidR="006E6AAA" w:rsidRPr="006E6AAA" w:rsidRDefault="006E6AAA" w:rsidP="006E6AAA">
      <w:pPr>
        <w:spacing w:after="0" w:line="240" w:lineRule="auto"/>
        <w:rPr>
          <w:rFonts w:ascii="Constantia" w:eastAsia="Times New Roman" w:hAnsi="Constantia" w:cs="Kalinga"/>
          <w:b/>
          <w:i/>
          <w:spacing w:val="-4"/>
          <w:sz w:val="32"/>
          <w:szCs w:val="32"/>
          <w:lang w:val="fr-FR" w:eastAsia="it-IT"/>
        </w:rPr>
      </w:pPr>
      <w:r w:rsidRPr="006E6AAA">
        <w:rPr>
          <w:rFonts w:ascii="Constantia" w:eastAsia="Times New Roman" w:hAnsi="Constantia" w:cs="Kalinga"/>
          <w:b/>
          <w:i/>
          <w:spacing w:val="-4"/>
          <w:sz w:val="32"/>
          <w:szCs w:val="32"/>
          <w:lang w:val="fr-FR" w:eastAsia="it-IT"/>
        </w:rPr>
        <w:t>Les audiences foraines en République Démocratique du Congo</w:t>
      </w:r>
    </w:p>
    <w:p w:rsidR="006E6AAA" w:rsidRPr="006E6AAA" w:rsidRDefault="006E6AAA" w:rsidP="006E6AAA">
      <w:pPr>
        <w:spacing w:after="0" w:line="240" w:lineRule="auto"/>
        <w:ind w:left="720"/>
        <w:rPr>
          <w:rFonts w:ascii="Constantia" w:eastAsia="Times New Roman" w:hAnsi="Constantia" w:cs="Kalinga"/>
          <w:b/>
          <w:i/>
          <w:sz w:val="44"/>
          <w:szCs w:val="44"/>
          <w:lang w:val="fr-FR" w:eastAsia="it-IT"/>
        </w:rPr>
      </w:pPr>
    </w:p>
    <w:p w:rsidR="006E6AAA" w:rsidRPr="006E6AAA" w:rsidRDefault="006E6AAA" w:rsidP="006E6AAA">
      <w:pPr>
        <w:spacing w:after="0" w:line="300" w:lineRule="exact"/>
        <w:rPr>
          <w:rFonts w:ascii="Constantia" w:eastAsia="Times New Roman" w:hAnsi="Constantia" w:cs="Kalinga"/>
          <w:b/>
          <w:sz w:val="24"/>
          <w:szCs w:val="24"/>
          <w:lang w:val="fr-BE" w:eastAsia="it-IT"/>
        </w:rPr>
      </w:pPr>
    </w:p>
    <w:p w:rsidR="006E6AAA" w:rsidRPr="006E6AAA" w:rsidRDefault="006E6AAA" w:rsidP="006E6AAA">
      <w:pPr>
        <w:spacing w:after="0" w:line="300" w:lineRule="exact"/>
        <w:rPr>
          <w:rFonts w:ascii="Constantia" w:eastAsia="Times New Roman" w:hAnsi="Constantia" w:cs="Kalinga"/>
          <w:sz w:val="24"/>
          <w:szCs w:val="24"/>
          <w:lang w:val="fr-FR" w:eastAsia="it-IT"/>
        </w:rPr>
      </w:pPr>
      <w:r w:rsidRPr="006E6AAA">
        <w:rPr>
          <w:rFonts w:ascii="Constantia" w:eastAsia="Times New Roman" w:hAnsi="Constantia" w:cs="Kalinga"/>
          <w:b/>
          <w:sz w:val="24"/>
          <w:szCs w:val="24"/>
          <w:lang w:val="fr-BE" w:eastAsia="it-IT"/>
        </w:rPr>
        <w:t>Commissionné</w:t>
      </w:r>
      <w:r w:rsidRPr="006E6AAA">
        <w:rPr>
          <w:rFonts w:ascii="Constantia" w:eastAsia="Times New Roman" w:hAnsi="Constantia" w:cs="Kalinga"/>
          <w:b/>
          <w:sz w:val="24"/>
          <w:szCs w:val="24"/>
          <w:lang w:val="fr-FR" w:eastAsia="it-IT"/>
        </w:rPr>
        <w:t xml:space="preserve"> </w:t>
      </w:r>
      <w:r w:rsidRPr="006E6AAA">
        <w:rPr>
          <w:rFonts w:ascii="Constantia" w:eastAsia="Times New Roman" w:hAnsi="Constantia" w:cs="Kalinga"/>
          <w:sz w:val="24"/>
          <w:szCs w:val="24"/>
          <w:lang w:val="fr-FR" w:eastAsia="it-IT"/>
        </w:rPr>
        <w:t>par le</w:t>
      </w:r>
      <w:r w:rsidRPr="006E6AAA">
        <w:rPr>
          <w:rFonts w:ascii="Constantia" w:eastAsia="Times New Roman" w:hAnsi="Constantia" w:cs="Kalinga"/>
          <w:b/>
          <w:sz w:val="24"/>
          <w:szCs w:val="24"/>
          <w:lang w:val="fr-FR" w:eastAsia="it-IT"/>
        </w:rPr>
        <w:t xml:space="preserve"> </w:t>
      </w:r>
      <w:r w:rsidRPr="006E6AAA">
        <w:rPr>
          <w:rFonts w:ascii="Constantia" w:eastAsia="Times New Roman" w:hAnsi="Constantia" w:cs="Kalinga"/>
          <w:sz w:val="24"/>
          <w:szCs w:val="24"/>
          <w:lang w:val="fr-FR" w:eastAsia="it-IT"/>
        </w:rPr>
        <w:t>PNUD (Bureau pour la Prévention de Crises et le Relèvement)</w:t>
      </w:r>
    </w:p>
    <w:p w:rsidR="006E6AAA" w:rsidRPr="006E6AAA" w:rsidRDefault="006E6AAA" w:rsidP="006E6AAA">
      <w:pPr>
        <w:spacing w:after="0" w:line="300" w:lineRule="exact"/>
        <w:rPr>
          <w:rFonts w:ascii="Constantia" w:eastAsia="Times New Roman" w:hAnsi="Constantia" w:cs="Kalinga"/>
          <w:sz w:val="24"/>
          <w:szCs w:val="24"/>
          <w:lang w:val="it-IT" w:eastAsia="it-IT"/>
        </w:rPr>
      </w:pPr>
      <w:r w:rsidRPr="006E6AAA">
        <w:rPr>
          <w:rFonts w:ascii="Constantia" w:eastAsia="Times New Roman" w:hAnsi="Constantia" w:cs="Kalinga"/>
          <w:b/>
          <w:sz w:val="24"/>
          <w:szCs w:val="24"/>
          <w:lang w:val="it-IT" w:eastAsia="it-IT"/>
        </w:rPr>
        <w:t xml:space="preserve">Rédigé </w:t>
      </w:r>
      <w:r w:rsidRPr="006E6AAA">
        <w:rPr>
          <w:rFonts w:ascii="Constantia" w:eastAsia="Times New Roman" w:hAnsi="Constantia" w:cs="Kalinga"/>
          <w:sz w:val="24"/>
          <w:szCs w:val="24"/>
          <w:lang w:val="it-IT" w:eastAsia="it-IT"/>
        </w:rPr>
        <w:t>par Monica Rispo (consultante independente)</w:t>
      </w:r>
    </w:p>
    <w:p w:rsidR="006E6AAA" w:rsidRPr="006E6AAA" w:rsidRDefault="006E6AAA" w:rsidP="006E6AAA">
      <w:pPr>
        <w:spacing w:after="0" w:line="240" w:lineRule="auto"/>
        <w:ind w:left="7080"/>
        <w:jc w:val="right"/>
        <w:rPr>
          <w:rFonts w:ascii="Constantia" w:eastAsia="Times New Roman" w:hAnsi="Constantia" w:cs="Kalinga"/>
          <w:sz w:val="28"/>
          <w:szCs w:val="28"/>
          <w:lang w:val="it-IT" w:eastAsia="it-IT"/>
        </w:rPr>
      </w:pPr>
    </w:p>
    <w:p w:rsidR="006E6AAA" w:rsidRPr="006E6AAA" w:rsidRDefault="006E6AAA" w:rsidP="006E6AAA">
      <w:pPr>
        <w:spacing w:after="0" w:line="240" w:lineRule="auto"/>
        <w:ind w:left="7080"/>
        <w:jc w:val="right"/>
        <w:rPr>
          <w:rFonts w:ascii="Constantia" w:eastAsia="Times New Roman" w:hAnsi="Constantia" w:cs="Kalinga"/>
          <w:sz w:val="28"/>
          <w:szCs w:val="28"/>
          <w:lang w:val="it-IT" w:eastAsia="it-IT"/>
        </w:rPr>
      </w:pPr>
      <w:r w:rsidRPr="006E6AAA">
        <w:rPr>
          <w:rFonts w:ascii="Constantia" w:eastAsia="Times New Roman" w:hAnsi="Constantia" w:cs="Kalinga"/>
          <w:sz w:val="28"/>
          <w:szCs w:val="28"/>
          <w:lang w:val="it-IT" w:eastAsia="it-IT"/>
        </w:rPr>
        <w:t>Mai 2013</w:t>
      </w:r>
    </w:p>
    <w:p w:rsidR="006E6AAA" w:rsidRPr="006E6AAA" w:rsidRDefault="006E6AAA" w:rsidP="006E6AAA">
      <w:pPr>
        <w:spacing w:after="0" w:line="240" w:lineRule="auto"/>
        <w:rPr>
          <w:rFonts w:ascii="Calibri" w:eastAsia="Times New Roman" w:hAnsi="Calibri" w:cs="Times New Roman"/>
          <w:sz w:val="28"/>
          <w:szCs w:val="28"/>
          <w:lang w:val="fr-FR" w:eastAsia="it-IT"/>
        </w:rPr>
      </w:pPr>
      <w:r w:rsidRPr="006E6AAA">
        <w:rPr>
          <w:rFonts w:ascii="Calibri" w:eastAsia="Times New Roman" w:hAnsi="Calibri" w:cs="Times New Roman"/>
          <w:sz w:val="20"/>
          <w:szCs w:val="20"/>
          <w:lang w:val="it-IT" w:eastAsia="it-IT"/>
        </w:rPr>
        <w:br w:type="page"/>
      </w:r>
      <w:r w:rsidRPr="006E6AAA">
        <w:rPr>
          <w:rFonts w:ascii="Calibri" w:eastAsia="Times New Roman" w:hAnsi="Calibri" w:cs="Times New Roman"/>
          <w:b/>
          <w:i/>
          <w:sz w:val="28"/>
          <w:szCs w:val="28"/>
          <w:lang w:val="fr-FR" w:eastAsia="it-IT"/>
        </w:rPr>
        <w:lastRenderedPageBreak/>
        <w:t>Table des matières</w:t>
      </w:r>
    </w:p>
    <w:p w:rsidR="006E6AAA" w:rsidRPr="006E6AAA" w:rsidRDefault="006E6AAA" w:rsidP="006E6AAA">
      <w:pPr>
        <w:spacing w:after="0" w:line="240" w:lineRule="auto"/>
        <w:rPr>
          <w:rFonts w:ascii="Calibri" w:eastAsia="Times New Roman" w:hAnsi="Calibri" w:cs="Times New Roman"/>
          <w:lang w:val="fr-FR" w:eastAsia="it-IT"/>
        </w:rPr>
      </w:pPr>
    </w:p>
    <w:p w:rsidR="006E6AAA" w:rsidRPr="006E6AAA" w:rsidRDefault="006E6AAA" w:rsidP="006E6AAA">
      <w:pPr>
        <w:tabs>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Liste des acronymes et abréviations ………………………………………………………………………………………………</w:t>
      </w:r>
      <w:r w:rsidRPr="006E6AAA">
        <w:rPr>
          <w:rFonts w:ascii="Calibri" w:eastAsia="Times New Roman" w:hAnsi="Calibri" w:cs="Times New Roman"/>
          <w:lang w:val="fr-FR" w:eastAsia="it-IT"/>
        </w:rPr>
        <w:tab/>
        <w:t xml:space="preserve">p. 3 </w:t>
      </w:r>
    </w:p>
    <w:p w:rsidR="006E6AAA" w:rsidRPr="006E6AAA" w:rsidRDefault="006E6AAA" w:rsidP="006E6AAA">
      <w:pPr>
        <w:tabs>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i/>
          <w:lang w:val="fr-FR" w:eastAsia="it-IT"/>
        </w:rPr>
        <w:t>Résume Exécutif</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t xml:space="preserve">p. 4 </w:t>
      </w:r>
    </w:p>
    <w:p w:rsidR="006E6AAA" w:rsidRPr="006E6AAA" w:rsidRDefault="006E6AAA" w:rsidP="006E6AAA">
      <w:pPr>
        <w:tabs>
          <w:tab w:val="left" w:pos="9000"/>
          <w:tab w:val="left" w:pos="9180"/>
        </w:tabs>
        <w:spacing w:after="0" w:line="240" w:lineRule="auto"/>
        <w:rPr>
          <w:rFonts w:ascii="Calibri" w:eastAsia="Times New Roman" w:hAnsi="Calibri" w:cs="Times New Roman"/>
          <w:lang w:val="fr-FR" w:eastAsia="it-IT"/>
        </w:rPr>
      </w:pPr>
    </w:p>
    <w:p w:rsidR="006E6AAA" w:rsidRPr="006E6AAA" w:rsidRDefault="006E6AAA" w:rsidP="006E6AAA">
      <w:pPr>
        <w:tabs>
          <w:tab w:val="left" w:pos="9000"/>
          <w:tab w:val="left" w:pos="9180"/>
        </w:tabs>
        <w:spacing w:after="0" w:line="240" w:lineRule="auto"/>
        <w:rPr>
          <w:rFonts w:ascii="Calibri" w:eastAsia="Times New Roman" w:hAnsi="Calibri" w:cs="Times New Roman"/>
          <w:b/>
          <w:color w:val="000080"/>
          <w:u w:val="single"/>
          <w:lang w:val="fr-FR" w:eastAsia="it-IT"/>
        </w:rPr>
      </w:pPr>
      <w:r w:rsidRPr="006E6AAA">
        <w:rPr>
          <w:rFonts w:ascii="Calibri" w:eastAsia="Times New Roman" w:hAnsi="Calibri" w:cs="Times New Roman"/>
          <w:b/>
          <w:color w:val="000080"/>
          <w:u w:val="single"/>
          <w:lang w:val="fr-FR" w:eastAsia="it-IT"/>
        </w:rPr>
        <w:t>PARTIE I : INTRODUCTION</w:t>
      </w:r>
    </w:p>
    <w:p w:rsidR="006E6AAA" w:rsidRPr="006E6AAA" w:rsidRDefault="006E6AAA" w:rsidP="006E6AAA">
      <w:pPr>
        <w:tabs>
          <w:tab w:val="left" w:pos="9000"/>
          <w:tab w:val="left" w:pos="9180"/>
        </w:tabs>
        <w:spacing w:after="0" w:line="240" w:lineRule="auto"/>
        <w:rPr>
          <w:rFonts w:ascii="Calibri" w:eastAsia="Times New Roman" w:hAnsi="Calibri" w:cs="Times New Roman"/>
          <w:u w:val="single"/>
          <w:lang w:val="fr-FR" w:eastAsia="it-IT"/>
        </w:rPr>
      </w:pP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1</w:t>
      </w:r>
      <w:r w:rsidRPr="006E6AAA">
        <w:rPr>
          <w:rFonts w:ascii="Calibri" w:eastAsia="Times New Roman" w:hAnsi="Calibri" w:cs="Times New Roman"/>
          <w:b/>
          <w:lang w:val="fr-FR" w:eastAsia="it-IT"/>
        </w:rPr>
        <w:t>.</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t>Justification et objectifs de l’évaluation ………………………………………………………………………………</w:t>
      </w:r>
      <w:r w:rsidRPr="006E6AAA">
        <w:rPr>
          <w:rFonts w:ascii="Calibri" w:eastAsia="Times New Roman" w:hAnsi="Calibri" w:cs="Times New Roman"/>
          <w:lang w:val="fr-FR" w:eastAsia="it-IT"/>
        </w:rPr>
        <w:tab/>
        <w:t xml:space="preserve">p. 8  </w:t>
      </w:r>
    </w:p>
    <w:p w:rsidR="006E6AAA" w:rsidRPr="006E6AAA" w:rsidRDefault="006E6AAA" w:rsidP="006E6AAA">
      <w:pPr>
        <w:tabs>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2.</w:t>
      </w:r>
      <w:r w:rsidRPr="006E6AAA">
        <w:rPr>
          <w:rFonts w:ascii="Calibri" w:eastAsia="Times New Roman" w:hAnsi="Calibri" w:cs="Times New Roman"/>
          <w:lang w:val="fr-FR" w:eastAsia="it-IT"/>
        </w:rPr>
        <w:t xml:space="preserve">        Méthodologie et limitations de l’évaluation ……………………………………………………………………….</w:t>
      </w:r>
      <w:r w:rsidRPr="006E6AAA">
        <w:rPr>
          <w:rFonts w:ascii="Calibri" w:eastAsia="Times New Roman" w:hAnsi="Calibri" w:cs="Times New Roman"/>
          <w:lang w:val="fr-FR" w:eastAsia="it-IT"/>
        </w:rPr>
        <w:tab/>
        <w:t>p. 8</w:t>
      </w:r>
    </w:p>
    <w:p w:rsidR="006E6AAA" w:rsidRPr="006E6AAA" w:rsidRDefault="006E6AAA" w:rsidP="006E6AAA">
      <w:pPr>
        <w:tabs>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3</w:t>
      </w:r>
      <w:r w:rsidRPr="006E6AAA">
        <w:rPr>
          <w:rFonts w:ascii="Calibri" w:eastAsia="Times New Roman" w:hAnsi="Calibri" w:cs="Times New Roman"/>
          <w:color w:val="000080"/>
          <w:lang w:val="fr-FR" w:eastAsia="it-IT"/>
        </w:rPr>
        <w:t>.</w:t>
      </w:r>
      <w:r w:rsidRPr="006E6AAA">
        <w:rPr>
          <w:rFonts w:ascii="Calibri" w:eastAsia="Times New Roman" w:hAnsi="Calibri" w:cs="Times New Roman"/>
          <w:lang w:val="fr-FR" w:eastAsia="it-IT"/>
        </w:rPr>
        <w:t xml:space="preserve">        </w:t>
      </w:r>
      <w:r w:rsidRPr="006E6AAA">
        <w:rPr>
          <w:rFonts w:ascii="Calibri" w:eastAsia="Times New Roman" w:hAnsi="Calibri" w:cs="Arial"/>
          <w:lang w:val="fr-FR" w:eastAsia="it-IT"/>
        </w:rPr>
        <w:t xml:space="preserve">Description des activités évaluées </w:t>
      </w:r>
      <w:r w:rsidRPr="006E6AAA">
        <w:rPr>
          <w:rFonts w:ascii="Calibri" w:eastAsia="Times New Roman" w:hAnsi="Calibri" w:cs="Times New Roman"/>
          <w:lang w:val="fr-FR" w:eastAsia="it-IT"/>
        </w:rPr>
        <w:t>………………………………………………………………………………………</w:t>
      </w:r>
      <w:r w:rsidRPr="006E6AAA">
        <w:rPr>
          <w:rFonts w:ascii="Calibri" w:eastAsia="Times New Roman" w:hAnsi="Calibri" w:cs="Times New Roman"/>
          <w:lang w:val="fr-FR" w:eastAsia="it-IT"/>
        </w:rPr>
        <w:tab/>
        <w:t>p. 9</w:t>
      </w:r>
    </w:p>
    <w:p w:rsidR="006E6AAA" w:rsidRPr="006E6AAA" w:rsidRDefault="006E6AAA" w:rsidP="006E6AAA">
      <w:pPr>
        <w:tabs>
          <w:tab w:val="left" w:pos="540"/>
          <w:tab w:val="left" w:pos="7560"/>
          <w:tab w:val="left" w:pos="8820"/>
          <w:tab w:val="left" w:pos="900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4.</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t xml:space="preserve">Hiérarchie des juridictions et </w:t>
      </w:r>
      <w:r w:rsidRPr="006E6AAA">
        <w:rPr>
          <w:rFonts w:ascii="Calibri" w:eastAsia="Times New Roman" w:hAnsi="Calibri" w:cs="Arial"/>
          <w:lang w:val="fr-FR" w:eastAsia="it-IT"/>
        </w:rPr>
        <w:t>carte judiciaire de la RDC</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t xml:space="preserve">p. 10 </w:t>
      </w:r>
    </w:p>
    <w:p w:rsidR="006E6AAA" w:rsidRPr="006E6AAA" w:rsidRDefault="006E6AAA" w:rsidP="006E6AAA">
      <w:pPr>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p>
    <w:p w:rsidR="006E6AAA" w:rsidRPr="006E6AAA" w:rsidRDefault="006E6AAA" w:rsidP="006E6AAA">
      <w:pPr>
        <w:spacing w:after="0" w:line="240" w:lineRule="auto"/>
        <w:rPr>
          <w:rFonts w:ascii="Calibri" w:eastAsia="Times New Roman" w:hAnsi="Calibri" w:cs="Times New Roman"/>
          <w:u w:val="single"/>
          <w:lang w:val="fr-FR" w:eastAsia="it-IT"/>
        </w:rPr>
      </w:pPr>
      <w:r w:rsidRPr="006E6AAA">
        <w:rPr>
          <w:rFonts w:ascii="Calibri" w:eastAsia="Times New Roman" w:hAnsi="Calibri" w:cs="Times New Roman"/>
          <w:b/>
          <w:smallCaps/>
          <w:color w:val="000080"/>
          <w:u w:val="single"/>
          <w:lang w:val="fr-FR" w:eastAsia="it-IT"/>
        </w:rPr>
        <w:t xml:space="preserve">PARTIE II : </w:t>
      </w:r>
      <w:r w:rsidRPr="006E6AAA">
        <w:rPr>
          <w:rFonts w:ascii="Calibri" w:eastAsia="Times New Roman" w:hAnsi="Calibri" w:cs="Times New Roman"/>
          <w:b/>
          <w:color w:val="000080"/>
          <w:u w:val="single"/>
          <w:lang w:val="fr-FR" w:eastAsia="it-IT"/>
        </w:rPr>
        <w:t>EVALUATION DE L’APPUI AUX AUDIENCES FORAINES</w:t>
      </w:r>
    </w:p>
    <w:p w:rsidR="006E6AAA" w:rsidRPr="006E6AAA" w:rsidRDefault="006E6AAA" w:rsidP="006E6AAA">
      <w:pPr>
        <w:spacing w:after="0" w:line="240" w:lineRule="auto"/>
        <w:rPr>
          <w:rFonts w:ascii="Calibri" w:eastAsia="Times New Roman" w:hAnsi="Calibri" w:cs="Times New Roman"/>
          <w:lang w:val="fr-FR" w:eastAsia="it-IT"/>
        </w:rPr>
      </w:pP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5</w:t>
      </w:r>
      <w:r w:rsidRPr="006E6AAA">
        <w:rPr>
          <w:rFonts w:ascii="Calibri" w:eastAsia="Times New Roman" w:hAnsi="Calibri" w:cs="Times New Roman"/>
          <w:b/>
          <w:lang w:val="fr-FR" w:eastAsia="it-IT"/>
        </w:rPr>
        <w:t>.</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r>
      <w:r w:rsidRPr="006E6AAA">
        <w:rPr>
          <w:rFonts w:ascii="Calibri" w:eastAsia="Times New Roman" w:hAnsi="Calibri" w:cs="Times New Roman"/>
          <w:b/>
          <w:smallCaps/>
          <w:color w:val="000080"/>
          <w:lang w:val="fr-FR" w:eastAsia="it-IT"/>
        </w:rPr>
        <w:t>pertinence</w:t>
      </w:r>
    </w:p>
    <w:p w:rsidR="006E6AAA" w:rsidRPr="006E6AAA" w:rsidRDefault="006E6AAA" w:rsidP="006E6AAA">
      <w:pPr>
        <w:tabs>
          <w:tab w:val="left" w:pos="540"/>
          <w:tab w:val="left" w:pos="72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5.1.</w:t>
      </w:r>
      <w:r w:rsidRPr="006E6AAA">
        <w:rPr>
          <w:rFonts w:ascii="Calibri" w:eastAsia="Times New Roman" w:hAnsi="Calibri" w:cs="Times New Roman"/>
          <w:lang w:val="fr-FR" w:eastAsia="it-IT"/>
        </w:rPr>
        <w:t xml:space="preserve"> Le modèle congolais d’audience foraine ………………………………………………………………………..</w:t>
      </w:r>
      <w:r w:rsidRPr="006E6AAA">
        <w:rPr>
          <w:rFonts w:ascii="Calibri" w:eastAsia="Times New Roman" w:hAnsi="Calibri" w:cs="Times New Roman"/>
          <w:lang w:val="fr-FR" w:eastAsia="it-IT"/>
        </w:rPr>
        <w:tab/>
        <w:t xml:space="preserve">p. 14  </w:t>
      </w:r>
    </w:p>
    <w:p w:rsidR="006E6AAA" w:rsidRPr="006E6AAA" w:rsidRDefault="006E6AAA" w:rsidP="006E6AAA">
      <w:pPr>
        <w:tabs>
          <w:tab w:val="left" w:pos="540"/>
          <w:tab w:val="left" w:pos="72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5.2.</w:t>
      </w:r>
      <w:r w:rsidRPr="006E6AAA">
        <w:rPr>
          <w:rFonts w:ascii="Calibri" w:eastAsia="Times New Roman" w:hAnsi="Calibri" w:cs="Times New Roman"/>
          <w:lang w:val="fr-FR" w:eastAsia="it-IT"/>
        </w:rPr>
        <w:t xml:space="preserve"> La pertinence avec les politiques nationales en matière de justice…………………………………</w:t>
      </w:r>
      <w:r w:rsidRPr="006E6AAA">
        <w:rPr>
          <w:rFonts w:ascii="Calibri" w:eastAsia="Times New Roman" w:hAnsi="Calibri" w:cs="Times New Roman"/>
          <w:lang w:val="fr-FR" w:eastAsia="it-IT"/>
        </w:rPr>
        <w:tab/>
        <w:t>p. 20</w:t>
      </w: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5.3</w:t>
      </w:r>
      <w:r w:rsidRPr="006E6AAA">
        <w:rPr>
          <w:rFonts w:ascii="Calibri" w:eastAsia="Times New Roman" w:hAnsi="Calibri" w:cs="Times New Roman"/>
          <w:lang w:val="fr-FR" w:eastAsia="it-IT"/>
        </w:rPr>
        <w:t>. La pertinence avec les besoins des bénéficiaires ……………………………………………………………</w:t>
      </w:r>
      <w:r w:rsidRPr="006E6AAA">
        <w:rPr>
          <w:rFonts w:ascii="Calibri" w:eastAsia="Times New Roman" w:hAnsi="Calibri" w:cs="Times New Roman"/>
          <w:lang w:val="fr-FR" w:eastAsia="it-IT"/>
        </w:rPr>
        <w:tab/>
        <w:t>p. 23</w:t>
      </w:r>
    </w:p>
    <w:p w:rsidR="006E6AAA" w:rsidRPr="006E6AAA" w:rsidRDefault="006E6AAA" w:rsidP="006E6AAA">
      <w:pPr>
        <w:tabs>
          <w:tab w:val="left" w:pos="540"/>
          <w:tab w:val="left" w:pos="756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5.4</w:t>
      </w:r>
      <w:r w:rsidRPr="006E6AAA">
        <w:rPr>
          <w:rFonts w:ascii="Calibri" w:eastAsia="Times New Roman" w:hAnsi="Calibri" w:cs="Times New Roman"/>
          <w:lang w:val="fr-FR" w:eastAsia="it-IT"/>
        </w:rPr>
        <w:t>. La pertinence avec le principe d’appropriation nationale ………………………………………………. p. 25</w:t>
      </w:r>
    </w:p>
    <w:p w:rsidR="006E6AAA" w:rsidRPr="006E6AAA" w:rsidRDefault="006E6AAA" w:rsidP="006E6AAA">
      <w:pPr>
        <w:tabs>
          <w:tab w:val="left" w:pos="540"/>
          <w:tab w:val="left" w:pos="7560"/>
        </w:tabs>
        <w:spacing w:after="0" w:line="240" w:lineRule="auto"/>
        <w:rPr>
          <w:rFonts w:ascii="Calibri" w:eastAsia="Times New Roman" w:hAnsi="Calibri" w:cs="Times New Roman"/>
          <w:lang w:val="fr-FR" w:eastAsia="it-IT"/>
        </w:rPr>
      </w:pP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6</w:t>
      </w:r>
      <w:r w:rsidRPr="006E6AAA">
        <w:rPr>
          <w:rFonts w:ascii="Calibri" w:eastAsia="Times New Roman" w:hAnsi="Calibri" w:cs="Times New Roman"/>
          <w:b/>
          <w:lang w:val="fr-FR" w:eastAsia="it-IT"/>
        </w:rPr>
        <w:t>.</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r>
      <w:r w:rsidRPr="006E6AAA">
        <w:rPr>
          <w:rFonts w:ascii="Calibri" w:eastAsia="Times New Roman" w:hAnsi="Calibri" w:cs="Times New Roman"/>
          <w:b/>
          <w:smallCaps/>
          <w:color w:val="000080"/>
          <w:lang w:val="fr-FR" w:eastAsia="it-IT"/>
        </w:rPr>
        <w:t>efficacite</w:t>
      </w:r>
    </w:p>
    <w:p w:rsidR="006E6AAA" w:rsidRPr="006E6AAA" w:rsidRDefault="006E6AAA" w:rsidP="006E6AAA">
      <w:pPr>
        <w:tabs>
          <w:tab w:val="left" w:pos="7560"/>
          <w:tab w:val="left" w:pos="8820"/>
        </w:tabs>
        <w:spacing w:after="0" w:line="240" w:lineRule="auto"/>
        <w:ind w:firstLine="540"/>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6.1.</w:t>
      </w:r>
      <w:r w:rsidRPr="006E6AAA">
        <w:rPr>
          <w:rFonts w:ascii="Calibri" w:eastAsia="Times New Roman" w:hAnsi="Calibri" w:cs="Times New Roman"/>
          <w:lang w:val="fr-FR" w:eastAsia="it-IT"/>
        </w:rPr>
        <w:t xml:space="preserve"> Planification et suivi ……………………………………………………………………………………………………….</w:t>
      </w:r>
      <w:r w:rsidRPr="006E6AAA">
        <w:rPr>
          <w:rFonts w:ascii="Calibri" w:eastAsia="Times New Roman" w:hAnsi="Calibri" w:cs="Times New Roman"/>
          <w:lang w:val="fr-FR" w:eastAsia="it-IT"/>
        </w:rPr>
        <w:tab/>
        <w:t>p. 26</w:t>
      </w:r>
    </w:p>
    <w:p w:rsidR="006E6AAA" w:rsidRPr="006E6AAA" w:rsidRDefault="006E6AAA" w:rsidP="006E6AAA">
      <w:pPr>
        <w:tabs>
          <w:tab w:val="left" w:pos="7560"/>
          <w:tab w:val="left" w:pos="8820"/>
        </w:tabs>
        <w:spacing w:after="0" w:line="240" w:lineRule="auto"/>
        <w:ind w:firstLine="540"/>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6.2.</w:t>
      </w:r>
      <w:r w:rsidRPr="006E6AAA">
        <w:rPr>
          <w:rFonts w:ascii="Calibri" w:eastAsia="Times New Roman" w:hAnsi="Calibri" w:cs="Times New Roman"/>
          <w:lang w:val="fr-FR" w:eastAsia="it-IT"/>
        </w:rPr>
        <w:t xml:space="preserve"> </w:t>
      </w:r>
      <w:r w:rsidRPr="006E6AAA">
        <w:rPr>
          <w:rFonts w:ascii="Calibri" w:eastAsia="Times New Roman" w:hAnsi="Calibri" w:cs="Arial"/>
          <w:lang w:val="fr-FR" w:eastAsia="it-IT"/>
        </w:rPr>
        <w:t>Les résultats atteints ………………………………………………………………………………………………………</w:t>
      </w:r>
      <w:r w:rsidRPr="006E6AAA">
        <w:rPr>
          <w:rFonts w:ascii="Calibri" w:eastAsia="Times New Roman" w:hAnsi="Calibri" w:cs="Arial"/>
          <w:lang w:val="fr-FR" w:eastAsia="it-IT"/>
        </w:rPr>
        <w:tab/>
        <w:t>p. 30</w:t>
      </w:r>
    </w:p>
    <w:p w:rsidR="006E6AAA" w:rsidRPr="006E6AAA" w:rsidRDefault="006E6AAA" w:rsidP="006E6AAA">
      <w:pPr>
        <w:tabs>
          <w:tab w:val="left" w:pos="7560"/>
          <w:tab w:val="left" w:pos="8820"/>
        </w:tabs>
        <w:spacing w:after="0" w:line="240" w:lineRule="auto"/>
        <w:ind w:firstLine="540"/>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6.3.</w:t>
      </w:r>
      <w:r w:rsidRPr="006E6AAA">
        <w:rPr>
          <w:rFonts w:ascii="Calibri" w:eastAsia="Times New Roman" w:hAnsi="Calibri" w:cs="Times New Roman"/>
          <w:lang w:val="fr-FR" w:eastAsia="it-IT"/>
        </w:rPr>
        <w:t xml:space="preserve"> La qualité des résultats atteints ……………………………………………………………………………………..</w:t>
      </w:r>
      <w:r w:rsidRPr="006E6AAA">
        <w:rPr>
          <w:rFonts w:ascii="Calibri" w:eastAsia="Times New Roman" w:hAnsi="Calibri" w:cs="Times New Roman"/>
          <w:lang w:val="fr-FR" w:eastAsia="it-IT"/>
        </w:rPr>
        <w:tab/>
        <w:t>p. 31</w:t>
      </w:r>
    </w:p>
    <w:p w:rsidR="006E6AAA" w:rsidRPr="006E6AAA" w:rsidRDefault="006E6AAA" w:rsidP="006E6AAA">
      <w:pPr>
        <w:tabs>
          <w:tab w:val="left" w:pos="7560"/>
          <w:tab w:val="left" w:pos="8820"/>
        </w:tabs>
        <w:spacing w:after="0" w:line="240" w:lineRule="auto"/>
        <w:ind w:firstLine="540"/>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6.4.</w:t>
      </w:r>
      <w:r w:rsidRPr="006E6AAA">
        <w:rPr>
          <w:rFonts w:ascii="Calibri" w:eastAsia="Times New Roman" w:hAnsi="Calibri" w:cs="Times New Roman"/>
          <w:lang w:val="fr-FR" w:eastAsia="it-IT"/>
        </w:rPr>
        <w:t xml:space="preserve"> La poursuite des crimes internationaux en complémentarité avec la CPI ………………………. p. 37</w:t>
      </w:r>
      <w:r w:rsidRPr="006E6AAA">
        <w:rPr>
          <w:rFonts w:ascii="Calibri" w:eastAsia="Times New Roman" w:hAnsi="Calibri" w:cs="Times New Roman"/>
          <w:lang w:val="fr-FR" w:eastAsia="it-IT"/>
        </w:rPr>
        <w:tab/>
      </w: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7.</w:t>
      </w:r>
      <w:r w:rsidRPr="006E6AAA">
        <w:rPr>
          <w:rFonts w:ascii="Calibri" w:eastAsia="Times New Roman" w:hAnsi="Calibri" w:cs="Times New Roman"/>
          <w:lang w:val="fr-FR" w:eastAsia="it-IT"/>
        </w:rPr>
        <w:t xml:space="preserve">  </w:t>
      </w:r>
      <w:r w:rsidRPr="006E6AAA">
        <w:rPr>
          <w:rFonts w:ascii="Calibri" w:eastAsia="Times New Roman" w:hAnsi="Calibri" w:cs="Times New Roman"/>
          <w:lang w:val="fr-FR" w:eastAsia="it-IT"/>
        </w:rPr>
        <w:tab/>
      </w:r>
      <w:r w:rsidRPr="006E6AAA">
        <w:rPr>
          <w:rFonts w:ascii="Calibri" w:eastAsia="Times New Roman" w:hAnsi="Calibri" w:cs="Times New Roman"/>
          <w:b/>
          <w:smallCaps/>
          <w:color w:val="000080"/>
          <w:lang w:val="fr-FR" w:eastAsia="it-IT"/>
        </w:rPr>
        <w:t>efficiance</w:t>
      </w: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 xml:space="preserve">7.1. </w:t>
      </w:r>
      <w:r w:rsidRPr="006E6AAA">
        <w:rPr>
          <w:rFonts w:ascii="Calibri" w:eastAsia="Times New Roman" w:hAnsi="Calibri" w:cs="Times New Roman"/>
          <w:lang w:val="fr-FR" w:eastAsia="it-IT"/>
        </w:rPr>
        <w:t>Viabilité financière ………………………………………………………………………………………………………..</w:t>
      </w:r>
      <w:r w:rsidRPr="006E6AAA">
        <w:rPr>
          <w:rFonts w:ascii="Calibri" w:eastAsia="Times New Roman" w:hAnsi="Calibri" w:cs="Times New Roman"/>
          <w:lang w:val="fr-FR" w:eastAsia="it-IT"/>
        </w:rPr>
        <w:tab/>
        <w:t>p. 40</w:t>
      </w:r>
    </w:p>
    <w:p w:rsidR="006E6AAA" w:rsidRPr="006E6AAA" w:rsidRDefault="006E6AAA" w:rsidP="006E6AAA">
      <w:pPr>
        <w:tabs>
          <w:tab w:val="left" w:pos="540"/>
          <w:tab w:val="left" w:pos="8460"/>
          <w:tab w:val="left" w:pos="8820"/>
        </w:tabs>
        <w:spacing w:after="0" w:line="240" w:lineRule="auto"/>
        <w:rPr>
          <w:rFonts w:ascii="Calibri" w:eastAsia="Times New Roman" w:hAnsi="Calibri" w:cs="Times New Roman"/>
          <w:b/>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 xml:space="preserve">7.2. </w:t>
      </w:r>
      <w:r w:rsidRPr="006E6AAA">
        <w:rPr>
          <w:rFonts w:ascii="Calibri" w:eastAsia="Times New Roman" w:hAnsi="Calibri" w:cs="Times New Roman"/>
          <w:lang w:val="fr-FR" w:eastAsia="it-IT"/>
        </w:rPr>
        <w:t>La coordination entre partenaires internationaux …………………………………………………………</w:t>
      </w:r>
      <w:r w:rsidRPr="006E6AAA">
        <w:rPr>
          <w:rFonts w:ascii="Calibri" w:eastAsia="Times New Roman" w:hAnsi="Calibri" w:cs="Times New Roman"/>
          <w:lang w:val="fr-FR" w:eastAsia="it-IT"/>
        </w:rPr>
        <w:tab/>
        <w:t xml:space="preserve">p. 42 </w:t>
      </w:r>
    </w:p>
    <w:p w:rsidR="006E6AAA" w:rsidRPr="006E6AAA" w:rsidRDefault="006E6AAA" w:rsidP="006E6AAA">
      <w:pPr>
        <w:tabs>
          <w:tab w:val="left" w:pos="540"/>
          <w:tab w:val="left" w:pos="8460"/>
          <w:tab w:val="left" w:pos="8820"/>
        </w:tabs>
        <w:spacing w:after="0" w:line="240" w:lineRule="auto"/>
        <w:rPr>
          <w:rFonts w:ascii="Calibri" w:eastAsia="Times New Roman" w:hAnsi="Calibri" w:cs="Times New Roman"/>
          <w:b/>
          <w:lang w:val="fr-FR" w:eastAsia="it-IT"/>
        </w:rPr>
      </w:pPr>
      <w:r w:rsidRPr="006E6AAA">
        <w:rPr>
          <w:rFonts w:ascii="Calibri" w:eastAsia="Times New Roman" w:hAnsi="Calibri" w:cs="Times New Roman"/>
          <w:b/>
          <w:lang w:val="fr-FR" w:eastAsia="it-IT"/>
        </w:rPr>
        <w:tab/>
      </w:r>
      <w:r w:rsidRPr="006E6AAA">
        <w:rPr>
          <w:rFonts w:ascii="Calibri" w:eastAsia="Times New Roman" w:hAnsi="Calibri" w:cs="Times New Roman"/>
          <w:b/>
          <w:color w:val="000080"/>
          <w:lang w:val="fr-FR" w:eastAsia="it-IT"/>
        </w:rPr>
        <w:t>7.3</w:t>
      </w:r>
      <w:r w:rsidRPr="006E6AAA">
        <w:rPr>
          <w:rFonts w:ascii="Calibri" w:eastAsia="Times New Roman" w:hAnsi="Calibri" w:cs="Times New Roman"/>
          <w:lang w:val="fr-FR" w:eastAsia="it-IT"/>
        </w:rPr>
        <w:t>. Contraintes et défis ……………………………………………………………………………………………………….</w:t>
      </w:r>
      <w:r w:rsidRPr="006E6AAA">
        <w:rPr>
          <w:rFonts w:ascii="Calibri" w:eastAsia="Times New Roman" w:hAnsi="Calibri" w:cs="Times New Roman"/>
          <w:lang w:val="fr-FR" w:eastAsia="it-IT"/>
        </w:rPr>
        <w:tab/>
        <w:t>p. 43</w:t>
      </w:r>
    </w:p>
    <w:p w:rsidR="006E6AAA" w:rsidRPr="006E6AAA" w:rsidRDefault="006E6AAA" w:rsidP="006E6AAA">
      <w:pPr>
        <w:tabs>
          <w:tab w:val="left" w:pos="540"/>
          <w:tab w:val="left" w:pos="8460"/>
          <w:tab w:val="left" w:pos="8820"/>
        </w:tabs>
        <w:spacing w:after="0" w:line="240" w:lineRule="auto"/>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ab/>
        <w:t>7.4.</w:t>
      </w:r>
      <w:r w:rsidRPr="006E6AAA">
        <w:rPr>
          <w:rFonts w:ascii="Calibri" w:eastAsia="Times New Roman" w:hAnsi="Calibri" w:cs="Times New Roman"/>
          <w:lang w:val="fr-FR" w:eastAsia="it-IT"/>
        </w:rPr>
        <w:t xml:space="preserve"> Meilleures pratiques ……………………………………………………………………………………………………… </w:t>
      </w:r>
      <w:r w:rsidRPr="006E6AAA">
        <w:rPr>
          <w:rFonts w:ascii="Calibri" w:eastAsia="Times New Roman" w:hAnsi="Calibri" w:cs="Times New Roman"/>
          <w:lang w:val="fr-FR" w:eastAsia="it-IT"/>
        </w:rPr>
        <w:tab/>
        <w:t>p. 44</w:t>
      </w:r>
    </w:p>
    <w:p w:rsidR="006E6AAA" w:rsidRPr="006E6AAA" w:rsidRDefault="006E6AAA" w:rsidP="006E6AAA">
      <w:pPr>
        <w:tabs>
          <w:tab w:val="left" w:pos="540"/>
          <w:tab w:val="left" w:pos="8460"/>
        </w:tabs>
        <w:spacing w:after="0" w:line="240" w:lineRule="auto"/>
        <w:rPr>
          <w:rFonts w:ascii="Calibri" w:eastAsia="Times New Roman" w:hAnsi="Calibri" w:cs="Times New Roman"/>
          <w:b/>
          <w:lang w:val="fr-FR" w:eastAsia="it-IT"/>
        </w:rPr>
      </w:pP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7.</w:t>
      </w:r>
      <w:r w:rsidRPr="006E6AAA">
        <w:rPr>
          <w:rFonts w:ascii="Calibri" w:eastAsia="Times New Roman" w:hAnsi="Calibri" w:cs="Times New Roman"/>
          <w:b/>
          <w:color w:val="000080"/>
          <w:lang w:val="fr-FR" w:eastAsia="it-IT"/>
        </w:rPr>
        <w:tab/>
      </w:r>
      <w:r w:rsidRPr="006E6AAA">
        <w:rPr>
          <w:rFonts w:ascii="Calibri" w:eastAsia="Times New Roman" w:hAnsi="Calibri" w:cs="Times New Roman"/>
          <w:b/>
          <w:smallCaps/>
          <w:color w:val="000080"/>
          <w:lang w:val="fr-FR" w:eastAsia="it-IT"/>
        </w:rPr>
        <w:t>durabilite</w:t>
      </w:r>
    </w:p>
    <w:p w:rsidR="006E6AAA" w:rsidRPr="006E6AAA" w:rsidRDefault="006E6AAA" w:rsidP="006E6AAA">
      <w:pPr>
        <w:tabs>
          <w:tab w:val="left" w:pos="54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ab/>
        <w:t>8.1.</w:t>
      </w:r>
      <w:r w:rsidRPr="006E6AAA">
        <w:rPr>
          <w:rFonts w:ascii="Calibri" w:eastAsia="Times New Roman" w:hAnsi="Calibri" w:cs="Times New Roman"/>
          <w:lang w:val="fr-FR" w:eastAsia="it-IT"/>
        </w:rPr>
        <w:t xml:space="preserve"> La pérennisation des résultats atteints ………………………………………………………………………….</w:t>
      </w:r>
      <w:r w:rsidRPr="006E6AAA">
        <w:rPr>
          <w:rFonts w:ascii="Calibri" w:eastAsia="Times New Roman" w:hAnsi="Calibri" w:cs="Times New Roman"/>
          <w:lang w:val="fr-FR" w:eastAsia="it-IT"/>
        </w:rPr>
        <w:tab/>
        <w:t>p. 44</w:t>
      </w: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9.</w:t>
      </w:r>
      <w:r w:rsidRPr="006E6AAA">
        <w:rPr>
          <w:rFonts w:ascii="Calibri" w:eastAsia="Times New Roman" w:hAnsi="Calibri" w:cs="Times New Roman"/>
          <w:b/>
          <w:color w:val="000080"/>
          <w:lang w:val="fr-FR" w:eastAsia="it-IT"/>
        </w:rPr>
        <w:tab/>
      </w:r>
      <w:r w:rsidRPr="006E6AAA">
        <w:rPr>
          <w:rFonts w:ascii="Calibri" w:eastAsia="Times New Roman" w:hAnsi="Calibri" w:cs="Times New Roman"/>
          <w:b/>
          <w:smallCaps/>
          <w:color w:val="000080"/>
          <w:lang w:val="fr-FR" w:eastAsia="it-IT"/>
        </w:rPr>
        <w:t>impact</w:t>
      </w: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b/>
          <w:color w:val="000080"/>
          <w:lang w:val="fr-FR" w:eastAsia="it-IT"/>
        </w:rPr>
        <w:t>9.1.</w:t>
      </w:r>
      <w:r w:rsidRPr="006E6AAA">
        <w:rPr>
          <w:rFonts w:ascii="Calibri" w:eastAsia="Times New Roman" w:hAnsi="Calibri" w:cs="Times New Roman"/>
          <w:lang w:val="fr-FR" w:eastAsia="it-IT"/>
        </w:rPr>
        <w:t xml:space="preserve"> Les changements produits par les AF …………………………………………………………………………… </w:t>
      </w:r>
      <w:r w:rsidRPr="006E6AAA">
        <w:rPr>
          <w:rFonts w:ascii="Calibri" w:eastAsia="Times New Roman" w:hAnsi="Calibri" w:cs="Times New Roman"/>
          <w:lang w:val="fr-FR" w:eastAsia="it-IT"/>
        </w:rPr>
        <w:tab/>
        <w:t>p. 45</w:t>
      </w: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b/>
      </w:r>
    </w:p>
    <w:p w:rsidR="006E6AAA" w:rsidRPr="006E6AAA" w:rsidRDefault="006E6AAA" w:rsidP="006E6AAA">
      <w:pPr>
        <w:tabs>
          <w:tab w:val="left" w:pos="540"/>
        </w:tabs>
        <w:spacing w:after="0" w:line="240" w:lineRule="auto"/>
        <w:rPr>
          <w:rFonts w:ascii="Calibri" w:eastAsia="Times New Roman" w:hAnsi="Calibri" w:cs="Times New Roman"/>
          <w:b/>
          <w:color w:val="000080"/>
          <w:u w:val="single"/>
          <w:lang w:val="fr-FR" w:eastAsia="it-IT"/>
        </w:rPr>
      </w:pPr>
      <w:r w:rsidRPr="006E6AAA">
        <w:rPr>
          <w:rFonts w:ascii="Calibri" w:eastAsia="Times New Roman" w:hAnsi="Calibri" w:cs="Times New Roman"/>
          <w:b/>
          <w:color w:val="000080"/>
          <w:u w:val="single"/>
          <w:lang w:val="fr-FR" w:eastAsia="it-IT"/>
        </w:rPr>
        <w:t>PARTIE III: CONCLUSIONS ET RECCOMENDATIONS</w:t>
      </w: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10.</w:t>
      </w:r>
      <w:r w:rsidRPr="006E6AAA">
        <w:rPr>
          <w:rFonts w:ascii="Calibri" w:eastAsia="Times New Roman" w:hAnsi="Calibri" w:cs="Times New Roman"/>
          <w:lang w:val="fr-FR" w:eastAsia="it-IT"/>
        </w:rPr>
        <w:t xml:space="preserve"> Conclusions ……………………………………………………………………………………………………………………………….</w:t>
      </w:r>
      <w:r w:rsidRPr="006E6AAA">
        <w:rPr>
          <w:rFonts w:ascii="Calibri" w:eastAsia="Times New Roman" w:hAnsi="Calibri" w:cs="Times New Roman"/>
          <w:lang w:val="fr-FR" w:eastAsia="it-IT"/>
        </w:rPr>
        <w:tab/>
        <w:t>p. 47</w:t>
      </w:r>
    </w:p>
    <w:p w:rsidR="006E6AAA" w:rsidRPr="006E6AAA" w:rsidRDefault="006E6AAA" w:rsidP="006E6AAA">
      <w:pPr>
        <w:tabs>
          <w:tab w:val="left" w:pos="540"/>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11.</w:t>
      </w:r>
      <w:r w:rsidRPr="006E6AAA">
        <w:rPr>
          <w:rFonts w:ascii="Calibri" w:eastAsia="Times New Roman" w:hAnsi="Calibri" w:cs="Times New Roman"/>
          <w:lang w:val="fr-FR" w:eastAsia="it-IT"/>
        </w:rPr>
        <w:t xml:space="preserve"> Recommandations …………………………………………………………………………………………………………………….</w:t>
      </w:r>
      <w:r w:rsidRPr="006E6AAA">
        <w:rPr>
          <w:rFonts w:ascii="Calibri" w:eastAsia="Times New Roman" w:hAnsi="Calibri" w:cs="Times New Roman"/>
          <w:lang w:val="fr-FR" w:eastAsia="it-IT"/>
        </w:rPr>
        <w:tab/>
        <w:t>p. 49</w:t>
      </w:r>
    </w:p>
    <w:p w:rsidR="006E6AAA" w:rsidRPr="006E6AAA" w:rsidRDefault="006E6AAA" w:rsidP="006E6AAA">
      <w:pPr>
        <w:tabs>
          <w:tab w:val="left" w:pos="540"/>
        </w:tabs>
        <w:spacing w:after="0" w:line="240" w:lineRule="auto"/>
        <w:rPr>
          <w:rFonts w:ascii="Calibri" w:eastAsia="Times New Roman" w:hAnsi="Calibri" w:cs="Times New Roman"/>
          <w:lang w:val="fr-FR" w:eastAsia="it-IT"/>
        </w:rPr>
      </w:pPr>
    </w:p>
    <w:p w:rsidR="006E6AAA" w:rsidRPr="006E6AAA" w:rsidRDefault="006E6AAA" w:rsidP="006E6AAA">
      <w:pPr>
        <w:spacing w:after="0" w:line="240" w:lineRule="auto"/>
        <w:rPr>
          <w:rFonts w:ascii="Calibri" w:eastAsia="Times New Roman" w:hAnsi="Calibri" w:cs="Times New Roman"/>
          <w:b/>
          <w:smallCaps/>
          <w:color w:val="000080"/>
          <w:u w:val="single"/>
          <w:lang w:val="fr-FR" w:eastAsia="it-IT"/>
        </w:rPr>
      </w:pPr>
      <w:r w:rsidRPr="006E6AAA">
        <w:rPr>
          <w:rFonts w:ascii="Calibri" w:eastAsia="Times New Roman" w:hAnsi="Calibri" w:cs="Times New Roman"/>
          <w:b/>
          <w:color w:val="000080"/>
          <w:u w:val="single"/>
          <w:lang w:val="fr-FR" w:eastAsia="it-IT"/>
        </w:rPr>
        <w:t>ANNEXES</w:t>
      </w:r>
    </w:p>
    <w:p w:rsidR="006E6AAA" w:rsidRPr="006E6AAA" w:rsidRDefault="006E6AAA" w:rsidP="006E6AAA">
      <w:pPr>
        <w:spacing w:after="0" w:line="240" w:lineRule="auto"/>
        <w:rPr>
          <w:rFonts w:ascii="Calibri" w:eastAsia="Times New Roman" w:hAnsi="Calibri" w:cs="Times New Roman"/>
          <w:u w:val="single"/>
          <w:lang w:val="fr-FR" w:eastAsia="it-IT"/>
        </w:rPr>
      </w:pPr>
    </w:p>
    <w:p w:rsidR="006E6AAA" w:rsidRPr="006E6AAA" w:rsidRDefault="006E6AAA" w:rsidP="006E6AAA">
      <w:pPr>
        <w:numPr>
          <w:ilvl w:val="0"/>
          <w:numId w:val="84"/>
        </w:numPr>
        <w:tabs>
          <w:tab w:val="left" w:pos="7560"/>
          <w:tab w:val="left" w:pos="8820"/>
        </w:tabs>
        <w:spacing w:after="0" w:line="240" w:lineRule="auto"/>
        <w:rPr>
          <w:rFonts w:ascii="Times New Roman" w:eastAsia="Times New Roman" w:hAnsi="Times New Roman" w:cs="Times New Roman"/>
          <w:lang w:val="fr-FR" w:eastAsia="it-IT"/>
        </w:rPr>
      </w:pPr>
      <w:r w:rsidRPr="006E6AAA">
        <w:rPr>
          <w:rFonts w:ascii="Calibri" w:eastAsia="Times New Roman" w:hAnsi="Calibri" w:cs="Times New Roman"/>
          <w:lang w:val="fr-FR" w:eastAsia="it-IT"/>
        </w:rPr>
        <w:t xml:space="preserve">Liste des documents consultés </w:t>
      </w:r>
    </w:p>
    <w:p w:rsidR="006E6AAA" w:rsidRPr="006E6AAA" w:rsidRDefault="006E6AAA" w:rsidP="006E6AAA">
      <w:pPr>
        <w:numPr>
          <w:ilvl w:val="0"/>
          <w:numId w:val="84"/>
        </w:numPr>
        <w:tabs>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Liste des personnes rencontrées </w:t>
      </w:r>
    </w:p>
    <w:p w:rsidR="006E6AAA" w:rsidRPr="006E6AAA" w:rsidRDefault="006E6AAA" w:rsidP="006E6AAA">
      <w:pPr>
        <w:numPr>
          <w:ilvl w:val="0"/>
          <w:numId w:val="84"/>
        </w:numPr>
        <w:tabs>
          <w:tab w:val="left" w:pos="7560"/>
          <w:tab w:val="left" w:pos="8820"/>
        </w:tabs>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Tableau récapitulatif des AF appuyées par les PNUD en 2011 et 2012</w:t>
      </w:r>
    </w:p>
    <w:p w:rsidR="006E6AAA" w:rsidRPr="006E6AAA" w:rsidRDefault="006E6AAA" w:rsidP="006E6AAA">
      <w:pPr>
        <w:numPr>
          <w:ilvl w:val="0"/>
          <w:numId w:val="84"/>
        </w:numPr>
        <w:tabs>
          <w:tab w:val="left" w:pos="7560"/>
          <w:tab w:val="left" w:pos="8820"/>
        </w:tabs>
        <w:spacing w:after="0" w:line="240" w:lineRule="auto"/>
        <w:rPr>
          <w:rFonts w:ascii="Calibri" w:eastAsia="Times New Roman" w:hAnsi="Calibri" w:cs="Times New Roman"/>
          <w:color w:val="FF0000"/>
          <w:lang w:val="fr-FR" w:eastAsia="it-IT"/>
        </w:rPr>
      </w:pPr>
      <w:r w:rsidRPr="006E6AAA">
        <w:rPr>
          <w:rFonts w:ascii="Calibri" w:eastAsia="Times New Roman" w:hAnsi="Calibri" w:cs="Times New Roman"/>
          <w:lang w:val="fr-FR" w:eastAsia="it-IT"/>
        </w:rPr>
        <w:t xml:space="preserve">Termes de référence </w:t>
      </w:r>
    </w:p>
    <w:p w:rsidR="006E6AAA" w:rsidRPr="006E6AAA" w:rsidRDefault="006E6AAA" w:rsidP="006E6AAA">
      <w:pPr>
        <w:numPr>
          <w:ilvl w:val="0"/>
          <w:numId w:val="84"/>
        </w:numPr>
        <w:tabs>
          <w:tab w:val="left" w:pos="7560"/>
          <w:tab w:val="left" w:pos="8820"/>
        </w:tabs>
        <w:spacing w:after="0" w:line="240" w:lineRule="auto"/>
        <w:rPr>
          <w:rFonts w:ascii="Calibri" w:eastAsia="Times New Roman" w:hAnsi="Calibri" w:cs="Times New Roman"/>
          <w:color w:val="FF0000"/>
          <w:lang w:val="fr-FR" w:eastAsia="it-IT"/>
        </w:rPr>
      </w:pPr>
      <w:r w:rsidRPr="006E6AAA">
        <w:rPr>
          <w:rFonts w:ascii="Calibri" w:eastAsia="Times New Roman" w:hAnsi="Calibri" w:cs="Times New Roman"/>
          <w:lang w:val="fr-FR" w:eastAsia="it-IT"/>
        </w:rPr>
        <w:t xml:space="preserve">Matrice d’évaluation </w:t>
      </w:r>
      <w:r w:rsidRPr="006E6AAA">
        <w:rPr>
          <w:rFonts w:ascii="Calibri" w:eastAsia="Times New Roman" w:hAnsi="Calibri" w:cs="Times New Roman"/>
          <w:b/>
          <w:i/>
          <w:sz w:val="28"/>
          <w:szCs w:val="28"/>
          <w:lang w:val="fr-FR" w:eastAsia="it-IT"/>
        </w:rPr>
        <w:br w:type="page"/>
      </w:r>
      <w:r w:rsidRPr="006E6AAA">
        <w:rPr>
          <w:rFonts w:ascii="Calibri" w:eastAsia="Times New Roman" w:hAnsi="Calibri" w:cs="Times New Roman"/>
          <w:b/>
          <w:i/>
          <w:color w:val="000080"/>
          <w:sz w:val="28"/>
          <w:szCs w:val="28"/>
          <w:u w:val="single"/>
          <w:lang w:val="fr-FR" w:eastAsia="it-IT"/>
        </w:rPr>
        <w:lastRenderedPageBreak/>
        <w:t>Acronymes et abréviations</w:t>
      </w:r>
      <w:r w:rsidRPr="006E6AAA">
        <w:rPr>
          <w:rFonts w:ascii="Calibri" w:eastAsia="Times New Roman" w:hAnsi="Calibri" w:cs="Times New Roman"/>
          <w:lang w:val="fr-FR" w:eastAsia="it-IT"/>
        </w:rPr>
        <w:t xml:space="preserve"> </w:t>
      </w:r>
    </w:p>
    <w:p w:rsidR="006E6AAA" w:rsidRPr="006E6AAA" w:rsidRDefault="006E6AAA" w:rsidP="006E6AAA">
      <w:pPr>
        <w:tabs>
          <w:tab w:val="left" w:pos="7560"/>
          <w:tab w:val="left" w:pos="8820"/>
        </w:tabs>
        <w:spacing w:after="0" w:line="240" w:lineRule="auto"/>
        <w:rPr>
          <w:rFonts w:ascii="Calibri" w:eastAsia="Times New Roman" w:hAnsi="Calibri" w:cs="Times New Roman"/>
          <w:color w:val="FF0000"/>
          <w:lang w:val="fr-FR" w:eastAsia="it-IT"/>
        </w:rPr>
      </w:pPr>
    </w:p>
    <w:p w:rsidR="006E6AAA" w:rsidRPr="006E6AAA" w:rsidRDefault="006E6AAA" w:rsidP="006E6AAA">
      <w:pPr>
        <w:spacing w:after="0" w:line="240" w:lineRule="auto"/>
        <w:rPr>
          <w:rFonts w:ascii="Calibri" w:eastAsia="Times New Roman" w:hAnsi="Calibri" w:cs="Helvetica"/>
          <w:color w:val="202020"/>
          <w:sz w:val="24"/>
          <w:szCs w:val="24"/>
          <w:lang w:val="fr-FR" w:eastAsia="it-IT"/>
        </w:rPr>
      </w:pPr>
    </w:p>
    <w:p w:rsidR="006E6AAA" w:rsidRPr="006E6AAA" w:rsidRDefault="006E6AAA" w:rsidP="006E6AAA">
      <w:pPr>
        <w:spacing w:after="0" w:line="360" w:lineRule="auto"/>
        <w:rPr>
          <w:rFonts w:ascii="Calibri" w:eastAsia="Times New Roman" w:hAnsi="Calibri" w:cs="Times New Roman"/>
          <w:lang w:eastAsia="it-IT"/>
        </w:rPr>
      </w:pPr>
      <w:r w:rsidRPr="006E6AAA">
        <w:rPr>
          <w:rFonts w:ascii="Calibri" w:eastAsia="Times New Roman" w:hAnsi="Calibri" w:cs="Times New Roman"/>
          <w:b/>
          <w:lang w:eastAsia="it-IT"/>
        </w:rPr>
        <w:t>ABA-ROLI:</w:t>
      </w:r>
      <w:r w:rsidRPr="006E6AAA">
        <w:rPr>
          <w:rFonts w:ascii="Calibri" w:eastAsia="Times New Roman" w:hAnsi="Calibri" w:cs="Times New Roman"/>
          <w:lang w:eastAsia="it-IT"/>
        </w:rPr>
        <w:t xml:space="preserve"> </w:t>
      </w:r>
      <w:r w:rsidRPr="006E6AAA">
        <w:rPr>
          <w:rFonts w:ascii="Calibri" w:eastAsia="Times New Roman" w:hAnsi="Calibri" w:cs="Arial"/>
          <w:color w:val="444444"/>
          <w:lang w:val="en" w:eastAsia="it-IT"/>
        </w:rPr>
        <w:t>American Bar Association Rule of Law Initiative</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AF :</w:t>
      </w:r>
      <w:r w:rsidRPr="006E6AAA">
        <w:rPr>
          <w:rFonts w:ascii="Calibri" w:eastAsia="Times New Roman" w:hAnsi="Calibri" w:cs="Times New Roman"/>
          <w:lang w:val="fr-FR" w:eastAsia="it-IT"/>
        </w:rPr>
        <w:t xml:space="preserve"> Audience foraine</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ASF :</w:t>
      </w:r>
      <w:r w:rsidRPr="006E6AAA">
        <w:rPr>
          <w:rFonts w:ascii="Calibri" w:eastAsia="Times New Roman" w:hAnsi="Calibri" w:cs="Times New Roman"/>
          <w:lang w:val="fr-FR" w:eastAsia="it-IT"/>
        </w:rPr>
        <w:t xml:space="preserve"> Avocats sans Frontières</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BCNUDH : </w:t>
      </w:r>
      <w:r w:rsidRPr="006E6AAA">
        <w:rPr>
          <w:rFonts w:ascii="Calibri" w:eastAsia="Times New Roman" w:hAnsi="Calibri" w:cs="Arial"/>
          <w:color w:val="444444"/>
          <w:lang w:val="fr-FR" w:eastAsia="it-IT"/>
        </w:rPr>
        <w:t>Bureau Conjoint des Nations Unies aux Droits de l'Homme</w:t>
      </w:r>
    </w:p>
    <w:p w:rsidR="006E6AAA" w:rsidRPr="006E6AAA" w:rsidRDefault="006E6AAA" w:rsidP="006E6AAA">
      <w:pPr>
        <w:spacing w:after="0" w:line="360" w:lineRule="auto"/>
        <w:rPr>
          <w:rFonts w:ascii="Calibri" w:eastAsia="Times New Roman" w:hAnsi="Calibri" w:cs="Times New Roman"/>
          <w:lang w:eastAsia="it-IT"/>
        </w:rPr>
      </w:pPr>
      <w:r w:rsidRPr="006E6AAA">
        <w:rPr>
          <w:rFonts w:ascii="Calibri" w:eastAsia="Times New Roman" w:hAnsi="Calibri" w:cs="Times New Roman"/>
          <w:b/>
          <w:lang w:eastAsia="it-IT"/>
        </w:rPr>
        <w:t xml:space="preserve">BCPR: </w:t>
      </w:r>
      <w:r w:rsidRPr="006E6AAA">
        <w:rPr>
          <w:rFonts w:ascii="Calibri" w:eastAsia="Times New Roman" w:hAnsi="Calibri" w:cs="Arial"/>
          <w:color w:val="444444"/>
          <w:lang w:val="en" w:eastAsia="it-IT"/>
        </w:rPr>
        <w:t>Bureau for Crisis Prevention and Recovery (UNDP)</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BP :</w:t>
      </w:r>
      <w:r w:rsidRPr="006E6AAA">
        <w:rPr>
          <w:rFonts w:ascii="Calibri" w:eastAsia="Times New Roman" w:hAnsi="Calibri" w:cs="Times New Roman"/>
          <w:lang w:val="fr-FR" w:eastAsia="it-IT"/>
        </w:rPr>
        <w:t xml:space="preserve"> Bureau Pays</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CAP :</w:t>
      </w:r>
      <w:r w:rsidRPr="006E6AAA">
        <w:rPr>
          <w:rFonts w:ascii="Calibri" w:eastAsia="Times New Roman" w:hAnsi="Calibri" w:cs="Times New Roman"/>
          <w:lang w:val="fr-FR" w:eastAsia="it-IT"/>
        </w:rPr>
        <w:t xml:space="preserve"> Cellule d’appui aux poursuites</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CM :</w:t>
      </w:r>
      <w:r w:rsidRPr="006E6AAA">
        <w:rPr>
          <w:rFonts w:ascii="Calibri" w:eastAsia="Times New Roman" w:hAnsi="Calibri" w:cs="Times New Roman"/>
          <w:lang w:val="fr-FR" w:eastAsia="it-IT"/>
        </w:rPr>
        <w:t xml:space="preserve"> Cour Militaire</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CPI :</w:t>
      </w:r>
      <w:r w:rsidRPr="006E6AAA">
        <w:rPr>
          <w:rFonts w:ascii="Calibri" w:eastAsia="Times New Roman" w:hAnsi="Calibri" w:cs="Times New Roman"/>
          <w:lang w:val="fr-FR" w:eastAsia="it-IT"/>
        </w:rPr>
        <w:t xml:space="preserve"> Cour Pénale Internationale</w:t>
      </w:r>
    </w:p>
    <w:p w:rsidR="006E6AAA" w:rsidRPr="006E6AAA" w:rsidRDefault="006E6AAA" w:rsidP="006E6AAA">
      <w:pPr>
        <w:spacing w:after="0" w:line="360" w:lineRule="auto"/>
        <w:rPr>
          <w:rFonts w:ascii="Calibri" w:eastAsia="Times New Roman" w:hAnsi="Calibri" w:cs="Helvetica"/>
          <w:color w:val="202020"/>
          <w:lang w:val="fr-FR" w:eastAsia="it-IT"/>
        </w:rPr>
      </w:pPr>
      <w:r w:rsidRPr="006E6AAA">
        <w:rPr>
          <w:rFonts w:ascii="Calibri" w:eastAsia="Times New Roman" w:hAnsi="Calibri" w:cs="Helvetica"/>
          <w:b/>
          <w:color w:val="202020"/>
          <w:lang w:val="fr-FR" w:eastAsia="it-IT"/>
        </w:rPr>
        <w:t>FDLR :</w:t>
      </w:r>
      <w:r w:rsidRPr="006E6AAA">
        <w:rPr>
          <w:rFonts w:ascii="Calibri" w:eastAsia="Times New Roman" w:hAnsi="Calibri" w:cs="Helvetica"/>
          <w:color w:val="202020"/>
          <w:lang w:val="fr-FR" w:eastAsia="it-IT"/>
        </w:rPr>
        <w:t xml:space="preserve"> Forces démocratiques pour la libération du Rwanda</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MONUSCO :</w:t>
      </w:r>
      <w:r w:rsidRPr="006E6AAA">
        <w:rPr>
          <w:rFonts w:ascii="Calibri" w:eastAsia="Times New Roman" w:hAnsi="Calibri" w:cs="Times New Roman"/>
          <w:lang w:val="fr-FR" w:eastAsia="it-IT"/>
        </w:rPr>
        <w:t xml:space="preserve"> </w:t>
      </w:r>
      <w:r w:rsidRPr="006E6AAA">
        <w:rPr>
          <w:rFonts w:ascii="Calibri" w:eastAsia="Times New Roman" w:hAnsi="Calibri" w:cs="Arial"/>
          <w:color w:val="444444"/>
          <w:lang w:val="fr-FR" w:eastAsia="it-IT"/>
        </w:rPr>
        <w:t>Mission de l'Organisation des Nations Unies pour la Stabilisation en RDC</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PNUD :</w:t>
      </w:r>
      <w:r w:rsidRPr="006E6AAA">
        <w:rPr>
          <w:rFonts w:ascii="Calibri" w:eastAsia="Times New Roman" w:hAnsi="Calibri" w:cs="Times New Roman"/>
          <w:lang w:val="fr-FR" w:eastAsia="it-IT"/>
        </w:rPr>
        <w:t xml:space="preserve"> </w:t>
      </w:r>
      <w:r w:rsidRPr="006E6AAA">
        <w:rPr>
          <w:rFonts w:ascii="Calibri" w:eastAsia="Times New Roman" w:hAnsi="Calibri" w:cs="Arial"/>
          <w:color w:val="444444"/>
          <w:lang w:val="fr-FR" w:eastAsia="it-IT"/>
        </w:rPr>
        <w:t>Programme des Nations Unies pour le développement</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RCN</w:t>
      </w:r>
      <w:r w:rsidRPr="006E6AAA">
        <w:rPr>
          <w:rFonts w:ascii="Calibri" w:eastAsia="Times New Roman" w:hAnsi="Calibri" w:cs="Arial"/>
          <w:b/>
          <w:color w:val="444444"/>
          <w:lang w:val="fr-FR" w:eastAsia="it-IT"/>
        </w:rPr>
        <w:t xml:space="preserve"> : </w:t>
      </w:r>
      <w:r w:rsidRPr="006E6AAA">
        <w:rPr>
          <w:rFonts w:ascii="Calibri" w:eastAsia="Times New Roman" w:hAnsi="Calibri" w:cs="Arial"/>
          <w:color w:val="444444"/>
          <w:lang w:val="fr-FR" w:eastAsia="it-IT"/>
        </w:rPr>
        <w:t>RCN Justice &amp; Démocratie</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RDC : </w:t>
      </w:r>
      <w:r w:rsidRPr="006E6AAA">
        <w:rPr>
          <w:rFonts w:ascii="Calibri" w:eastAsia="Times New Roman" w:hAnsi="Calibri" w:cs="Times New Roman"/>
          <w:lang w:val="fr-FR" w:eastAsia="it-IT"/>
        </w:rPr>
        <w:t>République Démocratique du Congo</w:t>
      </w:r>
    </w:p>
    <w:p w:rsidR="006E6AAA" w:rsidRPr="006E6AAA" w:rsidRDefault="006E6AAA" w:rsidP="006E6AAA">
      <w:pPr>
        <w:spacing w:after="0" w:line="360" w:lineRule="auto"/>
        <w:rPr>
          <w:rFonts w:ascii="Calibri" w:eastAsia="Times New Roman" w:hAnsi="Calibri" w:cs="Arial"/>
          <w:color w:val="444444"/>
          <w:lang w:val="en" w:eastAsia="it-IT"/>
        </w:rPr>
      </w:pPr>
      <w:r w:rsidRPr="006E6AAA">
        <w:rPr>
          <w:rFonts w:ascii="Calibri" w:eastAsia="Times New Roman" w:hAnsi="Calibri" w:cs="Times New Roman"/>
          <w:b/>
          <w:lang w:eastAsia="it-IT"/>
        </w:rPr>
        <w:t xml:space="preserve">REJUSCO: </w:t>
      </w:r>
      <w:r w:rsidRPr="006E6AAA">
        <w:rPr>
          <w:rFonts w:ascii="Calibri" w:eastAsia="Times New Roman" w:hAnsi="Calibri" w:cs="Arial"/>
          <w:color w:val="444444"/>
          <w:lang w:val="en" w:eastAsia="it-IT"/>
        </w:rPr>
        <w:t xml:space="preserve">European Union Program for the Restoration of Justice in </w:t>
      </w:r>
      <w:smartTag w:uri="urn:schemas-microsoft-com:office:smarttags" w:element="place">
        <w:r w:rsidRPr="006E6AAA">
          <w:rPr>
            <w:rFonts w:ascii="Calibri" w:eastAsia="Times New Roman" w:hAnsi="Calibri" w:cs="Arial"/>
            <w:color w:val="444444"/>
            <w:lang w:val="en" w:eastAsia="it-IT"/>
          </w:rPr>
          <w:t>Eastern Congo</w:t>
        </w:r>
      </w:smartTag>
    </w:p>
    <w:p w:rsidR="006E6AAA" w:rsidRPr="006E6AAA" w:rsidRDefault="006E6AAA" w:rsidP="006E6AAA">
      <w:pPr>
        <w:spacing w:after="0" w:line="360" w:lineRule="auto"/>
        <w:rPr>
          <w:rFonts w:ascii="Calibri" w:eastAsia="Times New Roman" w:hAnsi="Calibri" w:cs="Times New Roman"/>
          <w:color w:val="FF0000"/>
          <w:lang w:val="fr-FR" w:eastAsia="it-IT"/>
        </w:rPr>
      </w:pPr>
      <w:r w:rsidRPr="006E6AAA">
        <w:rPr>
          <w:rFonts w:ascii="Calibri" w:eastAsia="Times New Roman" w:hAnsi="Calibri" w:cs="Arial"/>
          <w:b/>
          <w:color w:val="444444"/>
          <w:lang w:val="fr-FR" w:eastAsia="it-IT"/>
        </w:rPr>
        <w:t>STAREC:</w:t>
      </w:r>
      <w:r w:rsidRPr="006E6AAA">
        <w:rPr>
          <w:rFonts w:ascii="Calibri" w:eastAsia="Times New Roman" w:hAnsi="Calibri" w:cs="Arial"/>
          <w:color w:val="444444"/>
          <w:lang w:val="fr-FR" w:eastAsia="it-IT"/>
        </w:rPr>
        <w:t xml:space="preserve"> </w:t>
      </w:r>
      <w:r w:rsidRPr="006E6AAA">
        <w:rPr>
          <w:rFonts w:ascii="Verdana" w:eastAsia="Times New Roman" w:hAnsi="Verdana" w:cs="Times New Roman"/>
          <w:color w:val="000000"/>
          <w:sz w:val="18"/>
          <w:szCs w:val="18"/>
          <w:lang w:val="fr-FR" w:eastAsia="it-IT"/>
        </w:rPr>
        <w:t>Programme de Stabilisation et de Reconstruction des zones sortant des conflits armés</w:t>
      </w:r>
    </w:p>
    <w:p w:rsidR="006E6AAA" w:rsidRPr="006E6AAA" w:rsidRDefault="006E6AAA" w:rsidP="006E6AAA">
      <w:pPr>
        <w:spacing w:after="0" w:line="360" w:lineRule="auto"/>
        <w:rPr>
          <w:rFonts w:ascii="Calibri" w:eastAsia="Times New Roman" w:hAnsi="Calibri" w:cs="Times New Roman"/>
          <w:lang w:eastAsia="it-IT"/>
        </w:rPr>
      </w:pPr>
      <w:r w:rsidRPr="006E6AAA">
        <w:rPr>
          <w:rFonts w:ascii="Calibri" w:eastAsia="Times New Roman" w:hAnsi="Calibri" w:cs="Times New Roman"/>
          <w:b/>
          <w:lang w:eastAsia="it-IT"/>
        </w:rPr>
        <w:t xml:space="preserve">SIDA: </w:t>
      </w:r>
      <w:r w:rsidRPr="006E6AAA">
        <w:rPr>
          <w:rFonts w:ascii="Calibri" w:eastAsia="Times New Roman" w:hAnsi="Calibri" w:cs="Arial"/>
          <w:color w:val="444444"/>
          <w:lang w:val="en" w:eastAsia="it-IT"/>
        </w:rPr>
        <w:t>Swedish International Development Cooperation Agency</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CA : </w:t>
      </w:r>
      <w:r w:rsidRPr="006E6AAA">
        <w:rPr>
          <w:rFonts w:ascii="Calibri" w:eastAsia="Times New Roman" w:hAnsi="Calibri" w:cs="Times New Roman"/>
          <w:lang w:val="fr-FR" w:eastAsia="it-IT"/>
        </w:rPr>
        <w:t>Cour d’Appel</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SOFEPADI : </w:t>
      </w:r>
      <w:r w:rsidRPr="006E6AAA">
        <w:rPr>
          <w:rFonts w:ascii="Calibri" w:eastAsia="Times New Roman" w:hAnsi="Calibri" w:cs="Arial"/>
          <w:color w:val="444444"/>
          <w:lang w:val="fr-FR" w:eastAsia="it-IT"/>
        </w:rPr>
        <w:t>Solidarité féminine pour la paix et le développent intégral</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TDR :</w:t>
      </w:r>
      <w:r w:rsidRPr="006E6AAA">
        <w:rPr>
          <w:rFonts w:ascii="Calibri" w:eastAsia="Times New Roman" w:hAnsi="Calibri" w:cs="Times New Roman"/>
          <w:lang w:val="fr-FR" w:eastAsia="it-IT"/>
        </w:rPr>
        <w:t xml:space="preserve"> Termes de référence</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TGI :</w:t>
      </w:r>
      <w:r w:rsidRPr="006E6AAA">
        <w:rPr>
          <w:rFonts w:ascii="Calibri" w:eastAsia="Times New Roman" w:hAnsi="Calibri" w:cs="Times New Roman"/>
          <w:lang w:val="fr-FR" w:eastAsia="it-IT"/>
        </w:rPr>
        <w:t xml:space="preserve"> Tribunal de grande instance</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TMG :</w:t>
      </w:r>
      <w:r w:rsidRPr="006E6AAA">
        <w:rPr>
          <w:rFonts w:ascii="Calibri" w:eastAsia="Times New Roman" w:hAnsi="Calibri" w:cs="Times New Roman"/>
          <w:lang w:val="fr-FR" w:eastAsia="it-IT"/>
        </w:rPr>
        <w:t xml:space="preserve"> Tribunal Militaire de Garnison</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Tripaix : </w:t>
      </w:r>
      <w:r w:rsidRPr="006E6AAA">
        <w:rPr>
          <w:rFonts w:ascii="Calibri" w:eastAsia="Times New Roman" w:hAnsi="Calibri" w:cs="Times New Roman"/>
          <w:lang w:val="fr-FR" w:eastAsia="it-IT"/>
        </w:rPr>
        <w:t>Tribunal de paix</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UNICEF:</w:t>
      </w:r>
      <w:r w:rsidRPr="006E6AAA">
        <w:rPr>
          <w:rFonts w:ascii="Calibri" w:eastAsia="Times New Roman" w:hAnsi="Calibri" w:cs="Times New Roman"/>
          <w:lang w:val="fr-FR" w:eastAsia="it-IT"/>
        </w:rPr>
        <w:t xml:space="preserve"> United Nations Children's Fund</w:t>
      </w:r>
    </w:p>
    <w:p w:rsidR="006E6AAA" w:rsidRPr="006E6AAA" w:rsidRDefault="006E6AAA" w:rsidP="006E6AAA">
      <w:pPr>
        <w:spacing w:after="0" w:line="36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VBG :</w:t>
      </w:r>
      <w:r w:rsidRPr="006E6AAA">
        <w:rPr>
          <w:rFonts w:ascii="Calibri" w:eastAsia="Times New Roman" w:hAnsi="Calibri" w:cs="Times New Roman"/>
          <w:lang w:val="fr-FR" w:eastAsia="it-IT"/>
        </w:rPr>
        <w:t xml:space="preserve"> Violences Basées sur le Genre</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Times New Roman"/>
          <w:b/>
          <w:i/>
          <w:color w:val="000080"/>
          <w:sz w:val="28"/>
          <w:szCs w:val="28"/>
          <w:u w:val="single"/>
          <w:lang w:val="fr-FR" w:eastAsia="it-IT"/>
        </w:rPr>
      </w:pPr>
      <w:r w:rsidRPr="006E6AAA">
        <w:rPr>
          <w:rFonts w:ascii="Calibri" w:eastAsia="Times New Roman" w:hAnsi="Calibri" w:cs="Times New Roman"/>
          <w:b/>
          <w:i/>
          <w:color w:val="000080"/>
          <w:sz w:val="28"/>
          <w:szCs w:val="28"/>
          <w:u w:val="single"/>
          <w:lang w:val="fr-FR" w:eastAsia="it-IT"/>
        </w:rPr>
        <w:t>Remerciements</w:t>
      </w:r>
    </w:p>
    <w:p w:rsidR="006E6AAA" w:rsidRPr="006E6AAA" w:rsidRDefault="006E6AAA" w:rsidP="006E6AAA">
      <w:pPr>
        <w:spacing w:after="0" w:line="280" w:lineRule="exact"/>
        <w:jc w:val="both"/>
        <w:rPr>
          <w:rFonts w:ascii="Calibri" w:eastAsia="Times New Roman" w:hAnsi="Calibri" w:cs="Times New Roman"/>
          <w:b/>
          <w:i/>
          <w:color w:val="000080"/>
          <w:sz w:val="28"/>
          <w:szCs w:val="28"/>
          <w:lang w:val="fr-FR" w:eastAsia="it-IT"/>
        </w:rPr>
      </w:pPr>
    </w:p>
    <w:p w:rsidR="006E6AAA" w:rsidRPr="006E6AAA" w:rsidRDefault="006E6AAA" w:rsidP="006E6AAA">
      <w:pPr>
        <w:autoSpaceDE w:val="0"/>
        <w:autoSpaceDN w:val="0"/>
        <w:adjustRightInd w:val="0"/>
        <w:spacing w:after="0" w:line="240" w:lineRule="auto"/>
        <w:jc w:val="both"/>
        <w:rPr>
          <w:rFonts w:ascii="Calibri" w:eastAsia="Times New Roman" w:hAnsi="Calibri" w:cs="Arial"/>
          <w:i/>
          <w:color w:val="222222"/>
          <w:lang w:val="fr-FR" w:eastAsia="it-IT"/>
        </w:rPr>
      </w:pPr>
      <w:r w:rsidRPr="006E6AAA">
        <w:rPr>
          <w:rFonts w:ascii="Calibri" w:eastAsia="Times New Roman" w:hAnsi="Calibri" w:cs="Arial"/>
          <w:i/>
          <w:color w:val="222222"/>
          <w:lang w:val="fr-FR" w:eastAsia="it-IT"/>
        </w:rPr>
        <w:t>C'est avec sincère gratitude</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que je souhaite remercier toutes les</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personnes rencontrées</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au cours du processus</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d'évaluation.</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En particulier mes remerciements s’adressent au</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personnel du PNUD</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en RDC</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et</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au</w:t>
      </w:r>
      <w:r w:rsidRPr="006E6AAA">
        <w:rPr>
          <w:rFonts w:ascii="Calibri" w:eastAsia="Times New Roman" w:hAnsi="Calibri" w:cs="Arial"/>
          <w:i/>
          <w:lang w:val="fr-FR" w:eastAsia="it-IT"/>
        </w:rPr>
        <w:t xml:space="preserve"> personnel </w:t>
      </w:r>
      <w:r w:rsidRPr="006E6AAA">
        <w:rPr>
          <w:rFonts w:ascii="Calibri" w:eastAsia="Times New Roman" w:hAnsi="Calibri" w:cs="Arial"/>
          <w:i/>
          <w:color w:val="222222"/>
          <w:lang w:val="fr-FR" w:eastAsia="it-IT"/>
        </w:rPr>
        <w:t>BCPR</w:t>
      </w:r>
      <w:r w:rsidRPr="006E6AAA">
        <w:rPr>
          <w:rFonts w:ascii="Calibri" w:eastAsia="Times New Roman" w:hAnsi="Calibri" w:cs="Arial"/>
          <w:i/>
          <w:lang w:val="fr-FR" w:eastAsia="it-IT"/>
        </w:rPr>
        <w:t xml:space="preserve"> </w:t>
      </w:r>
      <w:r w:rsidRPr="006E6AAA">
        <w:rPr>
          <w:rFonts w:ascii="Calibri" w:eastAsia="Times New Roman" w:hAnsi="Calibri" w:cs="Arial"/>
          <w:i/>
          <w:color w:val="222222"/>
          <w:lang w:val="fr-FR" w:eastAsia="it-IT"/>
        </w:rPr>
        <w:t xml:space="preserve">à New York pour leurs précieuses contributions et entière disponibilité; je tiens aussi à renouveler ma reconnaissance aux représentants des autorités congolaises et aux partenaires de développement rencontrés au cours de </w:t>
      </w:r>
      <w:r w:rsidRPr="006E6AAA">
        <w:rPr>
          <w:rFonts w:ascii="Calibri" w:eastAsia="Times New Roman" w:hAnsi="Calibri" w:cs="Arial"/>
          <w:i/>
          <w:lang w:val="fr-FR" w:eastAsia="it-IT"/>
        </w:rPr>
        <w:t xml:space="preserve">la mission </w:t>
      </w:r>
      <w:r w:rsidRPr="006E6AAA">
        <w:rPr>
          <w:rFonts w:ascii="Calibri" w:eastAsia="Times New Roman" w:hAnsi="Calibri" w:cs="Arial"/>
          <w:i/>
          <w:color w:val="222222"/>
          <w:lang w:val="fr-FR" w:eastAsia="it-IT"/>
        </w:rPr>
        <w:t>à</w:t>
      </w:r>
      <w:r w:rsidRPr="006E6AAA">
        <w:rPr>
          <w:rFonts w:ascii="Calibri" w:eastAsia="Times New Roman" w:hAnsi="Calibri" w:cs="Arial"/>
          <w:i/>
          <w:lang w:val="fr-FR" w:eastAsia="it-IT"/>
        </w:rPr>
        <w:t xml:space="preserve"> l’Est de la RDC </w:t>
      </w:r>
      <w:r w:rsidRPr="006E6AAA">
        <w:rPr>
          <w:rFonts w:ascii="Calibri" w:eastAsia="Times New Roman" w:hAnsi="Calibri" w:cs="Arial"/>
          <w:i/>
          <w:color w:val="222222"/>
          <w:lang w:val="fr-FR" w:eastAsia="it-IT"/>
        </w:rPr>
        <w:t>pour le temps qu’ils ont consacré à cette évaluation et le partage d’information.</w:t>
      </w:r>
    </w:p>
    <w:p w:rsidR="006E6AAA" w:rsidRPr="006E6AAA" w:rsidRDefault="006E6AAA" w:rsidP="006E6AAA">
      <w:pPr>
        <w:spacing w:after="0" w:line="240" w:lineRule="auto"/>
        <w:jc w:val="right"/>
        <w:rPr>
          <w:rFonts w:ascii="Calibri" w:eastAsia="Times New Roman" w:hAnsi="Calibri" w:cs="Arial"/>
          <w:i/>
          <w:lang w:val="it-IT" w:eastAsia="it-IT"/>
        </w:rPr>
      </w:pPr>
      <w:r w:rsidRPr="006E6AAA">
        <w:rPr>
          <w:rFonts w:ascii="Calibri" w:eastAsia="Times New Roman" w:hAnsi="Calibri" w:cs="Arial"/>
          <w:i/>
          <w:lang w:val="it-IT" w:eastAsia="it-IT"/>
        </w:rPr>
        <w:t>La consultante</w:t>
      </w:r>
    </w:p>
    <w:p w:rsidR="006E6AAA" w:rsidRPr="006E6AAA" w:rsidRDefault="006E6AAA" w:rsidP="006E6AAA">
      <w:pPr>
        <w:spacing w:after="0" w:line="240" w:lineRule="auto"/>
        <w:jc w:val="right"/>
        <w:rPr>
          <w:rFonts w:ascii="Calibri" w:eastAsia="Times New Roman" w:hAnsi="Calibri" w:cs="Arial"/>
          <w:i/>
          <w:lang w:val="it-IT" w:eastAsia="it-IT"/>
        </w:rPr>
      </w:pPr>
      <w:r w:rsidRPr="006E6AAA">
        <w:rPr>
          <w:rFonts w:ascii="Calibri" w:eastAsia="Times New Roman" w:hAnsi="Calibri" w:cs="Arial"/>
          <w:i/>
          <w:lang w:val="it-IT" w:eastAsia="it-IT"/>
        </w:rPr>
        <w:t>Monica Rispo</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Times New Roman"/>
          <w:b/>
          <w:i/>
          <w:color w:val="000080"/>
          <w:sz w:val="28"/>
          <w:szCs w:val="28"/>
          <w:u w:val="single"/>
          <w:lang w:val="fr-FR" w:eastAsia="it-IT"/>
        </w:rPr>
      </w:pPr>
      <w:r w:rsidRPr="006E6AAA">
        <w:rPr>
          <w:rFonts w:ascii="Calibri" w:eastAsia="Times New Roman" w:hAnsi="Calibri" w:cs="Times New Roman"/>
          <w:b/>
          <w:i/>
          <w:color w:val="000080"/>
          <w:sz w:val="28"/>
          <w:szCs w:val="28"/>
          <w:u w:val="single"/>
          <w:lang w:val="fr-FR" w:eastAsia="it-IT"/>
        </w:rPr>
        <w:t xml:space="preserve">Résume Exécutif  </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Le présent rapport est développé dans le cadre d’une évaluation, commissionnée par le PNUD/BCPR, intitulée « Evaluation of support to mobile courts arrangements in post-conflict situations ». L’objectif est d’évaluer les résultats, identifier les bonnes pratiques et les leçons apprises au cours des interventions du PNUD en appui  la mise en place d’audiences foraines</w:t>
      </w:r>
      <w:r w:rsidRPr="006E6AAA">
        <w:rPr>
          <w:rFonts w:ascii="Calibri" w:eastAsia="Times New Roman" w:hAnsi="Calibri" w:cs="Times New Roman"/>
          <w:i/>
          <w:vertAlign w:val="superscript"/>
          <w:lang w:val="fr-FR" w:eastAsia="it-IT"/>
        </w:rPr>
        <w:footnoteReference w:id="154"/>
      </w:r>
      <w:r w:rsidRPr="006E6AAA">
        <w:rPr>
          <w:rFonts w:ascii="Calibri" w:eastAsia="Times New Roman" w:hAnsi="Calibri" w:cs="Times New Roman"/>
          <w:i/>
          <w:lang w:val="fr-FR" w:eastAsia="it-IT"/>
        </w:rPr>
        <w:t xml:space="preserve"> dans le cadre des programmes de renforcement de l’état de droit du PNUD dans les situations de post-conflit. </w:t>
      </w: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Comme indiqué dans les TDR et spécifié dans le Rapport de Démarrage, l'évaluation prévoit la visite d'un consultant international dans trois Bureaux Pays du PNUD </w:t>
      </w:r>
      <w:r w:rsidRPr="006E6AAA">
        <w:rPr>
          <w:rFonts w:ascii="Calibri" w:eastAsia="Times New Roman" w:hAnsi="Calibri" w:cs="Times New Roman"/>
          <w:b/>
          <w:i/>
          <w:lang w:val="fr-FR" w:eastAsia="it-IT"/>
        </w:rPr>
        <w:t>(Sierra Leone, RDC et Somalie)</w:t>
      </w:r>
      <w:r w:rsidRPr="006E6AAA">
        <w:rPr>
          <w:rFonts w:ascii="Calibri" w:eastAsia="Times New Roman" w:hAnsi="Calibri" w:cs="Times New Roman"/>
          <w:i/>
          <w:lang w:val="fr-FR" w:eastAsia="it-IT"/>
        </w:rPr>
        <w:t xml:space="preserve"> ainsi qu’une revue documentaire relative à des Bureaux Pays additionnels (Timor Leste et la République Centrafricaine).</w:t>
      </w: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Le présent rapport présente les résultats de la mission </w:t>
      </w:r>
      <w:r w:rsidRPr="006E6AAA">
        <w:rPr>
          <w:rFonts w:ascii="Calibri" w:eastAsia="Times New Roman" w:hAnsi="Calibri" w:cs="Times New Roman"/>
          <w:b/>
          <w:i/>
          <w:lang w:val="fr-FR" w:eastAsia="it-IT"/>
        </w:rPr>
        <w:t>à l’Est de République Démocratique du Congo</w:t>
      </w:r>
      <w:r w:rsidRPr="006E6AAA">
        <w:rPr>
          <w:rFonts w:ascii="Calibri" w:eastAsia="Times New Roman" w:hAnsi="Calibri" w:cs="Times New Roman"/>
          <w:i/>
          <w:lang w:val="fr-FR" w:eastAsia="it-IT"/>
        </w:rPr>
        <w:t xml:space="preserve"> (Goma, Bunia, Bukavu).</w:t>
      </w:r>
    </w:p>
    <w:p w:rsidR="006E6AAA" w:rsidRPr="006E6AAA" w:rsidRDefault="006E6AAA" w:rsidP="006E6AAA">
      <w:pPr>
        <w:spacing w:after="0" w:line="280" w:lineRule="exact"/>
        <w:jc w:val="both"/>
        <w:rPr>
          <w:rFonts w:ascii="Calibri" w:eastAsia="Times New Roman" w:hAnsi="Calibri" w:cs="Calibri"/>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Calibri"/>
          <w:i/>
          <w:lang w:val="fr-FR" w:eastAsia="it-IT"/>
        </w:rPr>
        <w:t>L’organisation des audiences foraines (AF) a été introduite dans le système judiciaire congolais dans les années 80</w:t>
      </w:r>
      <w:r w:rsidRPr="006E6AAA">
        <w:rPr>
          <w:rFonts w:ascii="Calibri" w:eastAsia="Times New Roman" w:hAnsi="Calibri" w:cs="Times New Roman"/>
          <w:i/>
          <w:lang w:val="fr-FR" w:eastAsia="it-IT"/>
        </w:rPr>
        <w:t xml:space="preserve"> et c’est depuis 2004 que les partenaires internationaux appuient les juridictions congolaises à les mettre en place. E</w:t>
      </w:r>
      <w:r w:rsidRPr="006E6AAA">
        <w:rPr>
          <w:rFonts w:ascii="Calibri" w:eastAsia="Times New Roman" w:hAnsi="Calibri" w:cs="Calibri"/>
          <w:i/>
          <w:lang w:val="fr-FR" w:eastAsia="it-IT"/>
        </w:rPr>
        <w:t xml:space="preserve">n Avril 2013 la nouvelle « loi  de reforme de l’organisation judiciaire » a </w:t>
      </w:r>
      <w:r w:rsidRPr="006E6AAA">
        <w:rPr>
          <w:rFonts w:ascii="Calibri" w:eastAsia="Times New Roman" w:hAnsi="Calibri" w:cs="Calibri"/>
          <w:bCs/>
          <w:i/>
          <w:lang w:val="fr-FR" w:eastAsia="it-IT"/>
        </w:rPr>
        <w:t>réaffirmé</w:t>
      </w:r>
      <w:r w:rsidRPr="006E6AAA">
        <w:rPr>
          <w:rFonts w:ascii="Segoe UI" w:eastAsia="Times New Roman" w:hAnsi="Segoe UI" w:cs="Segoe UI"/>
          <w:bCs/>
          <w:i/>
          <w:color w:val="000000"/>
          <w:sz w:val="21"/>
          <w:szCs w:val="21"/>
          <w:lang w:val="fr-FR" w:eastAsia="it-IT"/>
        </w:rPr>
        <w:t xml:space="preserve"> le principe de la justice itinérante.</w:t>
      </w:r>
    </w:p>
    <w:p w:rsidR="006E6AAA" w:rsidRPr="006E6AAA" w:rsidRDefault="006E6AAA" w:rsidP="006E6AAA">
      <w:pPr>
        <w:spacing w:after="0" w:line="240" w:lineRule="auto"/>
        <w:rPr>
          <w:rFonts w:ascii="Segoe UI" w:eastAsia="Times New Roman" w:hAnsi="Segoe UI" w:cs="Segoe UI"/>
          <w:bCs/>
          <w:color w:val="000000"/>
          <w:sz w:val="21"/>
          <w:szCs w:val="21"/>
          <w:lang w:val="fr-FR" w:eastAsia="it-IT"/>
        </w:rPr>
      </w:pP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b/>
          <w:i/>
          <w:lang w:val="fr-FR" w:eastAsia="it-IT"/>
        </w:rPr>
        <w:t xml:space="preserve">Le PNUD a appuyé les AF </w:t>
      </w:r>
      <w:r w:rsidRPr="006E6AAA">
        <w:rPr>
          <w:rFonts w:ascii="Calibri" w:eastAsia="Times New Roman" w:hAnsi="Calibri" w:cs="Arial"/>
          <w:b/>
          <w:i/>
          <w:lang w:val="fr-FR" w:eastAsia="it-IT"/>
        </w:rPr>
        <w:t>à</w:t>
      </w:r>
      <w:r w:rsidRPr="006E6AAA">
        <w:rPr>
          <w:rFonts w:ascii="Calibri" w:eastAsia="Times New Roman" w:hAnsi="Calibri" w:cs="Times New Roman"/>
          <w:b/>
          <w:i/>
          <w:lang w:val="fr-FR" w:eastAsia="it-IT"/>
        </w:rPr>
        <w:t xml:space="preserve"> l’est de la RDC</w:t>
      </w:r>
      <w:r w:rsidRPr="006E6AAA">
        <w:rPr>
          <w:rFonts w:ascii="Calibri" w:eastAsia="Times New Roman" w:hAnsi="Calibri" w:cs="Times New Roman"/>
          <w:i/>
          <w:lang w:val="fr-FR" w:eastAsia="it-IT"/>
        </w:rPr>
        <w:t xml:space="preserve"> (Nord Kivu, Sud Kivu et Ituri) </w:t>
      </w:r>
      <w:r w:rsidRPr="006E6AAA">
        <w:rPr>
          <w:rFonts w:ascii="Calibri" w:eastAsia="Times New Roman" w:hAnsi="Calibri" w:cs="Times New Roman"/>
          <w:b/>
          <w:i/>
          <w:lang w:val="fr-FR" w:eastAsia="it-IT"/>
        </w:rPr>
        <w:t>depuis 2010 avec un engagement financier de 155.000 USD</w:t>
      </w:r>
      <w:r w:rsidRPr="006E6AAA">
        <w:rPr>
          <w:rFonts w:ascii="Calibri" w:eastAsia="Times New Roman" w:hAnsi="Calibri" w:cs="Times New Roman"/>
          <w:i/>
          <w:lang w:val="fr-FR" w:eastAsia="it-IT"/>
        </w:rPr>
        <w:t xml:space="preserve"> sur la période 2010-2012. Les jurisdictions appuyées par le PNUD dans l’organisation des AF sont en priorité militaires (Tribunal Militaire de Garnison et Cour Militaire), mais les jurisdiction civiles (Tribunal de Grande Instance et Cour d’Appel) sont également soutenues. Les dossiers pris en charge sont </w:t>
      </w:r>
      <w:r w:rsidRPr="006E6AAA">
        <w:rPr>
          <w:rFonts w:ascii="Calibri" w:eastAsia="Times New Roman" w:hAnsi="Calibri" w:cs="Times New Roman"/>
          <w:b/>
          <w:i/>
          <w:lang w:val="fr-FR" w:eastAsia="it-IT"/>
        </w:rPr>
        <w:t>exclusivement de nature pénale, avec une priorité pour les VBG</w:t>
      </w:r>
      <w:r w:rsidRPr="006E6AAA">
        <w:rPr>
          <w:rFonts w:ascii="Calibri" w:eastAsia="Times New Roman" w:hAnsi="Calibri" w:cs="Times New Roman"/>
          <w:i/>
          <w:lang w:val="fr-FR" w:eastAsia="it-IT"/>
        </w:rPr>
        <w:t>.</w:t>
      </w:r>
    </w:p>
    <w:p w:rsidR="006E6AAA" w:rsidRPr="006E6AAA" w:rsidRDefault="006E6AAA" w:rsidP="006E6AAA">
      <w:pPr>
        <w:spacing w:after="0" w:line="240" w:lineRule="auto"/>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Le modèle congolais d’AF n’est pas développé dans le cadre d’une stratégie spécifique d’intervention (contrairement au modèle sierra léonais), mais représente un apport conjoncturel pour régler des affaires judiciaires ponctuelles qui émergent du conflit en cours</w:t>
      </w:r>
      <w:r w:rsidRPr="006E6AAA">
        <w:rPr>
          <w:rFonts w:ascii="Calibri" w:eastAsia="Times New Roman" w:hAnsi="Calibri" w:cs="Arial"/>
          <w:i/>
          <w:lang w:val="fr-FR" w:eastAsia="it-IT"/>
        </w:rPr>
        <w:t xml:space="preserve"> </w:t>
      </w:r>
      <w:r w:rsidRPr="006E6AAA">
        <w:rPr>
          <w:rFonts w:ascii="Calibri" w:eastAsia="Times New Roman" w:hAnsi="Calibri" w:cs="Times New Roman"/>
          <w:i/>
          <w:lang w:val="fr-FR" w:eastAsia="it-IT"/>
        </w:rPr>
        <w:t>à  l’Est de la RDC.</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Un aspect propre au modèle congolais est sa </w:t>
      </w:r>
      <w:r w:rsidRPr="006E6AAA">
        <w:rPr>
          <w:rFonts w:ascii="Calibri" w:eastAsia="Times New Roman" w:hAnsi="Calibri" w:cs="Times New Roman"/>
          <w:b/>
          <w:i/>
          <w:lang w:val="fr-FR" w:eastAsia="it-IT"/>
        </w:rPr>
        <w:t xml:space="preserve">complémentarité avec la Cour Pénale Internationale. </w:t>
      </w:r>
      <w:r w:rsidRPr="006E6AAA">
        <w:rPr>
          <w:rFonts w:ascii="Calibri" w:eastAsia="Times New Roman" w:hAnsi="Calibri" w:cs="Times New Roman"/>
          <w:i/>
          <w:lang w:val="fr-FR" w:eastAsia="it-IT"/>
        </w:rPr>
        <w:t>De 2011 a 2012 au moins 10 dossiers de crimes internationaux (crimes contre l’humanité et crimes de guerre) ont été traitées par les AF appuyées par le PNUD, ce qui a représenté une importante opportunité pour renforcer les capacités des juridictions nationales dans la poursuite des crimes prévus par le Statut de Rome. Par ailleurs c’est principalement dans le cadre de la justice itinérante que la jurisprudence congolaise en matière de justice pénale internationale est entrain de se consolider.</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b/>
          <w:i/>
          <w:lang w:val="fr-FR" w:eastAsia="it-IT"/>
        </w:rPr>
        <w:t>Des bonnes pratiques</w:t>
      </w:r>
      <w:r w:rsidRPr="006E6AAA">
        <w:rPr>
          <w:rFonts w:ascii="Calibri" w:eastAsia="Times New Roman" w:hAnsi="Calibri" w:cs="Times New Roman"/>
          <w:i/>
          <w:lang w:val="fr-FR" w:eastAsia="it-IT"/>
        </w:rPr>
        <w:t> ont été développées dans le cadre du système de justice itinérante appuyé par le PNUD, notamment : 1) l’approche intégrée, qui appuie toutes les phases de la chaine pénale 2) la participation en synergie et en complémentarité de différents partenaires internationaux dans l’organisation des AF 3) l’inclusion des AF dans le système de monitoring judiciaire du PNUD.</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Le modèle congolais d’AF présente des aspects qui sont objet de débat au sein de la communauté juridique, notamment l’appui prioritaire aux dossiers de violences basées sur le genre et aux juridictions </w:t>
      </w:r>
      <w:r w:rsidRPr="006E6AAA">
        <w:rPr>
          <w:rFonts w:ascii="Calibri" w:eastAsia="Times New Roman" w:hAnsi="Calibri" w:cs="Times New Roman"/>
          <w:i/>
          <w:lang w:val="fr-FR" w:eastAsia="it-IT"/>
        </w:rPr>
        <w:lastRenderedPageBreak/>
        <w:t xml:space="preserve">militaires. Le cout élevé d’une AF, par ailleurs entièrement financé par les partenaires internationaux, reste une des </w:t>
      </w:r>
      <w:r w:rsidRPr="006E6AAA">
        <w:rPr>
          <w:rFonts w:ascii="Calibri" w:eastAsia="Times New Roman" w:hAnsi="Calibri" w:cs="Times New Roman"/>
          <w:b/>
          <w:i/>
          <w:lang w:val="fr-FR" w:eastAsia="it-IT"/>
        </w:rPr>
        <w:t>majeures contraintes</w:t>
      </w:r>
      <w:r w:rsidRPr="006E6AAA">
        <w:rPr>
          <w:rFonts w:ascii="Calibri" w:eastAsia="Times New Roman" w:hAnsi="Calibri" w:cs="Times New Roman"/>
          <w:i/>
          <w:lang w:val="fr-FR" w:eastAsia="it-IT"/>
        </w:rPr>
        <w:t xml:space="preserve"> de l’initiative et une faiblesse en termes de durabilité.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Les remarques ci-dessous consolident les observations recueillies au cours des entretiens et présentent des </w:t>
      </w:r>
      <w:r w:rsidRPr="006E6AAA">
        <w:rPr>
          <w:rFonts w:ascii="Calibri" w:eastAsia="Times New Roman" w:hAnsi="Calibri" w:cs="Times New Roman"/>
          <w:b/>
          <w:i/>
          <w:lang w:val="fr-FR" w:eastAsia="it-IT"/>
        </w:rPr>
        <w:t>conclusions générales</w:t>
      </w:r>
      <w:r w:rsidRPr="006E6AAA">
        <w:rPr>
          <w:rFonts w:ascii="Calibri" w:eastAsia="Times New Roman" w:hAnsi="Calibri" w:cs="Times New Roman"/>
          <w:i/>
          <w:lang w:val="fr-FR" w:eastAsia="it-IT"/>
        </w:rPr>
        <w:t xml:space="preserve"> </w:t>
      </w:r>
      <w:r w:rsidRPr="006E6AAA">
        <w:rPr>
          <w:rFonts w:ascii="Calibri" w:eastAsia="Times New Roman" w:hAnsi="Calibri" w:cs="Times New Roman"/>
          <w:b/>
          <w:i/>
          <w:lang w:val="fr-FR" w:eastAsia="it-IT"/>
        </w:rPr>
        <w:t>pour chaque critère d’évaluation.</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val="fr-FR" w:eastAsia="it-IT"/>
        </w:rPr>
      </w:pPr>
    </w:p>
    <w:p w:rsidR="006E6AAA" w:rsidRPr="006E6AAA" w:rsidRDefault="006E6AAA" w:rsidP="006E6AAA">
      <w:pPr>
        <w:autoSpaceDE w:val="0"/>
        <w:autoSpaceDN w:val="0"/>
        <w:adjustRightInd w:val="0"/>
        <w:spacing w:after="0" w:line="280" w:lineRule="exact"/>
        <w:jc w:val="both"/>
        <w:outlineLvl w:val="0"/>
        <w:rPr>
          <w:rFonts w:ascii="Calibri" w:eastAsia="Times New Roman" w:hAnsi="Calibri" w:cs="Arial"/>
          <w:b/>
          <w:i/>
          <w:lang w:val="fr-FR" w:eastAsia="it-IT"/>
        </w:rPr>
      </w:pPr>
      <w:r w:rsidRPr="006E6AAA">
        <w:rPr>
          <w:rFonts w:ascii="Calibri" w:eastAsia="Times New Roman" w:hAnsi="Calibri" w:cs="Arial"/>
          <w:b/>
          <w:i/>
          <w:lang w:val="fr-FR" w:eastAsia="it-IT"/>
        </w:rPr>
        <w:t>Pertinence</w:t>
      </w:r>
    </w:p>
    <w:p w:rsidR="006E6AAA" w:rsidRPr="006E6AAA" w:rsidRDefault="006E6AAA" w:rsidP="006E6AAA">
      <w:pPr>
        <w:spacing w:after="0" w:line="280" w:lineRule="exact"/>
        <w:jc w:val="both"/>
        <w:rPr>
          <w:rFonts w:ascii="Calibri" w:eastAsia="Times New Roman" w:hAnsi="Calibri" w:cs="Arial"/>
          <w:i/>
          <w:lang w:val="fr-FR" w:eastAsia="it-IT"/>
        </w:rPr>
      </w:pPr>
      <w:r w:rsidRPr="006E6AAA">
        <w:rPr>
          <w:rFonts w:ascii="Calibri" w:eastAsia="Times New Roman" w:hAnsi="Calibri" w:cs="Times New Roman"/>
          <w:i/>
          <w:lang w:val="fr-FR" w:eastAsia="it-IT"/>
        </w:rPr>
        <w:t xml:space="preserve">Les AF sont une priorité reconnue dans la législation congolaise et dans les stratégies nationales du secteur de la justice, toutefois les modalités de leur mise en œuvre pourraient être mieux encadrées,  éventuellement par un Protocole d’entente entre les partenaires internationaux et les autorités judiciaires.  </w:t>
      </w:r>
      <w:r w:rsidRPr="006E6AAA">
        <w:rPr>
          <w:rFonts w:ascii="Calibri" w:eastAsia="Times New Roman" w:hAnsi="Calibri" w:cs="Arial"/>
          <w:i/>
          <w:lang w:val="fr-FR" w:eastAsia="it-IT"/>
        </w:rPr>
        <w:t xml:space="preserve">Le manque d’orientation de la part des autorités centrales combiné avec l’absence d’une planification stratégique au niveau provincial s’est traduit dans la pratique avec l’organisation d’AF qui répondent à un besoin ponctuel et représentent un modèle fortement influencé par les priorités des bailleurs de fond. </w:t>
      </w:r>
    </w:p>
    <w:p w:rsidR="006E6AAA" w:rsidRPr="006E6AAA" w:rsidRDefault="006E6AAA" w:rsidP="006E6AAA">
      <w:pPr>
        <w:spacing w:after="0" w:line="280" w:lineRule="exact"/>
        <w:jc w:val="both"/>
        <w:rPr>
          <w:rFonts w:ascii="Times New Roman" w:eastAsia="Times New Roman" w:hAnsi="Times New Roman" w:cs="Times New Roman"/>
          <w:i/>
          <w:sz w:val="24"/>
          <w:szCs w:val="24"/>
          <w:lang w:val="fr-FR" w:eastAsia="it-IT"/>
        </w:rPr>
      </w:pPr>
      <w:r w:rsidRPr="006E6AAA">
        <w:rPr>
          <w:rFonts w:ascii="Calibri" w:eastAsia="Times New Roman" w:hAnsi="Calibri" w:cs="Arial"/>
          <w:i/>
          <w:lang w:val="fr-FR" w:eastAsia="it-IT"/>
        </w:rPr>
        <w:t xml:space="preserve">Les AF ont étés une mesure efficace pour atteindre les zones reculées où les juridictions permanentes étaient absentes et lutter contre l’impunité des crimes internationaux commis dans ces territoires.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i/>
          <w:lang w:val="fr-FR" w:eastAsia="it-IT"/>
        </w:rPr>
      </w:pPr>
      <w:r w:rsidRPr="006E6AAA">
        <w:rPr>
          <w:rFonts w:ascii="Calibri" w:eastAsia="Times New Roman" w:hAnsi="Calibri" w:cs="Times New Roman"/>
          <w:i/>
          <w:lang w:val="fr-FR" w:eastAsia="it-IT"/>
        </w:rPr>
        <w:t xml:space="preserve">Les AF ont été très pertinentes par rapport aux politiques nationales de lutte contre les VBG, notamment dans les cas de VBG commises par les militaires,  vu la priorité accordée par les AF a cette catégorie de dossiers. Une réflexion serait toutefois nécessaire sur l’opportunité de commencer à élargir le champ d’intervention des AF à toutes les infractions : non seulement parce que les auteurs de viol sont de plus en plus des civils, mais aussi dans le but d’assurer aux victimes non-VBG les mêmes opportunités d’accéder à la justice que les victimes VBG. Le PNUD a pris en compte ces aspects en réduisant le nombre minimal de dossiers VBG requis pour appuyer une AF.  </w:t>
      </w:r>
    </w:p>
    <w:p w:rsidR="006E6AAA" w:rsidRPr="006E6AAA" w:rsidRDefault="006E6AAA" w:rsidP="006E6AAA">
      <w:pPr>
        <w:autoSpaceDE w:val="0"/>
        <w:autoSpaceDN w:val="0"/>
        <w:adjustRightInd w:val="0"/>
        <w:spacing w:after="0" w:line="280" w:lineRule="exact"/>
        <w:jc w:val="both"/>
        <w:rPr>
          <w:rFonts w:ascii="Calibri" w:eastAsia="Times New Roman" w:hAnsi="Calibri" w:cs="Calibri"/>
          <w:i/>
          <w:lang w:val="fr-FR" w:eastAsia="it-IT"/>
        </w:rPr>
      </w:pPr>
    </w:p>
    <w:p w:rsidR="006E6AAA" w:rsidRPr="006E6AAA" w:rsidRDefault="006E6AAA" w:rsidP="006E6AAA">
      <w:pPr>
        <w:autoSpaceDE w:val="0"/>
        <w:autoSpaceDN w:val="0"/>
        <w:adjustRightInd w:val="0"/>
        <w:spacing w:after="0" w:line="280" w:lineRule="exact"/>
        <w:jc w:val="both"/>
        <w:outlineLvl w:val="0"/>
        <w:rPr>
          <w:rFonts w:ascii="Calibri" w:eastAsia="Times New Roman" w:hAnsi="Calibri" w:cs="Arial"/>
          <w:b/>
          <w:i/>
          <w:lang w:val="fr-FR" w:eastAsia="it-IT"/>
        </w:rPr>
      </w:pPr>
      <w:r w:rsidRPr="006E6AAA">
        <w:rPr>
          <w:rFonts w:ascii="Calibri" w:eastAsia="Times New Roman" w:hAnsi="Calibri" w:cs="Arial"/>
          <w:b/>
          <w:i/>
          <w:lang w:val="fr-FR" w:eastAsia="it-IT"/>
        </w:rPr>
        <w:t>Efficacité</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La planification de l’initiative pourrait bénéficier d’un cadre des ressources plus spécifique, éventuellement avec des indicateurs, cibles et aspects financiers harmonisées entre tous les partenaires internationaux qui appuient les AF. Le suivi des AF dans le cadre du projet « monitoring judiciaire » est une excellente initiative qui a permis d’avoir un aperçu impartial des résultats atteints par les AF; des faiblesses ont pourtant été relevées au niveau du système de collecte des données relatives aux AF observées. </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Arial"/>
          <w:i/>
          <w:lang w:val="fr-FR" w:eastAsia="it-IT"/>
        </w:rPr>
        <w:t xml:space="preserve">Des résultats satisfaisants ont été réalisés, mais en absence d’indicateurs spécifiques il est difficile d’en préciser la mesure par rapport aux cibles. </w:t>
      </w:r>
      <w:r w:rsidRPr="006E6AAA">
        <w:rPr>
          <w:rFonts w:ascii="Calibri" w:eastAsia="Times New Roman" w:hAnsi="Calibri" w:cs="Times New Roman"/>
          <w:i/>
          <w:lang w:val="fr-FR" w:eastAsia="it-IT"/>
        </w:rPr>
        <w:t xml:space="preserve">Au courant du 2011 et 2012, un total de 16 audiences foraines ont été organisées avec l’appui du PNUD pour 198 jours en foraine et une contribution de 155.000 USD. 97 avocats et 72 magistrats/juges assesseurs ont participé aux AF. 202 dossiers ont été enrôlés, dont 60% de VBG et 206 jugements ont été prononcés. </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La pratique judiciaire des AF apparait en général en bonne voie vers la conformité avec les standards internationaux, sauf pour les aspects suivants qui devraient être renforcés : 1) la parité des armes entre les parties au procès 2) la protection des victimes et des témoins 3) certains aspects de la procédure militaire, comme le régime de la détention préventive 4) l’exécution des jugements 4) la durée et l’excessive célérité des AF.</w:t>
      </w:r>
    </w:p>
    <w:p w:rsidR="006E6AAA" w:rsidRPr="006E6AAA" w:rsidRDefault="006E6AAA" w:rsidP="006E6AAA">
      <w:pPr>
        <w:autoSpaceDE w:val="0"/>
        <w:autoSpaceDN w:val="0"/>
        <w:adjustRightInd w:val="0"/>
        <w:spacing w:after="0" w:line="280" w:lineRule="exact"/>
        <w:jc w:val="both"/>
        <w:outlineLvl w:val="0"/>
        <w:rPr>
          <w:rFonts w:ascii="Calibri" w:eastAsia="Times New Roman" w:hAnsi="Calibri" w:cs="Arial"/>
          <w:b/>
          <w:i/>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b/>
          <w:i/>
          <w:lang w:val="fr-FR" w:eastAsia="it-IT"/>
        </w:rPr>
      </w:pPr>
      <w:r w:rsidRPr="006E6AAA">
        <w:rPr>
          <w:rFonts w:ascii="Calibri" w:eastAsia="Times New Roman" w:hAnsi="Calibri" w:cs="Calibri"/>
          <w:b/>
          <w:i/>
          <w:lang w:val="fr-FR" w:eastAsia="it-IT"/>
        </w:rPr>
        <w:t xml:space="preserve">Efficience </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Le cout des AF analysées varie entre 8.000 et 25.000 USD en fonction du nombre de dossiers, de victimes et d’autres éléments; ces frais sont entièrement soutenus par les partenaires internationaux. Les budgets s’élèvent significativement si l’on inclue les activités préliminaires et les services de transport aérien et de sécurité fournis par la MONUSCO, au point qu’ils semblent difficilement soutenables par le gouvernement congolais. Les procédures financières du PNUD ont été jugées trop complexes et la </w:t>
      </w:r>
      <w:r w:rsidRPr="006E6AAA">
        <w:rPr>
          <w:rFonts w:ascii="Calibri" w:eastAsia="Times New Roman" w:hAnsi="Calibri" w:cs="Times New Roman"/>
          <w:i/>
          <w:lang w:val="fr-FR" w:eastAsia="it-IT"/>
        </w:rPr>
        <w:lastRenderedPageBreak/>
        <w:t xml:space="preserve">gestion financière administrée uniquement par les partenaires internationaux affaiblis l’appropriation nationale.  </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L’appui aux AF s’est développé en excellente synergie et en toute complémentarité entre les partenaires internationaux qui contribuent, en termes d’assistance technique et financière et sur la base des respectifs avantages comparatifs, à l’organisation de chaque AF. Cette coordination pourrait bénéficier d’un cadre de travail formel, comme un Protocole d’entente, afin d’améliorer la planification, le suivi et l’harmonisation de certains aspects des interventions. </w:t>
      </w:r>
    </w:p>
    <w:p w:rsidR="006E6AAA" w:rsidRPr="006E6AAA" w:rsidRDefault="006E6AAA" w:rsidP="006E6AAA">
      <w:pPr>
        <w:spacing w:after="0" w:line="280" w:lineRule="exact"/>
        <w:jc w:val="both"/>
        <w:rPr>
          <w:rFonts w:ascii="Calibri" w:eastAsia="Times New Roman" w:hAnsi="Calibri" w:cs="Calibri"/>
          <w:i/>
          <w:lang w:val="fr-FR" w:eastAsia="it-IT"/>
        </w:rPr>
      </w:pPr>
    </w:p>
    <w:p w:rsidR="006E6AAA" w:rsidRPr="006E6AAA" w:rsidRDefault="006E6AAA" w:rsidP="006E6AAA">
      <w:pPr>
        <w:spacing w:after="0" w:line="280" w:lineRule="exact"/>
        <w:jc w:val="both"/>
        <w:rPr>
          <w:rFonts w:ascii="Calibri" w:eastAsia="Times New Roman" w:hAnsi="Calibri" w:cs="Times New Roman"/>
          <w:b/>
          <w:i/>
          <w:lang w:val="fr-FR" w:eastAsia="it-IT"/>
        </w:rPr>
      </w:pPr>
      <w:r w:rsidRPr="006E6AAA">
        <w:rPr>
          <w:rFonts w:ascii="Calibri" w:eastAsia="Times New Roman" w:hAnsi="Calibri" w:cs="Times New Roman"/>
          <w:b/>
          <w:i/>
          <w:lang w:val="fr-FR" w:eastAsia="it-IT"/>
        </w:rPr>
        <w:t>Durabilité</w:t>
      </w:r>
    </w:p>
    <w:p w:rsidR="006E6AAA" w:rsidRPr="006E6AAA" w:rsidRDefault="006E6AAA" w:rsidP="006E6AAA">
      <w:pPr>
        <w:autoSpaceDE w:val="0"/>
        <w:autoSpaceDN w:val="0"/>
        <w:adjustRightInd w:val="0"/>
        <w:spacing w:after="0" w:line="280" w:lineRule="exact"/>
        <w:jc w:val="both"/>
        <w:rPr>
          <w:rFonts w:ascii="Calibri" w:eastAsia="Times New Roman" w:hAnsi="Calibri" w:cs="ArialMT"/>
          <w:i/>
          <w:lang w:val="fr-FR" w:eastAsia="it-IT"/>
        </w:rPr>
      </w:pPr>
      <w:r w:rsidRPr="006E6AAA">
        <w:rPr>
          <w:rFonts w:ascii="Calibri" w:eastAsia="Times New Roman" w:hAnsi="Calibri" w:cs="Times New Roman"/>
          <w:i/>
          <w:lang w:val="fr-FR" w:eastAsia="it-IT"/>
        </w:rPr>
        <w:t xml:space="preserve">Certains éléments de durabilité des AF sont évidents: non seulement cette </w:t>
      </w:r>
      <w:r w:rsidRPr="006E6AAA">
        <w:rPr>
          <w:rFonts w:ascii="Calibri" w:eastAsia="Times New Roman" w:hAnsi="Calibri" w:cs="ArialMT"/>
          <w:i/>
          <w:lang w:val="fr-FR" w:eastAsia="it-IT"/>
        </w:rPr>
        <w:t>pratique existe dans le système judiciaire congolais depuis 1979, mais aussi les autorités judiciaires ont démontré d’avoir acquis des bonnes compétences dans l’organisation des AF au cours des années de collaboration avec le PNUD. Le manque de moyens financiers pour soutenir les couts élevés des AF combinée avec l’absence d’une stratégie nationale pour les AF, conduit toutefois à la conclusion que les juridictions congolaises ne seront pas en mesure de continuer à organiser les AF dans le futur proche sans un appui de la communauté internationale. Dans quelques rares occasions les juridictions ont organisé des AF sans appui financier extérieur, en particulier le TGI de Bunia</w:t>
      </w:r>
      <w:r w:rsidRPr="006E6AAA">
        <w:rPr>
          <w:rFonts w:ascii="Calibri" w:eastAsia="Times New Roman" w:hAnsi="Calibri" w:cs="ArialMT"/>
          <w:i/>
          <w:color w:val="FF0000"/>
          <w:lang w:val="fr-FR" w:eastAsia="it-IT"/>
        </w:rPr>
        <w:t xml:space="preserve">. </w:t>
      </w:r>
      <w:r w:rsidRPr="006E6AAA">
        <w:rPr>
          <w:rFonts w:ascii="Calibri" w:eastAsia="Times New Roman" w:hAnsi="Calibri" w:cs="ArialMT"/>
          <w:i/>
          <w:lang w:val="fr-FR" w:eastAsia="it-IT"/>
        </w:rPr>
        <w:t xml:space="preserve">  </w:t>
      </w:r>
    </w:p>
    <w:p w:rsidR="006E6AAA" w:rsidRPr="006E6AAA" w:rsidRDefault="006E6AAA" w:rsidP="006E6AAA">
      <w:pPr>
        <w:spacing w:after="0" w:line="280" w:lineRule="exact"/>
        <w:jc w:val="both"/>
        <w:rPr>
          <w:rFonts w:ascii="Times New Roman" w:eastAsia="Times New Roman" w:hAnsi="Times New Roman" w:cs="Times New Roman"/>
          <w:i/>
          <w:sz w:val="24"/>
          <w:szCs w:val="24"/>
          <w:lang w:val="fr-FR" w:eastAsia="it-IT"/>
        </w:rPr>
      </w:pPr>
      <w:r w:rsidRPr="006E6AAA">
        <w:rPr>
          <w:rFonts w:ascii="Calibri" w:eastAsia="Times New Roman" w:hAnsi="Calibri" w:cs="Times New Roman"/>
          <w:i/>
          <w:lang w:val="fr-FR" w:eastAsia="it-IT"/>
        </w:rPr>
        <w:t>Malgré les AF soient menées entièrement par les autorités judiciaires nationales et avec un bon niveau de compétence technique, l’appropriation nationale de l’initiative reste faible, notamment dans la planification, le suivi et la gestion financière.</w:t>
      </w:r>
    </w:p>
    <w:p w:rsidR="006E6AAA" w:rsidRPr="006E6AAA" w:rsidRDefault="006E6AAA" w:rsidP="006E6AAA">
      <w:pPr>
        <w:autoSpaceDE w:val="0"/>
        <w:autoSpaceDN w:val="0"/>
        <w:adjustRightInd w:val="0"/>
        <w:spacing w:after="0" w:line="280" w:lineRule="exact"/>
        <w:jc w:val="both"/>
        <w:rPr>
          <w:rFonts w:ascii="Calibri" w:eastAsia="Times New Roman" w:hAnsi="Calibri" w:cs="ArialMT"/>
          <w:i/>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i/>
          <w:lang w:val="fr-FR" w:eastAsia="it-IT"/>
        </w:rPr>
      </w:pPr>
    </w:p>
    <w:p w:rsidR="006E6AAA" w:rsidRPr="006E6AAA" w:rsidRDefault="006E6AAA" w:rsidP="006E6AAA">
      <w:pPr>
        <w:spacing w:after="0" w:line="280" w:lineRule="exact"/>
        <w:jc w:val="both"/>
        <w:rPr>
          <w:rFonts w:ascii="Calibri" w:eastAsia="Times New Roman" w:hAnsi="Calibri" w:cs="Times New Roman"/>
          <w:b/>
          <w:i/>
          <w:lang w:val="fr-FR" w:eastAsia="it-IT"/>
        </w:rPr>
      </w:pPr>
      <w:r w:rsidRPr="006E6AAA">
        <w:rPr>
          <w:rFonts w:ascii="Calibri" w:eastAsia="Times New Roman" w:hAnsi="Calibri" w:cs="Times New Roman"/>
          <w:b/>
          <w:i/>
          <w:lang w:val="fr-FR" w:eastAsia="it-IT"/>
        </w:rPr>
        <w:t>Impact</w:t>
      </w:r>
    </w:p>
    <w:p w:rsidR="006E6AAA" w:rsidRPr="006E6AAA" w:rsidRDefault="006E6AAA" w:rsidP="006E6AAA">
      <w:pPr>
        <w:spacing w:after="0" w:line="280" w:lineRule="exact"/>
        <w:jc w:val="both"/>
        <w:rPr>
          <w:rFonts w:ascii="Calibri" w:eastAsia="Times New Roman" w:hAnsi="Calibri" w:cs="Arial"/>
          <w:i/>
          <w:lang w:val="fr-FR" w:eastAsia="it-IT"/>
        </w:rPr>
      </w:pPr>
      <w:r w:rsidRPr="006E6AAA">
        <w:rPr>
          <w:rFonts w:ascii="Calibri" w:eastAsia="Times New Roman" w:hAnsi="Calibri" w:cs="Times New Roman"/>
          <w:i/>
          <w:lang w:val="fr-FR" w:eastAsia="it-IT"/>
        </w:rPr>
        <w:t xml:space="preserve">Les AF ont un effet dissuasif sur les criminels et créent plus de sécurité dans les communautés en réduisant le taux de criminalité. Elles ont favorisé le retour progressif de la confiance de la population dans la justice et le rapprochement de la justice aux justiciables. En observant les procès, la population a pu mieux comprendre le fonctionnement du système judiciaire; la fonction pédagogique des AF pourrait toutefois être renforcée en augmentant et rendent plus systématiques les sensibilisations pour la population visant à expliquer le rôle et les objectifs des AF. Dans certaines zones visitées par les AF c’était la première fois que la population entrait en contact avec le système de justice formelle. </w:t>
      </w: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Arial"/>
          <w:i/>
          <w:lang w:val="fr-FR" w:eastAsia="it-IT"/>
        </w:rPr>
        <w:t xml:space="preserve">Les AF ont eu un impact positif sur la promotion et l’application </w:t>
      </w:r>
      <w:r w:rsidRPr="006E6AAA">
        <w:rPr>
          <w:rFonts w:ascii="Calibri" w:eastAsia="Times New Roman" w:hAnsi="Calibri" w:cs="Times New Roman"/>
          <w:i/>
          <w:lang w:val="fr-FR" w:eastAsia="it-IT"/>
        </w:rPr>
        <w:t xml:space="preserve">du droit pénal international en complémentarité avec la CPI. Les AF ont renforcé la capacité des autorités nationales de poursuivre et juger des crimes internationaux. Un nombre croissant de dossiers de crimes de guerre et crimes contre l’humanité est traité par les AF : au moins 8  de ces dossiers ont été jugés au cours des AF appuyées par le PNUD dans l’est de RDC.  Les importants défis de cette nouvelle branche du droit congolais dérivent principalement de l’absence d’un cadre juridique de référence : le retards dans l’adoption d’une loi de mise en œuvre du Statut de Rome pose aux juridictions la question du choix du droit applicable (Statut de Rome ou législation congolaise) et laisse ouvert le débat sur la compétence exclusive des juridictions miliaires ou civiles pour les crimes internationaux.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b/>
          <w:i/>
          <w:lang w:val="fr-FR" w:eastAsia="it-IT"/>
        </w:rPr>
        <w:t>Les recommandations</w:t>
      </w:r>
      <w:r w:rsidRPr="006E6AAA">
        <w:rPr>
          <w:rFonts w:ascii="Calibri" w:eastAsia="Times New Roman" w:hAnsi="Calibri" w:cs="Times New Roman"/>
          <w:i/>
          <w:lang w:val="fr-FR" w:eastAsia="it-IT"/>
        </w:rPr>
        <w:t xml:space="preserve"> illustrées dans le corps du rapport afin d’améliorer la mise en œuvre des AF sont résumées dans les points ci-dessous.</w:t>
      </w:r>
    </w:p>
    <w:p w:rsidR="006E6AAA" w:rsidRPr="006E6AAA" w:rsidRDefault="006E6AAA" w:rsidP="006E6AAA">
      <w:pPr>
        <w:spacing w:after="0" w:line="240" w:lineRule="auto"/>
        <w:jc w:val="both"/>
        <w:rPr>
          <w:rFonts w:ascii="Calibri" w:eastAsia="Times New Roman" w:hAnsi="Calibri" w:cs="Times New Roman"/>
          <w:i/>
          <w:lang w:val="fr-FR" w:eastAsia="it-IT"/>
        </w:rPr>
      </w:pPr>
    </w:p>
    <w:p w:rsidR="006E6AAA" w:rsidRPr="006E6AAA" w:rsidRDefault="006E6AAA" w:rsidP="006E6AAA">
      <w:pPr>
        <w:numPr>
          <w:ilvl w:val="0"/>
          <w:numId w:val="91"/>
        </w:num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Appuyer davantage les AF organisées par les juridictions civiles et mener une réflexion sur l’opportunité de graduellement réduire le nombre d’AF militaires ;</w:t>
      </w:r>
    </w:p>
    <w:p w:rsidR="006E6AAA" w:rsidRPr="006E6AAA" w:rsidRDefault="006E6AAA" w:rsidP="006E6AAA">
      <w:pPr>
        <w:spacing w:after="0" w:line="240" w:lineRule="auto"/>
        <w:jc w:val="both"/>
        <w:rPr>
          <w:rFonts w:ascii="Calibri" w:eastAsia="Times New Roman" w:hAnsi="Calibri" w:cs="Times New Roman"/>
          <w:i/>
          <w:lang w:val="fr-FR" w:eastAsia="it-IT"/>
        </w:rPr>
      </w:pPr>
    </w:p>
    <w:p w:rsidR="006E6AAA" w:rsidRPr="006E6AAA" w:rsidRDefault="006E6AAA" w:rsidP="006E6AAA">
      <w:pPr>
        <w:numPr>
          <w:ilvl w:val="0"/>
          <w:numId w:val="91"/>
        </w:num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Discuter avec les bailleurs la possibilité d’abolir le critère de la priorité des dossiers VBG pour l’organisation d’une AF et élargir la prise en charge  á toutes les infractions ; </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numPr>
          <w:ilvl w:val="0"/>
          <w:numId w:val="91"/>
        </w:num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lastRenderedPageBreak/>
        <w:t>Développer une stratégie d’intervention pour les AF, éventuellement en adoptant un</w:t>
      </w:r>
      <w:r w:rsidRPr="006E6AAA">
        <w:rPr>
          <w:rFonts w:ascii="Calibri" w:eastAsia="Times New Roman" w:hAnsi="Calibri" w:cs="Times New Roman"/>
          <w:b/>
          <w:i/>
          <w:lang w:val="fr-FR" w:eastAsia="it-IT"/>
        </w:rPr>
        <w:t xml:space="preserve"> </w:t>
      </w:r>
      <w:r w:rsidRPr="006E6AAA">
        <w:rPr>
          <w:rFonts w:ascii="Calibri" w:eastAsia="Times New Roman" w:hAnsi="Calibri" w:cs="Times New Roman"/>
          <w:i/>
          <w:lang w:val="fr-FR" w:eastAsia="it-IT"/>
        </w:rPr>
        <w:t>système d’AF mixte et en</w:t>
      </w:r>
      <w:r w:rsidRPr="006E6AAA">
        <w:rPr>
          <w:rFonts w:ascii="Calibri" w:eastAsia="Times New Roman" w:hAnsi="Calibri" w:cs="Times New Roman"/>
          <w:b/>
          <w:i/>
          <w:lang w:val="fr-FR" w:eastAsia="it-IT"/>
        </w:rPr>
        <w:t xml:space="preserve"> </w:t>
      </w:r>
      <w:r w:rsidRPr="006E6AAA">
        <w:rPr>
          <w:rFonts w:ascii="Calibri" w:eastAsia="Times New Roman" w:hAnsi="Calibri" w:cs="Times New Roman"/>
          <w:i/>
          <w:lang w:val="fr-FR" w:eastAsia="it-IT"/>
        </w:rPr>
        <w:t xml:space="preserve">rédigeant un Protocole d’entente annuel entre les partenaires internationaux qui appuient les AF et les autorités judiciaires ; </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numPr>
          <w:ilvl w:val="0"/>
          <w:numId w:val="91"/>
        </w:num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Prévoir une stratégie de transfert des compétences aux juridictions congolaises et renforcer l’appropriation nationale en vue de ce transfert, en assurant une participation plus active des juridictions dans les activités de suivi, de gestion financière et de planification ;</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numPr>
          <w:ilvl w:val="0"/>
          <w:numId w:val="91"/>
        </w:num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Graduellement transférer la gestion financière aux autorités judiciaires congolaises et mener une réflexion sur l’opportunité de créer un basket-fund pour la gestion en commun des fonds que la communauté internationale destine aux AF ; </w:t>
      </w:r>
    </w:p>
    <w:p w:rsidR="006E6AAA" w:rsidRPr="006E6AAA" w:rsidRDefault="006E6AAA" w:rsidP="006E6AAA">
      <w:pPr>
        <w:spacing w:after="0" w:line="240" w:lineRule="auto"/>
        <w:jc w:val="both"/>
        <w:rPr>
          <w:rFonts w:ascii="Calibri" w:eastAsia="Times New Roman" w:hAnsi="Calibri" w:cs="Times New Roman"/>
          <w:i/>
          <w:lang w:val="fr-FR" w:eastAsia="it-IT"/>
        </w:rPr>
      </w:pPr>
    </w:p>
    <w:p w:rsidR="006E6AAA" w:rsidRPr="006E6AAA" w:rsidRDefault="006E6AAA" w:rsidP="006E6AAA">
      <w:pPr>
        <w:numPr>
          <w:ilvl w:val="0"/>
          <w:numId w:val="91"/>
        </w:numPr>
        <w:spacing w:after="0" w:line="280" w:lineRule="exact"/>
        <w:jc w:val="both"/>
        <w:rPr>
          <w:rFonts w:ascii="Calibri" w:eastAsia="Times New Roman" w:hAnsi="Calibri" w:cs="Arial"/>
          <w:i/>
          <w:lang w:val="fr-FR" w:eastAsia="it-IT"/>
        </w:rPr>
      </w:pPr>
      <w:r w:rsidRPr="006E6AAA">
        <w:rPr>
          <w:rFonts w:ascii="Calibri" w:eastAsia="Times New Roman" w:hAnsi="Calibri" w:cs="Times New Roman"/>
          <w:i/>
          <w:lang w:val="fr-FR" w:eastAsia="it-IT"/>
        </w:rPr>
        <w:t xml:space="preserve">Améliorer le suivi </w:t>
      </w:r>
      <w:r w:rsidRPr="006E6AAA">
        <w:rPr>
          <w:rFonts w:ascii="Calibri" w:eastAsia="Times New Roman" w:hAnsi="Calibri" w:cs="Arial"/>
          <w:i/>
          <w:lang w:val="fr-FR" w:eastAsia="it-IT"/>
        </w:rPr>
        <w:t>et promouvoir la consolidation des acquis des AF ;</w:t>
      </w:r>
    </w:p>
    <w:p w:rsidR="006E6AAA" w:rsidRPr="006E6AAA" w:rsidRDefault="006E6AAA" w:rsidP="006E6AAA">
      <w:pPr>
        <w:spacing w:after="0" w:line="280" w:lineRule="exact"/>
        <w:jc w:val="both"/>
        <w:rPr>
          <w:rFonts w:ascii="Calibri" w:eastAsia="Times New Roman" w:hAnsi="Calibri" w:cs="Arial"/>
          <w:i/>
          <w:lang w:val="fr-FR" w:eastAsia="it-IT"/>
        </w:rPr>
      </w:pPr>
    </w:p>
    <w:p w:rsidR="006E6AAA" w:rsidRPr="006E6AAA" w:rsidRDefault="006E6AAA" w:rsidP="006E6AAA">
      <w:pPr>
        <w:numPr>
          <w:ilvl w:val="0"/>
          <w:numId w:val="91"/>
        </w:numPr>
        <w:spacing w:after="0" w:line="240" w:lineRule="auto"/>
        <w:jc w:val="both"/>
        <w:rPr>
          <w:rFonts w:ascii="Calibri" w:eastAsia="Times New Roman" w:hAnsi="Calibri" w:cs="Times New Roman"/>
          <w:i/>
          <w:lang w:val="fr-FR" w:eastAsia="it-IT"/>
        </w:rPr>
      </w:pPr>
      <w:r w:rsidRPr="006E6AAA">
        <w:rPr>
          <w:rFonts w:ascii="Calibri" w:eastAsia="Times New Roman" w:hAnsi="Calibri" w:cs="Arial"/>
          <w:i/>
          <w:lang w:val="fr-FR" w:eastAsia="it-IT"/>
        </w:rPr>
        <w:t xml:space="preserve">Renforcer certains  aspects juridiques (présence des </w:t>
      </w:r>
      <w:r w:rsidRPr="006E6AAA">
        <w:rPr>
          <w:rFonts w:ascii="Calibri" w:eastAsia="Times New Roman" w:hAnsi="Calibri" w:cs="Times New Roman"/>
          <w:i/>
          <w:lang w:val="fr-FR" w:eastAsia="it-IT"/>
        </w:rPr>
        <w:t xml:space="preserve"> avocats des prévenus ; mesures de protection des victimes et des témoins ; exécution des jugements, notamment en matière de condamnation civile…)</w:t>
      </w:r>
    </w:p>
    <w:p w:rsidR="006E6AAA" w:rsidRPr="006E6AAA" w:rsidRDefault="006E6AAA" w:rsidP="006E6AAA">
      <w:pPr>
        <w:spacing w:after="0" w:line="280" w:lineRule="exact"/>
        <w:jc w:val="both"/>
        <w:rPr>
          <w:rFonts w:ascii="Times New Roman" w:eastAsia="Times New Roman" w:hAnsi="Times New Roman" w:cs="Times New Roman"/>
          <w:color w:val="FFFFFF"/>
          <w:lang w:val="fr-FR" w:eastAsia="it-IT"/>
        </w:rPr>
      </w:pPr>
      <w:r w:rsidRPr="006E6AAA">
        <w:rPr>
          <w:rFonts w:ascii="Times New Roman" w:eastAsia="Times New Roman" w:hAnsi="Times New Roman" w:cs="Times New Roman"/>
          <w:i/>
          <w:lang w:val="fr-FR" w:eastAsia="it-IT"/>
        </w:rPr>
        <w:br w:type="page"/>
      </w:r>
      <w:r w:rsidRPr="006E6AAA">
        <w:rPr>
          <w:rFonts w:ascii="Calibri" w:eastAsia="Times New Roman" w:hAnsi="Calibri" w:cs="Times New Roman"/>
          <w:b/>
          <w:color w:val="FFFFFF"/>
          <w:highlight w:val="darkGray"/>
          <w:lang w:val="fr-FR" w:eastAsia="it-IT"/>
        </w:rPr>
        <w:lastRenderedPageBreak/>
        <w:t>PARTIE I : INTRODUCTION</w:t>
      </w:r>
      <w:r w:rsidRPr="006E6AAA">
        <w:rPr>
          <w:rFonts w:ascii="Calibri" w:eastAsia="Times New Roman" w:hAnsi="Calibri" w:cs="Times New Roman"/>
          <w:b/>
          <w:color w:val="FFFFFF"/>
          <w:lang w:val="fr-FR" w:eastAsia="it-IT"/>
        </w:rPr>
        <w:t xml:space="preserve"> </w:t>
      </w:r>
      <w:r w:rsidRPr="006E6AAA">
        <w:rPr>
          <w:rFonts w:ascii="Calibri" w:eastAsia="Times New Roman" w:hAnsi="Calibri" w:cs="Times New Roman"/>
          <w:b/>
          <w:color w:val="FFFFFF"/>
          <w:lang w:val="fr-FR" w:eastAsia="it-IT"/>
        </w:rPr>
        <w:tab/>
      </w:r>
    </w:p>
    <w:p w:rsidR="006E6AAA" w:rsidRPr="006E6AAA" w:rsidRDefault="006E6AAA" w:rsidP="006E6AAA">
      <w:pPr>
        <w:spacing w:after="0" w:line="280" w:lineRule="exact"/>
        <w:jc w:val="both"/>
        <w:rPr>
          <w:rFonts w:ascii="Calibri" w:eastAsia="Times New Roman" w:hAnsi="Calibri" w:cs="Times New Roman"/>
          <w:sz w:val="24"/>
          <w:szCs w:val="24"/>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Audiences Foraines (AF) sont définies comme « </w:t>
      </w:r>
      <w:r w:rsidRPr="006E6AAA">
        <w:rPr>
          <w:rFonts w:ascii="Calibri" w:eastAsia="Times New Roman" w:hAnsi="Calibri" w:cs="Times New Roman"/>
          <w:i/>
          <w:lang w:val="fr-FR" w:eastAsia="it-IT"/>
        </w:rPr>
        <w:t>des audiences judiciaires tenues par un Tribunal dans son ressort géographique mais en dehors de son siège ordinaire, normalement dans des localités éloignées où les services de justice ne sont pas disponibles</w:t>
      </w:r>
      <w:r w:rsidRPr="006E6AAA">
        <w:rPr>
          <w:rFonts w:ascii="Calibri" w:eastAsia="Times New Roman" w:hAnsi="Calibri" w:cs="Times New Roman"/>
          <w:lang w:val="fr-FR" w:eastAsia="it-IT"/>
        </w:rPr>
        <w:t>»</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audiences foraines comportent </w:t>
      </w:r>
      <w:r w:rsidRPr="006E6AAA">
        <w:rPr>
          <w:rFonts w:ascii="Calibri" w:eastAsia="Times New Roman" w:hAnsi="Calibri" w:cs="Calibri"/>
          <w:lang w:val="fr-FR" w:eastAsia="it-IT"/>
        </w:rPr>
        <w:t>le déplacement d’une équipe de juges, procureurs, greffiers, policiers</w:t>
      </w:r>
      <w:r w:rsidRPr="006E6AAA">
        <w:rPr>
          <w:rFonts w:ascii="Calibri" w:eastAsia="Times New Roman" w:hAnsi="Calibri" w:cs="Times New Roman"/>
          <w:lang w:val="fr-FR" w:eastAsia="it-IT"/>
        </w:rPr>
        <w:t xml:space="preserve"> dans les territoires reculées avec l’objectif principal de faciliter l'accès à la justice, en particulier pour les groupes vulnérables qui n'auraient autrement pas la possibilité de saisir le système de la justice formelle. </w:t>
      </w:r>
    </w:p>
    <w:p w:rsidR="006E6AAA" w:rsidRPr="006E6AAA" w:rsidRDefault="006E6AAA" w:rsidP="006E6AAA">
      <w:pPr>
        <w:spacing w:after="0" w:line="280" w:lineRule="exact"/>
        <w:jc w:val="both"/>
        <w:rPr>
          <w:rFonts w:ascii="Calibri" w:eastAsia="Times New Roman" w:hAnsi="Calibri" w:cs="Times New Roman"/>
          <w:color w:val="0000FF"/>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présent rapport est développé dans le cadre d’une évaluation commissionnée par le PNUD/BCPR et intitulée « </w:t>
      </w:r>
      <w:r w:rsidRPr="006E6AAA">
        <w:rPr>
          <w:rFonts w:ascii="Calibri" w:eastAsia="Times New Roman" w:hAnsi="Calibri" w:cs="Times New Roman"/>
          <w:i/>
          <w:lang w:val="fr-FR" w:eastAsia="it-IT"/>
        </w:rPr>
        <w:t>Evaluation of support to mobile courts arrangements in post-conflict situations</w:t>
      </w:r>
      <w:r w:rsidRPr="006E6AAA">
        <w:rPr>
          <w:rFonts w:ascii="Calibri" w:eastAsia="Times New Roman" w:hAnsi="Calibri" w:cs="Times New Roman"/>
          <w:lang w:val="fr-FR" w:eastAsia="it-IT"/>
        </w:rPr>
        <w:t xml:space="preserve"> ».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nombre croissant de Bureaux Pays PNUD (BP) qui appuient les AF organisées par des juridictions nationales et le nombre limité d'études approfondies consacrées à ce sujet, ont motivé le Bureau pour la Prévention de Crises et le Relèvement (BCPR) à engager une évaluation pour analyser les résultats, l'impact, les bonnes pratiques et les leçons apprises développées dans le cadre des audiences foraines appuyées par le PNUD, avec une attention particulière au contexte post-conflit.</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br/>
        <w:t>Comme indiqué dans les TDR et plus en détail dans le Rapport de Démarrage, l'évaluation comprend la mission d'un consultant international dans 3 BP (</w:t>
      </w:r>
      <w:r w:rsidRPr="006E6AAA">
        <w:rPr>
          <w:rFonts w:ascii="Calibri" w:eastAsia="Times New Roman" w:hAnsi="Calibri" w:cs="Times New Roman"/>
          <w:b/>
          <w:lang w:val="fr-FR" w:eastAsia="it-IT"/>
        </w:rPr>
        <w:t>Sierra Leone, RDC et Somalie</w:t>
      </w:r>
      <w:r w:rsidRPr="006E6AAA">
        <w:rPr>
          <w:rFonts w:ascii="Calibri" w:eastAsia="Times New Roman" w:hAnsi="Calibri" w:cs="Times New Roman"/>
          <w:lang w:val="fr-FR" w:eastAsia="it-IT"/>
        </w:rPr>
        <w:t>) et une revue de la documentation de référence produite par des BP additionnels qui appuient les audiences foraines (</w:t>
      </w:r>
      <w:r w:rsidRPr="006E6AAA">
        <w:rPr>
          <w:rFonts w:ascii="Calibri" w:eastAsia="Times New Roman" w:hAnsi="Calibri" w:cs="Times New Roman"/>
          <w:b/>
          <w:lang w:val="fr-FR" w:eastAsia="it-IT"/>
        </w:rPr>
        <w:t>République Centrafricaine et Timor Leste</w:t>
      </w: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Le présent rapport présente les conclusions de la mission en République Démocratique du Congo.</w:t>
      </w:r>
      <w:r w:rsidRPr="006E6AAA">
        <w:rPr>
          <w:rFonts w:ascii="Calibri" w:eastAsia="Times New Roman" w:hAnsi="Calibri" w:cs="Times New Roman"/>
          <w:b/>
          <w:lang w:val="fr-FR" w:eastAsia="it-IT"/>
        </w:rPr>
        <w:br/>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pBdr>
          <w:bottom w:val="single" w:sz="12" w:space="1" w:color="000080"/>
        </w:pBdr>
        <w:spacing w:after="0" w:line="280" w:lineRule="exact"/>
        <w:jc w:val="both"/>
        <w:rPr>
          <w:rFonts w:ascii="Times New Roman" w:eastAsia="Times New Roman" w:hAnsi="Times New Roman" w:cs="Times New Roman"/>
          <w:b/>
          <w:sz w:val="24"/>
          <w:szCs w:val="24"/>
          <w:lang w:val="fr-FR" w:eastAsia="it-IT"/>
        </w:rPr>
      </w:pPr>
      <w:bookmarkStart w:id="1" w:name="_Toc356240470"/>
      <w:r w:rsidRPr="006E6AAA">
        <w:rPr>
          <w:rFonts w:ascii="Calibri" w:eastAsia="Times New Roman" w:hAnsi="Calibri" w:cs="Times New Roman"/>
          <w:b/>
          <w:color w:val="000080"/>
          <w:lang w:val="fr-FR" w:eastAsia="it-IT"/>
        </w:rPr>
        <w:t>§ 1.</w:t>
      </w:r>
      <w:r w:rsidRPr="006E6AAA">
        <w:rPr>
          <w:rFonts w:ascii="Calibri" w:eastAsia="Times New Roman" w:hAnsi="Calibri" w:cs="Arial"/>
          <w:b/>
          <w:lang w:val="fr-FR" w:eastAsia="it-IT"/>
        </w:rPr>
        <w:t xml:space="preserve"> Justification et objectifs de l’évaluation</w:t>
      </w:r>
      <w:bookmarkEnd w:id="1"/>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présent rapport s’adresse au personnel du PNUD/BCPR et aux autorités judiciaires congolaises. Ses deux objectifs principaux sont:</w:t>
      </w:r>
    </w:p>
    <w:p w:rsidR="006E6AAA" w:rsidRPr="006E6AAA" w:rsidRDefault="006E6AAA" w:rsidP="006E6AAA">
      <w:pPr>
        <w:numPr>
          <w:ilvl w:val="0"/>
          <w:numId w:val="5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présentation de recommandations au Bureau Pays PNUD et au gouvernement congolais pour améliorer l’appui et la mise en œuvre des audiences foraines.</w:t>
      </w:r>
    </w:p>
    <w:p w:rsidR="006E6AAA" w:rsidRPr="006E6AAA" w:rsidRDefault="006E6AAA" w:rsidP="006E6AAA">
      <w:pPr>
        <w:numPr>
          <w:ilvl w:val="0"/>
          <w:numId w:val="59"/>
        </w:numPr>
        <w:spacing w:after="0" w:line="280" w:lineRule="exact"/>
        <w:jc w:val="both"/>
        <w:rPr>
          <w:rFonts w:ascii="Calibri" w:eastAsia="Times New Roman" w:hAnsi="Calibri" w:cs="Times New Roman"/>
          <w:lang w:val="fr-FR" w:eastAsia="it-IT"/>
        </w:rPr>
      </w:pPr>
      <w:r w:rsidRPr="006E6AAA">
        <w:rPr>
          <w:rFonts w:ascii="Calibri" w:eastAsia="Times New Roman" w:hAnsi="Calibri" w:cs="Arial"/>
          <w:lang w:val="fr-FR" w:eastAsia="it-IT"/>
        </w:rPr>
        <w:t xml:space="preserve">La consolidation des connaissances, des acquis et des leçons apprises au cours des interventions pour une éventuelle réplication de l’expérience  dans d’autres pays avec le soutien du PNUD.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 xml:space="preserve">Le rapport est structuré en 3 parties: la </w:t>
      </w:r>
      <w:r w:rsidRPr="006E6AAA">
        <w:rPr>
          <w:rFonts w:ascii="Calibri" w:eastAsia="Times New Roman" w:hAnsi="Calibri" w:cs="Times New Roman"/>
          <w:b/>
          <w:lang w:val="fr-FR" w:eastAsia="it-IT"/>
        </w:rPr>
        <w:t>première partie</w:t>
      </w:r>
      <w:r w:rsidRPr="006E6AAA">
        <w:rPr>
          <w:rFonts w:ascii="Calibri" w:eastAsia="Times New Roman" w:hAnsi="Calibri" w:cs="Times New Roman"/>
          <w:lang w:val="fr-FR" w:eastAsia="it-IT"/>
        </w:rPr>
        <w:t xml:space="preserve"> présente une description de la méthodologie et un bref aperçu du contexte; </w:t>
      </w:r>
      <w:r w:rsidRPr="006E6AAA">
        <w:rPr>
          <w:rFonts w:ascii="Calibri" w:eastAsia="Times New Roman" w:hAnsi="Calibri" w:cs="Arial"/>
          <w:lang w:val="fr-FR" w:eastAsia="it-IT"/>
        </w:rPr>
        <w:t xml:space="preserve">la </w:t>
      </w:r>
      <w:r w:rsidRPr="006E6AAA">
        <w:rPr>
          <w:rFonts w:ascii="Calibri" w:eastAsia="Times New Roman" w:hAnsi="Calibri" w:cs="Arial"/>
          <w:b/>
          <w:lang w:val="fr-FR" w:eastAsia="it-IT"/>
        </w:rPr>
        <w:t>deuxième partie</w:t>
      </w:r>
      <w:r w:rsidRPr="006E6AAA">
        <w:rPr>
          <w:rFonts w:ascii="Calibri" w:eastAsia="Times New Roman" w:hAnsi="Calibri" w:cs="Arial"/>
          <w:lang w:val="fr-FR" w:eastAsia="it-IT"/>
        </w:rPr>
        <w:t xml:space="preserve"> présente les résultats de l'évaluation selon les critères retenus (pertinence, efficacité, efficience, durabilité et impact) et la </w:t>
      </w:r>
      <w:r w:rsidRPr="006E6AAA">
        <w:rPr>
          <w:rFonts w:ascii="Calibri" w:eastAsia="Times New Roman" w:hAnsi="Calibri" w:cs="Arial"/>
          <w:b/>
          <w:lang w:val="fr-FR" w:eastAsia="it-IT"/>
        </w:rPr>
        <w:t>troisième partie</w:t>
      </w:r>
      <w:r w:rsidRPr="006E6AAA">
        <w:rPr>
          <w:rFonts w:ascii="Calibri" w:eastAsia="Times New Roman" w:hAnsi="Calibri" w:cs="Arial"/>
          <w:lang w:val="fr-FR" w:eastAsia="it-IT"/>
        </w:rPr>
        <w:t xml:space="preserve"> soumet les conclusions et les recommandations. </w:t>
      </w:r>
    </w:p>
    <w:p w:rsidR="006E6AAA" w:rsidRPr="006E6AAA" w:rsidRDefault="006E6AAA" w:rsidP="006E6AAA">
      <w:pPr>
        <w:spacing w:after="0" w:line="280" w:lineRule="exact"/>
        <w:jc w:val="both"/>
        <w:rPr>
          <w:rFonts w:ascii="Calibri" w:eastAsia="Times New Roman" w:hAnsi="Calibri" w:cs="Arial"/>
          <w:b/>
          <w:lang w:val="fr-FR" w:eastAsia="it-IT"/>
        </w:rPr>
      </w:pPr>
    </w:p>
    <w:p w:rsidR="006E6AAA" w:rsidRPr="006E6AAA" w:rsidRDefault="006E6AAA" w:rsidP="006E6AAA">
      <w:pPr>
        <w:spacing w:after="0" w:line="280" w:lineRule="exact"/>
        <w:jc w:val="both"/>
        <w:rPr>
          <w:rFonts w:ascii="Calibri" w:eastAsia="Times New Roman" w:hAnsi="Calibri" w:cs="Arial"/>
          <w:b/>
          <w:lang w:val="fr-FR"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Arial"/>
          <w:b/>
          <w:lang w:val="fr-FR" w:eastAsia="it-IT"/>
        </w:rPr>
      </w:pPr>
      <w:r w:rsidRPr="006E6AAA">
        <w:rPr>
          <w:rFonts w:ascii="Calibri" w:eastAsia="Times New Roman" w:hAnsi="Calibri" w:cs="Times New Roman"/>
          <w:b/>
          <w:color w:val="000080"/>
          <w:lang w:val="fr-FR" w:eastAsia="it-IT"/>
        </w:rPr>
        <w:t xml:space="preserve">§ </w:t>
      </w:r>
      <w:r w:rsidRPr="006E6AAA">
        <w:rPr>
          <w:rFonts w:ascii="Calibri" w:eastAsia="Times New Roman" w:hAnsi="Calibri" w:cs="Arial"/>
          <w:b/>
          <w:color w:val="000080"/>
          <w:lang w:val="fr-FR" w:eastAsia="it-IT"/>
        </w:rPr>
        <w:t>2.</w:t>
      </w:r>
      <w:r w:rsidRPr="006E6AAA">
        <w:rPr>
          <w:rFonts w:ascii="Calibri" w:eastAsia="Times New Roman" w:hAnsi="Calibri" w:cs="Arial"/>
          <w:b/>
          <w:lang w:val="fr-FR" w:eastAsia="it-IT"/>
        </w:rPr>
        <w:t xml:space="preserve"> Méthodologie et limitations de l’évaluation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L’évaluation a été menée par une consultante indépendante et a consisté en une phase d’analyse des documents de base</w:t>
      </w:r>
      <w:r w:rsidRPr="006E6AAA">
        <w:rPr>
          <w:rFonts w:ascii="Calibri" w:eastAsia="Times New Roman" w:hAnsi="Calibri" w:cs="Times New Roman"/>
          <w:vertAlign w:val="superscript"/>
          <w:lang w:val="fr-FR" w:eastAsia="it-IT"/>
        </w:rPr>
        <w:footnoteReference w:id="155"/>
      </w:r>
      <w:r w:rsidRPr="006E6AAA">
        <w:rPr>
          <w:rFonts w:ascii="Calibri" w:eastAsia="Times New Roman" w:hAnsi="Calibri" w:cs="Arial"/>
          <w:lang w:val="fr-FR" w:eastAsia="it-IT"/>
        </w:rPr>
        <w:t xml:space="preserve"> suivie par une </w:t>
      </w:r>
      <w:r w:rsidRPr="006E6AAA">
        <w:rPr>
          <w:rFonts w:ascii="Calibri" w:eastAsia="Times New Roman" w:hAnsi="Calibri" w:cs="Arial"/>
          <w:b/>
          <w:lang w:val="fr-FR" w:eastAsia="it-IT"/>
        </w:rPr>
        <w:t>mission à l’Est de la RDC du 18 au 23 Mars 2013</w:t>
      </w:r>
      <w:r w:rsidRPr="006E6AAA">
        <w:rPr>
          <w:rFonts w:ascii="Calibri" w:eastAsia="Times New Roman" w:hAnsi="Calibri" w:cs="Arial"/>
          <w:lang w:val="fr-FR" w:eastAsia="it-IT"/>
        </w:rPr>
        <w:t>. Les termes de référence sont disponibles dans l’annexe 4.</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Arial"/>
          <w:lang w:val="fr-FR" w:eastAsia="it-IT"/>
        </w:rPr>
        <w:lastRenderedPageBreak/>
        <w:t xml:space="preserve">La mission à l’Est de la RDC a permis de </w:t>
      </w:r>
      <w:r w:rsidRPr="006E6AAA">
        <w:rPr>
          <w:rFonts w:ascii="Calibri" w:eastAsia="Times New Roman" w:hAnsi="Calibri" w:cs="Arial"/>
          <w:b/>
          <w:lang w:val="fr-FR" w:eastAsia="it-IT"/>
        </w:rPr>
        <w:t>visiter les 3 Sous-Bureaux  du PNUD</w:t>
      </w:r>
      <w:r w:rsidRPr="006E6AAA">
        <w:rPr>
          <w:rFonts w:ascii="Calibri" w:eastAsia="Times New Roman" w:hAnsi="Calibri" w:cs="Arial"/>
          <w:lang w:val="fr-FR" w:eastAsia="it-IT"/>
        </w:rPr>
        <w:t xml:space="preserve"> qui mettent en œuvre le programme d’accès à la justice dans le cadre duquel sont appuyées les audiences foraines (Goma, Bunia et Bukavu) et de </w:t>
      </w:r>
      <w:r w:rsidRPr="006E6AAA">
        <w:rPr>
          <w:rFonts w:ascii="Calibri" w:eastAsia="Times New Roman" w:hAnsi="Calibri" w:cs="Times New Roman"/>
          <w:lang w:val="fr-FR" w:eastAsia="it-IT"/>
        </w:rPr>
        <w:t xml:space="preserve">mener des </w:t>
      </w:r>
      <w:r w:rsidRPr="006E6AAA">
        <w:rPr>
          <w:rFonts w:ascii="Calibri" w:eastAsia="Times New Roman" w:hAnsi="Calibri" w:cs="Times New Roman"/>
          <w:b/>
          <w:lang w:val="fr-FR" w:eastAsia="it-IT"/>
        </w:rPr>
        <w:t>entretiens avec approximativement 35 intervenants clés</w:t>
      </w:r>
      <w:r w:rsidRPr="006E6AAA">
        <w:rPr>
          <w:rFonts w:ascii="Calibri" w:eastAsia="Times New Roman" w:hAnsi="Calibri" w:cs="Times New Roman"/>
          <w:lang w:val="fr-FR" w:eastAsia="it-IT"/>
        </w:rPr>
        <w:t>, y compris les acteurs du système judiciaire, de la police et du système pénitencier, les organisations de la société civile, des partenaires internationaux et les équipes du PNUD</w:t>
      </w:r>
      <w:r w:rsidRPr="006E6AAA">
        <w:rPr>
          <w:rFonts w:ascii="Calibri" w:eastAsia="Times New Roman" w:hAnsi="Calibri" w:cs="Times New Roman"/>
          <w:vertAlign w:val="superscript"/>
          <w:lang w:val="fr-FR" w:eastAsia="it-IT"/>
        </w:rPr>
        <w:footnoteReference w:id="156"/>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 xml:space="preserve">La consultante a eu l’opportunité de participer à deux réunions des « cadres de concertation des AF » pour la préparation des AF au Nord Kivu et Ituri et a rencontré collectivement les membres de la </w:t>
      </w:r>
      <w:r w:rsidRPr="006E6AAA">
        <w:rPr>
          <w:rFonts w:ascii="Calibri" w:eastAsia="Times New Roman" w:hAnsi="Calibri" w:cs="Times New Roman"/>
          <w:i/>
          <w:lang w:val="fr-FR" w:eastAsia="it-IT"/>
        </w:rPr>
        <w:t>Task Force Justice</w:t>
      </w:r>
      <w:r w:rsidRPr="006E6AAA">
        <w:rPr>
          <w:rFonts w:ascii="Calibri" w:eastAsia="Times New Roman" w:hAnsi="Calibri" w:cs="Times New Roman"/>
          <w:lang w:val="fr-FR" w:eastAsia="it-IT"/>
        </w:rPr>
        <w:t xml:space="preserve"> au Sud Kivu</w:t>
      </w:r>
      <w:r w:rsidRPr="006E6AAA">
        <w:rPr>
          <w:rFonts w:ascii="Calibri" w:eastAsia="Times New Roman" w:hAnsi="Calibri" w:cs="Times New Roman"/>
          <w:color w:val="0000FF"/>
          <w:vertAlign w:val="superscript"/>
          <w:lang w:val="fr-FR" w:eastAsia="it-IT"/>
        </w:rPr>
        <w:footnoteReference w:id="157"/>
      </w:r>
      <w:r w:rsidRPr="006E6AAA">
        <w:rPr>
          <w:rFonts w:ascii="Calibri" w:eastAsia="Times New Roman" w:hAnsi="Calibri" w:cs="Times New Roman"/>
          <w:color w:val="0000FF"/>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méthodologie de l'évaluation est illustrée dans le Rapport de Démarrage et fait référence à des méthodes de recherche qualitative et quantitative. (Entretiens individuels et analyse de documents de référence tels que les rapports  du PNUD et d’autres partenaires, littérature juridique) </w:t>
      </w:r>
    </w:p>
    <w:p w:rsidR="006E6AAA" w:rsidRPr="006E6AAA" w:rsidRDefault="006E6AAA" w:rsidP="006E6AAA">
      <w:pPr>
        <w:spacing w:after="0" w:line="280" w:lineRule="exact"/>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questions de l’évaluation et les sous-questions sont identifiées dans la Matrice d’Evaluation (voir annexe 4) sur la base des TDR et reflètent les 5 critères de pertinence, efficacité, efficience, durabilité et impact. </w:t>
      </w:r>
      <w:r w:rsidRPr="006E6AAA">
        <w:rPr>
          <w:rFonts w:ascii="Calibri" w:eastAsia="Times New Roman" w:hAnsi="Calibri" w:cs="Times New Roman"/>
          <w:lang w:val="fr-FR" w:eastAsia="it-IT"/>
        </w:rPr>
        <w:br/>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 xml:space="preserve">La </w:t>
      </w:r>
      <w:r w:rsidRPr="006E6AAA">
        <w:rPr>
          <w:rFonts w:ascii="Calibri" w:eastAsia="Times New Roman" w:hAnsi="Calibri" w:cs="Times New Roman"/>
          <w:b/>
          <w:lang w:val="fr-FR" w:eastAsia="it-IT"/>
        </w:rPr>
        <w:t>contrainte majeure</w:t>
      </w:r>
      <w:r w:rsidRPr="006E6AAA">
        <w:rPr>
          <w:rFonts w:ascii="Calibri" w:eastAsia="Times New Roman" w:hAnsi="Calibri" w:cs="Times New Roman"/>
          <w:lang w:val="fr-FR" w:eastAsia="it-IT"/>
        </w:rPr>
        <w:t xml:space="preserve"> qui s’est manifestée au cours de l’évaluation a été l’impossibilité, pour des raisons logistiques, d’organiser des rencontres avec les usagers des AF et d’observer le déroulement d’une AF : il n’a donc pas été possible de refléter dans le présent rapport le point de vue des bénéficiaires, comme prévu dans le Rapport de Démarrage. Une analyse sera proposée à travers les opinions des personnes rencontrées</w:t>
      </w:r>
      <w:r w:rsidRPr="006E6AAA">
        <w:rPr>
          <w:rFonts w:ascii="Calibri" w:eastAsia="Times New Roman" w:hAnsi="Calibri" w:cs="Arial"/>
          <w:lang w:val="fr-FR" w:eastAsia="it-IT"/>
        </w:rPr>
        <w:t>.</w:t>
      </w: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Comme illustré en détail au § 6.1, le système de collecte des données statistiques relatives aux AF présente des faiblesses tant au niveau des partenaires internationaux que des juridictions, ce qui n’a pas permis une analyse des résultats atteints suffisamment détaillée par rapport á certains aspects de l’initiative.  </w:t>
      </w: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val="fr-FR"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val="fr-FR"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Arial"/>
          <w:b/>
          <w:lang w:val="fr-FR" w:eastAsia="it-IT"/>
        </w:rPr>
      </w:pPr>
      <w:r w:rsidRPr="006E6AAA">
        <w:rPr>
          <w:rFonts w:ascii="Calibri" w:eastAsia="Times New Roman" w:hAnsi="Calibri" w:cs="Times New Roman"/>
          <w:b/>
          <w:color w:val="000080"/>
          <w:lang w:val="fr-FR" w:eastAsia="it-IT"/>
        </w:rPr>
        <w:t>§ 3.</w:t>
      </w:r>
      <w:r w:rsidRPr="006E6AAA">
        <w:rPr>
          <w:rFonts w:ascii="Calibri" w:eastAsia="Times New Roman" w:hAnsi="Calibri" w:cs="Times New Roman"/>
          <w:lang w:val="fr-FR" w:eastAsia="it-IT"/>
        </w:rPr>
        <w:t xml:space="preserve"> </w:t>
      </w:r>
      <w:r w:rsidRPr="006E6AAA">
        <w:rPr>
          <w:rFonts w:ascii="Calibri" w:eastAsia="Times New Roman" w:hAnsi="Calibri" w:cs="Arial"/>
          <w:b/>
          <w:lang w:val="fr-FR" w:eastAsia="it-IT"/>
        </w:rPr>
        <w:t xml:space="preserve">Description des activités évaluées </w:t>
      </w: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Le PNUD appuie l’organisation des audiences foraines dans l’est de la RDC depuis 2010. </w:t>
      </w:r>
    </w:p>
    <w:p w:rsidR="006E6AAA" w:rsidRPr="006E6AAA" w:rsidRDefault="006E6AAA" w:rsidP="006E6AAA">
      <w:p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L’appui aux AF est planifié dans le cadre de deux projets suivants qui interviennent au Sud Kivu, Nord Kivu et en Ituri :</w:t>
      </w:r>
    </w:p>
    <w:p w:rsidR="006E6AAA" w:rsidRPr="006E6AAA" w:rsidRDefault="006E6AAA" w:rsidP="006E6AAA">
      <w:pPr>
        <w:numPr>
          <w:ilvl w:val="0"/>
          <w:numId w:val="60"/>
        </w:numPr>
        <w:tabs>
          <w:tab w:val="left" w:pos="540"/>
          <w:tab w:val="left" w:pos="8460"/>
        </w:tabs>
        <w:spacing w:after="0" w:line="280" w:lineRule="exact"/>
        <w:jc w:val="both"/>
        <w:rPr>
          <w:rFonts w:ascii="Calibri" w:eastAsia="Times New Roman" w:hAnsi="Calibri" w:cs="Times New Roman"/>
          <w:i/>
          <w:lang w:val="fr-FR" w:eastAsia="it-IT"/>
        </w:rPr>
      </w:pPr>
      <w:r w:rsidRPr="006E6AAA">
        <w:rPr>
          <w:rFonts w:ascii="Calibri" w:eastAsia="Times New Roman" w:hAnsi="Calibri" w:cs="Calibri"/>
          <w:lang w:val="fr-FR" w:eastAsia="it-IT"/>
        </w:rPr>
        <w:t>« </w:t>
      </w:r>
      <w:r w:rsidRPr="006E6AAA">
        <w:rPr>
          <w:rFonts w:ascii="Calibri" w:eastAsia="Times New Roman" w:hAnsi="Calibri" w:cs="Calibri"/>
          <w:i/>
          <w:lang w:val="fr-FR" w:eastAsia="it-IT"/>
        </w:rPr>
        <w:t>Renforcement de la capacité du système judiciaire militaire d’enquêter et de poursuivre les crimes des violences sexuelles dans l’est de la RDC »</w:t>
      </w:r>
      <w:r w:rsidRPr="006E6AAA">
        <w:rPr>
          <w:rFonts w:ascii="Calibri" w:eastAsia="Times New Roman" w:hAnsi="Calibri" w:cs="Times New Roman"/>
          <w:i/>
          <w:lang w:val="fr-FR" w:eastAsia="it-IT"/>
        </w:rPr>
        <w:t>,</w:t>
      </w:r>
      <w:r w:rsidRPr="006E6AAA">
        <w:rPr>
          <w:rFonts w:ascii="Calibri" w:eastAsia="Times New Roman" w:hAnsi="Calibri" w:cs="Times New Roman"/>
          <w:lang w:val="fr-FR" w:eastAsia="it-IT"/>
        </w:rPr>
        <w:t xml:space="preserve"> financé par US Department of State Bureau of Democracy, Human Rights and Labor (DRL)</w:t>
      </w:r>
      <w:r w:rsidRPr="006E6AAA">
        <w:rPr>
          <w:rFonts w:ascii="Calibri" w:eastAsia="Times New Roman" w:hAnsi="Calibri" w:cs="Times New Roman"/>
          <w:i/>
          <w:lang w:val="fr-FR" w:eastAsia="it-IT"/>
        </w:rPr>
        <w:t xml:space="preserve"> (</w:t>
      </w:r>
      <w:r w:rsidRPr="006E6AAA">
        <w:rPr>
          <w:rFonts w:ascii="Calibri" w:eastAsia="Times New Roman" w:hAnsi="Calibri" w:cs="Times New Roman"/>
          <w:b/>
          <w:i/>
          <w:lang w:val="fr-FR" w:eastAsia="it-IT"/>
        </w:rPr>
        <w:t>par la suite projet 1888</w:t>
      </w:r>
      <w:r w:rsidRPr="006E6AAA">
        <w:rPr>
          <w:rFonts w:ascii="Calibri" w:eastAsia="Times New Roman" w:hAnsi="Calibri" w:cs="Times New Roman"/>
          <w:i/>
          <w:lang w:val="fr-FR" w:eastAsia="it-IT"/>
        </w:rPr>
        <w:t>)</w:t>
      </w:r>
    </w:p>
    <w:p w:rsidR="006E6AAA" w:rsidRPr="006E6AAA" w:rsidRDefault="006E6AAA" w:rsidP="006E6AAA">
      <w:pPr>
        <w:numPr>
          <w:ilvl w:val="0"/>
          <w:numId w:val="60"/>
        </w:numPr>
        <w:tabs>
          <w:tab w:val="left" w:pos="540"/>
          <w:tab w:val="left" w:pos="8460"/>
        </w:tabs>
        <w:spacing w:after="0" w:line="280" w:lineRule="exact"/>
        <w:jc w:val="both"/>
        <w:rPr>
          <w:rFonts w:ascii="Calibri" w:eastAsia="Times New Roman" w:hAnsi="Calibri" w:cs="Times New Roman"/>
          <w:i/>
          <w:lang w:val="fr-FR" w:eastAsia="it-IT"/>
        </w:rPr>
      </w:pPr>
      <w:r w:rsidRPr="006E6AAA">
        <w:rPr>
          <w:rFonts w:ascii="Calibri" w:eastAsia="Times New Roman" w:hAnsi="Calibri" w:cs="Calibri"/>
          <w:lang w:val="fr-FR" w:eastAsia="it-IT"/>
        </w:rPr>
        <w:t>« </w:t>
      </w:r>
      <w:r w:rsidRPr="006E6AAA">
        <w:rPr>
          <w:rFonts w:ascii="Calibri" w:eastAsia="Times New Roman" w:hAnsi="Calibri" w:cs="Calibri"/>
          <w:i/>
          <w:lang w:val="fr-FR" w:eastAsia="it-IT"/>
        </w:rPr>
        <w:t xml:space="preserve">Renforcement de l'accès des femmes à la justice : </w:t>
      </w:r>
      <w:r w:rsidRPr="006E6AAA">
        <w:rPr>
          <w:rFonts w:ascii="Calibri" w:eastAsia="Times New Roman" w:hAnsi="Calibri" w:cs="Calibri"/>
          <w:i/>
          <w:iCs/>
          <w:lang w:val="fr-FR" w:eastAsia="it-IT"/>
        </w:rPr>
        <w:t>sécurisation et autonomisation des populations dans les Kivus et en Ituri »</w:t>
      </w:r>
      <w:r w:rsidRPr="006E6AAA">
        <w:rPr>
          <w:rFonts w:ascii="Calibri" w:eastAsia="Times New Roman" w:hAnsi="Calibri" w:cs="Times New Roman"/>
          <w:i/>
          <w:lang w:val="fr-FR" w:eastAsia="it-IT"/>
        </w:rPr>
        <w:t xml:space="preserve">, </w:t>
      </w:r>
      <w:r w:rsidRPr="006E6AAA">
        <w:rPr>
          <w:rFonts w:ascii="Calibri" w:eastAsia="Times New Roman" w:hAnsi="Calibri" w:cs="Times New Roman"/>
          <w:lang w:val="fr-FR" w:eastAsia="it-IT"/>
        </w:rPr>
        <w:t>financé par le Swedish International Development Cooperation Agency (</w:t>
      </w:r>
      <w:r w:rsidRPr="006E6AAA">
        <w:rPr>
          <w:rFonts w:ascii="Calibri" w:eastAsia="Times New Roman" w:hAnsi="Calibri" w:cs="Times New Roman"/>
          <w:b/>
          <w:lang w:val="fr-FR" w:eastAsia="it-IT"/>
        </w:rPr>
        <w:t>par la suite projet SIDA</w:t>
      </w:r>
      <w:r w:rsidRPr="006E6AAA">
        <w:rPr>
          <w:rFonts w:ascii="Calibri" w:eastAsia="Times New Roman" w:hAnsi="Calibri" w:cs="Times New Roman"/>
          <w:lang w:val="fr-FR" w:eastAsia="it-IT"/>
        </w:rPr>
        <w:t>)</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Les AF sont planifiées en tant que composante spécifique de projets plus amples dans le domaine de l’accès à la justice. Il est donc justifié qu’au niveau de la planification les AF n’ont pas été objet d’une description détaillée, et ne présentent pas des indicateurs spécifiques dans les documents de projets. </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Par ailleurs en RDC l’appui du PNUD aux AF n’est  pas réglé par un Protocole d’entente avec les autorités judiciaires, comme c’est le cas dans d’autres pays (Sierra Leone, Somalie</w:t>
      </w:r>
      <w:r w:rsidRPr="006E6AAA">
        <w:rPr>
          <w:rFonts w:ascii="Calibri" w:eastAsia="Times New Roman" w:hAnsi="Calibri" w:cs="Times New Roman"/>
          <w:vertAlign w:val="superscript"/>
          <w:lang w:val="fr-FR" w:eastAsia="it-IT"/>
        </w:rPr>
        <w:footnoteReference w:id="158"/>
      </w:r>
      <w:r w:rsidRPr="006E6AAA">
        <w:rPr>
          <w:rFonts w:ascii="Calibri" w:eastAsia="Times New Roman" w:hAnsi="Calibri" w:cs="Arial"/>
          <w:lang w:val="fr-FR" w:eastAsia="it-IT"/>
        </w:rPr>
        <w:t xml:space="preserve">). </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lastRenderedPageBreak/>
        <w:t>Le « </w:t>
      </w:r>
      <w:r w:rsidRPr="006E6AAA">
        <w:rPr>
          <w:rFonts w:ascii="Calibri" w:eastAsia="Times New Roman" w:hAnsi="Calibri" w:cs="Arial"/>
          <w:i/>
          <w:lang w:val="fr-FR" w:eastAsia="it-IT"/>
        </w:rPr>
        <w:t>cadre de ressources et des résultats</w:t>
      </w:r>
      <w:r w:rsidRPr="006E6AAA">
        <w:rPr>
          <w:rFonts w:ascii="Calibri" w:eastAsia="Times New Roman" w:hAnsi="Calibri" w:cs="Arial"/>
          <w:lang w:val="fr-FR" w:eastAsia="it-IT"/>
        </w:rPr>
        <w:t> » pour la présente évaluation (activités, indicateurs, cibles..) sera donc identifié en consolidant les différents documents disponibles : les comptes rendu des réunions pour l’organisation des AF, les lettres des requête des AF par les juridictions, ainsi que les TRD pour les AF.</w:t>
      </w: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Vu la difficulté d’avoir un cadre de référence consolidé, l’objet de la présente évaluation sera identifié génériquement avec </w:t>
      </w:r>
      <w:r w:rsidRPr="006E6AAA">
        <w:rPr>
          <w:rFonts w:ascii="Calibri" w:eastAsia="Times New Roman" w:hAnsi="Calibri" w:cs="Arial"/>
          <w:b/>
          <w:lang w:val="fr-FR" w:eastAsia="it-IT"/>
        </w:rPr>
        <w:t>l’ensemble des activités appuyées par le PNUD pour l’organisation des AF dans le cadre des deux projets susmentionnés pendant la période 01/2011- 12/2012.</w:t>
      </w:r>
      <w:r w:rsidRPr="006E6AAA">
        <w:rPr>
          <w:rFonts w:ascii="Calibri" w:eastAsia="Times New Roman" w:hAnsi="Calibri" w:cs="Arial"/>
          <w:lang w:val="fr-FR" w:eastAsia="it-IT"/>
        </w:rPr>
        <w:t xml:space="preserve"> </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Les activités préliminaires aux AF, comme les enquêtes du Parquet, ne seront pas évaluées</w:t>
      </w:r>
      <w:r w:rsidRPr="006E6AAA">
        <w:rPr>
          <w:rFonts w:ascii="Calibri" w:eastAsia="Times New Roman" w:hAnsi="Calibri" w:cs="Times New Roman"/>
          <w:vertAlign w:val="superscript"/>
          <w:lang w:val="fr-FR" w:eastAsia="it-IT"/>
        </w:rPr>
        <w:footnoteReference w:id="159"/>
      </w:r>
      <w:r w:rsidRPr="006E6AAA">
        <w:rPr>
          <w:rFonts w:ascii="Calibri" w:eastAsia="Times New Roman" w:hAnsi="Calibri" w:cs="Arial"/>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 xml:space="preserve">§ 4. </w:t>
      </w:r>
      <w:r w:rsidRPr="006E6AAA">
        <w:rPr>
          <w:rFonts w:ascii="Calibri" w:eastAsia="Times New Roman" w:hAnsi="Calibri" w:cs="Segoe UI"/>
          <w:b/>
          <w:i/>
          <w:iCs/>
          <w:color w:val="000000"/>
          <w:lang w:val="fr-FR" w:eastAsia="it-IT"/>
        </w:rPr>
        <w:t>Aperçu de l'organisation judiciaire congolaise</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r w:rsidRPr="006E6AAA">
        <w:rPr>
          <w:rFonts w:ascii="Calibri" w:eastAsia="Times New Roman" w:hAnsi="Calibri" w:cs="Calibri"/>
          <w:lang w:val="fr-FR" w:eastAsia="it-IT"/>
        </w:rPr>
        <w:t>Pour une analyse approfondie</w:t>
      </w:r>
      <w:r w:rsidRPr="006E6AAA">
        <w:rPr>
          <w:rFonts w:ascii="Calibri" w:eastAsia="Times New Roman" w:hAnsi="Calibri" w:cs="Scala"/>
          <w:lang w:val="fr-FR" w:eastAsia="it-IT"/>
        </w:rPr>
        <w:t xml:space="preserve"> du </w:t>
      </w:r>
      <w:r w:rsidRPr="006E6AAA">
        <w:rPr>
          <w:rFonts w:ascii="Calibri" w:eastAsia="Times New Roman" w:hAnsi="Calibri" w:cs="Calibri"/>
          <w:lang w:val="fr-FR" w:eastAsia="it-IT"/>
        </w:rPr>
        <w:t>système judiciaire congolais on renvoie aux n</w:t>
      </w:r>
      <w:r w:rsidRPr="006E6AAA">
        <w:rPr>
          <w:rFonts w:ascii="Calibri" w:eastAsia="Times New Roman" w:hAnsi="Calibri" w:cs="Scala"/>
          <w:lang w:val="fr-FR" w:eastAsia="it-IT"/>
        </w:rPr>
        <w:t>ombreuses études qui ont été publiées</w:t>
      </w:r>
      <w:r w:rsidRPr="006E6AAA">
        <w:rPr>
          <w:rFonts w:ascii="Calibri" w:eastAsia="Times New Roman" w:hAnsi="Calibri" w:cs="Times New Roman"/>
          <w:vertAlign w:val="superscript"/>
          <w:lang w:val="fr-FR" w:eastAsia="it-IT"/>
        </w:rPr>
        <w:footnoteReference w:id="160"/>
      </w:r>
      <w:r w:rsidRPr="006E6AAA">
        <w:rPr>
          <w:rFonts w:ascii="Calibri" w:eastAsia="Times New Roman" w:hAnsi="Calibri" w:cs="Calibri"/>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r w:rsidRPr="006E6AAA">
        <w:rPr>
          <w:rFonts w:ascii="Calibri" w:eastAsia="Times New Roman" w:hAnsi="Calibri" w:cs="Calibri"/>
          <w:lang w:val="fr-FR" w:eastAsia="it-IT"/>
        </w:rPr>
        <w:t xml:space="preserve">Dans le cadre de la présente évaluation, il est toutefois important de </w:t>
      </w:r>
      <w:r w:rsidRPr="006E6AAA">
        <w:rPr>
          <w:rFonts w:ascii="Calibri" w:eastAsia="Times New Roman" w:hAnsi="Calibri" w:cs="Calibri"/>
          <w:b/>
          <w:lang w:val="fr-FR" w:eastAsia="it-IT"/>
        </w:rPr>
        <w:t>rappeler la carte judiciaire pour les juridictions civiles (de droit commun) et militaires</w:t>
      </w:r>
      <w:r w:rsidRPr="006E6AAA">
        <w:rPr>
          <w:rFonts w:ascii="Calibri" w:eastAsia="Times New Roman" w:hAnsi="Calibri" w:cs="Calibri"/>
          <w:lang w:val="fr-FR" w:eastAsia="it-IT"/>
        </w:rPr>
        <w:t xml:space="preserve"> afin de mieux comprendre le cadre juridique dans lequel se tiennent les AF.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BookAntiqua"/>
          <w:lang w:val="fr-FR" w:eastAsia="it-IT"/>
        </w:rPr>
        <w:t>Les paragraphes suivants illustrent ces aspects</w:t>
      </w:r>
      <w:r w:rsidRPr="006E6AAA">
        <w:rPr>
          <w:rFonts w:ascii="Calibri" w:eastAsia="Times New Roman" w:hAnsi="Calibri" w:cs="Calibri"/>
          <w:lang w:val="fr-FR" w:eastAsia="it-IT"/>
        </w:rPr>
        <w:t>, avec une attention aux juridictions qui siègent en foraine et en matière pénale. G</w:t>
      </w:r>
      <w:r w:rsidRPr="006E6AAA">
        <w:rPr>
          <w:rFonts w:ascii="Calibri" w:eastAsia="Times New Roman" w:hAnsi="Calibri" w:cs="Times New Roman"/>
          <w:lang w:val="fr-FR" w:eastAsia="it-IT"/>
        </w:rPr>
        <w:t xml:space="preserve">énéralement il s’agit du Tribunal de Grande Instance (TGI) et de la Cour d’Appel (CA) pour les </w:t>
      </w:r>
      <w:r w:rsidRPr="006E6AAA">
        <w:rPr>
          <w:rFonts w:ascii="Calibri" w:eastAsia="Times New Roman" w:hAnsi="Calibri" w:cs="Times New Roman"/>
          <w:u w:val="single"/>
          <w:lang w:val="fr-FR" w:eastAsia="it-IT"/>
        </w:rPr>
        <w:t>juridictions civiles</w:t>
      </w:r>
      <w:r w:rsidRPr="006E6AAA">
        <w:rPr>
          <w:rFonts w:ascii="Calibri" w:eastAsia="Times New Roman" w:hAnsi="Calibri" w:cs="Times New Roman"/>
          <w:lang w:val="fr-FR" w:eastAsia="it-IT"/>
        </w:rPr>
        <w:t xml:space="preserve"> et du Tribunal Militaire de Garnison (TMG) et de la Cour Militaire (CM) pour les </w:t>
      </w:r>
      <w:r w:rsidRPr="006E6AAA">
        <w:rPr>
          <w:rFonts w:ascii="Calibri" w:eastAsia="Times New Roman" w:hAnsi="Calibri" w:cs="Times New Roman"/>
          <w:u w:val="single"/>
          <w:lang w:val="fr-FR" w:eastAsia="it-IT"/>
        </w:rPr>
        <w:t>juridictions militaires</w:t>
      </w:r>
      <w:r w:rsidRPr="006E6AAA">
        <w:rPr>
          <w:rFonts w:ascii="Calibri" w:eastAsia="Times New Roman" w:hAnsi="Calibri" w:cs="Times New Roman"/>
          <w:lang w:val="fr-FR" w:eastAsia="it-IT"/>
        </w:rPr>
        <w:t xml:space="preserve"> (en bleu dans le tableau)</w:t>
      </w:r>
      <w:r w:rsidRPr="006E6AAA">
        <w:rPr>
          <w:rFonts w:ascii="Calibri" w:eastAsia="Times New Roman" w:hAnsi="Calibri" w:cs="Times New Roman"/>
          <w:vertAlign w:val="superscript"/>
          <w:lang w:val="fr-FR" w:eastAsia="it-IT"/>
        </w:rPr>
        <w:footnoteReference w:id="161"/>
      </w:r>
      <w:r w:rsidRPr="006E6AAA">
        <w:rPr>
          <w:rFonts w:ascii="Calibri" w:eastAsia="Times New Roman" w:hAnsi="Calibri" w:cs="Times New Roman"/>
          <w:lang w:val="fr-FR" w:eastAsia="it-IT"/>
        </w:rPr>
        <w:t>. Quelques ONG appuient les Tribunaux de Paix itinérants.</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Tribunaux pour Enfants, créés en 2009 en principe dans chaque chef lieu de province,</w:t>
      </w:r>
      <w:r w:rsidRPr="006E6AAA">
        <w:rPr>
          <w:rFonts w:ascii="Calibri" w:eastAsia="Times New Roman" w:hAnsi="Calibri" w:cs="Times New Roman"/>
          <w:vertAlign w:val="superscript"/>
          <w:lang w:val="fr-FR" w:eastAsia="it-IT"/>
        </w:rPr>
        <w:footnoteReference w:id="162"/>
      </w:r>
      <w:r w:rsidRPr="006E6AAA">
        <w:rPr>
          <w:rFonts w:ascii="Calibri" w:eastAsia="Times New Roman" w:hAnsi="Calibri" w:cs="Times New Roman"/>
          <w:lang w:val="fr-FR" w:eastAsia="it-IT"/>
        </w:rPr>
        <w:t xml:space="preserve"> peuvent aussi siéger en foraine.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Il convient également d’anticiper ci-dessous deux aspects clés par rapport à la compétence des jurisdictions militaires :</w:t>
      </w:r>
    </w:p>
    <w:p w:rsidR="006E6AAA" w:rsidRPr="006E6AAA" w:rsidRDefault="006E6AAA" w:rsidP="006E6AAA">
      <w:pPr>
        <w:numPr>
          <w:ilvl w:val="0"/>
          <w:numId w:val="9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juridictions militaires ont une compétence personnelle étendue à la police et aux civils</w:t>
      </w:r>
      <w:r w:rsidRPr="006E6AAA">
        <w:rPr>
          <w:rFonts w:ascii="Calibri" w:eastAsia="Times New Roman" w:hAnsi="Calibri" w:cs="Times New Roman"/>
          <w:vertAlign w:val="superscript"/>
          <w:lang w:val="fr-FR" w:eastAsia="it-IT"/>
        </w:rPr>
        <w:footnoteReference w:id="163"/>
      </w:r>
      <w:r w:rsidRPr="006E6AAA">
        <w:rPr>
          <w:rFonts w:ascii="Calibri" w:eastAsia="Times New Roman" w:hAnsi="Calibri" w:cs="Times New Roman"/>
          <w:lang w:val="fr-FR" w:eastAsia="it-IT"/>
        </w:rPr>
        <w:t xml:space="preserve">. </w:t>
      </w:r>
    </w:p>
    <w:p w:rsidR="006E6AAA" w:rsidRPr="006E6AAA" w:rsidRDefault="006E6AAA" w:rsidP="006E6AAA">
      <w:pPr>
        <w:numPr>
          <w:ilvl w:val="0"/>
          <w:numId w:val="9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Jusqu’ à récemment, comme illustré plus en détail au § 5.1, les militaires avaient une juridiction exclusive en matière de crimes internationaux, mais en Avril 2013 la nouvelle loi portant « </w:t>
      </w:r>
      <w:r w:rsidRPr="006E6AAA">
        <w:rPr>
          <w:rFonts w:ascii="Calibri" w:eastAsia="Times New Roman" w:hAnsi="Calibri" w:cs="Times New Roman"/>
          <w:i/>
          <w:lang w:val="fr-FR" w:eastAsia="it-IT"/>
        </w:rPr>
        <w:t>organisation fonctionnement et compétences des juridictions de l’ordre judiciaire </w:t>
      </w:r>
      <w:r w:rsidRPr="006E6AAA">
        <w:rPr>
          <w:rFonts w:ascii="Calibri" w:eastAsia="Times New Roman" w:hAnsi="Calibri" w:cs="Times New Roman"/>
          <w:lang w:val="fr-FR" w:eastAsia="it-IT"/>
        </w:rPr>
        <w:t>» a élargi cette compétence aux juridictions civiles, en particulier aux Cours d’Appel</w:t>
      </w:r>
      <w:r w:rsidRPr="006E6AAA">
        <w:rPr>
          <w:rFonts w:ascii="Calibri" w:eastAsia="Times New Roman" w:hAnsi="Calibri" w:cs="Times New Roman"/>
          <w:vertAlign w:val="superscript"/>
          <w:lang w:val="fr-FR" w:eastAsia="it-IT"/>
        </w:rPr>
        <w:footnoteReference w:id="164"/>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r w:rsidRPr="006E6AAA">
        <w:rPr>
          <w:rFonts w:ascii="Calibri" w:eastAsia="Times New Roman" w:hAnsi="Calibri" w:cs="Calibri"/>
          <w:shd w:val="clear" w:color="auto" w:fill="E6E6E6"/>
          <w:lang w:val="fr-FR" w:eastAsia="it-IT"/>
        </w:rPr>
        <w:t xml:space="preserve">A) </w:t>
      </w:r>
      <w:r w:rsidRPr="006E6AAA">
        <w:rPr>
          <w:rFonts w:ascii="Calibri" w:eastAsia="Times New Roman" w:hAnsi="Calibri" w:cs="Calibri"/>
          <w:b/>
          <w:smallCaps/>
          <w:shd w:val="clear" w:color="auto" w:fill="E6E6E6"/>
          <w:lang w:val="fr-FR" w:eastAsia="it-IT"/>
        </w:rPr>
        <w:t xml:space="preserve">hiérarchie et carte judiciaire des </w:t>
      </w:r>
      <w:r w:rsidRPr="006E6AAA">
        <w:rPr>
          <w:rFonts w:ascii="Calibri" w:eastAsia="Times New Roman" w:hAnsi="Calibri" w:cs="Calibri"/>
          <w:b/>
          <w:smallCaps/>
          <w:u w:val="single"/>
          <w:shd w:val="clear" w:color="auto" w:fill="E6E6E6"/>
          <w:lang w:val="fr-FR" w:eastAsia="it-IT"/>
        </w:rPr>
        <w:t>juridictions civiles</w:t>
      </w:r>
      <w:r w:rsidRPr="006E6AAA">
        <w:rPr>
          <w:rFonts w:ascii="Calibri" w:eastAsia="Times New Roman" w:hAnsi="Calibri" w:cs="Calibri"/>
          <w:b/>
          <w:smallCaps/>
          <w:shd w:val="clear" w:color="auto" w:fill="E6E6E6"/>
          <w:lang w:val="fr-FR" w:eastAsia="it-IT"/>
        </w:rPr>
        <w:t xml:space="preserve"> </w:t>
      </w:r>
      <w:r w:rsidRPr="006E6AAA">
        <w:rPr>
          <w:rFonts w:ascii="Calibri" w:eastAsia="Times New Roman" w:hAnsi="Calibri" w:cs="Times New Roman"/>
          <w:vertAlign w:val="superscript"/>
          <w:lang w:val="fr-FR" w:eastAsia="it-IT"/>
        </w:rPr>
        <w:footnoteReference w:id="165"/>
      </w:r>
      <w:r w:rsidRPr="006E6AAA">
        <w:rPr>
          <w:rFonts w:ascii="Calibri" w:eastAsia="Times New Roman" w:hAnsi="Calibri" w:cs="Calibri"/>
          <w:lang w:val="fr-FR" w:eastAsia="it-IT"/>
        </w:rPr>
        <w:t> :</w:t>
      </w: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1. Tribunal de paix</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(Tripaix)</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sz w:val="20"/>
          <w:szCs w:val="20"/>
          <w:lang w:val="fr-FR" w:eastAsia="it-IT"/>
        </w:rPr>
      </w:pPr>
      <w:r w:rsidRPr="006E6AAA">
        <w:rPr>
          <w:rFonts w:ascii="Calibri" w:eastAsia="Times New Roman" w:hAnsi="Calibri" w:cs="Arial"/>
          <w:color w:val="000000"/>
          <w:sz w:val="20"/>
          <w:szCs w:val="20"/>
          <w:lang w:val="fr-FR" w:eastAsia="it-IT"/>
        </w:rPr>
        <w:t xml:space="preserve">Les Tripaix sont des juridictions de 1er ressort situés dans chaque ville et zone rurale en nombre théorique de 140 à travers le pays. A </w:t>
      </w:r>
      <w:r w:rsidRPr="006E6AAA">
        <w:rPr>
          <w:rFonts w:ascii="Calibri" w:eastAsia="Times New Roman" w:hAnsi="Calibri" w:cs="Arial"/>
          <w:sz w:val="20"/>
          <w:szCs w:val="20"/>
          <w:lang w:val="fr-FR" w:eastAsia="it-IT"/>
        </w:rPr>
        <w:t>l’Est de la RDC un</w:t>
      </w:r>
      <w:r w:rsidRPr="006E6AAA">
        <w:rPr>
          <w:rFonts w:ascii="Calibri" w:eastAsia="Times New Roman" w:hAnsi="Calibri" w:cs="Arial"/>
          <w:color w:val="000000"/>
          <w:sz w:val="20"/>
          <w:szCs w:val="20"/>
          <w:lang w:val="fr-FR" w:eastAsia="it-IT"/>
        </w:rPr>
        <w:t xml:space="preserve"> certain nombre de Tripaix sont construits (</w:t>
      </w:r>
      <w:r w:rsidRPr="006E6AAA">
        <w:rPr>
          <w:rFonts w:ascii="Calibri" w:eastAsia="Times New Roman" w:hAnsi="Calibri" w:cs="Arial"/>
          <w:i/>
          <w:color w:val="000000"/>
          <w:sz w:val="20"/>
          <w:szCs w:val="20"/>
          <w:lang w:val="fr-FR" w:eastAsia="it-IT"/>
        </w:rPr>
        <w:t>inter alia</w:t>
      </w:r>
      <w:r w:rsidRPr="006E6AAA">
        <w:rPr>
          <w:rFonts w:ascii="Calibri" w:eastAsia="Times New Roman" w:hAnsi="Calibri" w:cs="Arial"/>
          <w:color w:val="000000"/>
          <w:sz w:val="20"/>
          <w:szCs w:val="20"/>
          <w:lang w:val="fr-FR" w:eastAsia="it-IT"/>
        </w:rPr>
        <w:t xml:space="preserve"> avec l’appui du PNUD) mais ne sont pas encore opérationnels, fau</w:t>
      </w:r>
      <w:r w:rsidRPr="006E6AAA">
        <w:rPr>
          <w:rFonts w:ascii="Calibri" w:eastAsia="Times New Roman" w:hAnsi="Calibri" w:cs="Times New Roman"/>
          <w:sz w:val="20"/>
          <w:szCs w:val="20"/>
          <w:lang w:val="fr-FR" w:eastAsia="it-IT"/>
        </w:rPr>
        <w:t>te d’affectation des magistrats</w:t>
      </w:r>
      <w:r w:rsidRPr="006E6AAA">
        <w:rPr>
          <w:rFonts w:ascii="Calibri" w:eastAsia="Times New Roman" w:hAnsi="Calibri" w:cs="Times New Roman"/>
          <w:sz w:val="20"/>
          <w:szCs w:val="20"/>
          <w:vertAlign w:val="superscript"/>
          <w:lang w:val="fr-FR" w:eastAsia="it-IT"/>
        </w:rPr>
        <w:footnoteReference w:id="166"/>
      </w:r>
      <w:r w:rsidRPr="006E6AAA">
        <w:rPr>
          <w:rFonts w:ascii="Calibri" w:eastAsia="Times New Roman" w:hAnsi="Calibri" w:cs="Times New Roman"/>
          <w:sz w:val="20"/>
          <w:szCs w:val="20"/>
          <w:lang w:val="fr-FR" w:eastAsia="it-IT"/>
        </w:rPr>
        <w:t>.</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Arial"/>
          <w:color w:val="000000"/>
          <w:sz w:val="20"/>
          <w:szCs w:val="20"/>
          <w:lang w:val="fr-FR" w:eastAsia="it-IT"/>
        </w:rPr>
      </w:pPr>
      <w:r w:rsidRPr="006E6AAA">
        <w:rPr>
          <w:rFonts w:ascii="Calibri" w:eastAsia="Times New Roman" w:hAnsi="Calibri" w:cs="Times New Roman"/>
          <w:sz w:val="20"/>
          <w:szCs w:val="20"/>
          <w:lang w:val="fr-FR" w:eastAsia="it-IT"/>
        </w:rPr>
        <w:t>En matière pénale les Tripaix connaissent des infractions punissables au maximum de 5 ans de servitude pénale,</w:t>
      </w:r>
      <w:r w:rsidRPr="006E6AAA">
        <w:rPr>
          <w:rFonts w:ascii="Calibri" w:eastAsia="Times New Roman" w:hAnsi="Calibri" w:cs="Times New Roman"/>
          <w:sz w:val="20"/>
          <w:szCs w:val="20"/>
          <w:vertAlign w:val="superscript"/>
          <w:lang w:val="fr-FR" w:eastAsia="it-IT"/>
        </w:rPr>
        <w:footnoteReference w:id="167"/>
      </w:r>
      <w:r w:rsidRPr="006E6AAA">
        <w:rPr>
          <w:rFonts w:ascii="Calibri" w:eastAsia="Times New Roman" w:hAnsi="Calibri" w:cs="Times New Roman"/>
          <w:sz w:val="20"/>
          <w:szCs w:val="20"/>
          <w:lang w:val="fr-FR" w:eastAsia="it-IT"/>
        </w:rPr>
        <w:t xml:space="preserve"> ils</w:t>
      </w:r>
      <w:r w:rsidRPr="006E6AAA">
        <w:rPr>
          <w:rFonts w:ascii="Calibri" w:eastAsia="Times New Roman" w:hAnsi="Calibri" w:cs="Times New Roman"/>
          <w:i/>
          <w:sz w:val="20"/>
          <w:szCs w:val="20"/>
          <w:lang w:val="fr-FR" w:eastAsia="it-IT"/>
        </w:rPr>
        <w:t xml:space="preserve"> </w:t>
      </w:r>
      <w:r w:rsidRPr="006E6AAA">
        <w:rPr>
          <w:rFonts w:ascii="Calibri" w:eastAsia="Times New Roman" w:hAnsi="Calibri" w:cs="Arial"/>
          <w:color w:val="000000"/>
          <w:sz w:val="20"/>
          <w:szCs w:val="20"/>
          <w:lang w:val="fr-FR" w:eastAsia="it-IT"/>
        </w:rPr>
        <w:t>ne sont donc pas compétents pour traiter la plupart des dossiers impliquant les violences sexuelles, les peines prévues par le code pénal en cas de violence sexuelle pouvant aller jusqu’à 20 ans.</w:t>
      </w:r>
      <w:r w:rsidRPr="006E6AAA">
        <w:rPr>
          <w:rFonts w:ascii="Calibri" w:eastAsia="Times New Roman" w:hAnsi="Calibri" w:cs="Times New Roman"/>
          <w:color w:val="000000"/>
          <w:sz w:val="20"/>
          <w:szCs w:val="20"/>
          <w:vertAlign w:val="superscript"/>
          <w:lang w:val="fr-FR" w:eastAsia="it-IT"/>
        </w:rPr>
        <w:footnoteReference w:id="168"/>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Calibri"/>
          <w:sz w:val="20"/>
          <w:szCs w:val="20"/>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b/>
          <w:color w:val="000080"/>
          <w:lang w:val="fr-FR" w:eastAsia="it-IT"/>
        </w:rPr>
      </w:pPr>
      <w:r w:rsidRPr="006E6AAA">
        <w:rPr>
          <w:rFonts w:ascii="Calibri" w:eastAsia="Times New Roman" w:hAnsi="Calibri" w:cs="Times New Roman"/>
          <w:b/>
          <w:color w:val="000080"/>
          <w:lang w:val="fr-FR" w:eastAsia="it-IT"/>
        </w:rPr>
        <w:t>2. Tribunal de grande instance (TGI)</w:t>
      </w:r>
    </w:p>
    <w:p w:rsidR="006E6AAA" w:rsidRPr="006E6AAA" w:rsidRDefault="006E6AAA" w:rsidP="006E6AAA">
      <w:pPr>
        <w:spacing w:after="0" w:line="280" w:lineRule="exact"/>
        <w:ind w:left="288"/>
        <w:jc w:val="both"/>
        <w:rPr>
          <w:rFonts w:ascii="Calibri" w:eastAsia="Times New Roman" w:hAnsi="Calibri" w:cs="Arial"/>
          <w:color w:val="000000"/>
          <w:sz w:val="20"/>
          <w:szCs w:val="20"/>
          <w:lang w:val="fr-FR" w:eastAsia="it-IT"/>
        </w:rPr>
      </w:pPr>
      <w:r w:rsidRPr="006E6AAA">
        <w:rPr>
          <w:rFonts w:ascii="Calibri" w:eastAsia="Times New Roman" w:hAnsi="Calibri" w:cs="Arial"/>
          <w:color w:val="000000"/>
          <w:sz w:val="20"/>
          <w:szCs w:val="20"/>
          <w:lang w:val="fr-FR" w:eastAsia="it-IT"/>
        </w:rPr>
        <w:t>Les TGIs, prévus dans chaque ville de province, connaissent des infractions punissables de la peine de mort et de celles punissables d'une peine excédant cinq ans de servitude pénale principale ou des travaux forcés.</w:t>
      </w:r>
      <w:r w:rsidRPr="006E6AAA">
        <w:rPr>
          <w:rFonts w:ascii="Calibri" w:eastAsia="Times New Roman" w:hAnsi="Calibri" w:cs="Times New Roman"/>
          <w:color w:val="000000"/>
          <w:sz w:val="20"/>
          <w:szCs w:val="20"/>
          <w:vertAlign w:val="superscript"/>
          <w:lang w:val="fr-FR" w:eastAsia="it-IT"/>
        </w:rPr>
        <w:footnoteReference w:id="169"/>
      </w:r>
      <w:r w:rsidRPr="006E6AAA">
        <w:rPr>
          <w:rFonts w:ascii="Calibri" w:eastAsia="Times New Roman" w:hAnsi="Calibri" w:cs="Arial"/>
          <w:color w:val="000000"/>
          <w:sz w:val="20"/>
          <w:szCs w:val="20"/>
          <w:lang w:val="fr-FR" w:eastAsia="it-IT"/>
        </w:rPr>
        <w:t xml:space="preserve"> Ils connaissent également de l'appel des jugements rendus en première instance  par les tribunaux de paix.</w:t>
      </w:r>
      <w:r w:rsidRPr="006E6AAA">
        <w:rPr>
          <w:rFonts w:ascii="Calibri" w:eastAsia="Times New Roman" w:hAnsi="Calibri" w:cs="Times New Roman"/>
          <w:color w:val="000000"/>
          <w:sz w:val="20"/>
          <w:szCs w:val="20"/>
          <w:vertAlign w:val="superscript"/>
          <w:lang w:val="fr-FR" w:eastAsia="it-IT"/>
        </w:rPr>
        <w:footnoteReference w:id="170"/>
      </w:r>
      <w:r w:rsidRPr="006E6AAA">
        <w:rPr>
          <w:rFonts w:ascii="Calibri" w:eastAsia="Times New Roman" w:hAnsi="Calibri" w:cs="Arial"/>
          <w:color w:val="000000"/>
          <w:sz w:val="20"/>
          <w:szCs w:val="20"/>
          <w:lang w:val="fr-FR" w:eastAsia="it-IT"/>
        </w:rPr>
        <w:t xml:space="preserve"> Des sièges secondaires des TGI peuvent être crées dans les territoires de leurs ressorts.</w:t>
      </w:r>
      <w:r w:rsidRPr="006E6AAA">
        <w:rPr>
          <w:rFonts w:ascii="Calibri" w:eastAsia="Times New Roman" w:hAnsi="Calibri" w:cs="Times New Roman"/>
          <w:color w:val="000000"/>
          <w:sz w:val="20"/>
          <w:szCs w:val="20"/>
          <w:vertAlign w:val="superscript"/>
          <w:lang w:val="fr-FR" w:eastAsia="it-IT"/>
        </w:rPr>
        <w:footnoteReference w:id="171"/>
      </w:r>
    </w:p>
    <w:p w:rsidR="006E6AAA" w:rsidRPr="006E6AAA" w:rsidRDefault="006E6AAA" w:rsidP="006E6AAA">
      <w:pPr>
        <w:spacing w:after="0" w:line="280" w:lineRule="exact"/>
        <w:jc w:val="both"/>
        <w:rPr>
          <w:rFonts w:ascii="Calibri" w:eastAsia="Times New Roman" w:hAnsi="Calibri" w:cs="Arial"/>
          <w:color w:val="000000"/>
          <w:sz w:val="20"/>
          <w:szCs w:val="20"/>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b/>
          <w:color w:val="000080"/>
          <w:lang w:val="fr-FR" w:eastAsia="it-IT"/>
        </w:rPr>
      </w:pPr>
      <w:r w:rsidRPr="006E6AAA">
        <w:rPr>
          <w:rFonts w:ascii="Calibri" w:eastAsia="Times New Roman" w:hAnsi="Calibri" w:cs="Times New Roman"/>
          <w:b/>
          <w:color w:val="000080"/>
          <w:lang w:val="fr-FR" w:eastAsia="it-IT"/>
        </w:rPr>
        <w:t xml:space="preserve">3. Cour d’appel (CA) </w:t>
      </w:r>
    </w:p>
    <w:p w:rsidR="006E6AAA" w:rsidRPr="006E6AAA" w:rsidRDefault="006E6AAA" w:rsidP="006E6AAA">
      <w:pPr>
        <w:spacing w:after="0" w:line="280" w:lineRule="exact"/>
        <w:ind w:left="288"/>
        <w:jc w:val="both"/>
        <w:rPr>
          <w:rFonts w:ascii="Calibri" w:eastAsia="Times New Roman" w:hAnsi="Calibri" w:cs="Arial"/>
          <w:color w:val="000000"/>
          <w:sz w:val="20"/>
          <w:szCs w:val="20"/>
          <w:lang w:val="fr-FR" w:eastAsia="it-IT"/>
        </w:rPr>
      </w:pPr>
      <w:r w:rsidRPr="006E6AAA">
        <w:rPr>
          <w:rFonts w:ascii="Calibri" w:eastAsia="Times New Roman" w:hAnsi="Calibri" w:cs="Arial"/>
          <w:sz w:val="20"/>
          <w:szCs w:val="20"/>
          <w:lang w:val="fr-FR" w:eastAsia="it-IT"/>
        </w:rPr>
        <w:t>Les CA connaissent des appels des jugements rendus en premier ressort par les TGI</w:t>
      </w:r>
      <w:r w:rsidRPr="006E6AAA">
        <w:rPr>
          <w:rFonts w:ascii="Calibri" w:eastAsia="Times New Roman" w:hAnsi="Calibri" w:cs="Times New Roman"/>
          <w:sz w:val="20"/>
          <w:szCs w:val="20"/>
          <w:vertAlign w:val="superscript"/>
          <w:lang w:val="fr-FR" w:eastAsia="it-IT"/>
        </w:rPr>
        <w:footnoteReference w:id="172"/>
      </w:r>
      <w:r w:rsidRPr="006E6AAA">
        <w:rPr>
          <w:rFonts w:ascii="Calibri" w:eastAsia="Times New Roman" w:hAnsi="Calibri" w:cs="Arial"/>
          <w:sz w:val="20"/>
          <w:szCs w:val="20"/>
          <w:lang w:val="fr-FR" w:eastAsia="it-IT"/>
        </w:rPr>
        <w:t xml:space="preserve"> et </w:t>
      </w:r>
      <w:r w:rsidRPr="006E6AAA">
        <w:rPr>
          <w:rFonts w:ascii="Calibri" w:eastAsia="Times New Roman" w:hAnsi="Calibri" w:cs="Arial"/>
          <w:color w:val="000000"/>
          <w:sz w:val="20"/>
          <w:szCs w:val="20"/>
          <w:lang w:val="fr-FR" w:eastAsia="it-IT"/>
        </w:rPr>
        <w:t>sont situées dans chaque chef-lieu de province.</w:t>
      </w:r>
      <w:r w:rsidRPr="006E6AAA">
        <w:rPr>
          <w:rFonts w:ascii="Calibri" w:eastAsia="Times New Roman" w:hAnsi="Calibri" w:cs="Times New Roman"/>
          <w:color w:val="000000"/>
          <w:sz w:val="20"/>
          <w:szCs w:val="20"/>
          <w:vertAlign w:val="superscript"/>
          <w:lang w:val="fr-FR" w:eastAsia="it-IT"/>
        </w:rPr>
        <w:footnoteReference w:id="173"/>
      </w:r>
      <w:r w:rsidRPr="006E6AAA">
        <w:rPr>
          <w:rFonts w:ascii="Calibri" w:eastAsia="Times New Roman" w:hAnsi="Calibri" w:cs="Arial"/>
          <w:color w:val="000000"/>
          <w:sz w:val="20"/>
          <w:szCs w:val="20"/>
          <w:lang w:val="fr-FR" w:eastAsia="it-IT"/>
        </w:rPr>
        <w:t xml:space="preserve"> La loi d’Avril 2013 reconnait aux CA la jurisdiction pour «</w:t>
      </w:r>
      <w:r w:rsidRPr="006E6AAA">
        <w:rPr>
          <w:rFonts w:ascii="Calibri" w:eastAsia="Times New Roman" w:hAnsi="Calibri" w:cs="Arial"/>
          <w:i/>
          <w:color w:val="000000"/>
          <w:sz w:val="20"/>
          <w:szCs w:val="20"/>
          <w:lang w:val="fr-FR" w:eastAsia="it-IT"/>
        </w:rPr>
        <w:t xml:space="preserve"> crime de génocide, crime de guerre et crimes contre l’humanité commis par les personnes relevant de leur compétence et de celle des tribunaux de grande instance</w:t>
      </w:r>
      <w:r w:rsidRPr="006E6AAA">
        <w:rPr>
          <w:rFonts w:ascii="Calibri" w:eastAsia="Times New Roman" w:hAnsi="Calibri" w:cs="Arial"/>
          <w:color w:val="000000"/>
          <w:sz w:val="20"/>
          <w:szCs w:val="20"/>
          <w:lang w:val="fr-FR" w:eastAsia="it-IT"/>
        </w:rPr>
        <w:t> »</w:t>
      </w:r>
      <w:r w:rsidRPr="006E6AAA">
        <w:rPr>
          <w:rFonts w:ascii="Calibri" w:eastAsia="Times New Roman" w:hAnsi="Calibri" w:cs="Segoe UI"/>
          <w:color w:val="1F497D"/>
          <w:lang w:val="fr-FR" w:eastAsia="it-IT"/>
        </w:rPr>
        <w:t>.</w:t>
      </w:r>
      <w:r w:rsidRPr="006E6AAA">
        <w:rPr>
          <w:rFonts w:ascii="Calibri" w:eastAsia="Times New Roman" w:hAnsi="Calibri" w:cs="Arial"/>
          <w:color w:val="000000"/>
          <w:sz w:val="20"/>
          <w:szCs w:val="20"/>
          <w:lang w:val="fr-FR" w:eastAsia="it-IT"/>
        </w:rPr>
        <w:t xml:space="preserve"> Les CAs sont proposées comme juridictions exclusives </w:t>
      </w:r>
      <w:r w:rsidRPr="006E6AAA">
        <w:rPr>
          <w:rFonts w:ascii="Calibri" w:eastAsia="Times New Roman" w:hAnsi="Calibri" w:cs="MiloLF-Regular"/>
          <w:color w:val="000000"/>
          <w:lang w:val="fr-FR" w:eastAsia="it-IT"/>
        </w:rPr>
        <w:t xml:space="preserve">compétentes au premier degré </w:t>
      </w:r>
      <w:r w:rsidRPr="006E6AAA">
        <w:rPr>
          <w:rFonts w:ascii="Calibri" w:eastAsia="Times New Roman" w:hAnsi="Calibri" w:cs="Arial"/>
          <w:color w:val="000000"/>
          <w:sz w:val="20"/>
          <w:szCs w:val="20"/>
          <w:lang w:val="fr-FR" w:eastAsia="it-IT"/>
        </w:rPr>
        <w:t>pour les crimes internationaux par le projet de loi de mise en œuvre du Statut de Rome en RDC.</w:t>
      </w:r>
    </w:p>
    <w:p w:rsidR="006E6AAA" w:rsidRPr="006E6AAA" w:rsidRDefault="006E6AAA" w:rsidP="006E6AAA">
      <w:pPr>
        <w:spacing w:after="0" w:line="280" w:lineRule="exact"/>
        <w:ind w:left="288"/>
        <w:jc w:val="both"/>
        <w:rPr>
          <w:rFonts w:ascii="Calibri" w:eastAsia="Times New Roman" w:hAnsi="Calibri" w:cs="Times New Roman"/>
          <w:sz w:val="20"/>
          <w:szCs w:val="20"/>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 xml:space="preserve">4. Cour Suprême de la Justice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La Cour Suprême se trouve au sommet de la hiérarchie judiciaire en ce qu’elle connaît de l’appel des arrêts rendus au premier degré  par les Cours d’Appel. </w:t>
      </w:r>
      <w:r w:rsidRPr="006E6AAA">
        <w:rPr>
          <w:rFonts w:ascii="Calibri" w:eastAsia="Times New Roman" w:hAnsi="Calibri" w:cs="Arial"/>
          <w:color w:val="000000"/>
          <w:sz w:val="20"/>
          <w:szCs w:val="20"/>
          <w:lang w:val="fr-FR" w:eastAsia="it-IT"/>
        </w:rPr>
        <w:t>Dans le cadre de la réforme introduite par la Constitution de 2006 et toujours en cours, la Cour Suprême de la Justice sera remplacée par 3 institutions: la Cour Constitutionnelle, la Cour de Cassation et le Conseil d’État.</w:t>
      </w:r>
      <w:r w:rsidRPr="006E6AAA">
        <w:rPr>
          <w:rFonts w:ascii="Calibri" w:eastAsia="Times New Roman" w:hAnsi="Calibri" w:cs="Times New Roman"/>
          <w:color w:val="000000"/>
          <w:sz w:val="20"/>
          <w:szCs w:val="20"/>
          <w:vertAlign w:val="superscript"/>
          <w:lang w:val="fr-FR" w:eastAsia="it-IT"/>
        </w:rPr>
        <w:footnoteReference w:id="174"/>
      </w:r>
    </w:p>
    <w:p w:rsidR="006E6AAA" w:rsidRPr="006E6AAA" w:rsidRDefault="006E6AAA" w:rsidP="006E6AAA">
      <w:pPr>
        <w:autoSpaceDE w:val="0"/>
        <w:autoSpaceDN w:val="0"/>
        <w:adjustRightInd w:val="0"/>
        <w:spacing w:after="0" w:line="280" w:lineRule="exact"/>
        <w:jc w:val="both"/>
        <w:rPr>
          <w:rFonts w:ascii="Calibri" w:eastAsia="Times New Roman" w:hAnsi="Calibri" w:cs="Calibri"/>
          <w:sz w:val="20"/>
          <w:szCs w:val="2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sz w:val="20"/>
          <w:szCs w:val="20"/>
          <w:lang w:val="fr-FR" w:eastAsia="it-IT"/>
        </w:rPr>
      </w:pPr>
    </w:p>
    <w:p w:rsidR="006E6AAA" w:rsidRPr="006E6AAA" w:rsidRDefault="006E6AAA" w:rsidP="006E6AAA">
      <w:pPr>
        <w:spacing w:after="0" w:line="280" w:lineRule="exact"/>
        <w:jc w:val="both"/>
        <w:rPr>
          <w:rFonts w:ascii="Calibri" w:eastAsia="Times New Roman" w:hAnsi="Calibri" w:cs="Times New Roman"/>
          <w:b/>
          <w:lang w:val="fr-FR" w:eastAsia="it-IT"/>
        </w:rPr>
      </w:pPr>
      <w:r w:rsidRPr="006E6AAA">
        <w:rPr>
          <w:rFonts w:ascii="Calibri" w:eastAsia="Times New Roman" w:hAnsi="Calibri" w:cs="Calibri"/>
          <w:lang w:val="fr-FR" w:eastAsia="it-IT"/>
        </w:rPr>
        <w:t xml:space="preserve">B) </w:t>
      </w:r>
      <w:r w:rsidRPr="006E6AAA">
        <w:rPr>
          <w:rFonts w:ascii="Calibri" w:eastAsia="Times New Roman" w:hAnsi="Calibri" w:cs="Calibri"/>
          <w:b/>
          <w:smallCaps/>
          <w:shd w:val="clear" w:color="auto" w:fill="E6E6E6"/>
          <w:lang w:val="fr-FR" w:eastAsia="it-IT"/>
        </w:rPr>
        <w:t xml:space="preserve">hiérarchie et carte judiciaire des </w:t>
      </w:r>
      <w:r w:rsidRPr="006E6AAA">
        <w:rPr>
          <w:rFonts w:ascii="Calibri" w:eastAsia="Times New Roman" w:hAnsi="Calibri" w:cs="Calibri"/>
          <w:b/>
          <w:smallCaps/>
          <w:u w:val="single"/>
          <w:shd w:val="clear" w:color="auto" w:fill="E6E6E6"/>
          <w:lang w:val="fr-FR" w:eastAsia="it-IT"/>
        </w:rPr>
        <w:t>juridictions militaires</w:t>
      </w:r>
      <w:r w:rsidRPr="006E6AAA">
        <w:rPr>
          <w:rFonts w:ascii="Calibri" w:eastAsia="Times New Roman" w:hAnsi="Calibri" w:cs="Calibri"/>
          <w:b/>
          <w:smallCaps/>
          <w:shd w:val="clear" w:color="auto" w:fill="E6E6E6"/>
          <w:lang w:val="fr-FR" w:eastAsia="it-IT"/>
        </w:rPr>
        <w:t xml:space="preserve"> </w:t>
      </w:r>
      <w:r w:rsidRPr="006E6AAA">
        <w:rPr>
          <w:rFonts w:ascii="Calibri" w:eastAsia="Times New Roman" w:hAnsi="Calibri" w:cs="Times New Roman"/>
          <w:b/>
          <w:smallCaps/>
          <w:shd w:val="clear" w:color="auto" w:fill="E6E6E6"/>
          <w:vertAlign w:val="superscript"/>
          <w:lang w:val="fr-FR" w:eastAsia="it-IT"/>
        </w:rPr>
        <w:footnoteReference w:id="175"/>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ab/>
      </w:r>
      <w:r w:rsidRPr="006E6AAA">
        <w:rPr>
          <w:rFonts w:ascii="Calibri" w:eastAsia="Times New Roman" w:hAnsi="Calibri" w:cs="Times New Roman"/>
          <w:lang w:val="fr-FR" w:eastAsia="it-IT"/>
        </w:rPr>
        <w:tab/>
      </w:r>
      <w:r w:rsidRPr="006E6AAA">
        <w:rPr>
          <w:rFonts w:ascii="Calibri" w:eastAsia="Times New Roman" w:hAnsi="Calibri" w:cs="Times New Roman"/>
          <w:lang w:val="fr-FR" w:eastAsia="it-IT"/>
        </w:rPr>
        <w:tab/>
      </w:r>
      <w:r w:rsidRPr="006E6AAA">
        <w:rPr>
          <w:rFonts w:ascii="Calibri" w:eastAsia="Times New Roman" w:hAnsi="Calibri" w:cs="Times New Roman"/>
          <w:lang w:val="fr-FR" w:eastAsia="it-IT"/>
        </w:rPr>
        <w:tab/>
      </w:r>
      <w:r w:rsidRPr="006E6AAA">
        <w:rPr>
          <w:rFonts w:ascii="Calibri" w:eastAsia="Times New Roman" w:hAnsi="Calibri" w:cs="Times New Roman"/>
          <w:lang w:val="fr-FR" w:eastAsia="it-IT"/>
        </w:rPr>
        <w:tab/>
      </w:r>
    </w:p>
    <w:p w:rsidR="006E6AAA" w:rsidRPr="006E6AAA" w:rsidRDefault="006E6AAA" w:rsidP="006E6AAA">
      <w:pPr>
        <w:numPr>
          <w:ilvl w:val="0"/>
          <w:numId w:val="61"/>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1. Tribunal militaire de police (TMP)</w:t>
      </w:r>
      <w:r w:rsidRPr="006E6AAA">
        <w:rPr>
          <w:rFonts w:ascii="Calibri" w:eastAsia="Times New Roman" w:hAnsi="Calibri" w:cs="Times New Roman"/>
          <w:sz w:val="20"/>
          <w:szCs w:val="20"/>
          <w:vertAlign w:val="superscript"/>
          <w:lang w:val="fr-FR" w:eastAsia="it-IT"/>
        </w:rPr>
        <w:footnoteReference w:id="176"/>
      </w:r>
    </w:p>
    <w:p w:rsidR="006E6AAA" w:rsidRPr="006E6AAA" w:rsidRDefault="006E6AAA" w:rsidP="006E6AAA">
      <w:pPr>
        <w:spacing w:after="0" w:line="280" w:lineRule="exact"/>
        <w:ind w:left="288"/>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Les TMP peuvent être établis dans le ressort du Tribunal de Garnison et « </w:t>
      </w:r>
      <w:r w:rsidRPr="006E6AAA">
        <w:rPr>
          <w:rFonts w:ascii="Calibri" w:eastAsia="Times New Roman" w:hAnsi="Calibri" w:cs="Times New Roman"/>
          <w:i/>
          <w:sz w:val="20"/>
          <w:szCs w:val="20"/>
          <w:lang w:val="fr-FR" w:eastAsia="it-IT"/>
        </w:rPr>
        <w:t>connaissent des infractions punissables de un an de servitude pénale, au maximum</w:t>
      </w:r>
      <w:r w:rsidRPr="006E6AAA">
        <w:rPr>
          <w:rFonts w:ascii="Calibri" w:eastAsia="Times New Roman" w:hAnsi="Calibri" w:cs="Times New Roman"/>
          <w:sz w:val="20"/>
          <w:szCs w:val="20"/>
          <w:lang w:val="fr-FR" w:eastAsia="it-IT"/>
        </w:rPr>
        <w:t> »</w:t>
      </w:r>
      <w:r w:rsidRPr="006E6AAA">
        <w:rPr>
          <w:rFonts w:ascii="Calibri" w:eastAsia="Times New Roman" w:hAnsi="Calibri" w:cs="Times New Roman"/>
          <w:sz w:val="20"/>
          <w:szCs w:val="20"/>
          <w:vertAlign w:val="superscript"/>
          <w:lang w:val="fr-FR" w:eastAsia="it-IT"/>
        </w:rPr>
        <w:footnoteReference w:id="177"/>
      </w:r>
      <w:r w:rsidRPr="006E6AAA">
        <w:rPr>
          <w:rFonts w:ascii="Calibri" w:eastAsia="Times New Roman" w:hAnsi="Calibri" w:cs="Times New Roman"/>
          <w:sz w:val="20"/>
          <w:szCs w:val="20"/>
          <w:lang w:val="fr-FR" w:eastAsia="it-IT"/>
        </w:rPr>
        <w:t xml:space="preserve"> commises par </w:t>
      </w:r>
      <w:r w:rsidRPr="006E6AAA">
        <w:rPr>
          <w:rFonts w:ascii="Calibri" w:eastAsia="Times New Roman" w:hAnsi="Calibri" w:cs="JBFLLP+ArialNarrow"/>
          <w:color w:val="000000"/>
          <w:sz w:val="20"/>
          <w:szCs w:val="20"/>
          <w:lang w:val="fr-FR" w:eastAsia="it-IT"/>
        </w:rPr>
        <w:t xml:space="preserve">les militaires des Forces Armées </w:t>
      </w:r>
      <w:r w:rsidRPr="006E6AAA">
        <w:rPr>
          <w:rFonts w:ascii="Calibri" w:eastAsia="Times New Roman" w:hAnsi="Calibri" w:cs="JBFLLP+ArialNarrow"/>
          <w:color w:val="000000"/>
          <w:sz w:val="20"/>
          <w:szCs w:val="20"/>
          <w:lang w:val="fr-FR" w:eastAsia="it-IT"/>
        </w:rPr>
        <w:lastRenderedPageBreak/>
        <w:t>Congolaises,</w:t>
      </w:r>
      <w:r w:rsidRPr="006E6AAA">
        <w:rPr>
          <w:rFonts w:ascii="Calibri" w:eastAsia="Times New Roman" w:hAnsi="Calibri" w:cs="JBFLLP+ArialNarrow"/>
          <w:i/>
          <w:color w:val="000000"/>
          <w:sz w:val="20"/>
          <w:szCs w:val="20"/>
          <w:lang w:val="fr-FR" w:eastAsia="it-IT"/>
        </w:rPr>
        <w:t xml:space="preserve"> et les membres de la Police Nationale de même rang</w:t>
      </w:r>
      <w:r w:rsidRPr="006E6AAA">
        <w:rPr>
          <w:rFonts w:ascii="Calibri" w:eastAsia="Times New Roman" w:hAnsi="Calibri" w:cs="JBFLLP+ArialNarrow"/>
          <w:color w:val="000000"/>
          <w:sz w:val="20"/>
          <w:szCs w:val="20"/>
          <w:lang w:val="fr-FR" w:eastAsia="it-IT"/>
        </w:rPr>
        <w:t xml:space="preserve"> d’un grade inférieur à celui de Major»</w:t>
      </w:r>
      <w:r w:rsidRPr="006E6AAA">
        <w:rPr>
          <w:rFonts w:ascii="Calibri" w:eastAsia="Times New Roman" w:hAnsi="Calibri" w:cs="Times New Roman"/>
          <w:color w:val="000000"/>
          <w:vertAlign w:val="superscript"/>
          <w:lang w:val="fr-FR" w:eastAsia="it-IT"/>
        </w:rPr>
        <w:footnoteReference w:id="178"/>
      </w:r>
      <w:r w:rsidRPr="006E6AAA">
        <w:rPr>
          <w:rFonts w:ascii="Calibri" w:eastAsia="Times New Roman" w:hAnsi="Calibri" w:cs="JBFLLP+ArialNarrow"/>
          <w:color w:val="000000"/>
          <w:lang w:val="fr-FR" w:eastAsia="it-IT"/>
        </w:rPr>
        <w:t xml:space="preserve">. </w:t>
      </w:r>
      <w:r w:rsidRPr="006E6AAA">
        <w:rPr>
          <w:rFonts w:ascii="Calibri" w:eastAsia="Times New Roman" w:hAnsi="Calibri" w:cs="Times New Roman"/>
          <w:sz w:val="20"/>
          <w:szCs w:val="20"/>
          <w:lang w:val="fr-FR" w:eastAsia="it-IT"/>
        </w:rPr>
        <w:t xml:space="preserve">Ces tribunaux sont prévus par le code judiciaire militaire, mais ne sont pas encore opérationnels dans les zones qui font l’objet de la présente évaluation. </w:t>
      </w:r>
    </w:p>
    <w:p w:rsidR="006E6AAA" w:rsidRPr="006E6AAA" w:rsidRDefault="006E6AAA" w:rsidP="006E6AAA">
      <w:pPr>
        <w:spacing w:after="0" w:line="280" w:lineRule="exact"/>
        <w:jc w:val="both"/>
        <w:rPr>
          <w:rFonts w:ascii="Calibri" w:eastAsia="Times New Roman" w:hAnsi="Calibri" w:cs="Times New Roman"/>
          <w:sz w:val="20"/>
          <w:szCs w:val="20"/>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color w:val="000080"/>
          <w:lang w:val="fr-FR" w:eastAsia="it-IT"/>
        </w:rPr>
      </w:pPr>
      <w:r w:rsidRPr="006E6AAA">
        <w:rPr>
          <w:rFonts w:ascii="Calibri" w:eastAsia="Times New Roman" w:hAnsi="Calibri" w:cs="Times New Roman"/>
          <w:b/>
          <w:color w:val="000080"/>
          <w:lang w:val="fr-FR" w:eastAsia="it-IT"/>
        </w:rPr>
        <w:t xml:space="preserve">2. Tribunal militaire de garnison (TMG) </w:t>
      </w:r>
    </w:p>
    <w:p w:rsidR="006E6AAA" w:rsidRPr="006E6AAA" w:rsidRDefault="006E6AAA" w:rsidP="006E6AAA">
      <w:pPr>
        <w:spacing w:after="0" w:line="280" w:lineRule="exact"/>
        <w:ind w:left="288"/>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Les TMG siègent dans les chefs-lieux des districts ou dans les villes où est situé l’Etat-Major de la garnison.</w:t>
      </w:r>
      <w:r w:rsidRPr="006E6AAA">
        <w:rPr>
          <w:rFonts w:ascii="Calibri" w:eastAsia="Times New Roman" w:hAnsi="Calibri" w:cs="Times New Roman"/>
          <w:sz w:val="20"/>
          <w:szCs w:val="20"/>
          <w:vertAlign w:val="superscript"/>
          <w:lang w:val="fr-FR" w:eastAsia="it-IT"/>
        </w:rPr>
        <w:footnoteReference w:id="179"/>
      </w:r>
      <w:r w:rsidRPr="006E6AAA">
        <w:rPr>
          <w:rFonts w:ascii="Calibri" w:eastAsia="Times New Roman" w:hAnsi="Calibri" w:cs="Times New Roman"/>
          <w:sz w:val="20"/>
          <w:szCs w:val="20"/>
          <w:lang w:val="fr-FR" w:eastAsia="it-IT"/>
        </w:rPr>
        <w:t xml:space="preserve"> Ils connaissent des infractions punissables de la peine de mort et celles supérieures à un an ainsi que de l’appel des jugements rendus par le Tribunal Militaire de Police.</w:t>
      </w:r>
      <w:r w:rsidRPr="006E6AAA">
        <w:rPr>
          <w:rFonts w:ascii="Calibri" w:eastAsia="Times New Roman" w:hAnsi="Calibri" w:cs="Times New Roman"/>
          <w:sz w:val="20"/>
          <w:szCs w:val="20"/>
          <w:vertAlign w:val="superscript"/>
          <w:lang w:val="fr-FR" w:eastAsia="it-IT"/>
        </w:rPr>
        <w:footnoteReference w:id="180"/>
      </w:r>
      <w:r w:rsidRPr="006E6AAA">
        <w:rPr>
          <w:rFonts w:ascii="Calibri" w:eastAsia="Times New Roman" w:hAnsi="Calibri" w:cs="JBFLLP+ArialNarrow"/>
          <w:i/>
          <w:color w:val="000000"/>
          <w:lang w:val="fr-FR" w:eastAsia="it-IT"/>
        </w:rPr>
        <w:t xml:space="preserve"> </w:t>
      </w:r>
      <w:r w:rsidRPr="006E6AAA">
        <w:rPr>
          <w:rFonts w:ascii="Calibri" w:eastAsia="Times New Roman" w:hAnsi="Calibri" w:cs="JBFLLP+ArialNarrow"/>
          <w:i/>
          <w:color w:val="000000"/>
          <w:sz w:val="20"/>
          <w:szCs w:val="20"/>
          <w:lang w:val="fr-FR" w:eastAsia="it-IT"/>
        </w:rPr>
        <w:t>Sont justiciables du TMG les militaires des Forces Armées Congolaises d’un grade inférieur à celui de Major et les membres de la Police Nationale et du Service National de même rang.</w:t>
      </w:r>
      <w:r w:rsidRPr="006E6AAA">
        <w:rPr>
          <w:rFonts w:ascii="Calibri" w:eastAsia="Times New Roman" w:hAnsi="Calibri" w:cs="Times New Roman"/>
          <w:i/>
          <w:color w:val="000000"/>
          <w:vertAlign w:val="superscript"/>
          <w:lang w:val="fr-FR" w:eastAsia="it-IT"/>
        </w:rPr>
        <w:footnoteReference w:id="181"/>
      </w:r>
    </w:p>
    <w:p w:rsidR="006E6AAA" w:rsidRPr="006E6AAA" w:rsidRDefault="006E6AAA" w:rsidP="006E6AAA">
      <w:pPr>
        <w:spacing w:after="0" w:line="280" w:lineRule="exact"/>
        <w:ind w:firstLine="288"/>
        <w:jc w:val="both"/>
        <w:rPr>
          <w:rFonts w:ascii="Calibri" w:eastAsia="Times New Roman" w:hAnsi="Calibri" w:cs="Times New Roman"/>
          <w:sz w:val="20"/>
          <w:szCs w:val="20"/>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b/>
          <w:color w:val="000080"/>
          <w:lang w:val="fr-FR" w:eastAsia="it-IT"/>
        </w:rPr>
      </w:pPr>
      <w:r w:rsidRPr="006E6AAA">
        <w:rPr>
          <w:rFonts w:ascii="Calibri" w:eastAsia="Times New Roman" w:hAnsi="Calibri" w:cs="Times New Roman"/>
          <w:b/>
          <w:color w:val="000080"/>
          <w:lang w:val="fr-FR" w:eastAsia="it-IT"/>
        </w:rPr>
        <w:t>3. Cour militaire (CM) et Cour militaire opérationnelle</w:t>
      </w:r>
    </w:p>
    <w:p w:rsidR="006E6AAA" w:rsidRPr="006E6AAA" w:rsidRDefault="006E6AAA" w:rsidP="006E6AAA">
      <w:pPr>
        <w:autoSpaceDE w:val="0"/>
        <w:autoSpaceDN w:val="0"/>
        <w:adjustRightInd w:val="0"/>
        <w:spacing w:after="0" w:line="280" w:lineRule="exact"/>
        <w:ind w:left="1077" w:hanging="789"/>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Les CMs, sont prévues dans chaque chef-lieu de province ou dans la localité où se trouve le quartier général de</w:t>
      </w:r>
    </w:p>
    <w:p w:rsidR="006E6AAA" w:rsidRPr="006E6AAA" w:rsidRDefault="006E6AAA" w:rsidP="006E6AAA">
      <w:pPr>
        <w:autoSpaceDE w:val="0"/>
        <w:autoSpaceDN w:val="0"/>
        <w:adjustRightInd w:val="0"/>
        <w:spacing w:after="0" w:line="280" w:lineRule="exact"/>
        <w:ind w:left="1077" w:hanging="789"/>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la Région Militaire.</w:t>
      </w:r>
      <w:r w:rsidRPr="006E6AAA">
        <w:rPr>
          <w:rFonts w:ascii="Calibri" w:eastAsia="Times New Roman" w:hAnsi="Calibri" w:cs="Times New Roman"/>
          <w:sz w:val="20"/>
          <w:szCs w:val="20"/>
          <w:vertAlign w:val="superscript"/>
          <w:lang w:val="fr-FR" w:eastAsia="it-IT"/>
        </w:rPr>
        <w:footnoteReference w:id="182"/>
      </w:r>
      <w:r w:rsidRPr="006E6AAA">
        <w:rPr>
          <w:rFonts w:ascii="Calibri" w:eastAsia="Times New Roman" w:hAnsi="Calibri" w:cs="Times New Roman"/>
          <w:sz w:val="20"/>
          <w:szCs w:val="20"/>
          <w:lang w:val="fr-FR" w:eastAsia="it-IT"/>
        </w:rPr>
        <w:t xml:space="preserve"> Les CM connaissent, au premier degré, des infractions commises par les personnes</w:t>
      </w:r>
    </w:p>
    <w:p w:rsidR="006E6AAA" w:rsidRPr="006E6AAA" w:rsidRDefault="006E6AAA" w:rsidP="006E6AAA">
      <w:pPr>
        <w:autoSpaceDE w:val="0"/>
        <w:autoSpaceDN w:val="0"/>
        <w:adjustRightInd w:val="0"/>
        <w:spacing w:after="0" w:line="280" w:lineRule="exact"/>
        <w:ind w:left="360" w:hanging="72"/>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énumérées à l’article 121 du code judiciaire militaire (par exemple les officiers supérieurs des Forces Armées Congolaises) ainsi que de l’appel des jugements rendus par les TMG.</w:t>
      </w:r>
      <w:r w:rsidRPr="006E6AAA">
        <w:rPr>
          <w:rFonts w:ascii="Calibri" w:eastAsia="Times New Roman" w:hAnsi="Calibri" w:cs="Times New Roman"/>
          <w:sz w:val="20"/>
          <w:szCs w:val="20"/>
          <w:vertAlign w:val="superscript"/>
          <w:lang w:val="fr-FR" w:eastAsia="it-IT"/>
        </w:rPr>
        <w:footnoteReference w:id="183"/>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Les </w:t>
      </w:r>
      <w:r w:rsidRPr="006E6AAA">
        <w:rPr>
          <w:rFonts w:ascii="Calibri" w:eastAsia="Times New Roman" w:hAnsi="Calibri" w:cs="Times New Roman"/>
          <w:b/>
          <w:sz w:val="20"/>
          <w:szCs w:val="20"/>
          <w:lang w:val="fr-FR" w:eastAsia="it-IT"/>
        </w:rPr>
        <w:t>Cours militaires opérationnelles</w:t>
      </w:r>
      <w:r w:rsidRPr="006E6AAA">
        <w:rPr>
          <w:rFonts w:ascii="Calibri" w:eastAsia="Times New Roman" w:hAnsi="Calibri" w:cs="Times New Roman"/>
          <w:sz w:val="20"/>
          <w:szCs w:val="20"/>
          <w:lang w:val="fr-FR" w:eastAsia="it-IT"/>
        </w:rPr>
        <w:t xml:space="preserve"> sont des juridictions temporaires qui accompagnent les troupes dans les zones d’opération de guerre pour juger les crimes commis dans ces contextes; elles ont le même rang et la même compétence que les CM mais les arrêts qu’elles rendent ne sont pas susceptibles d’appel.</w:t>
      </w:r>
      <w:r w:rsidRPr="006E6AAA">
        <w:rPr>
          <w:rFonts w:ascii="Calibri" w:eastAsia="Times New Roman" w:hAnsi="Calibri" w:cs="Times New Roman"/>
          <w:sz w:val="20"/>
          <w:szCs w:val="20"/>
          <w:vertAlign w:val="superscript"/>
          <w:lang w:val="fr-FR" w:eastAsia="it-IT"/>
        </w:rPr>
        <w:footnoteReference w:id="184"/>
      </w:r>
      <w:r w:rsidRPr="006E6AAA">
        <w:rPr>
          <w:rFonts w:ascii="Calibri" w:eastAsia="Times New Roman" w:hAnsi="Calibri" w:cs="Times New Roman"/>
          <w:sz w:val="20"/>
          <w:szCs w:val="20"/>
          <w:lang w:val="fr-FR" w:eastAsia="it-IT"/>
        </w:rPr>
        <w:t xml:space="preserve"> Une CM opérationnelle est présente au Nord Kivu depuis 2008.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sz w:val="20"/>
          <w:szCs w:val="20"/>
          <w:lang w:val="fr-FR" w:eastAsia="it-IT"/>
        </w:rPr>
      </w:pPr>
    </w:p>
    <w:p w:rsidR="006E6AAA" w:rsidRPr="006E6AAA" w:rsidRDefault="006E6AAA" w:rsidP="006E6AAA">
      <w:pPr>
        <w:numPr>
          <w:ilvl w:val="0"/>
          <w:numId w:val="61"/>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4. Haute Cour militaire</w:t>
      </w:r>
    </w:p>
    <w:p w:rsidR="006E6AAA" w:rsidRPr="006E6AAA" w:rsidRDefault="006E6AAA" w:rsidP="006E6AAA">
      <w:pPr>
        <w:autoSpaceDE w:val="0"/>
        <w:autoSpaceDN w:val="0"/>
        <w:adjustRightInd w:val="0"/>
        <w:spacing w:after="0" w:line="280" w:lineRule="exact"/>
        <w:ind w:left="360" w:hanging="72"/>
        <w:jc w:val="both"/>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La Haute Cour siège à Kinshasa, mais en temps de guerre le Président de la République peut décider d’organiser des chambres foraines dans les zones opérationnelles. Son ressort s’étend sur tout le territoire de la République.</w:t>
      </w:r>
      <w:r w:rsidRPr="006E6AAA">
        <w:rPr>
          <w:rFonts w:ascii="Calibri" w:eastAsia="Times New Roman" w:hAnsi="Calibri" w:cs="Times New Roman"/>
          <w:sz w:val="20"/>
          <w:szCs w:val="20"/>
          <w:vertAlign w:val="superscript"/>
          <w:lang w:val="fr-FR" w:eastAsia="it-IT"/>
        </w:rPr>
        <w:footnoteReference w:id="185"/>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sz w:val="20"/>
          <w:szCs w:val="2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Il convient finalement de souligner que les efforts du Gouvernement finalisés au recrutement de magistrats additionnels en 2011 ont créé </w:t>
      </w:r>
      <w:r w:rsidRPr="006E6AAA">
        <w:rPr>
          <w:rFonts w:ascii="Calibri" w:eastAsia="Times New Roman" w:hAnsi="Calibri" w:cs="Times New Roman"/>
          <w:b/>
          <w:lang w:val="fr-FR" w:eastAsia="it-IT"/>
        </w:rPr>
        <w:t>un écart important entre le nombre de magistrats du parquet et le nombre de magistrats du siège dans les juridictions civiles</w:t>
      </w:r>
      <w:r w:rsidRPr="006E6AAA">
        <w:rPr>
          <w:rFonts w:ascii="Calibri" w:eastAsia="Times New Roman" w:hAnsi="Calibri" w:cs="Times New Roman"/>
          <w:lang w:val="fr-FR" w:eastAsia="it-IT"/>
        </w:rPr>
        <w:t>, vu que la première étape dans la carrière d’un magistrat est celle de Substitut Procureur au Parquet. Par exemple au mois d’Avril 2013 á l’est de la RDC, on comptait :</w:t>
      </w:r>
    </w:p>
    <w:p w:rsidR="006E6AAA" w:rsidRPr="006E6AAA" w:rsidRDefault="006E6AAA" w:rsidP="006E6AAA">
      <w:pPr>
        <w:numPr>
          <w:ilvl w:val="0"/>
          <w:numId w:val="85"/>
        </w:num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43 magistrats au Parquet et 9 au siège pour</w:t>
      </w:r>
      <w:r w:rsidRPr="006E6AAA">
        <w:rPr>
          <w:rFonts w:ascii="Calibri" w:eastAsia="Times New Roman" w:hAnsi="Calibri" w:cs="Times New Roman"/>
          <w:lang w:val="fr-FR" w:eastAsia="it-IT"/>
        </w:rPr>
        <w:t xml:space="preserve"> le </w:t>
      </w:r>
      <w:r w:rsidRPr="006E6AAA">
        <w:rPr>
          <w:rFonts w:ascii="Calibri" w:eastAsia="Times New Roman" w:hAnsi="Calibri" w:cs="Corbel"/>
          <w:color w:val="000000"/>
          <w:lang w:val="fr-FR" w:eastAsia="it-IT"/>
        </w:rPr>
        <w:t xml:space="preserve">TGI de Goma; </w:t>
      </w:r>
    </w:p>
    <w:p w:rsidR="006E6AAA" w:rsidRPr="006E6AAA" w:rsidRDefault="006E6AAA" w:rsidP="006E6AAA">
      <w:pPr>
        <w:numPr>
          <w:ilvl w:val="0"/>
          <w:numId w:val="85"/>
        </w:num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 xml:space="preserve">45 magistrats au Parquet et 5 au siège pour le TGI de Bukavu ; et </w:t>
      </w:r>
    </w:p>
    <w:p w:rsidR="006E6AAA" w:rsidRPr="006E6AAA" w:rsidRDefault="006E6AAA" w:rsidP="006E6AAA">
      <w:pPr>
        <w:numPr>
          <w:ilvl w:val="0"/>
          <w:numId w:val="85"/>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Corbel"/>
          <w:color w:val="000000"/>
          <w:lang w:val="fr-FR" w:eastAsia="it-IT"/>
        </w:rPr>
        <w:t>57 magistrats au Parquet et 4 au siège pour TGI de Bunia.</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Par conséquent, les juridictions civiles se retrouvent souvent confrontées au problème que les dossiers envoyés par les Procureurs au tribunal ne peuvent pas être vidés car les Juges sont débordés.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statistiques du monitoring judiciaire PNUD reflètent cet écart : par exemple en 2012 le Parquet de Bunia a reçu de la police 500 dossiers, ils ont transféré 420 dossiers au tribunal, mais seulement 50 jugements ont été émis dans la même période.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Dans une approche « ne pas nuire</w:t>
      </w:r>
      <w:r w:rsidRPr="006E6AAA">
        <w:rPr>
          <w:rFonts w:ascii="Calibri" w:eastAsia="Times New Roman" w:hAnsi="Calibri" w:cs="Times New Roman"/>
          <w:b/>
          <w:lang w:val="fr-FR" w:eastAsia="it-IT"/>
        </w:rPr>
        <w:t>»</w:t>
      </w:r>
      <w:r w:rsidRPr="006E6AAA">
        <w:rPr>
          <w:rFonts w:ascii="Calibri" w:eastAsia="Times New Roman" w:hAnsi="Calibri" w:cs="Times New Roman"/>
          <w:lang w:val="fr-FR" w:eastAsia="it-IT"/>
        </w:rPr>
        <w:t xml:space="preserve"> (</w:t>
      </w:r>
      <w:r w:rsidRPr="006E6AAA">
        <w:rPr>
          <w:rFonts w:ascii="Calibri" w:eastAsia="Times New Roman" w:hAnsi="Calibri" w:cs="Times New Roman"/>
          <w:i/>
          <w:lang w:val="fr-FR" w:eastAsia="it-IT"/>
        </w:rPr>
        <w:t>do no harm</w:t>
      </w:r>
      <w:r w:rsidRPr="006E6AAA">
        <w:rPr>
          <w:rFonts w:ascii="Calibri" w:eastAsia="Times New Roman" w:hAnsi="Calibri" w:cs="Times New Roman"/>
          <w:lang w:val="fr-FR" w:eastAsia="it-IT"/>
        </w:rPr>
        <w:t xml:space="preserve">), il faudra assurer une attention particulière à ce que les juridictions civiles, déjà dégarnies de juges, ne soient pas paralysées quand les magistrates siègent en foraine.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A noter que cette problématique se pose en moindre mesure pour les juridictions militaires, qui sont celles appuyées en priorité par le PNUD dans le cadre des AF</w:t>
      </w:r>
      <w:r w:rsidRPr="006E6AAA">
        <w:rPr>
          <w:rFonts w:ascii="Calibri" w:eastAsia="Times New Roman" w:hAnsi="Calibri" w:cs="Times New Roman"/>
          <w:vertAlign w:val="superscript"/>
          <w:lang w:val="fr-FR" w:eastAsia="it-IT"/>
        </w:rPr>
        <w:footnoteReference w:id="186"/>
      </w:r>
      <w:r w:rsidRPr="006E6AAA">
        <w:rPr>
          <w:rFonts w:ascii="Calibri" w:eastAsia="Times New Roman" w:hAnsi="Calibri" w:cs="Times New Roman"/>
          <w:lang w:val="fr-FR" w:eastAsia="it-IT"/>
        </w:rPr>
        <w:t>. En effet les AF militaires prévoient un 1 seul magistrat de carrière et 4 assesseurs (notamment des militaires qui n’ont pas de formation spécifique en droit et qui sont identifiés sur place).</w:t>
      </w:r>
    </w:p>
    <w:p w:rsidR="006E6AAA" w:rsidRPr="006E6AAA" w:rsidRDefault="006E6AAA" w:rsidP="006E6AAA">
      <w:pPr>
        <w:keepNext/>
        <w:tabs>
          <w:tab w:val="left" w:pos="5795"/>
        </w:tabs>
        <w:spacing w:before="240" w:after="60" w:line="240" w:lineRule="auto"/>
        <w:outlineLvl w:val="0"/>
        <w:rPr>
          <w:rFonts w:ascii="Calibri" w:eastAsia="Times New Roman" w:hAnsi="Calibri" w:cs="Times New Roman"/>
          <w:b/>
          <w:bCs/>
          <w:color w:val="365F91"/>
          <w:kern w:val="32"/>
          <w:lang w:val="fr-FR" w:eastAsia="it-IT"/>
        </w:rPr>
      </w:pPr>
      <w:r w:rsidRPr="006E6AAA">
        <w:rPr>
          <w:rFonts w:ascii="Calibri" w:eastAsia="Times New Roman" w:hAnsi="Calibri" w:cs="Calibri"/>
          <w:b/>
          <w:bCs/>
          <w:kern w:val="32"/>
          <w:lang w:val="fr-FR" w:eastAsia="it-IT"/>
        </w:rPr>
        <w:br w:type="page"/>
      </w:r>
    </w:p>
    <w:p w:rsidR="006E6AAA" w:rsidRPr="006E6AAA" w:rsidRDefault="006E6AAA" w:rsidP="006E6AAA">
      <w:pPr>
        <w:shd w:val="clear" w:color="auto" w:fill="4C4C4C"/>
        <w:autoSpaceDE w:val="0"/>
        <w:autoSpaceDN w:val="0"/>
        <w:adjustRightInd w:val="0"/>
        <w:spacing w:after="0" w:line="280" w:lineRule="exact"/>
        <w:jc w:val="both"/>
        <w:rPr>
          <w:rFonts w:ascii="Calibri" w:eastAsia="Times New Roman" w:hAnsi="Calibri" w:cs="Times New Roman"/>
          <w:b/>
          <w:color w:val="FFFFFF"/>
          <w:sz w:val="24"/>
          <w:szCs w:val="24"/>
          <w:lang w:val="fr-FR" w:eastAsia="it-IT"/>
        </w:rPr>
      </w:pPr>
      <w:r w:rsidRPr="006E6AAA">
        <w:rPr>
          <w:rFonts w:ascii="Calibri" w:eastAsia="Times New Roman" w:hAnsi="Calibri" w:cs="Times New Roman"/>
          <w:b/>
          <w:color w:val="FFFFFF"/>
          <w:sz w:val="24"/>
          <w:szCs w:val="24"/>
          <w:lang w:val="fr-FR" w:eastAsia="it-IT"/>
        </w:rPr>
        <w:lastRenderedPageBreak/>
        <w:t>PARTIE II : EVALUATION DE L’APPUI AUX AUDIANCES FORAINES</w:t>
      </w:r>
    </w:p>
    <w:p w:rsidR="006E6AAA" w:rsidRPr="006E6AAA" w:rsidRDefault="006E6AAA" w:rsidP="006E6AAA">
      <w:pPr>
        <w:tabs>
          <w:tab w:val="left" w:pos="540"/>
          <w:tab w:val="left" w:pos="72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tabs>
          <w:tab w:val="left" w:pos="540"/>
          <w:tab w:val="left" w:pos="72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tabs>
          <w:tab w:val="left" w:pos="540"/>
          <w:tab w:val="left" w:pos="720"/>
        </w:tabs>
        <w:spacing w:after="0" w:line="280" w:lineRule="exact"/>
        <w:jc w:val="both"/>
        <w:outlineLvl w:val="0"/>
        <w:rPr>
          <w:rFonts w:ascii="Calibri" w:eastAsia="Times New Roman" w:hAnsi="Calibri" w:cs="BookAntiqua"/>
          <w:b/>
          <w:color w:val="000080"/>
          <w:sz w:val="24"/>
          <w:szCs w:val="24"/>
          <w:lang w:val="fr-FR" w:eastAsia="it-IT"/>
        </w:rPr>
      </w:pPr>
      <w:bookmarkStart w:id="2" w:name="_Toc356240472"/>
      <w:r w:rsidRPr="006E6AAA">
        <w:rPr>
          <w:rFonts w:ascii="Calibri" w:eastAsia="Times New Roman" w:hAnsi="Calibri" w:cs="BookAntiqua"/>
          <w:b/>
          <w:color w:val="000080"/>
          <w:sz w:val="24"/>
          <w:szCs w:val="24"/>
          <w:lang w:val="fr-FR" w:eastAsia="it-IT"/>
        </w:rPr>
        <w:t>5. PERTINENCE</w:t>
      </w:r>
      <w:bookmarkEnd w:id="2"/>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xml:space="preserve">§ 5.1 </w:t>
      </w:r>
      <w:r w:rsidRPr="006E6AAA">
        <w:rPr>
          <w:rFonts w:ascii="Calibri" w:eastAsia="Times New Roman" w:hAnsi="Calibri" w:cs="Times New Roman"/>
          <w:b/>
          <w:lang w:val="fr-FR" w:eastAsia="it-IT"/>
        </w:rPr>
        <w:t>Le modèle congolais d’audience foraine</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i/>
          <w:color w:val="000080"/>
          <w:lang w:val="fr-FR" w:eastAsia="it-IT"/>
        </w:rPr>
      </w:pPr>
      <w:r w:rsidRPr="006E6AAA">
        <w:rPr>
          <w:rFonts w:ascii="Times New Roman" w:eastAsia="Times New Roman" w:hAnsi="Times New Roman" w:cs="Times New Roman"/>
          <w:color w:val="000080"/>
          <w:lang w:val="fr-FR" w:eastAsia="it-IT"/>
        </w:rPr>
        <w:t>►</w:t>
      </w:r>
      <w:r w:rsidRPr="006E6AAA">
        <w:rPr>
          <w:rFonts w:ascii="Calibri" w:eastAsia="Times New Roman" w:hAnsi="Calibri" w:cs="Times New Roman"/>
          <w:color w:val="000080"/>
          <w:lang w:val="fr-FR" w:eastAsia="it-IT"/>
        </w:rPr>
        <w:t xml:space="preserve"> </w:t>
      </w:r>
      <w:r w:rsidRPr="006E6AAA">
        <w:rPr>
          <w:rFonts w:ascii="Calibri" w:eastAsia="Times New Roman" w:hAnsi="Calibri" w:cs="Times New Roman"/>
          <w:b/>
          <w:i/>
          <w:color w:val="000080"/>
          <w:lang w:val="fr-FR" w:eastAsia="it-IT"/>
        </w:rPr>
        <w:t>Modèle, base légale et composition des juridictions en foraine</w:t>
      </w:r>
      <w:r w:rsidRPr="006E6AAA">
        <w:rPr>
          <w:rFonts w:ascii="Calibri" w:eastAsia="Times New Roman" w:hAnsi="Calibri" w:cs="Times New Roman"/>
          <w:i/>
          <w:color w:val="000080"/>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Calibri"/>
          <w:lang w:val="fr-FR" w:eastAsia="it-IT"/>
        </w:rPr>
      </w:pPr>
      <w:r w:rsidRPr="006E6AAA">
        <w:rPr>
          <w:rFonts w:ascii="Calibri" w:eastAsia="Times New Roman" w:hAnsi="Calibri" w:cs="Calibri"/>
          <w:lang w:val="fr-FR" w:eastAsia="it-IT"/>
        </w:rPr>
        <w:t xml:space="preserve">L’organisation des AF a été introduite dans le système judiciaire congolais par </w:t>
      </w:r>
      <w:r w:rsidRPr="006E6AAA">
        <w:rPr>
          <w:rFonts w:ascii="Calibri" w:eastAsia="Times New Roman" w:hAnsi="Calibri" w:cs="Calibri"/>
          <w:b/>
          <w:lang w:val="fr-FR" w:eastAsia="it-IT"/>
        </w:rPr>
        <w:t>un arrêté de 1979</w:t>
      </w:r>
      <w:r w:rsidRPr="006E6AAA">
        <w:rPr>
          <w:rFonts w:ascii="Calibri" w:eastAsia="Times New Roman" w:hAnsi="Calibri" w:cs="Times New Roman"/>
          <w:vertAlign w:val="superscript"/>
          <w:lang w:val="fr-FR" w:eastAsia="it-IT"/>
        </w:rPr>
        <w:footnoteReference w:id="187"/>
      </w:r>
      <w:r w:rsidRPr="006E6AAA">
        <w:rPr>
          <w:rFonts w:ascii="Calibri" w:eastAsia="Times New Roman" w:hAnsi="Calibri" w:cs="Calibri"/>
          <w:lang w:val="fr-FR" w:eastAsia="it-IT"/>
        </w:rPr>
        <w:t xml:space="preserve"> en application de l’article 67 du code d’organisation et de compétence judiciaire.</w:t>
      </w:r>
      <w:r w:rsidRPr="006E6AAA">
        <w:rPr>
          <w:rFonts w:ascii="Calibri" w:eastAsia="Times New Roman" w:hAnsi="Calibri" w:cs="Times New Roman"/>
          <w:lang w:val="fr-FR" w:eastAsia="it-IT"/>
        </w:rPr>
        <w:t xml:space="preserve"> L’arrêt</w:t>
      </w:r>
      <w:r w:rsidRPr="006E6AAA">
        <w:rPr>
          <w:rFonts w:ascii="Calibri" w:eastAsia="Times New Roman" w:hAnsi="Calibri" w:cs="Calibri"/>
          <w:lang w:val="fr-FR" w:eastAsia="it-IT"/>
        </w:rPr>
        <w:t>é</w:t>
      </w:r>
      <w:r w:rsidRPr="006E6AAA">
        <w:rPr>
          <w:rFonts w:ascii="Calibri" w:eastAsia="Times New Roman" w:hAnsi="Calibri" w:cs="Times New Roman"/>
          <w:lang w:val="fr-FR" w:eastAsia="it-IT"/>
        </w:rPr>
        <w:t xml:space="preserve"> précise </w:t>
      </w:r>
      <w:r w:rsidRPr="006E6AAA">
        <w:rPr>
          <w:rFonts w:ascii="Calibri" w:eastAsia="Times New Roman" w:hAnsi="Calibri" w:cs="Calibri"/>
          <w:lang w:val="fr-FR" w:eastAsia="it-IT"/>
        </w:rPr>
        <w:t xml:space="preserve">que </w:t>
      </w:r>
      <w:r w:rsidRPr="006E6AAA">
        <w:rPr>
          <w:rFonts w:ascii="Calibri" w:eastAsia="Times New Roman" w:hAnsi="Calibri" w:cs="Calibri"/>
          <w:i/>
          <w:lang w:val="fr-FR" w:eastAsia="it-IT"/>
        </w:rPr>
        <w:t>« les présidents de la Cour d’Appel et du Tribunal de Grande Instance peuvent fixer des audiences foraines qui se tiendront en dehors du siège ordinaire du ressort, si l’administration d’une bonne justice l’exige</w:t>
      </w:r>
      <w:r w:rsidRPr="006E6AAA">
        <w:rPr>
          <w:rFonts w:ascii="Calibri" w:eastAsia="Times New Roman" w:hAnsi="Calibri" w:cs="Calibri"/>
          <w:lang w:val="fr-FR" w:eastAsia="it-IT"/>
        </w:rPr>
        <w:t xml:space="preserve">». </w:t>
      </w:r>
    </w:p>
    <w:p w:rsidR="006E6AAA" w:rsidRPr="006E6AAA" w:rsidRDefault="006E6AAA" w:rsidP="006E6AAA">
      <w:pPr>
        <w:spacing w:after="0" w:line="280" w:lineRule="exact"/>
        <w:jc w:val="both"/>
        <w:rPr>
          <w:rFonts w:ascii="Calibri" w:eastAsia="Times New Roman" w:hAnsi="Calibri" w:cs="Calibri"/>
          <w:lang w:val="fr-FR" w:eastAsia="it-IT"/>
        </w:rPr>
      </w:pPr>
      <w:r w:rsidRPr="006E6AAA">
        <w:rPr>
          <w:rFonts w:ascii="Calibri" w:eastAsia="Times New Roman" w:hAnsi="Calibri" w:cs="Calibri"/>
          <w:lang w:val="fr-FR" w:eastAsia="it-IT"/>
        </w:rPr>
        <w:t>Des dispositions similaires sont prévues dans le code judiciaire militaire de 2003.</w:t>
      </w:r>
      <w:r w:rsidRPr="006E6AAA">
        <w:rPr>
          <w:rFonts w:ascii="Calibri" w:eastAsia="Times New Roman" w:hAnsi="Calibri" w:cs="Times New Roman"/>
          <w:vertAlign w:val="superscript"/>
          <w:lang w:val="fr-FR" w:eastAsia="it-IT"/>
        </w:rPr>
        <w:footnoteReference w:id="188"/>
      </w:r>
    </w:p>
    <w:p w:rsidR="006E6AAA" w:rsidRPr="006E6AAA" w:rsidRDefault="006E6AAA" w:rsidP="006E6AAA">
      <w:pPr>
        <w:spacing w:after="0" w:line="280" w:lineRule="exact"/>
        <w:jc w:val="both"/>
        <w:rPr>
          <w:rFonts w:ascii="Calibri" w:eastAsia="Times New Roman" w:hAnsi="Calibri" w:cs="Calibri"/>
          <w:lang w:val="fr-FR" w:eastAsia="it-IT"/>
        </w:rPr>
      </w:pPr>
      <w:r w:rsidRPr="006E6AAA">
        <w:rPr>
          <w:rFonts w:ascii="Calibri" w:eastAsia="Times New Roman" w:hAnsi="Calibri" w:cs="Calibri"/>
          <w:lang w:val="fr-FR" w:eastAsia="it-IT"/>
        </w:rPr>
        <w:t xml:space="preserve">En Avril 2013 la nouvelle loi  de reforme de l’organisation judiciaire a </w:t>
      </w:r>
      <w:r w:rsidRPr="006E6AAA">
        <w:rPr>
          <w:rFonts w:ascii="Calibri" w:eastAsia="Times New Roman" w:hAnsi="Calibri" w:cs="Times New Roman"/>
          <w:lang w:val="fr-FR" w:eastAsia="it-IT"/>
        </w:rPr>
        <w:t>introduit une Sous-</w:t>
      </w:r>
      <w:r w:rsidRPr="006E6AAA">
        <w:rPr>
          <w:rFonts w:ascii="Segoe UI" w:eastAsia="Times New Roman" w:hAnsi="Segoe UI" w:cs="Segoe UI"/>
          <w:bCs/>
          <w:color w:val="000000"/>
          <w:sz w:val="21"/>
          <w:szCs w:val="21"/>
          <w:lang w:val="fr-FR" w:eastAsia="it-IT"/>
        </w:rPr>
        <w:t xml:space="preserve">section </w:t>
      </w:r>
      <w:r w:rsidRPr="006E6AAA">
        <w:rPr>
          <w:rFonts w:ascii="Calibri" w:eastAsia="Times New Roman" w:hAnsi="Calibri" w:cs="Calibri"/>
          <w:bCs/>
          <w:lang w:val="fr-FR" w:eastAsia="it-IT"/>
        </w:rPr>
        <w:t>intitulée « Des audiences foraines »  qui réaffirme</w:t>
      </w:r>
      <w:r w:rsidRPr="006E6AAA">
        <w:rPr>
          <w:rFonts w:ascii="Segoe UI" w:eastAsia="Times New Roman" w:hAnsi="Segoe UI" w:cs="Segoe UI"/>
          <w:bCs/>
          <w:color w:val="000000"/>
          <w:sz w:val="21"/>
          <w:szCs w:val="21"/>
          <w:lang w:val="fr-FR" w:eastAsia="it-IT"/>
        </w:rPr>
        <w:t xml:space="preserve"> le principe de la justice itinérante; á noter</w:t>
      </w:r>
      <w:r w:rsidRPr="006E6AAA">
        <w:rPr>
          <w:rFonts w:ascii="Segoe UI" w:eastAsia="Times New Roman" w:hAnsi="Segoe UI" w:cs="Segoe UI"/>
          <w:color w:val="000000"/>
          <w:sz w:val="21"/>
          <w:szCs w:val="21"/>
          <w:lang w:val="fr-FR" w:eastAsia="it-IT"/>
        </w:rPr>
        <w:t xml:space="preserve"> l’article 47 qui prévoit « </w:t>
      </w:r>
      <w:r w:rsidRPr="006E6AAA">
        <w:rPr>
          <w:rFonts w:ascii="Segoe UI" w:eastAsia="Times New Roman" w:hAnsi="Segoe UI" w:cs="Segoe UI"/>
          <w:i/>
          <w:color w:val="000000"/>
          <w:sz w:val="21"/>
          <w:szCs w:val="21"/>
          <w:lang w:val="fr-FR" w:eastAsia="it-IT"/>
        </w:rPr>
        <w:t>l’itinérance ne peut empêcher le fonctionnement de la juridiction au siège ordinaire</w:t>
      </w:r>
      <w:r w:rsidRPr="006E6AAA">
        <w:rPr>
          <w:rFonts w:ascii="Segoe UI" w:eastAsia="Times New Roman" w:hAnsi="Segoe UI" w:cs="Segoe UI"/>
          <w:color w:val="000000"/>
          <w:sz w:val="21"/>
          <w:szCs w:val="21"/>
          <w:lang w:val="fr-FR" w:eastAsia="it-IT"/>
        </w:rPr>
        <w:t xml:space="preserve"> »</w:t>
      </w:r>
      <w:r w:rsidRPr="006E6AAA">
        <w:rPr>
          <w:rFonts w:ascii="Segoe UI" w:eastAsia="Times New Roman" w:hAnsi="Segoe UI" w:cs="Times New Roman"/>
          <w:color w:val="000000"/>
          <w:sz w:val="21"/>
          <w:szCs w:val="21"/>
          <w:vertAlign w:val="superscript"/>
          <w:lang w:val="fr-FR" w:eastAsia="it-IT"/>
        </w:rPr>
        <w:footnoteReference w:id="189"/>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Etant entendu que les AF sont un mécanisme bien intégré dans le système judiciaire congolais, il faut reconnaître que depuis 2004 les partenaires internationaux jouent un rôle important dans le processus de redynamisation des AF en appuyant les juridictions congolaises à les organiser</w:t>
      </w:r>
      <w:r w:rsidRPr="006E6AAA">
        <w:rPr>
          <w:rFonts w:ascii="Calibri" w:eastAsia="Times New Roman" w:hAnsi="Calibri" w:cs="Times New Roman"/>
          <w:vertAlign w:val="superscript"/>
          <w:lang w:val="fr-FR" w:eastAsia="it-IT"/>
        </w:rPr>
        <w:footnoteReference w:id="190"/>
      </w:r>
      <w:r w:rsidRPr="006E6AAA">
        <w:rPr>
          <w:rFonts w:ascii="Calibri" w:eastAsia="Times New Roman" w:hAnsi="Calibri" w:cs="Times New Roman"/>
          <w:lang w:val="fr-FR" w:eastAsia="it-IT"/>
        </w:rPr>
        <w:t>. A noter que l’appui du PNUD et de la majorité des partenaires internationaux vise en priorité les dossiers criminels</w:t>
      </w:r>
      <w:r w:rsidRPr="006E6AAA">
        <w:rPr>
          <w:rFonts w:ascii="Calibri" w:eastAsia="Times New Roman" w:hAnsi="Calibri" w:cs="Times New Roman"/>
          <w:vertAlign w:val="superscript"/>
          <w:lang w:val="fr-FR" w:eastAsia="it-IT"/>
        </w:rPr>
        <w:footnoteReference w:id="191"/>
      </w:r>
      <w:r w:rsidRPr="006E6AAA">
        <w:rPr>
          <w:rFonts w:ascii="Calibri" w:eastAsia="Times New Roman" w:hAnsi="Calibri" w:cs="Times New Roman"/>
          <w:lang w:val="fr-FR" w:eastAsia="it-IT"/>
        </w:rPr>
        <w:t xml:space="preserve"> et qu’un nombre croissant de dossiers concerne la poursuite de crimes internationaux en complémentarité avec la Cour Pénale Internationale (CPI)</w:t>
      </w:r>
      <w:r w:rsidRPr="006E6AAA">
        <w:rPr>
          <w:rFonts w:ascii="Calibri" w:eastAsia="Times New Roman" w:hAnsi="Calibri" w:cs="Times New Roman"/>
          <w:vertAlign w:val="superscript"/>
          <w:lang w:val="fr-FR" w:eastAsia="it-IT"/>
        </w:rPr>
        <w:footnoteReference w:id="192"/>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L’organisation d’une AF se compose de plusieurs étapes en séquence</w:t>
      </w:r>
      <w:r w:rsidRPr="006E6AAA">
        <w:rPr>
          <w:rFonts w:ascii="Calibri" w:eastAsia="Times New Roman" w:hAnsi="Calibri" w:cs="Times New Roman"/>
          <w:lang w:val="fr-FR" w:eastAsia="it-IT"/>
        </w:rPr>
        <w:t xml:space="preserve"> qui demandent d’importants efforts de coordination entre les acteurs du système judiciaire et de sécurité, ainsi qu’entre les partenaires internationaux.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Ces étapes sont résumées ci-dessus.</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63"/>
        </w:numPr>
        <w:tabs>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juridiction civile ou militaire </w:t>
      </w:r>
      <w:r w:rsidRPr="006E6AAA">
        <w:rPr>
          <w:rFonts w:ascii="Calibri" w:eastAsia="Times New Roman" w:hAnsi="Calibri" w:cs="Times New Roman"/>
          <w:b/>
          <w:lang w:val="fr-FR" w:eastAsia="it-IT"/>
        </w:rPr>
        <w:t>identifie un besoin</w:t>
      </w:r>
      <w:r w:rsidRPr="006E6AAA">
        <w:rPr>
          <w:rFonts w:ascii="Calibri" w:eastAsia="Times New Roman" w:hAnsi="Calibri" w:cs="Times New Roman"/>
          <w:lang w:val="fr-FR" w:eastAsia="it-IT"/>
        </w:rPr>
        <w:t xml:space="preserve"> d’organiser une AF dans son ressort de compétence et présente une demande d’appui aux partenaires internationaux. (voire copie dans </w:t>
      </w:r>
      <w:r w:rsidRPr="006E6AAA">
        <w:rPr>
          <w:rFonts w:ascii="Calibri" w:eastAsia="Times New Roman" w:hAnsi="Calibri" w:cs="Times New Roman"/>
          <w:lang w:val="fr-FR" w:eastAsia="it-IT"/>
        </w:rPr>
        <w:lastRenderedPageBreak/>
        <w:t>l’annexe 6)</w:t>
      </w:r>
      <w:r w:rsidRPr="006E6AAA">
        <w:rPr>
          <w:rFonts w:ascii="Calibri" w:eastAsia="Times New Roman" w:hAnsi="Calibri" w:cs="Times New Roman"/>
          <w:vertAlign w:val="superscript"/>
          <w:lang w:val="fr-FR" w:eastAsia="it-IT"/>
        </w:rPr>
        <w:footnoteReference w:id="193"/>
      </w:r>
      <w:r w:rsidRPr="006E6AAA">
        <w:rPr>
          <w:rFonts w:ascii="Calibri" w:eastAsia="Times New Roman" w:hAnsi="Calibri" w:cs="Times New Roman"/>
          <w:lang w:val="fr-FR" w:eastAsia="it-IT"/>
        </w:rPr>
        <w:t xml:space="preserve">. Cette phase est parfois précédée par un appui financier aux Parquets ou aux Auditorats militaires pour </w:t>
      </w:r>
      <w:r w:rsidRPr="006E6AAA">
        <w:rPr>
          <w:rFonts w:ascii="Calibri" w:eastAsia="Times New Roman" w:hAnsi="Calibri" w:cs="Times New Roman"/>
          <w:b/>
          <w:lang w:val="fr-FR" w:eastAsia="it-IT"/>
        </w:rPr>
        <w:t>mener les</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 xml:space="preserve">enquêtes </w:t>
      </w:r>
      <w:r w:rsidRPr="006E6AAA">
        <w:rPr>
          <w:rFonts w:ascii="Calibri" w:eastAsia="Times New Roman" w:hAnsi="Calibri" w:cs="Times New Roman"/>
          <w:lang w:val="fr-FR" w:eastAsia="it-IT"/>
        </w:rPr>
        <w:t>dans les zones où les infractions ont été commises.</w:t>
      </w:r>
    </w:p>
    <w:p w:rsidR="006E6AAA" w:rsidRPr="006E6AAA" w:rsidRDefault="006E6AAA" w:rsidP="006E6AAA">
      <w:pPr>
        <w:numPr>
          <w:ilvl w:val="0"/>
          <w:numId w:val="63"/>
        </w:numPr>
        <w:tabs>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Un forum</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de coordination</w:t>
      </w:r>
      <w:r w:rsidRPr="006E6AAA">
        <w:rPr>
          <w:rFonts w:ascii="Calibri" w:eastAsia="Times New Roman" w:hAnsi="Calibri" w:cs="Times New Roman"/>
          <w:vertAlign w:val="superscript"/>
          <w:lang w:val="fr-FR" w:eastAsia="it-IT"/>
        </w:rPr>
        <w:footnoteReference w:id="194"/>
      </w:r>
      <w:r w:rsidRPr="006E6AAA">
        <w:rPr>
          <w:rFonts w:ascii="Calibri" w:eastAsia="Times New Roman" w:hAnsi="Calibri" w:cs="Times New Roman"/>
          <w:lang w:val="fr-FR" w:eastAsia="it-IT"/>
        </w:rPr>
        <w:t>, réunissant les partenaires internationaux et les représentants des juridictions, analyse la pertinence de la demande d’appui, la disponibilité des fonds et l’état des dossiers à traiter en foraine.</w:t>
      </w:r>
    </w:p>
    <w:p w:rsidR="006E6AAA" w:rsidRPr="006E6AAA" w:rsidRDefault="006E6AAA" w:rsidP="006E6AAA">
      <w:pPr>
        <w:numPr>
          <w:ilvl w:val="0"/>
          <w:numId w:val="63"/>
        </w:numPr>
        <w:tabs>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L’appui est octroyé et le </w:t>
      </w:r>
      <w:r w:rsidRPr="006E6AAA">
        <w:rPr>
          <w:rFonts w:ascii="Calibri" w:eastAsia="Times New Roman" w:hAnsi="Calibri" w:cs="Times New Roman"/>
          <w:b/>
          <w:lang w:val="fr-FR" w:eastAsia="it-IT"/>
        </w:rPr>
        <w:t>Barreau désigne les avocats</w:t>
      </w:r>
      <w:r w:rsidRPr="006E6AAA">
        <w:rPr>
          <w:rFonts w:ascii="Calibri" w:eastAsia="Times New Roman" w:hAnsi="Calibri" w:cs="Times New Roman"/>
          <w:lang w:val="fr-FR" w:eastAsia="it-IT"/>
        </w:rPr>
        <w:t xml:space="preserve"> pour les prévenus et les victimes afin qu’ils vérifient que les prévenus se trouvent effectivement en détention et qu’ils puissent rencontrer les victimes pour les assister dans l’éventuelle constitution de partie civile. Les avocats lisent également les dossiers au greffe en vue de préparer leurs différents moyens. </w:t>
      </w:r>
    </w:p>
    <w:p w:rsidR="006E6AAA" w:rsidRPr="006E6AAA" w:rsidRDefault="006E6AAA" w:rsidP="006E6AAA">
      <w:pPr>
        <w:numPr>
          <w:ilvl w:val="0"/>
          <w:numId w:val="63"/>
        </w:numPr>
        <w:tabs>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Président du tribunal fixe la date de l’AF et le </w:t>
      </w:r>
      <w:r w:rsidRPr="006E6AAA">
        <w:rPr>
          <w:rFonts w:ascii="Calibri" w:eastAsia="Times New Roman" w:hAnsi="Calibri" w:cs="Times New Roman"/>
          <w:b/>
          <w:lang w:val="fr-FR" w:eastAsia="it-IT"/>
        </w:rPr>
        <w:t>greffier descend sur le terrain</w:t>
      </w:r>
      <w:r w:rsidRPr="006E6AAA">
        <w:rPr>
          <w:rFonts w:ascii="Calibri" w:eastAsia="Times New Roman" w:hAnsi="Calibri" w:cs="Times New Roman"/>
          <w:lang w:val="fr-FR" w:eastAsia="it-IT"/>
        </w:rPr>
        <w:t xml:space="preserve"> quelques jours à l’avance pour faire les notifications des dates d’audience aux parties des procès. </w:t>
      </w:r>
    </w:p>
    <w:p w:rsidR="006E6AAA" w:rsidRPr="006E6AAA" w:rsidRDefault="006E6AAA" w:rsidP="006E6AAA">
      <w:pPr>
        <w:numPr>
          <w:ilvl w:val="0"/>
          <w:numId w:val="63"/>
        </w:numPr>
        <w:tabs>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L’équipe foraine se déplace</w:t>
      </w:r>
      <w:r w:rsidRPr="006E6AAA">
        <w:rPr>
          <w:rFonts w:ascii="Calibri" w:eastAsia="Times New Roman" w:hAnsi="Calibri" w:cs="Times New Roman"/>
          <w:lang w:val="fr-FR" w:eastAsia="it-IT"/>
        </w:rPr>
        <w:t xml:space="preserve"> vers les lieux où se tiennent les audiences ; généralement</w:t>
      </w:r>
      <w:r w:rsidRPr="006E6AAA">
        <w:rPr>
          <w:rFonts w:ascii="Calibri" w:eastAsia="Times New Roman" w:hAnsi="Calibri" w:cs="Times New Roman"/>
          <w:color w:val="FF0000"/>
          <w:lang w:val="fr-FR" w:eastAsia="it-IT"/>
        </w:rPr>
        <w:t xml:space="preserve"> </w:t>
      </w:r>
      <w:r w:rsidRPr="006E6AAA">
        <w:rPr>
          <w:rFonts w:ascii="Calibri" w:eastAsia="Times New Roman" w:hAnsi="Calibri" w:cs="Times New Roman"/>
          <w:lang w:val="fr-FR" w:eastAsia="it-IT"/>
        </w:rPr>
        <w:t xml:space="preserve">elles sont organisées dans de structures </w:t>
      </w:r>
      <w:r w:rsidRPr="006E6AAA">
        <w:rPr>
          <w:rFonts w:ascii="Calibri" w:eastAsia="Times New Roman" w:hAnsi="Calibri" w:cs="Times New Roman"/>
          <w:i/>
          <w:lang w:val="fr-FR" w:eastAsia="it-IT"/>
        </w:rPr>
        <w:t>ad hoc</w:t>
      </w:r>
      <w:r w:rsidRPr="006E6AAA">
        <w:rPr>
          <w:rFonts w:ascii="Calibri" w:eastAsia="Times New Roman" w:hAnsi="Calibri" w:cs="Times New Roman"/>
          <w:lang w:val="fr-FR" w:eastAsia="it-IT"/>
        </w:rPr>
        <w:t>, comme des tentes ou d’autres abris temporaires.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composition des juridictions en foraine est particulièrement nombreuse car, s’agissant toujours d’une formation collégiale, elle implique le déplacement d’un nombre élevé de magistrats.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Par exemple la chambre foraine d’un </w:t>
      </w:r>
      <w:r w:rsidRPr="006E6AAA">
        <w:rPr>
          <w:rFonts w:ascii="Calibri" w:eastAsia="Times New Roman" w:hAnsi="Calibri" w:cs="Times New Roman"/>
          <w:u w:val="single"/>
          <w:lang w:val="fr-FR" w:eastAsia="it-IT"/>
        </w:rPr>
        <w:t xml:space="preserve">Tribunal de Grande Instance </w:t>
      </w:r>
      <w:r w:rsidRPr="006E6AAA">
        <w:rPr>
          <w:rFonts w:ascii="Calibri" w:eastAsia="Times New Roman" w:hAnsi="Calibri" w:cs="Times New Roman"/>
          <w:lang w:val="fr-FR" w:eastAsia="it-IT"/>
        </w:rPr>
        <w:t>est composée de 3 juges du siège</w:t>
      </w:r>
      <w:r w:rsidRPr="006E6AAA">
        <w:rPr>
          <w:rFonts w:ascii="Calibri" w:eastAsia="Times New Roman" w:hAnsi="Calibri" w:cs="Times New Roman"/>
          <w:vertAlign w:val="superscript"/>
          <w:lang w:val="fr-FR" w:eastAsia="it-IT"/>
        </w:rPr>
        <w:footnoteReference w:id="195"/>
      </w:r>
      <w:r w:rsidRPr="006E6AAA">
        <w:rPr>
          <w:rFonts w:ascii="Calibri" w:eastAsia="Times New Roman" w:hAnsi="Calibri" w:cs="Times New Roman"/>
          <w:lang w:val="fr-FR" w:eastAsia="it-IT"/>
        </w:rPr>
        <w:t xml:space="preserve">, 1 juge du Parquet et un 1 greffier.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chambre foraine d’un </w:t>
      </w:r>
      <w:r w:rsidRPr="006E6AAA">
        <w:rPr>
          <w:rFonts w:ascii="Calibri" w:eastAsia="Times New Roman" w:hAnsi="Calibri" w:cs="Times New Roman"/>
          <w:u w:val="single"/>
          <w:lang w:val="fr-FR" w:eastAsia="it-IT"/>
        </w:rPr>
        <w:t>Tribunal Militaire de Garnison</w:t>
      </w:r>
      <w:r w:rsidRPr="006E6AAA">
        <w:rPr>
          <w:rFonts w:ascii="Calibri" w:eastAsia="Times New Roman" w:hAnsi="Calibri" w:cs="Times New Roman"/>
          <w:lang w:val="fr-FR" w:eastAsia="it-IT"/>
        </w:rPr>
        <w:t xml:space="preserve"> est composée de 5 juges: 1 magistrat de carrière et 4 assesseurs (notamment des militaires qui n’ont pas de formation spécifique en droit et qui sont identifiés sur place), 1 auditeur militaire (qui exerce les fonctions de Ministère Public); 1 greffier.</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D’autres membres intègrent les équipes des AF : les avocats, les interprètes, la police pour l’escorte des prévenus et des condamnés.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i/>
          <w:lang w:val="fr-FR" w:eastAsia="it-IT"/>
        </w:rPr>
      </w:pPr>
      <w:r w:rsidRPr="006E6AAA">
        <w:rPr>
          <w:rFonts w:ascii="Times New Roman" w:eastAsia="Times New Roman" w:hAnsi="Times New Roman" w:cs="Times New Roman"/>
          <w:color w:val="000080"/>
          <w:lang w:val="fr-FR" w:eastAsia="it-IT"/>
        </w:rPr>
        <w:t>►</w:t>
      </w:r>
      <w:r w:rsidRPr="006E6AAA">
        <w:rPr>
          <w:rFonts w:ascii="Times New Roman" w:eastAsia="Times New Roman" w:hAnsi="Times New Roman" w:cs="Times New Roman"/>
          <w:lang w:val="fr-FR" w:eastAsia="it-IT"/>
        </w:rPr>
        <w:t xml:space="preserve"> </w:t>
      </w:r>
      <w:r w:rsidRPr="006E6AAA">
        <w:rPr>
          <w:rFonts w:ascii="Calibri" w:eastAsia="Times New Roman" w:hAnsi="Calibri" w:cs="Times New Roman"/>
          <w:b/>
          <w:i/>
          <w:color w:val="000080"/>
          <w:lang w:val="fr-FR" w:eastAsia="it-IT"/>
        </w:rPr>
        <w:t>Les activités préliminaires aux AF</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i/>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raison principale qui détermine un taux de jugements très élevé par rapport aux dossiers enrôlés au cours des AF sont </w:t>
      </w:r>
      <w:r w:rsidRPr="006E6AAA">
        <w:rPr>
          <w:rFonts w:ascii="Calibri" w:eastAsia="Times New Roman" w:hAnsi="Calibri" w:cs="Times New Roman"/>
          <w:b/>
          <w:lang w:val="fr-FR" w:eastAsia="it-IT"/>
        </w:rPr>
        <w:t>les efforts dédiés á la préparation des AF</w:t>
      </w:r>
      <w:r w:rsidRPr="006E6AAA">
        <w:rPr>
          <w:rFonts w:ascii="Calibri" w:eastAsia="Times New Roman" w:hAnsi="Calibri" w:cs="Times New Roman"/>
          <w:lang w:val="fr-FR" w:eastAsia="it-IT"/>
        </w:rPr>
        <w:t>. Ces activités préliminaires permettent d’assurer la présence des victimes, des témoins, des prévenus ainsi que la mise en état des tous les dossiers avec la conséquence que les renvois d’audiences ont rarement lieu.</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Notamment il s’agit des activités suivantes :</w:t>
      </w:r>
    </w:p>
    <w:p w:rsidR="006E6AAA" w:rsidRPr="006E6AAA" w:rsidRDefault="006E6AAA" w:rsidP="006E6AAA">
      <w:pPr>
        <w:numPr>
          <w:ilvl w:val="0"/>
          <w:numId w:val="73"/>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l’appui au Parquets</w:t>
      </w:r>
      <w:r w:rsidRPr="006E6AAA">
        <w:rPr>
          <w:rFonts w:ascii="Calibri" w:eastAsia="Times New Roman" w:hAnsi="Calibri" w:cs="Times New Roman"/>
          <w:lang w:val="fr-FR" w:eastAsia="it-IT"/>
        </w:rPr>
        <w:t xml:space="preserve"> pour effectuer des descentes sur le terrain afin de mener les enquêtes préliminaires ;</w:t>
      </w:r>
    </w:p>
    <w:p w:rsidR="006E6AAA" w:rsidRPr="006E6AAA" w:rsidRDefault="006E6AAA" w:rsidP="006E6AAA">
      <w:pPr>
        <w:numPr>
          <w:ilvl w:val="0"/>
          <w:numId w:val="73"/>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l’appui aux greffiers</w:t>
      </w:r>
      <w:r w:rsidRPr="006E6AAA">
        <w:rPr>
          <w:rFonts w:ascii="Calibri" w:eastAsia="Times New Roman" w:hAnsi="Calibri" w:cs="Times New Roman"/>
          <w:lang w:val="fr-FR" w:eastAsia="it-IT"/>
        </w:rPr>
        <w:t xml:space="preserve"> pour descendre sur le terrain afin de signifier les actes aux parties du procès ;</w:t>
      </w:r>
    </w:p>
    <w:p w:rsidR="006E6AAA" w:rsidRPr="006E6AAA" w:rsidRDefault="006E6AAA" w:rsidP="006E6AAA">
      <w:pPr>
        <w:numPr>
          <w:ilvl w:val="0"/>
          <w:numId w:val="73"/>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préparation aux audiences des </w:t>
      </w:r>
      <w:r w:rsidRPr="006E6AAA">
        <w:rPr>
          <w:rFonts w:ascii="Calibri" w:eastAsia="Times New Roman" w:hAnsi="Calibri" w:cs="Times New Roman"/>
          <w:b/>
          <w:lang w:val="fr-FR" w:eastAsia="it-IT"/>
        </w:rPr>
        <w:t>parties civiles</w:t>
      </w:r>
      <w:r w:rsidRPr="006E6AAA">
        <w:rPr>
          <w:rFonts w:ascii="Calibri" w:eastAsia="Times New Roman" w:hAnsi="Calibri" w:cs="Times New Roman"/>
          <w:lang w:val="fr-FR" w:eastAsia="it-IT"/>
        </w:rPr>
        <w:t xml:space="preserve"> par les avocats ;</w:t>
      </w:r>
    </w:p>
    <w:p w:rsidR="006E6AAA" w:rsidRPr="006E6AAA" w:rsidRDefault="006E6AAA" w:rsidP="006E6AAA">
      <w:pPr>
        <w:numPr>
          <w:ilvl w:val="0"/>
          <w:numId w:val="73"/>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w:t>
      </w:r>
      <w:r w:rsidRPr="006E6AAA">
        <w:rPr>
          <w:rFonts w:ascii="Calibri" w:eastAsia="Times New Roman" w:hAnsi="Calibri" w:cs="Times New Roman"/>
          <w:b/>
          <w:lang w:val="fr-FR" w:eastAsia="it-IT"/>
        </w:rPr>
        <w:t xml:space="preserve">transfert des prévenus </w:t>
      </w:r>
      <w:r w:rsidRPr="006E6AAA">
        <w:rPr>
          <w:rFonts w:ascii="Calibri" w:eastAsia="Times New Roman" w:hAnsi="Calibri" w:cs="Times New Roman"/>
          <w:lang w:val="fr-FR" w:eastAsia="it-IT"/>
        </w:rPr>
        <w:t>(la plupart étant en détention préventive) ;</w:t>
      </w:r>
    </w:p>
    <w:p w:rsidR="006E6AAA" w:rsidRPr="006E6AAA" w:rsidRDefault="006E6AAA" w:rsidP="006E6AAA">
      <w:pPr>
        <w:numPr>
          <w:ilvl w:val="0"/>
          <w:numId w:val="73"/>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les séances de </w:t>
      </w:r>
      <w:r w:rsidRPr="006E6AAA">
        <w:rPr>
          <w:rFonts w:ascii="Calibri" w:eastAsia="Times New Roman" w:hAnsi="Calibri" w:cs="Times New Roman"/>
          <w:b/>
          <w:lang w:val="fr-FR" w:eastAsia="it-IT"/>
        </w:rPr>
        <w:t>sensibilisations pour la population</w:t>
      </w:r>
      <w:r w:rsidRPr="006E6AAA">
        <w:rPr>
          <w:rFonts w:ascii="Calibri" w:eastAsia="Times New Roman" w:hAnsi="Calibri" w:cs="Times New Roman"/>
          <w:lang w:val="fr-FR" w:eastAsia="it-IT"/>
        </w:rPr>
        <w:t xml:space="preserve"> sur les procédures judiciaires et le rôle des AF, qui sont occasionnellement organisées avant la tenue les AF.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Concernant le transfert des prévenus il convient de préciser que, quand les juridictions demandent l’appui aux partenaires internationaux pour organiser une AF, les prévenus qui ont été arrêtés dans les territoires reculées se trouvent généralement en détention préventive dans les prisons centrales des provinces (notamment Goma, Bunia et Bukavu) après y avoir être transféré depuis les cachots de la police dans les territoires.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Plus précisément, quand la police appréhende un présumé auteur dans une zone où il n y a pas d’autorités judiciaires, après l’avoir gardé à vue pendent 48 heures elle demande un appui aux partenaires internationaux pour transférer le détenu à la prison centrale de la province afin que le Parquet puisse valider la détention préventive</w:t>
      </w:r>
      <w:r w:rsidRPr="006E6AAA">
        <w:rPr>
          <w:rFonts w:ascii="Calibri" w:eastAsia="Times New Roman" w:hAnsi="Calibri" w:cs="Times New Roman"/>
          <w:vertAlign w:val="superscript"/>
          <w:lang w:val="fr-FR" w:eastAsia="it-IT"/>
        </w:rPr>
        <w:footnoteReference w:id="196"/>
      </w:r>
      <w:r w:rsidRPr="006E6AAA">
        <w:rPr>
          <w:rFonts w:ascii="Calibri" w:eastAsia="Times New Roman" w:hAnsi="Calibri" w:cs="Times New Roman"/>
          <w:lang w:val="fr-FR" w:eastAsia="it-IT"/>
        </w:rPr>
        <w:t xml:space="preserve">. Avant la date fixée pour l’AF le détenu est re-transféré sur les lieux où a été commise l’infraction et où se tient l’AF.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Cette procédure assure la présence du prévenu au procès, mais implique aussi des importants efforts, </w:t>
      </w:r>
      <w:r w:rsidRPr="006E6AAA">
        <w:rPr>
          <w:rFonts w:ascii="Calibri" w:eastAsia="Times New Roman" w:hAnsi="Calibri" w:cs="Times New Roman"/>
          <w:i/>
          <w:lang w:val="fr-FR" w:eastAsia="it-IT"/>
        </w:rPr>
        <w:t>inter alia</w:t>
      </w:r>
      <w:r w:rsidRPr="006E6AAA">
        <w:rPr>
          <w:rFonts w:ascii="Calibri" w:eastAsia="Times New Roman" w:hAnsi="Calibri" w:cs="Times New Roman"/>
          <w:lang w:val="fr-FR" w:eastAsia="it-IT"/>
        </w:rPr>
        <w:t xml:space="preserve"> en termes financier, d’autant plus qu’il faut aussi considérer les frais de restauration et de transport de l’escorte.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Dans le cadre des activités complémentaires aux AF, il convient également mentionner le « </w:t>
      </w:r>
      <w:r w:rsidRPr="006E6AAA">
        <w:rPr>
          <w:rFonts w:ascii="Calibri" w:eastAsia="Times New Roman" w:hAnsi="Calibri" w:cs="Times New Roman"/>
          <w:b/>
          <w:lang w:val="fr-FR" w:eastAsia="it-IT"/>
        </w:rPr>
        <w:t>projet  monitoring judiciaire »</w:t>
      </w:r>
      <w:r w:rsidRPr="006E6AAA">
        <w:rPr>
          <w:rFonts w:ascii="Calibri" w:eastAsia="Times New Roman" w:hAnsi="Calibri" w:cs="Times New Roman"/>
          <w:lang w:val="fr-FR" w:eastAsia="it-IT"/>
        </w:rPr>
        <w:t xml:space="preserve"> mis en place par le PNUD dans l’Est de la RDC afin d’assurer le monitoring des procédures judiciaires et de police, ainsi que l’observation d’un échantillon d’audiences, y compris celles conduites en foraine.  Comme illustré au § 6.1, la présence des équipes de moniteurs judiciaires PNUD a promu l’application des standards internationaux du procès équitable et a permis d’avoir un aperçu impartial des résultats atteints par les AF.</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i/>
          <w:color w:val="000080"/>
          <w:lang w:val="fr-FR" w:eastAsia="it-IT"/>
        </w:rPr>
      </w:pPr>
      <w:r w:rsidRPr="006E6AAA">
        <w:rPr>
          <w:rFonts w:ascii="Times New Roman" w:eastAsia="Times New Roman" w:hAnsi="Times New Roman" w:cs="Times New Roman"/>
          <w:color w:val="000080"/>
          <w:lang w:val="fr-FR" w:eastAsia="it-IT"/>
        </w:rPr>
        <w:t xml:space="preserve">► </w:t>
      </w:r>
      <w:r w:rsidRPr="006E6AAA">
        <w:rPr>
          <w:rFonts w:ascii="Calibri" w:eastAsia="Times New Roman" w:hAnsi="Calibri" w:cs="Times New Roman"/>
          <w:b/>
          <w:i/>
          <w:color w:val="000080"/>
          <w:lang w:val="fr-FR" w:eastAsia="it-IT"/>
        </w:rPr>
        <w:t>Aspects controversés du modèle congolais d’audience foraine</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paragraphes suivants illustrent  des aspects du modèle congolais des AF qui sont objet de débat au sein de la communauté juridique nationale et internationale et méritent donc une réflexion spécifique. </w:t>
      </w:r>
    </w:p>
    <w:p w:rsidR="006E6AAA" w:rsidRPr="006E6AAA" w:rsidRDefault="006E6AAA" w:rsidP="006E6AAA">
      <w:pPr>
        <w:spacing w:after="0" w:line="280" w:lineRule="exact"/>
        <w:jc w:val="both"/>
        <w:rPr>
          <w:rFonts w:ascii="Calibri" w:eastAsia="Times New Roman" w:hAnsi="Calibri" w:cs="Times New Roman"/>
          <w:i/>
          <w:u w:val="single"/>
          <w:lang w:val="fr-FR" w:eastAsia="it-IT"/>
        </w:rPr>
      </w:pPr>
    </w:p>
    <w:p w:rsidR="006E6AAA" w:rsidRPr="006E6AAA" w:rsidRDefault="006E6AAA" w:rsidP="006E6AAA">
      <w:pPr>
        <w:spacing w:after="0" w:line="280" w:lineRule="exact"/>
        <w:jc w:val="both"/>
        <w:rPr>
          <w:rFonts w:ascii="Calibri" w:eastAsia="Times New Roman" w:hAnsi="Calibri" w:cs="Times New Roman"/>
          <w:i/>
          <w:u w:val="single"/>
          <w:lang w:val="fr-FR" w:eastAsia="it-IT"/>
        </w:rPr>
      </w:pPr>
      <w:r w:rsidRPr="006E6AAA">
        <w:rPr>
          <w:rFonts w:ascii="Calibri" w:eastAsia="Times New Roman" w:hAnsi="Calibri" w:cs="Times New Roman"/>
          <w:i/>
          <w:u w:val="single"/>
          <w:lang w:val="fr-FR" w:eastAsia="it-IT"/>
        </w:rPr>
        <w:t xml:space="preserve">A) L’appui aux juridictions militaires </w:t>
      </w:r>
    </w:p>
    <w:p w:rsidR="006E6AAA" w:rsidRPr="006E6AAA" w:rsidRDefault="006E6AAA" w:rsidP="006E6AAA">
      <w:pPr>
        <w:spacing w:after="0" w:line="280" w:lineRule="exact"/>
        <w:jc w:val="both"/>
        <w:rPr>
          <w:rFonts w:ascii="Times New Roman" w:eastAsia="Times New Roman" w:hAnsi="Times New Roman" w:cs="Times New Roman"/>
          <w:b/>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statistiques 2011 et 2012, illustrées au § 6.2, indiquent que </w:t>
      </w:r>
      <w:r w:rsidRPr="006E6AAA">
        <w:rPr>
          <w:rFonts w:ascii="Calibri" w:eastAsia="Times New Roman" w:hAnsi="Calibri" w:cs="Times New Roman"/>
          <w:b/>
          <w:lang w:val="fr-FR" w:eastAsia="it-IT"/>
        </w:rPr>
        <w:t>le PNUD a appuyé en priorité les AF des juridictions militaires</w:t>
      </w:r>
      <w:r w:rsidRPr="006E6AAA">
        <w:rPr>
          <w:rFonts w:ascii="Calibri" w:eastAsia="Times New Roman" w:hAnsi="Calibri" w:cs="Times New Roman"/>
          <w:lang w:val="fr-FR" w:eastAsia="it-IT"/>
        </w:rPr>
        <w:t xml:space="preserve">: dans cette période, sur un total de 16 AF organisées dans l’Est de la RDC, 12 étaient des AF menées par des juridictions militaires.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A noter que le soutien aux juridictions militaires est une priorité pour l’un des deux projets PNUD en appui aux  AF</w:t>
      </w:r>
      <w:r w:rsidRPr="006E6AAA">
        <w:rPr>
          <w:rFonts w:ascii="Calibri" w:eastAsia="Times New Roman" w:hAnsi="Calibri" w:cs="Times New Roman"/>
          <w:vertAlign w:val="superscript"/>
          <w:lang w:val="fr-FR" w:eastAsia="it-IT"/>
        </w:rPr>
        <w:footnoteReference w:id="197"/>
      </w:r>
      <w:r w:rsidRPr="006E6AAA">
        <w:rPr>
          <w:rFonts w:ascii="Calibri" w:eastAsia="Times New Roman" w:hAnsi="Calibri" w:cs="Times New Roman"/>
          <w:lang w:val="fr-FR" w:eastAsia="it-IT"/>
        </w:rPr>
        <w:t xml:space="preserve">. De même, au sein de la MONUSCO des cellules d’appui aux poursuites judiciaires (CAP) ont été mises en place avec le mandat de </w:t>
      </w:r>
      <w:r w:rsidRPr="006E6AAA">
        <w:rPr>
          <w:rFonts w:ascii="Calibri" w:eastAsia="Times New Roman" w:hAnsi="Calibri" w:cs="Times New Roman"/>
          <w:i/>
          <w:lang w:val="fr-FR" w:eastAsia="it-IT"/>
        </w:rPr>
        <w:t>« aider les autorités des Forces armées de la République démocratique du Congo (FARDC) chargées de la justice militaire à poursuivre les personnes arrêtées par les FARDC »</w:t>
      </w:r>
      <w:r w:rsidRPr="006E6AAA">
        <w:rPr>
          <w:rFonts w:ascii="Calibri" w:eastAsia="Times New Roman" w:hAnsi="Calibri" w:cs="Times New Roman"/>
          <w:lang w:val="fr-FR" w:eastAsia="it-IT"/>
        </w:rPr>
        <w:t xml:space="preserve"> </w:t>
      </w:r>
      <w:r w:rsidRPr="006E6AAA">
        <w:rPr>
          <w:rFonts w:ascii="Calibri" w:eastAsia="Times New Roman" w:hAnsi="Calibri" w:cs="Times New Roman"/>
          <w:vertAlign w:val="superscript"/>
          <w:lang w:val="fr-FR" w:eastAsia="it-IT"/>
        </w:rPr>
        <w:footnoteReference w:id="198"/>
      </w:r>
      <w:r w:rsidRPr="006E6AAA">
        <w:rPr>
          <w:rFonts w:ascii="Calibri" w:eastAsia="Times New Roman" w:hAnsi="Calibri" w:cs="Times New Roman"/>
          <w:lang w:val="fr-FR" w:eastAsia="it-IT"/>
        </w:rPr>
        <w:t xml:space="preserve"> .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collaboration entre le PNUD et les juridictions militaires a produit des résultats satisfaisants comme sera illustré en détail au § 6.2, il convient néanmoins de rappeler que nombreuses études publiées et quelques entretiens au cours de la mission d’évaluation ont révélé certaines faiblesses du système </w:t>
      </w:r>
      <w:r w:rsidRPr="006E6AAA">
        <w:rPr>
          <w:rFonts w:ascii="Calibri" w:eastAsia="Times New Roman" w:hAnsi="Calibri" w:cs="Times New Roman"/>
          <w:lang w:val="fr-FR" w:eastAsia="it-IT"/>
        </w:rPr>
        <w:lastRenderedPageBreak/>
        <w:t>judiciaire militaire. Elles sont brièvement décrites ci-dessous afin qu’elles puissent être tenues en considération dans la planification future et éventuellement inspirer une réflexion sur l’opportunité d’élargir l’appui du PNUD aux juridictions civiles et progressivement réduire l’appui aux militaires.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MS Mincho" w:hAnsi="Calibri" w:cs="Arial"/>
          <w:color w:val="333333"/>
          <w:lang w:val="fr-FR" w:eastAsia="it-IT"/>
        </w:rPr>
      </w:pPr>
      <w:r w:rsidRPr="006E6AAA">
        <w:rPr>
          <w:rFonts w:ascii="Calibri" w:eastAsia="Times New Roman" w:hAnsi="Calibri" w:cs="Times New Roman"/>
          <w:lang w:val="fr-FR" w:eastAsia="it-IT"/>
        </w:rPr>
        <w:t xml:space="preserve">Un premier aspect controversé concerne la </w:t>
      </w:r>
      <w:r w:rsidRPr="006E6AAA">
        <w:rPr>
          <w:rFonts w:ascii="Calibri" w:eastAsia="Times New Roman" w:hAnsi="Calibri" w:cs="Times New Roman"/>
          <w:b/>
          <w:lang w:val="fr-FR" w:eastAsia="it-IT"/>
        </w:rPr>
        <w:t xml:space="preserve">compétence personnelle des juridictions militaires étendue aux civils </w:t>
      </w:r>
      <w:r w:rsidRPr="006E6AAA">
        <w:rPr>
          <w:rFonts w:ascii="Calibri" w:eastAsia="Times New Roman" w:hAnsi="Calibri" w:cs="Times New Roman"/>
          <w:i/>
          <w:lang w:val="fr-FR" w:eastAsia="it-IT"/>
        </w:rPr>
        <w:t>« qui commettent des infractions impliquant des armes de guerre ou lorsqu’ils sont associés aux militaires dans la commission des crimes de leur compétence</w:t>
      </w:r>
      <w:r w:rsidRPr="006E6AAA">
        <w:rPr>
          <w:rFonts w:ascii="Calibri" w:eastAsia="MS Mincho" w:hAnsi="Calibri" w:cs="Arial"/>
          <w:b/>
          <w:color w:val="333333"/>
          <w:lang w:val="fr-FR" w:eastAsia="it-IT"/>
        </w:rPr>
        <w:t> </w:t>
      </w:r>
      <w:r w:rsidRPr="006E6AAA">
        <w:rPr>
          <w:rFonts w:ascii="Calibri" w:eastAsia="MS Mincho" w:hAnsi="Calibri" w:cs="Arial"/>
          <w:color w:val="333333"/>
          <w:lang w:val="fr-FR" w:eastAsia="it-IT"/>
        </w:rPr>
        <w:t>»</w:t>
      </w:r>
      <w:r w:rsidRPr="006E6AAA">
        <w:rPr>
          <w:rFonts w:ascii="Calibri" w:eastAsia="Times New Roman" w:hAnsi="Calibri" w:cs="Times New Roman"/>
          <w:color w:val="333333"/>
          <w:vertAlign w:val="superscript"/>
          <w:lang w:val="fr-FR" w:eastAsia="it-IT"/>
        </w:rPr>
        <w:footnoteReference w:id="199"/>
      </w:r>
      <w:r w:rsidRPr="006E6AAA">
        <w:rPr>
          <w:rFonts w:ascii="Calibri" w:eastAsia="MS Mincho" w:hAnsi="Calibri" w:cs="Arial"/>
          <w:color w:val="333333"/>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MS Mincho" w:hAnsi="Calibri" w:cs="Arial"/>
          <w:color w:val="333333"/>
          <w:lang w:val="fr-FR" w:eastAsia="it-IT"/>
        </w:rPr>
        <w:t>N</w:t>
      </w:r>
      <w:r w:rsidRPr="006E6AAA">
        <w:rPr>
          <w:rFonts w:ascii="Calibri" w:eastAsia="Times New Roman" w:hAnsi="Calibri" w:cs="Times New Roman"/>
          <w:lang w:val="fr-FR" w:eastAsia="it-IT"/>
        </w:rPr>
        <w:t>ombreux rapports</w:t>
      </w:r>
      <w:r w:rsidRPr="006E6AAA">
        <w:rPr>
          <w:rFonts w:ascii="Calibri" w:eastAsia="Times New Roman" w:hAnsi="Calibri" w:cs="Times New Roman"/>
          <w:vertAlign w:val="superscript"/>
          <w:lang w:val="fr-FR" w:eastAsia="it-IT"/>
        </w:rPr>
        <w:footnoteReference w:id="200"/>
      </w:r>
      <w:r w:rsidRPr="006E6AAA">
        <w:rPr>
          <w:rFonts w:ascii="Calibri" w:eastAsia="Times New Roman" w:hAnsi="Calibri" w:cs="Times New Roman"/>
          <w:lang w:val="fr-FR" w:eastAsia="it-IT"/>
        </w:rPr>
        <w:t xml:space="preserve"> dénoncent cette loi comme </w:t>
      </w:r>
      <w:r w:rsidRPr="006E6AAA">
        <w:rPr>
          <w:rFonts w:ascii="Calibri" w:eastAsia="Times New Roman" w:hAnsi="Calibri" w:cs="ScalaPro-Regular"/>
          <w:lang w:val="fr-FR" w:eastAsia="it-IT"/>
        </w:rPr>
        <w:t>contraire aux standards internationaux et régionaux</w:t>
      </w:r>
      <w:r w:rsidRPr="006E6AAA">
        <w:rPr>
          <w:rFonts w:ascii="Calibri" w:eastAsia="Times New Roman" w:hAnsi="Calibri" w:cs="Times New Roman"/>
          <w:vertAlign w:val="superscript"/>
          <w:lang w:val="fr-FR" w:eastAsia="it-IT"/>
        </w:rPr>
        <w:footnoteReference w:id="201"/>
      </w:r>
      <w:r w:rsidRPr="006E6AAA">
        <w:rPr>
          <w:rFonts w:ascii="Calibri" w:eastAsia="Times New Roman" w:hAnsi="Calibri" w:cs="ScalaPro-Regular"/>
          <w:lang w:val="fr-FR" w:eastAsia="it-IT"/>
        </w:rPr>
        <w:t xml:space="preserve"> ainsi qu’à la Constitution congolaise</w:t>
      </w:r>
      <w:r w:rsidRPr="006E6AAA">
        <w:rPr>
          <w:rFonts w:ascii="Calibri" w:eastAsia="Times New Roman" w:hAnsi="Calibri" w:cs="Times New Roman"/>
          <w:vertAlign w:val="superscript"/>
          <w:lang w:val="fr-FR" w:eastAsia="it-IT"/>
        </w:rPr>
        <w:footnoteReference w:id="202"/>
      </w:r>
      <w:r w:rsidRPr="006E6AAA">
        <w:rPr>
          <w:rFonts w:ascii="Calibri" w:eastAsia="Times New Roman" w:hAnsi="Calibri" w:cs="ScalaPro-Regular"/>
          <w:lang w:val="fr-FR" w:eastAsia="it-IT"/>
        </w:rPr>
        <w:t xml:space="preserve"> et affirmant que </w:t>
      </w:r>
      <w:r w:rsidRPr="006E6AAA">
        <w:rPr>
          <w:rFonts w:ascii="Calibri" w:eastAsia="Times New Roman" w:hAnsi="Calibri" w:cs="Times New Roman"/>
          <w:lang w:val="fr-FR" w:eastAsia="it-IT"/>
        </w:rPr>
        <w:t>la compétence des juridictions militaires devrait être limitée aux membres des forces armées à l’exclusion des civils.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Interrogées à ce sujet les autorités judiciaires militaires ont précisé que les cas de prévenus civils sont une exception : le Président de la Cour Militaire de Goma a rapporté qu’en 2012 il n’y a  que 12 civils jugés par sa Cour, pour des affaires d’assassinats. Le Président du TMG de Bukavu a présenté la même conclusion pour son tribunal et a tenu à préciser qu’ «</w:t>
      </w:r>
      <w:r w:rsidRPr="006E6AAA">
        <w:rPr>
          <w:rFonts w:ascii="Calibri" w:eastAsia="Times New Roman" w:hAnsi="Calibri" w:cs="Times New Roman"/>
          <w:i/>
          <w:lang w:val="fr-FR" w:eastAsia="it-IT"/>
        </w:rPr>
        <w:t>il n’y a jamais eu de dossiers de VBG commis par des civils [jug</w:t>
      </w:r>
      <w:r w:rsidRPr="006E6AAA">
        <w:rPr>
          <w:rFonts w:ascii="Calibri" w:eastAsia="Times New Roman" w:hAnsi="Calibri" w:cs="Times New Roman"/>
          <w:lang w:val="fr-FR" w:eastAsia="it-IT"/>
        </w:rPr>
        <w:t>é</w:t>
      </w:r>
      <w:r w:rsidRPr="006E6AAA">
        <w:rPr>
          <w:rFonts w:ascii="Calibri" w:eastAsia="Times New Roman" w:hAnsi="Calibri" w:cs="Times New Roman"/>
          <w:i/>
          <w:lang w:val="fr-FR" w:eastAsia="it-IT"/>
        </w:rPr>
        <w:t>s par ce tribunal]</w:t>
      </w:r>
      <w:r w:rsidRPr="006E6AAA">
        <w:rPr>
          <w:rFonts w:ascii="Calibri" w:eastAsia="Times New Roman" w:hAnsi="Calibri" w:cs="Times New Roman"/>
          <w:lang w:val="fr-FR" w:eastAsia="it-IT"/>
        </w:rPr>
        <w:t xml:space="preserve"> ».  Le Président a encore ajouté qu’en cas de prévenus civils la composition de la Cour Militaire est intégrée par un magistrat civil.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Il convient finalement de noter, comme illustré dans les rapports de monitoring PNUD, que les jugements des tribunaux militaires consistent parfois dans des déclinatoires de compétence en cas de prévenus civils.</w:t>
      </w:r>
      <w:r w:rsidRPr="006E6AAA">
        <w:rPr>
          <w:rFonts w:ascii="Calibri" w:eastAsia="Times New Roman" w:hAnsi="Calibri" w:cs="Times New Roman"/>
          <w:vertAlign w:val="superscript"/>
          <w:lang w:val="it-IT" w:eastAsia="it-IT"/>
        </w:rPr>
        <w:footnoteReference w:id="203"/>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Finalement certaines personnes interrogées ont souligné que les juridictions civiles sont plus représentées sur le territoire, donc il parait justifié que les AF militaires soient plus fréquentes et nombreuses.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 deuxième aspect qui fait objet d’un vif débat au sein de la communauté juridique, concerne la </w:t>
      </w:r>
      <w:r w:rsidRPr="006E6AAA">
        <w:rPr>
          <w:rFonts w:ascii="Calibri" w:eastAsia="Times New Roman" w:hAnsi="Calibri" w:cs="Times New Roman"/>
          <w:b/>
          <w:lang w:val="fr-FR" w:eastAsia="it-IT"/>
        </w:rPr>
        <w:t xml:space="preserve">compétence matérielle exclusive </w:t>
      </w:r>
      <w:r w:rsidRPr="006E6AAA">
        <w:rPr>
          <w:rFonts w:ascii="Calibri" w:eastAsia="Times New Roman" w:hAnsi="Calibri" w:cs="Times New Roman"/>
          <w:lang w:val="fr-FR" w:eastAsia="it-IT"/>
        </w:rPr>
        <w:t>que la législation congolaise a reconnu, jusqu’á très récemment,</w:t>
      </w:r>
      <w:r w:rsidRPr="006E6AAA">
        <w:rPr>
          <w:rFonts w:ascii="Calibri" w:eastAsia="Times New Roman" w:hAnsi="Calibri" w:cs="Times New Roman"/>
          <w:b/>
          <w:lang w:val="fr-FR" w:eastAsia="it-IT"/>
        </w:rPr>
        <w:t xml:space="preserve"> aux juridictions militaires à connaître des crimes internationaux</w:t>
      </w:r>
      <w:r w:rsidRPr="006E6AAA">
        <w:rPr>
          <w:rFonts w:ascii="Calibri" w:eastAsia="Times New Roman" w:hAnsi="Calibri" w:cs="Times New Roman"/>
          <w:lang w:val="fr-FR" w:eastAsia="it-IT"/>
        </w:rPr>
        <w:t xml:space="preserve"> prévus par le Statut de Rome (crimes de génocide, crimes de guerre et crimes contre l’humanité)</w:t>
      </w:r>
      <w:r w:rsidRPr="006E6AAA">
        <w:rPr>
          <w:rFonts w:ascii="Calibri" w:eastAsia="Times New Roman" w:hAnsi="Calibri" w:cs="Times New Roman"/>
          <w:i/>
          <w:vertAlign w:val="superscript"/>
          <w:lang w:val="fr-FR" w:eastAsia="it-IT"/>
        </w:rPr>
        <w:t xml:space="preserve"> </w:t>
      </w:r>
      <w:r w:rsidRPr="006E6AAA">
        <w:rPr>
          <w:rFonts w:ascii="Calibri" w:eastAsia="Times New Roman" w:hAnsi="Calibri" w:cs="Times New Roman"/>
          <w:i/>
          <w:vertAlign w:val="superscript"/>
          <w:lang w:val="fr-FR" w:eastAsia="it-IT"/>
        </w:rPr>
        <w:footnoteReference w:id="204"/>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Ce cadre juridique est  entrain de subir des changements importants suite á deux reformes législatives en cours :</w:t>
      </w:r>
    </w:p>
    <w:p w:rsidR="006E6AAA" w:rsidRPr="006E6AAA" w:rsidRDefault="006E6AAA" w:rsidP="006E6AAA">
      <w:pPr>
        <w:numPr>
          <w:ilvl w:val="0"/>
          <w:numId w:val="8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color w:val="333399"/>
          <w:lang w:val="fr-FR" w:eastAsia="it-IT"/>
        </w:rPr>
        <w:t>La loi de reforme de l’organisation judiciaire congolaise</w:t>
      </w:r>
      <w:r w:rsidRPr="006E6AAA">
        <w:rPr>
          <w:rFonts w:ascii="Calibri" w:eastAsia="Times New Roman" w:hAnsi="Calibri" w:cs="Times New Roman"/>
          <w:lang w:val="fr-FR" w:eastAsia="it-IT"/>
        </w:rPr>
        <w:t xml:space="preserve"> d’Avril 2013 élargit la compétence des juridictions civiles aux crimes internationaux commis par des civils en prévoyant que les Cours d’Appel « </w:t>
      </w:r>
      <w:r w:rsidRPr="006E6AAA">
        <w:rPr>
          <w:rFonts w:ascii="Calibri" w:eastAsia="Times New Roman" w:hAnsi="Calibri" w:cs="Times New Roman"/>
          <w:i/>
          <w:lang w:val="fr-FR" w:eastAsia="it-IT"/>
        </w:rPr>
        <w:t xml:space="preserve">connaissent, en premier degré,  du crime de génocide, des crimes de guerre et des crimes </w:t>
      </w:r>
      <w:r w:rsidRPr="006E6AAA">
        <w:rPr>
          <w:rFonts w:ascii="Calibri" w:eastAsia="Times New Roman" w:hAnsi="Calibri" w:cs="Times New Roman"/>
          <w:i/>
          <w:lang w:val="fr-FR" w:eastAsia="it-IT"/>
        </w:rPr>
        <w:lastRenderedPageBreak/>
        <w:t>contre l’humanité commis par les personnes relevant de leur compétence et de celle des Tribunaux de Grande Instance </w:t>
      </w:r>
      <w:r w:rsidRPr="006E6AAA">
        <w:rPr>
          <w:rFonts w:ascii="Calibri" w:eastAsia="Times New Roman" w:hAnsi="Calibri" w:cs="Times New Roman"/>
          <w:lang w:val="fr-FR" w:eastAsia="it-IT"/>
        </w:rPr>
        <w:t>»</w:t>
      </w:r>
      <w:r w:rsidRPr="006E6AAA">
        <w:rPr>
          <w:rFonts w:ascii="Calibri" w:eastAsia="Times New Roman" w:hAnsi="Calibri" w:cs="Times New Roman"/>
          <w:vertAlign w:val="superscript"/>
          <w:lang w:val="fr-FR" w:eastAsia="it-IT"/>
        </w:rPr>
        <w:footnoteReference w:id="205"/>
      </w:r>
      <w:r w:rsidRPr="006E6AAA">
        <w:rPr>
          <w:rFonts w:ascii="Calibri" w:eastAsia="Times New Roman" w:hAnsi="Calibri" w:cs="Times New Roman"/>
          <w:lang w:val="fr-FR" w:eastAsia="it-IT"/>
        </w:rPr>
        <w:t xml:space="preserve">. </w:t>
      </w:r>
    </w:p>
    <w:p w:rsidR="006E6AAA" w:rsidRPr="006E6AAA" w:rsidRDefault="006E6AAA" w:rsidP="006E6AAA">
      <w:pPr>
        <w:numPr>
          <w:ilvl w:val="0"/>
          <w:numId w:val="8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color w:val="333399"/>
          <w:lang w:val="fr-FR" w:eastAsia="it-IT"/>
        </w:rPr>
        <w:t>Le projet de loi pour la mise en ouvre du Statut de Rome</w:t>
      </w:r>
      <w:r w:rsidRPr="006E6AAA">
        <w:rPr>
          <w:rFonts w:ascii="Calibri" w:eastAsia="Times New Roman" w:hAnsi="Calibri" w:cs="Times New Roman"/>
          <w:b/>
          <w:lang w:val="fr-FR" w:eastAsia="it-IT"/>
        </w:rPr>
        <w:t xml:space="preserve">, </w:t>
      </w:r>
      <w:r w:rsidRPr="006E6AAA">
        <w:rPr>
          <w:rFonts w:ascii="Calibri" w:eastAsia="Times New Roman" w:hAnsi="Calibri" w:cs="Times New Roman"/>
          <w:lang w:val="fr-FR" w:eastAsia="it-IT"/>
        </w:rPr>
        <w:t>actuellement en discussion au Parlement</w:t>
      </w:r>
      <w:r w:rsidRPr="006E6AAA">
        <w:rPr>
          <w:rFonts w:ascii="Calibri" w:eastAsia="Times New Roman" w:hAnsi="Calibri" w:cs="Times New Roman"/>
          <w:vertAlign w:val="superscript"/>
          <w:lang w:val="fr-FR" w:eastAsia="it-IT"/>
        </w:rPr>
        <w:footnoteReference w:id="206"/>
      </w:r>
      <w:r w:rsidRPr="006E6AAA">
        <w:rPr>
          <w:rFonts w:ascii="Calibri" w:eastAsia="Times New Roman" w:hAnsi="Calibri" w:cs="Times New Roman"/>
          <w:lang w:val="fr-FR" w:eastAsia="it-IT"/>
        </w:rPr>
        <w:t xml:space="preserve">, prévoit le transfert de la compétence sur les crimes internationaux aux juridictions civiles. </w:t>
      </w:r>
      <w:r w:rsidRPr="006E6AAA">
        <w:rPr>
          <w:rFonts w:ascii="Calibri" w:eastAsia="Times New Roman" w:hAnsi="Calibri" w:cs="Times New Roman"/>
          <w:vertAlign w:val="superscript"/>
          <w:lang w:val="fr-FR" w:eastAsia="it-IT"/>
        </w:rPr>
        <w:t xml:space="preserve"> </w:t>
      </w:r>
      <w:r w:rsidRPr="006E6AAA">
        <w:rPr>
          <w:rFonts w:ascii="Calibri" w:eastAsia="Times New Roman" w:hAnsi="Calibri" w:cs="Times New Roman"/>
          <w:i/>
          <w:lang w:val="fr-FR" w:eastAsia="it-IT"/>
        </w:rPr>
        <w:t xml:space="preserve">« Les crimes internationaux « émigrent » du </w:t>
      </w:r>
      <w:r w:rsidRPr="006E6AAA">
        <w:rPr>
          <w:rFonts w:ascii="Calibri" w:eastAsia="Times New Roman" w:hAnsi="Calibri" w:cs="Times New Roman"/>
          <w:i/>
          <w:iCs/>
          <w:lang w:val="fr-FR" w:eastAsia="it-IT"/>
        </w:rPr>
        <w:t xml:space="preserve">Code pénal militaire </w:t>
      </w:r>
      <w:r w:rsidRPr="006E6AAA">
        <w:rPr>
          <w:rFonts w:ascii="Calibri" w:eastAsia="Times New Roman" w:hAnsi="Calibri" w:cs="Times New Roman"/>
          <w:i/>
          <w:lang w:val="fr-FR" w:eastAsia="it-IT"/>
        </w:rPr>
        <w:t xml:space="preserve">vers le </w:t>
      </w:r>
      <w:r w:rsidRPr="006E6AAA">
        <w:rPr>
          <w:rFonts w:ascii="Calibri" w:eastAsia="Times New Roman" w:hAnsi="Calibri" w:cs="Times New Roman"/>
          <w:i/>
          <w:iCs/>
          <w:lang w:val="fr-FR" w:eastAsia="it-IT"/>
        </w:rPr>
        <w:t xml:space="preserve">Code pénal </w:t>
      </w:r>
      <w:r w:rsidRPr="006E6AAA">
        <w:rPr>
          <w:rFonts w:ascii="Calibri" w:eastAsia="Times New Roman" w:hAnsi="Calibri" w:cs="Times New Roman"/>
          <w:i/>
          <w:lang w:val="fr-FR" w:eastAsia="it-IT"/>
        </w:rPr>
        <w:t>ordinaire dans la mesure où les juridictions militaires sont dépossédées de la compétence à connaître des crimes internationaux au profit des Cours d’appel siégeant à cinq juges, bénéficiant du monopole de réprimer ces crimes au premier degré. Les appels sont portés devant la Cour de cassation. Les magistrats militaires peuvent toutefois intégrer la composition de la Cour d’appel siégeant dès lors que le prévenu ou l’un des co-prévenus revêt la qualité de militaire ou assimilé</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footnoteReference w:id="207"/>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En conclusion depuis le mois d’Avril 2013, les crimes internationaux peuvent être jugés soit par les jurisdictions militaires soit par les civiles en vertu du critère de la compétence personnelle ; le débat reste toutefois ouvert quant á la question d’une éventuelle jurisdiction exclusive en faveur des jurisdictions civiles, comme proposé dans le projet de loi  pour la mise en ouvre du Statut de Rome.</w:t>
      </w:r>
    </w:p>
    <w:p w:rsidR="006E6AAA" w:rsidRPr="006E6AAA" w:rsidRDefault="006E6AAA" w:rsidP="006E6AAA">
      <w:pPr>
        <w:spacing w:after="0" w:line="280" w:lineRule="exact"/>
        <w:jc w:val="both"/>
        <w:rPr>
          <w:rFonts w:ascii="Calibri" w:eastAsia="Times New Roman" w:hAnsi="Calibri" w:cs="ScalaSans-Regular"/>
          <w:lang w:val="fr-FR" w:eastAsia="it-IT"/>
        </w:rPr>
      </w:pPr>
    </w:p>
    <w:p w:rsidR="006E6AAA" w:rsidRPr="006E6AAA" w:rsidRDefault="006E6AAA" w:rsidP="006E6AAA">
      <w:pPr>
        <w:spacing w:after="0" w:line="280" w:lineRule="exact"/>
        <w:jc w:val="both"/>
        <w:rPr>
          <w:rFonts w:ascii="Calibri" w:eastAsia="Times New Roman" w:hAnsi="Calibri" w:cs="ScalaSans-Regular"/>
          <w:lang w:val="fr-FR" w:eastAsia="it-IT"/>
        </w:rPr>
      </w:pPr>
      <w:r w:rsidRPr="006E6AAA">
        <w:rPr>
          <w:rFonts w:ascii="Calibri" w:eastAsia="Times New Roman" w:hAnsi="Calibri" w:cs="ScalaSans-Regular"/>
          <w:lang w:val="fr-FR" w:eastAsia="it-IT"/>
        </w:rPr>
        <w:t>Les juridictions militaires rencontrées au cours de la mission d’évaluation ont mis en évidence les aspects positifs de l’engagement des militaires dans l’organisation des AF dans la lutte contre l’impunité des crimes internationaux.</w:t>
      </w:r>
    </w:p>
    <w:p w:rsidR="006E6AAA" w:rsidRPr="006E6AAA" w:rsidRDefault="006E6AAA" w:rsidP="006E6AAA">
      <w:pPr>
        <w:spacing w:after="0" w:line="280" w:lineRule="exact"/>
        <w:jc w:val="both"/>
        <w:rPr>
          <w:rFonts w:ascii="Calibri" w:eastAsia="Times New Roman" w:hAnsi="Calibri" w:cs="ScalaSans-Regular"/>
          <w:lang w:val="fr-FR" w:eastAsia="it-IT"/>
        </w:rPr>
      </w:pPr>
      <w:r w:rsidRPr="006E6AAA">
        <w:rPr>
          <w:rFonts w:ascii="Calibri" w:eastAsia="Times New Roman" w:hAnsi="Calibri" w:cs="ScalaSans-Regular"/>
          <w:lang w:val="fr-FR" w:eastAsia="it-IT"/>
        </w:rPr>
        <w:t xml:space="preserve">Par exemple le Président du Tribunal Militaire de Garnison de Bukavu a souligné que dans un contexte de conflit comme celui à l’Est de la RDC, la majorité des crimes internationaux sont commis par des militaires et que les autorités civiles auraient des difficultés à mener des enquêtes sur le terrain des opérations de guerre; de plus </w:t>
      </w:r>
      <w:r w:rsidRPr="006E6AAA">
        <w:rPr>
          <w:rFonts w:ascii="Calibri" w:eastAsia="Times New Roman" w:hAnsi="Calibri" w:cs="Times New Roman"/>
          <w:lang w:val="fr-FR" w:eastAsia="it-IT"/>
        </w:rPr>
        <w:t>les juridictions militaires ont plus de facilité à appréhender les présumés auteurs, vue la résistance de la hiérarchie militaire de livrer ses hommes. Finalement le Président a mentionné les efforts de renforcement des capacités que les partenaires internationaux ont entrepris avec les juridictions militaires et qui ont entrainé des progrès amplement reconnus dans la lutte contre l’impunité pour les crimes internationaux et a exprimé sa préoccupation que ce travail devra être recommencé à zéro avec les juridictions civiles.</w:t>
      </w:r>
    </w:p>
    <w:p w:rsidR="006E6AAA" w:rsidRPr="006E6AAA" w:rsidRDefault="006E6AAA" w:rsidP="006E6AAA">
      <w:pPr>
        <w:spacing w:after="0" w:line="280" w:lineRule="exact"/>
        <w:jc w:val="both"/>
        <w:rPr>
          <w:rFonts w:ascii="Times New Roman" w:eastAsia="Times New Roman" w:hAnsi="Times New Roman" w:cs="Quadraat"/>
          <w:color w:val="000000"/>
          <w:sz w:val="20"/>
          <w:szCs w:val="20"/>
          <w:lang w:val="fr-FR" w:eastAsia="it-IT"/>
        </w:rPr>
      </w:pPr>
    </w:p>
    <w:p w:rsidR="006E6AAA" w:rsidRPr="006E6AAA" w:rsidRDefault="006E6AAA" w:rsidP="006E6AAA">
      <w:pPr>
        <w:spacing w:after="0" w:line="280" w:lineRule="exact"/>
        <w:jc w:val="both"/>
        <w:rPr>
          <w:rFonts w:ascii="Calibri" w:eastAsia="Times New Roman" w:hAnsi="Calibri" w:cs="Quadraat"/>
          <w:color w:val="000000"/>
          <w:lang w:val="fr-FR" w:eastAsia="it-IT"/>
        </w:rPr>
      </w:pPr>
      <w:r w:rsidRPr="006E6AAA">
        <w:rPr>
          <w:rFonts w:ascii="Calibri" w:eastAsia="Times New Roman" w:hAnsi="Calibri" w:cs="Whitney-Book"/>
          <w:lang w:val="fr-FR" w:eastAsia="it-IT"/>
        </w:rPr>
        <w:t>Par contre</w:t>
      </w:r>
      <w:r w:rsidRPr="006E6AAA">
        <w:rPr>
          <w:rFonts w:ascii="Times New Roman" w:eastAsia="Times New Roman" w:hAnsi="Times New Roman" w:cs="Quadraat"/>
          <w:sz w:val="20"/>
          <w:szCs w:val="20"/>
          <w:lang w:val="fr-FR" w:eastAsia="it-IT"/>
        </w:rPr>
        <w:t xml:space="preserve"> </w:t>
      </w:r>
      <w:r w:rsidRPr="006E6AAA">
        <w:rPr>
          <w:rFonts w:ascii="Calibri" w:eastAsia="Times New Roman" w:hAnsi="Calibri" w:cs="Whitney-Book"/>
          <w:lang w:val="fr-FR" w:eastAsia="it-IT"/>
        </w:rPr>
        <w:t>les</w:t>
      </w:r>
      <w:r w:rsidRPr="006E6AAA">
        <w:rPr>
          <w:rFonts w:ascii="Times New Roman" w:eastAsia="Times New Roman" w:hAnsi="Times New Roman" w:cs="Quadraat"/>
          <w:sz w:val="20"/>
          <w:szCs w:val="20"/>
          <w:lang w:val="fr-FR" w:eastAsia="it-IT"/>
        </w:rPr>
        <w:t xml:space="preserve"> </w:t>
      </w:r>
      <w:r w:rsidRPr="006E6AAA">
        <w:rPr>
          <w:rFonts w:ascii="Calibri" w:eastAsia="Times New Roman" w:hAnsi="Calibri" w:cs="Whitney-Book"/>
          <w:lang w:val="fr-FR" w:eastAsia="it-IT"/>
        </w:rPr>
        <w:t>juridictions militaires ont été critiquées</w:t>
      </w:r>
      <w:r w:rsidRPr="006E6AAA">
        <w:rPr>
          <w:rFonts w:ascii="Calibri" w:eastAsia="Times New Roman" w:hAnsi="Calibri" w:cs="Times New Roman"/>
          <w:vertAlign w:val="superscript"/>
          <w:lang w:val="fr-FR" w:eastAsia="it-IT"/>
        </w:rPr>
        <w:footnoteReference w:id="208"/>
      </w:r>
      <w:r w:rsidRPr="006E6AAA">
        <w:rPr>
          <w:rFonts w:ascii="Calibri" w:eastAsia="Times New Roman" w:hAnsi="Calibri" w:cs="Whitney-Book"/>
          <w:lang w:val="fr-FR" w:eastAsia="it-IT"/>
        </w:rPr>
        <w:t xml:space="preserve"> pour certaines violations des garanties du procès équitable, notamment les </w:t>
      </w:r>
      <w:r w:rsidRPr="006E6AAA">
        <w:rPr>
          <w:rFonts w:ascii="Calibri" w:eastAsia="Times New Roman" w:hAnsi="Calibri" w:cs="Quadraat"/>
          <w:lang w:val="fr-FR" w:eastAsia="it-IT"/>
        </w:rPr>
        <w:t>interférences politiques</w:t>
      </w:r>
      <w:r w:rsidRPr="006E6AAA">
        <w:rPr>
          <w:rFonts w:ascii="Calibri" w:eastAsia="Times New Roman" w:hAnsi="Calibri" w:cs="Times New Roman"/>
          <w:vertAlign w:val="superscript"/>
          <w:lang w:val="fr-FR" w:eastAsia="it-IT"/>
        </w:rPr>
        <w:footnoteReference w:id="209"/>
      </w:r>
      <w:r w:rsidRPr="006E6AAA">
        <w:rPr>
          <w:rFonts w:ascii="Calibri" w:eastAsia="Times New Roman" w:hAnsi="Calibri" w:cs="Quadraat"/>
          <w:color w:val="000000"/>
          <w:lang w:val="fr-FR" w:eastAsia="it-IT"/>
        </w:rPr>
        <w:t xml:space="preserve">, le régime de la détention préventive, la </w:t>
      </w:r>
      <w:r w:rsidRPr="006E6AAA">
        <w:rPr>
          <w:rFonts w:ascii="Calibri" w:eastAsia="Times New Roman" w:hAnsi="Calibri" w:cs="Quadraat"/>
          <w:color w:val="000000"/>
          <w:lang w:val="fr-FR" w:eastAsia="it-IT"/>
        </w:rPr>
        <w:lastRenderedPageBreak/>
        <w:t xml:space="preserve">présence des juges assesseurs sans compétences juridiques et aussi l’excessive célérité des procédures dans la mesure où elle affecte la qualité du procès.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Whitney-Book"/>
          <w:lang w:val="fr-FR" w:eastAsia="it-IT"/>
        </w:rPr>
      </w:pPr>
      <w:r w:rsidRPr="006E6AAA">
        <w:rPr>
          <w:rFonts w:ascii="Calibri" w:eastAsia="Times New Roman" w:hAnsi="Calibri" w:cs="Quadraat"/>
          <w:color w:val="000000"/>
          <w:lang w:val="fr-FR" w:eastAsia="it-IT"/>
        </w:rPr>
        <w:t xml:space="preserve">Finalement une réserve pourrait être émise sur la pratique des AF militaires de traiter certaines </w:t>
      </w:r>
      <w:r w:rsidRPr="006E6AAA">
        <w:rPr>
          <w:rFonts w:ascii="Calibri" w:eastAsia="Times New Roman" w:hAnsi="Calibri" w:cs="Arial"/>
          <w:b/>
          <w:lang w:val="fr-FR" w:eastAsia="it-IT"/>
        </w:rPr>
        <w:t>infractions à caractère strictement militaire</w:t>
      </w:r>
      <w:r w:rsidRPr="006E6AAA">
        <w:rPr>
          <w:rFonts w:ascii="Calibri" w:eastAsia="Times New Roman" w:hAnsi="Calibri" w:cs="Arial"/>
          <w:lang w:val="fr-FR" w:eastAsia="it-IT"/>
        </w:rPr>
        <w:t>, telles que la détention illégale d’arme de guerre, la violation de consigne, l’abandon de poste</w:t>
      </w:r>
      <w:r w:rsidRPr="006E6AAA">
        <w:rPr>
          <w:rFonts w:ascii="Calibri" w:eastAsia="Times New Roman" w:hAnsi="Calibri" w:cs="Whitney-Book"/>
          <w:lang w:val="fr-FR" w:eastAsia="it-IT"/>
        </w:rPr>
        <w:t xml:space="preserve"> ou le d</w:t>
      </w:r>
      <w:r w:rsidRPr="006E6AAA">
        <w:rPr>
          <w:rFonts w:ascii="Calibri" w:eastAsia="Times New Roman" w:hAnsi="Calibri" w:cs="Arial"/>
          <w:lang w:val="fr-FR" w:eastAsia="it-IT"/>
        </w:rPr>
        <w:t>étournement d’effets militaires.</w:t>
      </w:r>
      <w:r w:rsidRPr="006E6AAA">
        <w:rPr>
          <w:rFonts w:ascii="Calibri" w:eastAsia="Times New Roman" w:hAnsi="Calibri" w:cs="Whitney-Book"/>
          <w:lang w:val="fr-FR" w:eastAsia="it-IT"/>
        </w:rPr>
        <w:t xml:space="preserve"> Cette pratique est possible car le PNUD exige qu’un minimum de dossiers pris en charge par l’AF concerne des cas de VBG, mais laisse aux juridictions le choix d’éventuels </w:t>
      </w:r>
      <w:r w:rsidRPr="006E6AAA">
        <w:rPr>
          <w:rFonts w:ascii="Calibri" w:eastAsia="Times New Roman" w:hAnsi="Calibri" w:cs="Whitney-Book"/>
          <w:i/>
          <w:lang w:val="fr-FR" w:eastAsia="it-IT"/>
        </w:rPr>
        <w:t>dossiers non-VBG</w:t>
      </w:r>
      <w:r w:rsidRPr="006E6AAA">
        <w:rPr>
          <w:rFonts w:ascii="Calibri" w:eastAsia="Times New Roman" w:hAnsi="Calibri" w:cs="Whitney-Book"/>
          <w:lang w:val="fr-FR" w:eastAsia="it-IT"/>
        </w:rPr>
        <w:t xml:space="preserve"> à traiter. </w:t>
      </w:r>
    </w:p>
    <w:p w:rsidR="006E6AAA" w:rsidRPr="006E6AAA" w:rsidRDefault="006E6AAA" w:rsidP="006E6AAA">
      <w:pPr>
        <w:autoSpaceDE w:val="0"/>
        <w:autoSpaceDN w:val="0"/>
        <w:adjustRightInd w:val="0"/>
        <w:spacing w:after="0" w:line="280" w:lineRule="exact"/>
        <w:jc w:val="both"/>
        <w:rPr>
          <w:rFonts w:ascii="Calibri" w:eastAsia="Times New Roman" w:hAnsi="Calibri" w:cs="Whitney-Book"/>
          <w:lang w:val="fr-FR" w:eastAsia="it-IT"/>
        </w:rPr>
      </w:pPr>
      <w:r w:rsidRPr="006E6AAA">
        <w:rPr>
          <w:rFonts w:ascii="Calibri" w:eastAsia="Times New Roman" w:hAnsi="Calibri" w:cs="Whitney-Book"/>
          <w:lang w:val="fr-FR" w:eastAsia="it-IT"/>
        </w:rPr>
        <w:t xml:space="preserve">Un nombre trop élève d’affaires á caractère strictement militaire pourrait diffuser la perception que l’objectif prioritaire des AF est d’améliorer la discipline militaire plutôt que de faciliter l’accès á la justice des groupes vulnérables.  </w:t>
      </w:r>
    </w:p>
    <w:p w:rsidR="006E6AAA" w:rsidRPr="006E6AAA" w:rsidRDefault="006E6AAA" w:rsidP="006E6AAA">
      <w:pPr>
        <w:autoSpaceDE w:val="0"/>
        <w:autoSpaceDN w:val="0"/>
        <w:adjustRightInd w:val="0"/>
        <w:spacing w:after="0" w:line="280" w:lineRule="exact"/>
        <w:jc w:val="both"/>
        <w:rPr>
          <w:rFonts w:ascii="Calibri" w:eastAsia="Times New Roman" w:hAnsi="Calibri" w:cs="Whitney-Book"/>
          <w:lang w:val="fr-FR" w:eastAsia="it-IT"/>
        </w:rPr>
      </w:pPr>
      <w:r w:rsidRPr="006E6AAA">
        <w:rPr>
          <w:rFonts w:ascii="Calibri" w:eastAsia="Times New Roman" w:hAnsi="Calibri" w:cs="Whitney-Book"/>
          <w:lang w:val="fr-FR" w:eastAsia="it-IT"/>
        </w:rPr>
        <w:t xml:space="preserve">Un des moniteurs judiciaires PNUD estime qu’au Sud Kivu ce problème ne se pose pas car les infractions á caractère strictement militaire sont prises en compte seulement dans le cas où le prévenu est poursuivi pour plusieurs chefs de prévention dans une même affaire (par exemple meurtre </w:t>
      </w:r>
      <w:r w:rsidRPr="006E6AAA">
        <w:rPr>
          <w:rFonts w:ascii="Calibri" w:eastAsia="Times New Roman" w:hAnsi="Calibri" w:cs="Whitney-Book"/>
          <w:u w:val="single"/>
          <w:lang w:val="fr-FR" w:eastAsia="it-IT"/>
        </w:rPr>
        <w:t>et</w:t>
      </w:r>
      <w:r w:rsidRPr="006E6AAA">
        <w:rPr>
          <w:rFonts w:ascii="Calibri" w:eastAsia="Times New Roman" w:hAnsi="Calibri" w:cs="Whitney-Book"/>
          <w:lang w:val="fr-FR" w:eastAsia="it-IT"/>
        </w:rPr>
        <w:t xml:space="preserve"> détention illégale d’arme de guerre). Il serait toutefois recommandé de mener une analyse pour vérifier l’impact de ces infractions sur le total des infractions traitées par les AF.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color w:val="FF0000"/>
          <w:lang w:val="fr-FR" w:eastAsia="it-IT"/>
        </w:rPr>
      </w:pPr>
      <w:r w:rsidRPr="006E6AAA">
        <w:rPr>
          <w:rFonts w:ascii="Calibri" w:eastAsia="Times New Roman" w:hAnsi="Calibri" w:cs="Times New Roman"/>
          <w:lang w:val="fr-FR" w:eastAsia="it-IT"/>
        </w:rPr>
        <w:t xml:space="preserve">En général es juridictions militaires semblent mieux outillés que les civiles á travailler sur les dossiers de VBG dans le cadre des AF : les militaires s’adaptent facilement aux exigences des AF, en particulier par leur mobilité et facilité à intervenir dans les zones d’opération de guerre; les arriérés sont moins importants qu’auprès des juridictions civiles et les militaires ont reçu plus de formations de la part des partenaires internationaux  par rapport aux magistrats civils.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Des avocats ont également souligné  l’efficacité de la justice militaire: « </w:t>
      </w:r>
      <w:r w:rsidRPr="006E6AAA">
        <w:rPr>
          <w:rFonts w:ascii="Calibri" w:eastAsia="Times New Roman" w:hAnsi="Calibri" w:cs="Times New Roman"/>
          <w:i/>
          <w:lang w:val="fr-FR" w:eastAsia="it-IT"/>
        </w:rPr>
        <w:t>les jugements sont rendus dans les délais et les militaires appliquent un droit plus avancé et mieux adapté a la réalité du pays </w:t>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Un rapport de RCN illustre que les justiciables «</w:t>
      </w:r>
      <w:r w:rsidRPr="006E6AAA">
        <w:rPr>
          <w:rFonts w:ascii="Calibri" w:eastAsia="Times New Roman" w:hAnsi="Calibri" w:cs="Times New Roman"/>
          <w:i/>
          <w:lang w:val="fr-FR" w:eastAsia="it-IT"/>
        </w:rPr>
        <w:t>préfèrent s’en remettre délibérément à la justice militaire, réputée plus expéditive, plus efficace et plus sévère</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footnoteReference w:id="210"/>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Malgré ces points positifs, l’impression de la justice militaire reste celle d’une justice strictement retributive qui s’inspire au principe de l’exemplarité, comme témoigne le taux élevé des condamnations illustrée au § 6.2 ainsi que la formule utilisée par le Président d’une juridiction pour décrire les AF: « </w:t>
      </w:r>
      <w:r w:rsidRPr="006E6AAA">
        <w:rPr>
          <w:rFonts w:ascii="Calibri" w:eastAsia="Times New Roman" w:hAnsi="Calibri" w:cs="Times New Roman"/>
          <w:i/>
          <w:lang w:val="fr-FR" w:eastAsia="it-IT"/>
        </w:rPr>
        <w:t>les témoins de l’action doivent être les témoins de la répression</w:t>
      </w:r>
      <w:r w:rsidRPr="006E6AAA">
        <w:rPr>
          <w:rFonts w:ascii="Calibri" w:eastAsia="Times New Roman" w:hAnsi="Calibri" w:cs="Times New Roman"/>
          <w:lang w:val="fr-FR" w:eastAsia="it-IT"/>
        </w:rPr>
        <w:t xml:space="preserve"> ».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En conclusion le débat sur les juridictions militaires apparait clair au niveau de la doctrine, mais reste ouvert dans la pratique judiciaire congolaise. </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Vu les questions liées aux standards internationaux susmentionnées et considéré que les juridictions civiles ont été reconnues en Avril 2013 une compétence pour les crimes internationaux et que dans un futur proche elles pourraient avoir une compétence exclusive dans cette matière, il serait opportun d’appuyer davantage les juridictions civiles qui souhaitent organiser des AF.</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i/>
          <w:u w:val="single"/>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i/>
          <w:u w:val="single"/>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i/>
          <w:u w:val="single"/>
          <w:lang w:val="fr-FR" w:eastAsia="it-IT"/>
        </w:rPr>
      </w:pPr>
      <w:r w:rsidRPr="006E6AAA">
        <w:rPr>
          <w:rFonts w:ascii="Calibri" w:eastAsia="Times New Roman" w:hAnsi="Calibri" w:cs="Times New Roman"/>
          <w:i/>
          <w:u w:val="single"/>
          <w:lang w:val="fr-FR" w:eastAsia="it-IT"/>
        </w:rPr>
        <w:t>B) Les violences sexuelles basées sur le genre</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majorité des AF à l’Est de la RDC a été initialement appuyée par les partenaires internationaux </w:t>
      </w:r>
      <w:r w:rsidRPr="006E6AAA">
        <w:rPr>
          <w:rFonts w:ascii="Calibri" w:eastAsia="Times New Roman" w:hAnsi="Calibri" w:cs="Times New Roman"/>
          <w:b/>
          <w:lang w:val="fr-FR" w:eastAsia="it-IT"/>
        </w:rPr>
        <w:t>pour traiter des dossiers de violences sexuelles basées sur le genre (VBG)</w:t>
      </w:r>
      <w:r w:rsidRPr="006E6AAA">
        <w:rPr>
          <w:rFonts w:ascii="Calibri" w:eastAsia="Times New Roman" w:hAnsi="Calibri" w:cs="Times New Roman"/>
          <w:lang w:val="fr-FR" w:eastAsia="it-IT"/>
        </w:rPr>
        <w:t>; ABA se réfère aux AF comme les «</w:t>
      </w:r>
      <w:r w:rsidRPr="006E6AAA">
        <w:rPr>
          <w:rFonts w:ascii="Calibri" w:eastAsia="Times New Roman" w:hAnsi="Calibri" w:cs="Times New Roman"/>
          <w:i/>
          <w:lang w:val="fr-FR" w:eastAsia="it-IT"/>
        </w:rPr>
        <w:t>mobile gender courts »</w:t>
      </w:r>
      <w:r w:rsidRPr="006E6AAA">
        <w:rPr>
          <w:rFonts w:ascii="Calibri" w:eastAsia="Times New Roman" w:hAnsi="Calibri" w:cs="Times New Roman"/>
          <w:i/>
          <w:vertAlign w:val="superscript"/>
          <w:lang w:val="fr-FR" w:eastAsia="it-IT"/>
        </w:rPr>
        <w:footnoteReference w:id="211"/>
      </w:r>
      <w:r w:rsidRPr="006E6AAA">
        <w:rPr>
          <w:rFonts w:ascii="Calibri" w:eastAsia="Times New Roman" w:hAnsi="Calibri" w:cs="Times New Roman"/>
          <w:lang w:val="fr-FR" w:eastAsia="it-IT"/>
        </w:rPr>
        <w:t xml:space="preserve">.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Le débat, illustré plus en détail au § 5.3, sur les effets inattendus des politiques de lutte contre les VBG</w:t>
      </w:r>
      <w:r w:rsidRPr="006E6AAA">
        <w:rPr>
          <w:rFonts w:ascii="Calibri" w:eastAsia="Times New Roman" w:hAnsi="Calibri" w:cs="Times New Roman"/>
          <w:vertAlign w:val="superscript"/>
          <w:lang w:val="fr-FR" w:eastAsia="it-IT"/>
        </w:rPr>
        <w:footnoteReference w:id="212"/>
      </w:r>
      <w:r w:rsidRPr="006E6AAA">
        <w:rPr>
          <w:rFonts w:ascii="Calibri" w:eastAsia="Times New Roman" w:hAnsi="Calibri" w:cs="Times New Roman"/>
          <w:lang w:val="fr-FR" w:eastAsia="it-IT"/>
        </w:rPr>
        <w:t xml:space="preserve">, a porté les partenaires de développement á progressivement élargir le champ d’intervention des AF: la pratique courante adoptée par le PNUD est d’accepter que les tribunaux traitent en foraine aussi un certain nombre de dossiers pour d’autres infractions.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statistiques PNUD montrent qu’en 2011 les dossiers VBG représentaient 80% des dossiers enrôlés au total et qu’en 2012 ce pourcentage a baissé à 60%.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lang w:val="fr-FR" w:eastAsia="it-IT"/>
        </w:rPr>
        <w:t xml:space="preserve">Les AF restent toutefois fortement centrées sur la lutte contre les VBG : </w:t>
      </w:r>
      <w:r w:rsidRPr="006E6AAA">
        <w:rPr>
          <w:rFonts w:ascii="Calibri" w:eastAsia="Times New Roman" w:hAnsi="Calibri" w:cs="Times New Roman"/>
          <w:b/>
          <w:lang w:val="fr-FR" w:eastAsia="it-IT"/>
        </w:rPr>
        <w:t xml:space="preserve">la présence d’un minimum de dossiers de violence sexuelle est une condition essentielle que les bailleurs du PNUD exigent pour octroyer l’appui à une AF.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Même si le nombre minimal de dossiers VBG ne semble pas être identifié clairement par le PNUD  il est ressorti très clairement des entretiens que les juridictions perçoivent les AF comme étant très fortement centrées sur les VBG : le Président du TGI de Goma estime que les AF « </w:t>
      </w:r>
      <w:r w:rsidRPr="006E6AAA">
        <w:rPr>
          <w:rFonts w:ascii="Calibri" w:eastAsia="Times New Roman" w:hAnsi="Calibri" w:cs="Times New Roman"/>
          <w:i/>
          <w:lang w:val="fr-FR" w:eastAsia="it-IT"/>
        </w:rPr>
        <w:t>s’occupent exclusivement de VBG</w:t>
      </w:r>
      <w:r w:rsidRPr="006E6AAA">
        <w:rPr>
          <w:rFonts w:ascii="Calibri" w:eastAsia="Times New Roman" w:hAnsi="Calibri" w:cs="Times New Roman"/>
          <w:lang w:val="fr-FR" w:eastAsia="it-IT"/>
        </w:rPr>
        <w:t>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La politique imposée par les bailleurs de prioriser les dossiers de VBG a des effets distorsifs sur la pratique judiciaire</w:t>
      </w:r>
      <w:r w:rsidRPr="006E6AAA">
        <w:rPr>
          <w:rFonts w:ascii="Calibri" w:eastAsia="Times New Roman" w:hAnsi="Calibri" w:cs="Times New Roman"/>
          <w:lang w:val="fr-FR" w:eastAsia="it-IT"/>
        </w:rPr>
        <w:t xml:space="preserve">: parfois les juridictions ne vident pas tout de suite les dossiers VBG car elles préfèrent attendre d’avoir un nombre significatif de dossiers VBG pour pouvoir organiser une foraine. Dans d’autres cas, des affaires qui pourraient être traitées au siège d’un tribunal (car l’infraction est commise dans une localité proche du siège et la plainte a été déposée directement au tribunal) sont inscrites au rôle d’une AF pour justifier l’organisation d’une AF.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question de la priorisation des VBG au sein des AF se situe dans le débat plus général sur l’opportunité de créer des structures spécialisées pour les VBG tant au niveau des juridictions que de la police.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Dans le cas des AF il est toutefois important de considérer qu’elles se déroulent normalement dans des territoires où les juridictions permanentes sont absentes et aucune voie de recours au système de justice formel n’est disponible pour la population. La priorisation des VBG dans le cadre des AF pourrait donc donner lieu à une </w:t>
      </w:r>
      <w:r w:rsidRPr="006E6AAA">
        <w:rPr>
          <w:rFonts w:ascii="Calibri" w:eastAsia="Times New Roman" w:hAnsi="Calibri" w:cs="Times New Roman"/>
          <w:b/>
          <w:lang w:val="fr-FR" w:eastAsia="it-IT"/>
        </w:rPr>
        <w:t>discrimination à l’égard des victimes d’infractions non qualifiées comme VBG</w:t>
      </w:r>
      <w:r w:rsidRPr="006E6AAA">
        <w:rPr>
          <w:rFonts w:ascii="Calibri" w:eastAsia="Times New Roman" w:hAnsi="Calibri" w:cs="Times New Roman"/>
          <w:lang w:val="fr-FR" w:eastAsia="it-IT"/>
        </w:rPr>
        <w:t xml:space="preserve">, car elles ne sont pas reconnues les même opportunités d’accès á la justice que les femmes victimes de VBG.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Certains chefs de juridictions ont partagé ce point de vue en soulignant que cette approche est en train de créer une justice à deux vitesses qui favorise les victimes de VBG.</w:t>
      </w:r>
    </w:p>
    <w:p w:rsidR="006E6AAA" w:rsidRPr="006E6AAA" w:rsidRDefault="006E6AAA" w:rsidP="006E6AAA">
      <w:pPr>
        <w:autoSpaceDE w:val="0"/>
        <w:autoSpaceDN w:val="0"/>
        <w:adjustRightInd w:val="0"/>
        <w:spacing w:after="0" w:line="280" w:lineRule="exact"/>
        <w:jc w:val="both"/>
        <w:rPr>
          <w:rFonts w:ascii="Calibri" w:eastAsia="Times New Roman" w:hAnsi="Calibri" w:cs="TimesNewRoman"/>
          <w:lang w:val="fr-FR" w:eastAsia="it-IT"/>
        </w:rPr>
      </w:pPr>
      <w:r w:rsidRPr="006E6AAA">
        <w:rPr>
          <w:rFonts w:ascii="Calibri" w:eastAsia="Times New Roman" w:hAnsi="Calibri" w:cs="Times New Roman"/>
          <w:lang w:val="fr-FR" w:eastAsia="it-IT"/>
        </w:rPr>
        <w:t xml:space="preserve">Il convient finalement de rappeler que l’Observation Générale n.32 du Comité des Droits de l’Homme concernant l’article 14 du </w:t>
      </w:r>
      <w:r w:rsidRPr="006E6AAA">
        <w:rPr>
          <w:rFonts w:ascii="Calibri" w:eastAsia="Times New Roman" w:hAnsi="Calibri" w:cs="Times New Roman"/>
          <w:bCs/>
          <w:lang w:val="fr-FR" w:eastAsia="it-IT"/>
        </w:rPr>
        <w:t>Pacte</w:t>
      </w:r>
      <w:r w:rsidRPr="006E6AAA">
        <w:rPr>
          <w:rFonts w:ascii="Calibri" w:eastAsia="Times New Roman" w:hAnsi="Calibri" w:cs="Times New Roman"/>
          <w:lang w:val="fr-FR" w:eastAsia="it-IT"/>
        </w:rPr>
        <w:t xml:space="preserve"> international relatif aux </w:t>
      </w:r>
      <w:r w:rsidRPr="006E6AAA">
        <w:rPr>
          <w:rFonts w:ascii="Calibri" w:eastAsia="Times New Roman" w:hAnsi="Calibri" w:cs="Times New Roman"/>
          <w:bCs/>
          <w:lang w:val="fr-FR" w:eastAsia="it-IT"/>
        </w:rPr>
        <w:t>droits civils et politiques</w:t>
      </w:r>
      <w:r w:rsidRPr="006E6AAA">
        <w:rPr>
          <w:rFonts w:ascii="Calibri" w:eastAsia="Times New Roman" w:hAnsi="Calibri" w:cs="Times New Roman"/>
          <w:lang w:val="fr-FR" w:eastAsia="it-IT"/>
        </w:rPr>
        <w:t> « </w:t>
      </w:r>
      <w:r w:rsidRPr="006E6AAA">
        <w:rPr>
          <w:rFonts w:ascii="Calibri" w:eastAsia="Times New Roman" w:hAnsi="Calibri" w:cs="TimesNewRoman"/>
          <w:i/>
          <w:lang w:val="fr-FR" w:eastAsia="it-IT"/>
        </w:rPr>
        <w:t>exclut également toute distinction dans l’accès aux tribunaux et aux cours de justice qui ne serait pas prévue par la loi et fondée sur des motifs objectifs et raisonnables</w:t>
      </w:r>
      <w:r w:rsidRPr="006E6AAA">
        <w:rPr>
          <w:rFonts w:ascii="Calibri" w:eastAsia="Times New Roman" w:hAnsi="Calibri" w:cs="Times New Roman"/>
          <w:lang w:val="fr-FR" w:eastAsia="it-IT"/>
        </w:rPr>
        <w:t>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D9D9D9"/>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D9D9D9"/>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 la lumière de ces discussions, il serait recommandé d’abolir la limite du pourcentage minimal de dossiers VBG requis pour soutenir l’organisation d’une AF et d’utiliser d’autres stratégies pour encourager les juridictions à s’occuper des violences sexuelles. En parallèle il faudrait relancer l’image des AF auprès des acteurs de la justice par une stratégie de communication visant á changer la perception des AF comme des instruments de lutte contre les VBG. </w:t>
      </w:r>
    </w:p>
    <w:p w:rsidR="006E6AAA" w:rsidRPr="006E6AAA" w:rsidRDefault="006E6AAA" w:rsidP="006E6AAA">
      <w:pPr>
        <w:shd w:val="clear" w:color="auto" w:fill="D9D9D9"/>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Scala" w:eastAsia="Times New Roman" w:hAnsi="Scala" w:cs="Scala"/>
          <w:lang w:val="fr-FR" w:eastAsia="it-IT"/>
        </w:rPr>
      </w:pPr>
    </w:p>
    <w:p w:rsidR="006E6AAA" w:rsidRPr="006E6AAA" w:rsidRDefault="006E6AAA" w:rsidP="006E6AAA">
      <w:pPr>
        <w:autoSpaceDE w:val="0"/>
        <w:autoSpaceDN w:val="0"/>
        <w:adjustRightInd w:val="0"/>
        <w:spacing w:after="0" w:line="280" w:lineRule="exact"/>
        <w:jc w:val="both"/>
        <w:rPr>
          <w:rFonts w:ascii="Scala" w:eastAsia="Times New Roman" w:hAnsi="Scala" w:cs="Scala"/>
          <w:lang w:val="fr-FR" w:eastAsia="it-IT"/>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 xml:space="preserve">§ 5.2. </w:t>
      </w:r>
      <w:r w:rsidRPr="006E6AAA">
        <w:rPr>
          <w:rFonts w:ascii="Calibri" w:eastAsia="Times New Roman" w:hAnsi="Calibri" w:cs="Times New Roman"/>
          <w:b/>
          <w:lang w:val="fr-FR" w:eastAsia="it-IT"/>
        </w:rPr>
        <w:t>La pertinence avec les politiques nationales en matière de justice</w:t>
      </w:r>
    </w:p>
    <w:p w:rsidR="006E6AAA" w:rsidRPr="006E6AAA" w:rsidRDefault="006E6AAA" w:rsidP="006E6AAA">
      <w:pPr>
        <w:autoSpaceDE w:val="0"/>
        <w:autoSpaceDN w:val="0"/>
        <w:adjustRightInd w:val="0"/>
        <w:spacing w:after="0" w:line="280" w:lineRule="exact"/>
        <w:jc w:val="both"/>
        <w:rPr>
          <w:rFonts w:ascii="Arial" w:eastAsia="Times New Roman" w:hAnsi="Arial" w:cs="Arial"/>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b/>
          <w:i/>
          <w:color w:val="000080"/>
          <w:lang w:val="fr-FR" w:eastAsia="it-IT"/>
        </w:rPr>
      </w:pPr>
      <w:r w:rsidRPr="006E6AAA">
        <w:rPr>
          <w:rFonts w:ascii="Times New Roman" w:eastAsia="Times New Roman" w:hAnsi="Times New Roman" w:cs="Times New Roman"/>
          <w:i/>
          <w:color w:val="000080"/>
          <w:lang w:val="fr-FR" w:eastAsia="it-IT"/>
        </w:rPr>
        <w:t>►</w:t>
      </w:r>
      <w:r w:rsidRPr="006E6AAA">
        <w:rPr>
          <w:rFonts w:ascii="Calibri" w:eastAsia="Times New Roman" w:hAnsi="Calibri" w:cs="Arial"/>
          <w:b/>
          <w:i/>
          <w:color w:val="000080"/>
          <w:lang w:val="fr-FR" w:eastAsia="it-IT"/>
        </w:rPr>
        <w:t>Les AF dans les politiques nationales et leur niveau de mise en œuvre</w:t>
      </w:r>
    </w:p>
    <w:p w:rsidR="006E6AAA" w:rsidRPr="006E6AAA" w:rsidRDefault="006E6AAA" w:rsidP="006E6AAA">
      <w:pPr>
        <w:autoSpaceDE w:val="0"/>
        <w:autoSpaceDN w:val="0"/>
        <w:adjustRightInd w:val="0"/>
        <w:spacing w:after="0" w:line="280" w:lineRule="exact"/>
        <w:jc w:val="both"/>
        <w:rPr>
          <w:rFonts w:ascii="Calibri" w:eastAsia="Times New Roman" w:hAnsi="Calibri" w:cs="Arial"/>
          <w:color w:val="00008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Ministre de la Justice a adopté en 2007 un « </w:t>
      </w:r>
      <w:r w:rsidRPr="006E6AAA">
        <w:rPr>
          <w:rFonts w:ascii="Calibri" w:eastAsia="Times New Roman" w:hAnsi="Calibri" w:cs="Times New Roman"/>
          <w:i/>
          <w:lang w:val="fr-FR" w:eastAsia="it-IT"/>
        </w:rPr>
        <w:t>Plan d'action pour la réforme de la justice</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t xml:space="preserve"> </w:t>
      </w:r>
      <w:r w:rsidRPr="006E6AAA">
        <w:rPr>
          <w:rFonts w:ascii="Calibri" w:eastAsia="Times New Roman" w:hAnsi="Calibri" w:cs="Times New Roman"/>
          <w:vertAlign w:val="superscript"/>
          <w:lang w:val="fr-FR" w:eastAsia="it-IT"/>
        </w:rPr>
        <w:footnoteReference w:id="213"/>
      </w:r>
      <w:r w:rsidRPr="006E6AAA">
        <w:rPr>
          <w:rFonts w:ascii="Calibri" w:eastAsia="Times New Roman" w:hAnsi="Calibri" w:cs="Times New Roman"/>
          <w:lang w:val="fr-FR" w:eastAsia="it-IT"/>
        </w:rPr>
        <w:t xml:space="preserve"> et en 2009 une « </w:t>
      </w:r>
      <w:r w:rsidRPr="006E6AAA">
        <w:rPr>
          <w:rFonts w:ascii="Calibri" w:eastAsia="Times New Roman" w:hAnsi="Calibri" w:cs="Times New Roman"/>
          <w:i/>
          <w:lang w:val="fr-FR" w:eastAsia="it-IT"/>
        </w:rPr>
        <w:t xml:space="preserve">feuille de route » </w:t>
      </w:r>
      <w:r w:rsidRPr="006E6AAA">
        <w:rPr>
          <w:rFonts w:ascii="Calibri" w:eastAsia="Times New Roman" w:hAnsi="Calibri" w:cs="Times New Roman"/>
          <w:lang w:val="fr-FR" w:eastAsia="it-IT"/>
        </w:rPr>
        <w:t xml:space="preserve">qui identifient les priorités dans la lutte contre l'impunité en RDC.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Les AF sont mentionnées dans les deux documents.</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La section « justice de proximité » du Plan d’Action se propose de « </w:t>
      </w:r>
      <w:r w:rsidRPr="006E6AAA">
        <w:rPr>
          <w:rFonts w:ascii="Calibri" w:eastAsia="Times New Roman" w:hAnsi="Calibri" w:cs="Times New Roman"/>
          <w:i/>
          <w:lang w:val="fr-FR" w:eastAsia="it-IT"/>
        </w:rPr>
        <w:t>Développer les audiences foraines en attendant l’ouverture effective des tribunaux de paix non encore installés</w:t>
      </w:r>
      <w:r w:rsidRPr="006E6AAA">
        <w:rPr>
          <w:rFonts w:ascii="Calibri" w:eastAsia="Times New Roman" w:hAnsi="Calibri" w:cs="Times New Roman"/>
          <w:lang w:val="fr-FR" w:eastAsia="it-IT"/>
        </w:rPr>
        <w:t xml:space="preserve"> ».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Plus spécifiquement le résultat 4 prévoit la mise en place d’un programme national d’audiences foraines a travers: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1) «</w:t>
      </w:r>
      <w:r w:rsidRPr="006E6AAA">
        <w:rPr>
          <w:rFonts w:ascii="Calibri" w:eastAsia="Times New Roman" w:hAnsi="Calibri" w:cs="Arial"/>
          <w:i/>
          <w:lang w:val="fr-FR" w:eastAsia="it-IT"/>
        </w:rPr>
        <w:t>l’institution de chambres foraines permanentes couvrant les divers degrés de juridiction et des parties isolées du territoire national sans dégarnir les juridictions en place dans les provinces </w:t>
      </w:r>
      <w:r w:rsidRPr="006E6AAA">
        <w:rPr>
          <w:rFonts w:ascii="Calibri" w:eastAsia="Times New Roman" w:hAnsi="Calibri" w:cs="Arial"/>
          <w:lang w:val="fr-FR" w:eastAsia="it-IT"/>
        </w:rPr>
        <w:t xml:space="preserve">» et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2) </w:t>
      </w:r>
      <w:r w:rsidRPr="006E6AAA">
        <w:rPr>
          <w:rFonts w:ascii="Calibri" w:eastAsia="Times New Roman" w:hAnsi="Calibri" w:cs="Arial"/>
          <w:i/>
          <w:lang w:val="fr-FR" w:eastAsia="it-IT"/>
        </w:rPr>
        <w:t>« la création d’une section judiciaire affectée exclusivement à l’exécution d’un programme tournant d’audiences foraines (juges supplétifs)</w:t>
      </w:r>
      <w:r w:rsidRPr="006E6AAA">
        <w:rPr>
          <w:rFonts w:ascii="Calibri" w:eastAsia="Times New Roman" w:hAnsi="Calibri" w:cs="Arial"/>
          <w:lang w:val="fr-FR" w:eastAsia="it-IT"/>
        </w:rPr>
        <w:t> ».</w:t>
      </w: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b/>
          <w:lang w:val="fr-FR" w:eastAsia="it-IT"/>
        </w:rPr>
        <w:t>Ces indications stratégiques n’ont pourtant pas encore été mises en application dans l’Est de la RDC</w:t>
      </w:r>
      <w:r w:rsidRPr="006E6AAA">
        <w:rPr>
          <w:rFonts w:ascii="Calibri" w:eastAsia="Times New Roman" w:hAnsi="Calibri" w:cs="Arial"/>
          <w:lang w:val="fr-FR" w:eastAsia="it-IT"/>
        </w:rPr>
        <w:t xml:space="preserve">, malgré l’engagement des chefs de juridictions au niveau des provinces et nonobstant que les partenaires internationaux aient promus </w:t>
      </w:r>
      <w:r w:rsidRPr="006E6AAA">
        <w:rPr>
          <w:rFonts w:ascii="Calibri" w:eastAsia="Times New Roman" w:hAnsi="Calibri" w:cs="Times New Roman"/>
          <w:lang w:val="fr-FR" w:eastAsia="it-IT"/>
        </w:rPr>
        <w:t>á</w:t>
      </w:r>
      <w:r w:rsidRPr="006E6AAA">
        <w:rPr>
          <w:rFonts w:ascii="Calibri" w:eastAsia="Times New Roman" w:hAnsi="Calibri" w:cs="Arial"/>
          <w:lang w:val="fr-FR" w:eastAsia="it-IT"/>
        </w:rPr>
        <w:t xml:space="preserve"> maintes reprises des discussions avec le gouvernement, comme précisé par un des analystes de projet du PNUD.</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Un des obstacles semble être la faible coordination entre les autorités judiciaires basées a Kinshasa et celles dans les provinces: par exemple la stratégie nationale pour les AF n’a jamais été mentionnée au cours des entretiens d’évaluation et ne semblait pas être connue par les personnes interrogées.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shd w:val="clear" w:color="auto" w:fill="D9D9D9"/>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shd w:val="clear" w:color="auto" w:fill="D9D9D9"/>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Le manque d’orientation de la part des autorités centrales combiné avec l’absence d’une planification stratégique au niveau provincial se traduit dans la pratique avec l’organisation d’AF qui répondent a un besoin ponctuel et représentent un modèle fortement influencé par les exigences des bailleurs de fonds, comme sera illustré dans les paragraphes qui suivent.</w:t>
      </w:r>
    </w:p>
    <w:p w:rsidR="006E6AAA" w:rsidRPr="006E6AAA" w:rsidRDefault="006E6AAA" w:rsidP="006E6AAA">
      <w:pPr>
        <w:shd w:val="clear" w:color="auto" w:fill="D9D9D9"/>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spacing w:after="0" w:line="280" w:lineRule="exact"/>
        <w:jc w:val="both"/>
        <w:rPr>
          <w:rFonts w:ascii="Calibri" w:eastAsia="Times New Roman" w:hAnsi="Calibri" w:cs="Arial"/>
          <w:i/>
          <w:color w:val="000080"/>
          <w:lang w:val="fr-FR" w:eastAsia="it-IT"/>
        </w:rPr>
      </w:pPr>
      <w:r w:rsidRPr="006E6AAA">
        <w:rPr>
          <w:rFonts w:ascii="Times New Roman" w:eastAsia="Times New Roman" w:hAnsi="Times New Roman" w:cs="Times New Roman"/>
          <w:i/>
          <w:color w:val="000080"/>
          <w:lang w:val="fr-FR" w:eastAsia="it-IT"/>
        </w:rPr>
        <w:t>►</w:t>
      </w:r>
      <w:r w:rsidRPr="006E6AAA">
        <w:rPr>
          <w:rFonts w:ascii="Calibri" w:eastAsia="Times New Roman" w:hAnsi="Calibri" w:cs="Arial"/>
          <w:b/>
          <w:i/>
          <w:color w:val="000080"/>
          <w:lang w:val="fr-FR" w:eastAsia="it-IT"/>
        </w:rPr>
        <w:t>Le débat sur la nature ponctuelle ou continue des AF</w:t>
      </w:r>
    </w:p>
    <w:p w:rsidR="006E6AAA" w:rsidRPr="006E6AAA" w:rsidRDefault="006E6AAA" w:rsidP="006E6AAA">
      <w:pPr>
        <w:spacing w:after="0" w:line="280" w:lineRule="exact"/>
        <w:jc w:val="both"/>
        <w:rPr>
          <w:rFonts w:ascii="Arial" w:eastAsia="Times New Roman" w:hAnsi="Arial" w:cs="Arial"/>
          <w:lang w:val="fr-FR" w:eastAsia="it-IT"/>
        </w:rPr>
      </w:pPr>
    </w:p>
    <w:p w:rsidR="006E6AAA" w:rsidRPr="006E6AAA" w:rsidRDefault="006E6AAA" w:rsidP="006E6AAA">
      <w:pPr>
        <w:spacing w:after="0" w:line="280" w:lineRule="exact"/>
        <w:jc w:val="both"/>
        <w:rPr>
          <w:rFonts w:ascii="Calibri" w:eastAsia="MS Mincho" w:hAnsi="Calibri" w:cs="Times New Roman"/>
          <w:lang w:val="fr-FR" w:eastAsia="fr-FR"/>
        </w:rPr>
      </w:pPr>
      <w:r w:rsidRPr="006E6AAA">
        <w:rPr>
          <w:rFonts w:ascii="Calibri" w:eastAsia="MS Mincho" w:hAnsi="Calibri" w:cs="Times New Roman"/>
          <w:lang w:val="fr-FR" w:eastAsia="fr-FR"/>
        </w:rPr>
        <w:t xml:space="preserve">Les personnes interrogées s’accordent à définir les AF couramment appuyées dans l’Est de la RDC comme une </w:t>
      </w:r>
      <w:r w:rsidRPr="006E6AAA">
        <w:rPr>
          <w:rFonts w:ascii="Calibri" w:eastAsia="MS Mincho" w:hAnsi="Calibri" w:cs="BookAntiqua"/>
          <w:lang w:val="fr-FR" w:eastAsia="fr-FR"/>
        </w:rPr>
        <w:t xml:space="preserve">institution temporaire. Le </w:t>
      </w:r>
      <w:r w:rsidRPr="006E6AAA">
        <w:rPr>
          <w:rFonts w:ascii="Calibri" w:eastAsia="MS Mincho" w:hAnsi="Calibri" w:cs="Times New Roman"/>
          <w:lang w:val="fr-FR" w:eastAsia="fr-FR"/>
        </w:rPr>
        <w:t>chef de Bureau du PNUD de Bunia les décrits comme un</w:t>
      </w:r>
      <w:r w:rsidRPr="006E6AAA">
        <w:rPr>
          <w:rFonts w:ascii="Calibri" w:eastAsia="MS Mincho" w:hAnsi="Calibri" w:cs="BookAntiqua"/>
          <w:lang w:val="fr-FR" w:eastAsia="fr-FR"/>
        </w:rPr>
        <w:t xml:space="preserve"> </w:t>
      </w:r>
      <w:r w:rsidRPr="006E6AAA">
        <w:rPr>
          <w:rFonts w:ascii="Calibri" w:eastAsia="MS Mincho" w:hAnsi="Calibri" w:cs="Times New Roman"/>
          <w:lang w:val="fr-FR" w:eastAsia="fr-FR"/>
        </w:rPr>
        <w:t>«</w:t>
      </w:r>
      <w:r w:rsidRPr="006E6AAA">
        <w:rPr>
          <w:rFonts w:ascii="Calibri" w:eastAsia="MS Mincho" w:hAnsi="Calibri" w:cs="Times New Roman"/>
          <w:i/>
          <w:lang w:val="fr-FR" w:eastAsia="fr-FR"/>
        </w:rPr>
        <w:t>un apport conjoncturel qui permet de régler un problème ponctuel,</w:t>
      </w:r>
      <w:r w:rsidRPr="006E6AAA">
        <w:rPr>
          <w:rFonts w:ascii="Calibri" w:eastAsia="MS Mincho" w:hAnsi="Calibri" w:cs="Times New Roman"/>
          <w:lang w:val="fr-FR" w:eastAsia="fr-FR"/>
        </w:rPr>
        <w:t>» ; le Directeur de ABA estime que « </w:t>
      </w:r>
      <w:r w:rsidRPr="006E6AAA">
        <w:rPr>
          <w:rFonts w:ascii="Calibri" w:eastAsia="MS Mincho" w:hAnsi="Calibri" w:cs="Times New Roman"/>
          <w:i/>
          <w:lang w:val="fr-FR" w:eastAsia="fr-FR"/>
        </w:rPr>
        <w:t>Les AF sont, et doivent rester, une aide ponctuelle qui adresse un besoin spécifique</w:t>
      </w:r>
      <w:r w:rsidRPr="006E6AAA">
        <w:rPr>
          <w:rFonts w:ascii="Calibri" w:eastAsia="MS Mincho" w:hAnsi="Calibri" w:cs="Times New Roman"/>
          <w:lang w:val="fr-FR" w:eastAsia="fr-FR"/>
        </w:rPr>
        <w:t> ».</w:t>
      </w:r>
      <w:r w:rsidRPr="006E6AAA">
        <w:rPr>
          <w:rFonts w:ascii="Calibri" w:eastAsia="MS Mincho" w:hAnsi="Calibri" w:cs="BookAntiqua"/>
          <w:lang w:val="fr-FR" w:eastAsia="fr-FR"/>
        </w:rPr>
        <w:t xml:space="preserve"> </w:t>
      </w:r>
    </w:p>
    <w:p w:rsidR="006E6AAA" w:rsidRPr="006E6AAA" w:rsidRDefault="006E6AAA" w:rsidP="006E6AAA">
      <w:pPr>
        <w:spacing w:after="0" w:line="280" w:lineRule="exact"/>
        <w:jc w:val="both"/>
        <w:rPr>
          <w:rFonts w:ascii="Calibri" w:eastAsia="Times New Roman" w:hAnsi="Calibri" w:cs="BookAntiqua"/>
          <w:lang w:val="fr-FR" w:eastAsia="it-IT"/>
        </w:rPr>
      </w:pPr>
      <w:r w:rsidRPr="006E6AAA">
        <w:rPr>
          <w:rFonts w:ascii="Calibri" w:eastAsia="Times New Roman" w:hAnsi="Calibri" w:cs="BookAntiqua"/>
          <w:lang w:val="fr-FR" w:eastAsia="it-IT"/>
        </w:rPr>
        <w:t>Les AF sont temporaires aussi dans la mesure où elles sont constituées au moment où le besoin est identifié.</w:t>
      </w:r>
    </w:p>
    <w:p w:rsidR="006E6AAA" w:rsidRPr="006E6AAA" w:rsidRDefault="006E6AAA" w:rsidP="006E6AAA">
      <w:pPr>
        <w:spacing w:after="0" w:line="280" w:lineRule="exact"/>
        <w:jc w:val="both"/>
        <w:rPr>
          <w:rFonts w:ascii="BookAntiqua" w:eastAsia="Times New Roman" w:hAnsi="BookAntiqua" w:cs="BookAntiqua"/>
          <w:sz w:val="24"/>
          <w:szCs w:val="24"/>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i/>
          <w:lang w:val="fr-FR" w:eastAsia="it-IT"/>
        </w:rPr>
      </w:pPr>
      <w:r w:rsidRPr="006E6AAA">
        <w:rPr>
          <w:rFonts w:ascii="Calibri" w:eastAsia="Times New Roman" w:hAnsi="Calibri" w:cs="BookAntiqua"/>
          <w:lang w:val="fr-FR" w:eastAsia="it-IT"/>
        </w:rPr>
        <w:t>Un des rapports de monitorage du PNUD au Sud Kivu confirme cette approche en constatant «</w:t>
      </w:r>
      <w:r w:rsidRPr="006E6AAA">
        <w:rPr>
          <w:rFonts w:ascii="Calibri" w:eastAsia="Times New Roman" w:hAnsi="Calibri" w:cs="Arial"/>
          <w:i/>
          <w:lang w:val="fr-FR" w:eastAsia="it-IT"/>
        </w:rPr>
        <w:t xml:space="preserve">une </w:t>
      </w:r>
      <w:r w:rsidRPr="006E6AAA">
        <w:rPr>
          <w:rFonts w:ascii="Calibri" w:eastAsia="Times New Roman" w:hAnsi="Calibri" w:cs="Arial"/>
          <w:b/>
          <w:i/>
          <w:lang w:val="fr-FR" w:eastAsia="it-IT"/>
        </w:rPr>
        <w:t xml:space="preserve">absence complète de planification coordonnée des audiences foraines qui sont organisées au cas par </w:t>
      </w:r>
      <w:r w:rsidRPr="006E6AAA">
        <w:rPr>
          <w:rFonts w:ascii="Calibri" w:eastAsia="Times New Roman" w:hAnsi="Calibri" w:cs="Arial"/>
          <w:b/>
          <w:i/>
          <w:lang w:val="fr-FR" w:eastAsia="it-IT"/>
        </w:rPr>
        <w:lastRenderedPageBreak/>
        <w:t xml:space="preserve">cas </w:t>
      </w:r>
      <w:r w:rsidRPr="006E6AAA">
        <w:rPr>
          <w:rFonts w:ascii="Calibri" w:eastAsia="Times New Roman" w:hAnsi="Calibri" w:cs="Arial"/>
          <w:i/>
          <w:lang w:val="fr-FR" w:eastAsia="it-IT"/>
        </w:rPr>
        <w:t>par chaque juridiction et en fonction de l’intervention des partenaires. Il n’existe pas de calendrier préalable par territoire et on s’aperçoit qu’au cours d’une même année plusieurs audiences foraines peuvent être organisées au sein d’un même territoire au détriment d’autres territoires</w:t>
      </w:r>
      <w:r w:rsidRPr="006E6AAA">
        <w:rPr>
          <w:rFonts w:ascii="Calibri" w:eastAsia="Times New Roman" w:hAnsi="Calibri" w:cs="Arial"/>
          <w:lang w:val="fr-FR" w:eastAsia="it-IT"/>
        </w:rPr>
        <w:t> »</w:t>
      </w:r>
      <w:r w:rsidRPr="006E6AAA">
        <w:rPr>
          <w:rFonts w:ascii="Calibri" w:eastAsia="Times New Roman" w:hAnsi="Calibri" w:cs="Times New Roman"/>
          <w:vertAlign w:val="superscript"/>
          <w:lang w:val="fr-FR" w:eastAsia="it-IT"/>
        </w:rPr>
        <w:footnoteReference w:id="214"/>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question de la programmation stratégique des AF reste un sujet controversé, malgré les partenaires internationaux et les autorités judiciaires reconnaissent un besoin de travailler dans un contexte plus structuré et prévisible et souhaiteraient pouvoir se référer á un planning annuel des AF.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L’obstacle majeur á la planification semble être la difficulté d’estimer les besoins et prévoir en avance le nombre d’AF par année, la raison principale mentionnée par plusieurs répondants étant que « </w:t>
      </w:r>
      <w:r w:rsidRPr="006E6AAA">
        <w:rPr>
          <w:rFonts w:ascii="Calibri" w:eastAsia="Times New Roman" w:hAnsi="Calibri" w:cs="Times New Roman"/>
          <w:i/>
          <w:lang w:val="fr-FR" w:eastAsia="it-IT"/>
        </w:rPr>
        <w:t>on ne peut pas prévoir où et quand l’infraction sera commise</w:t>
      </w:r>
      <w:r w:rsidRPr="006E6AAA">
        <w:rPr>
          <w:rFonts w:ascii="Calibri" w:eastAsia="Times New Roman" w:hAnsi="Calibri" w:cs="Times New Roman"/>
          <w:lang w:val="fr-FR" w:eastAsia="it-IT"/>
        </w:rPr>
        <w:t xml:space="preserve"> » et donc savoir s’il y aura assez de dossiers pour organiser la chambre foraine.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Cette difficulté est clairement saisissable dans les cas comme Walungu or Mambasa où les AF sont une réponse á des épisodes inattendus de graves violations des droits de l’homme, mais ne s’applique pas aux cas où les juridictions siègent en foraine pour vider le passif judiciaire.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autorités judiciaires se sont montrées ouvertes á la possibilité d’une planification annuelle; Avocats Sans Frontières a développé une bonne pratique en appuyant les juridictions à faire une analyse de leurs besoins dans le territoire de Bandolo, dans le Sud Kivu.</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débat pourrait être approfondi davantage autour de la question du caractère ponctuel ou continu des AF. </w:t>
      </w:r>
    </w:p>
    <w:p w:rsidR="006E6AAA" w:rsidRPr="006E6AAA" w:rsidRDefault="006E6AAA" w:rsidP="006E6AAA">
      <w:p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lang w:val="fr-FR" w:eastAsia="it-IT"/>
        </w:rPr>
        <w:t xml:space="preserve">Pour clarifier ce point il convient de faire référence aux deux modèles d’AF qui émergent dans la pratique des 3 pays qui contribuent á la présente évaluation, notamment : </w:t>
      </w:r>
      <w:r w:rsidRPr="006E6AAA">
        <w:rPr>
          <w:rFonts w:ascii="Calibri" w:eastAsia="Times New Roman" w:hAnsi="Calibri" w:cs="Times New Roman"/>
          <w:b/>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numPr>
          <w:ilvl w:val="0"/>
          <w:numId w:val="62"/>
        </w:numPr>
        <w:spacing w:after="0" w:line="280" w:lineRule="exact"/>
        <w:jc w:val="both"/>
        <w:rPr>
          <w:rFonts w:ascii="Calibri" w:eastAsia="Times New Roman" w:hAnsi="Calibri" w:cs="Times New Roman"/>
          <w:b/>
          <w:lang w:val="it-IT" w:eastAsia="it-IT"/>
        </w:rPr>
      </w:pPr>
      <w:r w:rsidRPr="006E6AAA">
        <w:rPr>
          <w:rFonts w:ascii="Calibri" w:eastAsia="Times New Roman" w:hAnsi="Calibri" w:cs="Times New Roman"/>
          <w:b/>
          <w:lang w:val="it-IT" w:eastAsia="it-IT"/>
        </w:rPr>
        <w:t>Le modele d’AF ponctuel (</w:t>
      </w:r>
      <w:r w:rsidRPr="006E6AAA">
        <w:rPr>
          <w:rFonts w:ascii="Calibri" w:eastAsia="Times New Roman" w:hAnsi="Calibri" w:cs="Times New Roman"/>
          <w:b/>
          <w:i/>
          <w:lang w:val="it-IT" w:eastAsia="it-IT"/>
        </w:rPr>
        <w:t>ad hoc)</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AF sont organisées pour adresser des besoins de justice ponctuels, comme la poursuite de graves violations des droits de l’homme commises dans des territoires éloignés où les institutions judiciaires permanentes sont absentes. C’est le modèle appuyé en priorité par le PNUD à l’Est de la RDC et qui s’adapte mieux à un contexte de conflit et á l’absence de structures judiciaires. Ce modèle présente toutefois les difficultés de planification susmentionnées.</w:t>
      </w:r>
    </w:p>
    <w:p w:rsidR="006E6AAA" w:rsidRPr="006E6AAA" w:rsidRDefault="006E6AAA" w:rsidP="006E6AAA">
      <w:pPr>
        <w:spacing w:after="0" w:line="280" w:lineRule="exact"/>
        <w:ind w:left="288"/>
        <w:jc w:val="both"/>
        <w:rPr>
          <w:rFonts w:ascii="Calibri" w:eastAsia="Times New Roman" w:hAnsi="Calibri" w:cs="Times New Roman"/>
          <w:lang w:val="fr-FR" w:eastAsia="it-IT"/>
        </w:rPr>
      </w:pPr>
    </w:p>
    <w:p w:rsidR="006E6AAA" w:rsidRPr="006E6AAA" w:rsidRDefault="006E6AAA" w:rsidP="006E6AAA">
      <w:pPr>
        <w:numPr>
          <w:ilvl w:val="0"/>
          <w:numId w:val="62"/>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Le modèle d’AF continue</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AF sont organisées régulièrement comme des descentes sur le terrain pour juger les affaires en appel ou les affaires d’une juridiction inferieure avec une compétence matérielle plus limitée, ou éventuellement juger en substitution d’une juridiction que est établie par la loi mais pas encore opérationnelle. C’est le modèle adopté en Sierra Leone</w:t>
      </w:r>
      <w:r w:rsidRPr="006E6AAA">
        <w:rPr>
          <w:rFonts w:ascii="Calibri" w:eastAsia="Times New Roman" w:hAnsi="Calibri" w:cs="Times New Roman"/>
          <w:vertAlign w:val="superscript"/>
          <w:lang w:val="fr-FR" w:eastAsia="it-IT"/>
        </w:rPr>
        <w:footnoteReference w:id="215"/>
      </w:r>
      <w:r w:rsidRPr="006E6AAA">
        <w:rPr>
          <w:rFonts w:ascii="Calibri" w:eastAsia="Times New Roman" w:hAnsi="Calibri" w:cs="Times New Roman"/>
          <w:lang w:val="fr-FR" w:eastAsia="it-IT"/>
        </w:rPr>
        <w:t xml:space="preserve"> et qui reflet une approche de développement où les AF sont organisées en complémentarité avec les jurisdictions permanentes et sont planifiées chaque année.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Dans le contexte à l’Est de la RDC où le conflit est encore en cours mais, dans le cadre des efforts de restauration de l’Etat, les juridictions commencent à être présentes et ont étés renforcées dans leurs capacités, un </w:t>
      </w:r>
      <w:r w:rsidRPr="006E6AAA">
        <w:rPr>
          <w:rFonts w:ascii="Calibri" w:eastAsia="Times New Roman" w:hAnsi="Calibri" w:cs="Times New Roman"/>
          <w:b/>
          <w:lang w:val="fr-FR" w:eastAsia="it-IT"/>
        </w:rPr>
        <w:t>modèle mixte d’AF</w:t>
      </w:r>
      <w:r w:rsidRPr="006E6AAA">
        <w:rPr>
          <w:rFonts w:ascii="Calibri" w:eastAsia="Times New Roman" w:hAnsi="Calibri" w:cs="Times New Roman"/>
          <w:lang w:val="fr-FR" w:eastAsia="it-IT"/>
        </w:rPr>
        <w:t xml:space="preserve"> pourrait représenter une solution appropriée. </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Un système d’AF </w:t>
      </w:r>
      <w:r w:rsidRPr="006E6AAA">
        <w:rPr>
          <w:rFonts w:ascii="Calibri" w:eastAsia="Times New Roman" w:hAnsi="Calibri" w:cs="Times New Roman"/>
          <w:i/>
          <w:lang w:val="fr-FR" w:eastAsia="it-IT"/>
        </w:rPr>
        <w:t>continue</w:t>
      </w:r>
      <w:r w:rsidRPr="006E6AAA">
        <w:rPr>
          <w:rFonts w:ascii="Calibri" w:eastAsia="Times New Roman" w:hAnsi="Calibri" w:cs="Times New Roman"/>
          <w:lang w:val="fr-FR" w:eastAsia="it-IT"/>
        </w:rPr>
        <w:t xml:space="preserve"> pourrait être mis en place dans les territoires où le contexte et la cartographie judiciaire le permettent, en capitalisant les leçons tirées et les bonnes pratiques développées. En même temps le PNUD pourrait continuer à appuyer un nombre plus limité d’AF </w:t>
      </w:r>
      <w:r w:rsidRPr="006E6AAA">
        <w:rPr>
          <w:rFonts w:ascii="Calibri" w:eastAsia="Times New Roman" w:hAnsi="Calibri" w:cs="Times New Roman"/>
          <w:i/>
          <w:lang w:val="fr-FR" w:eastAsia="it-IT"/>
        </w:rPr>
        <w:t>ponctuelles</w:t>
      </w:r>
      <w:r w:rsidRPr="006E6AAA">
        <w:rPr>
          <w:rFonts w:ascii="Calibri" w:eastAsia="Times New Roman" w:hAnsi="Calibri" w:cs="Times New Roman"/>
          <w:lang w:val="fr-FR" w:eastAsia="it-IT"/>
        </w:rPr>
        <w:t xml:space="preserve"> (</w:t>
      </w:r>
      <w:r w:rsidRPr="006E6AAA">
        <w:rPr>
          <w:rFonts w:ascii="Calibri" w:eastAsia="Times New Roman" w:hAnsi="Calibri" w:cs="Times New Roman"/>
          <w:i/>
          <w:lang w:val="fr-FR" w:eastAsia="it-IT"/>
        </w:rPr>
        <w:t>ad hoc)</w:t>
      </w:r>
      <w:r w:rsidRPr="006E6AAA">
        <w:rPr>
          <w:rFonts w:ascii="Calibri" w:eastAsia="Times New Roman" w:hAnsi="Calibri" w:cs="Times New Roman"/>
          <w:lang w:val="fr-FR" w:eastAsia="it-IT"/>
        </w:rPr>
        <w:t xml:space="preserve"> pour traiter des éventuels dossiers de crimes internationaux ou de graves violations des droits de l’homme commises dans le cadre du conflit suite á des affrontements imprévisibles et soudains.</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b/>
          <w:color w:val="000080"/>
          <w:sz w:val="20"/>
          <w:szCs w:val="20"/>
          <w:lang w:val="fr-FR" w:eastAsia="it-IT"/>
        </w:rPr>
      </w:pPr>
      <w:r w:rsidRPr="006E6AAA">
        <w:rPr>
          <w:rFonts w:ascii="Times New Roman" w:eastAsia="Times New Roman" w:hAnsi="Times New Roman" w:cs="Times New Roman"/>
          <w:i/>
          <w:color w:val="000080"/>
          <w:sz w:val="20"/>
          <w:szCs w:val="20"/>
          <w:lang w:val="fr-FR" w:eastAsia="it-IT"/>
        </w:rPr>
        <w:t>►</w:t>
      </w:r>
      <w:r w:rsidRPr="006E6AAA">
        <w:rPr>
          <w:rFonts w:ascii="Calibri" w:eastAsia="Times New Roman" w:hAnsi="Calibri" w:cs="Times New Roman"/>
          <w:b/>
          <w:i/>
          <w:color w:val="000080"/>
          <w:lang w:val="fr-FR" w:eastAsia="it-IT"/>
        </w:rPr>
        <w:t>L’implantation des juridictions permanentes</w:t>
      </w:r>
    </w:p>
    <w:p w:rsidR="006E6AAA" w:rsidRPr="006E6AAA" w:rsidRDefault="006E6AAA" w:rsidP="006E6AAA">
      <w:pPr>
        <w:spacing w:after="0" w:line="280" w:lineRule="exact"/>
        <w:jc w:val="both"/>
        <w:rPr>
          <w:rFonts w:ascii="Calibri" w:eastAsia="Times New Roman" w:hAnsi="Calibri" w:cs="Times New Roman"/>
          <w:sz w:val="20"/>
          <w:szCs w:val="20"/>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majorité  des personnes interrogées á souligné l’importance de mener, en parallèle avec les efforts pour développer la justice itinérante, des actions visant á implanter des nouvelles juridictions dans les zones reculées.</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Président du tribunal de Goma a insisté sur l’importance de multiplier les juridictions permanentes de proximité, comme les sièges secondaires des TGI et des Parquets ainsi que les Tripaix afin de réduire les AF ou au moins afin de les organiser dans un ressort géographique plus restreint. La présence de juridictions de proximité est une condition essentielle pour pouvoir établir le « modèle d’AF continue » susmentionné.</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L’obstacle majeur ne semble pas être la construction des tribunaux, mais plutôt l’absence de personnel judiciaire. Le Président de la CA de Bukavu a expliqué que non seulement les magistrats ne sont pas en nombre suffisant  mais aussi ils refusent d’être affectés dans les zones reculées, vu l’absence de sécurité et de logement appropriés.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Comme illustré dans un rapport d’ASF et souligné par le Président du TGI de Bunia, « </w:t>
      </w:r>
      <w:r w:rsidRPr="006E6AAA">
        <w:rPr>
          <w:rFonts w:ascii="Calibri" w:eastAsia="Times New Roman" w:hAnsi="Calibri" w:cs="Times New Roman"/>
          <w:i/>
          <w:lang w:val="fr-FR" w:eastAsia="it-IT"/>
        </w:rPr>
        <w:t xml:space="preserve">L’installation prochaine des tribunaux de paix ne pourra se substituer à l’organisation d’audiences foraines. La compétence matérielle des tribunaux de paix est relativement restreinte. ». </w:t>
      </w:r>
      <w:r w:rsidRPr="006E6AAA">
        <w:rPr>
          <w:rFonts w:ascii="Calibri" w:eastAsia="Times New Roman" w:hAnsi="Calibri" w:cs="Times New Roman"/>
          <w:lang w:val="fr-FR" w:eastAsia="it-IT"/>
        </w:rPr>
        <w:t xml:space="preserve">Les AF devront donc continuer à être appuyées même après l’implantation de toutes les juridictions permanentes.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En conclusion les AF sont pertinentes aux stratégies nationales dans le secteur de la justice car elles représentent une priorité reconnue dans ces stratégies; toutefois les modalités de leur mise en œuvre pourraient être mieux encadrées par une meilleure planification, reflétant un modèle plus précis d’intervention. A cette fin il est recommandé de promouvoir un dialogue plus étroit et régulier avec le Ministère de la Justice à Kinshasa et éventuellement mener des actions pour faciliter sa coordination avec les autorités judiciaires dans les provinces pour la planification des AF.</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xml:space="preserve">§ 5.3. </w:t>
      </w:r>
      <w:r w:rsidRPr="006E6AAA">
        <w:rPr>
          <w:rFonts w:ascii="Calibri" w:eastAsia="Times New Roman" w:hAnsi="Calibri" w:cs="Times New Roman"/>
          <w:b/>
          <w:sz w:val="20"/>
          <w:szCs w:val="20"/>
          <w:lang w:val="fr-FR" w:eastAsia="it-IT"/>
        </w:rPr>
        <w:t>La pertinence avec les besoins des bénéficiaires, en particulier les victimes de violences sexuelles.</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L’appui aux AF au sein du PNUD a été mis en place dans le cadre des stratégies de lutte contre les VBG en RDC sur la base de nombreuses études conduites au courant des années pour lutter contre la récurrence des violences sexuelles à l’Est des la RDC, y compris celles commises par les militaires.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Les documents de projet PNUD permettent d’identifier les usagers des AF par les catégories suivantes: 1) les femmes victimes de violence sexuelle 2) les militaires partis au procès et 3) les parties civiles au procès. Des statistiques indiquant le nombre de bénéficiaires atteint par les AF n’est pas disponible.</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lastRenderedPageBreak/>
        <w:t xml:space="preserve">Les personnes interrogées ont unanimement reconnu que les AF ont été pertinentes par rapport à l’accès à  la justice des survivantes de VBG : au total les AF analysées par le présent rapport ont enrôlées 128 dossiers de VBG pour un nombre bien plus élevé de victimes.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Deux aspects clefs dans l’analyse de la pertinence des AF dans la lutte aux VBG sont brièvement analysés ci-dessous.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b/>
          <w:i/>
          <w:color w:val="000080"/>
          <w:lang w:val="fr-FR" w:eastAsia="it-IT"/>
        </w:rPr>
      </w:pPr>
      <w:r w:rsidRPr="006E6AAA">
        <w:rPr>
          <w:rFonts w:ascii="Times New Roman" w:eastAsia="Times New Roman" w:hAnsi="Times New Roman" w:cs="Times New Roman"/>
          <w:color w:val="000080"/>
          <w:lang w:val="fr-FR" w:eastAsia="it-IT"/>
        </w:rPr>
        <w:t xml:space="preserve">► </w:t>
      </w:r>
      <w:r w:rsidRPr="006E6AAA">
        <w:rPr>
          <w:rFonts w:ascii="Calibri" w:eastAsia="Times New Roman" w:hAnsi="Calibri" w:cs="Times New Roman"/>
          <w:b/>
          <w:i/>
          <w:color w:val="000080"/>
          <w:lang w:val="fr-FR" w:eastAsia="it-IT"/>
        </w:rPr>
        <w:t>Le changement de contexte en cours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 grand nombre de rapports récents montrent que les besoins par rapport aux violences sexuelles en RDC sont entrain de changer : le taux de récurrence reste haut, toutefois elles </w:t>
      </w:r>
      <w:r w:rsidRPr="006E6AAA">
        <w:rPr>
          <w:rFonts w:ascii="Calibri" w:eastAsia="Times New Roman" w:hAnsi="Calibri" w:cs="Times New Roman"/>
          <w:b/>
          <w:lang w:val="fr-FR" w:eastAsia="it-IT"/>
        </w:rPr>
        <w:t xml:space="preserve">ne sont plus commises exclusivement par des hommes en uniforme, mais  de plus en plus par les civils </w:t>
      </w:r>
      <w:r w:rsidRPr="006E6AAA">
        <w:rPr>
          <w:rFonts w:ascii="Calibri" w:eastAsia="Times New Roman" w:hAnsi="Calibri" w:cs="Times New Roman"/>
          <w:vertAlign w:val="superscript"/>
          <w:lang w:val="fr-FR" w:eastAsia="it-IT"/>
        </w:rPr>
        <w:footnoteReference w:id="216"/>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viols en RDC ne sont plus principalement reconnus comme « arme de guerre dans le cadre d’un objectif militaire stratégique”, ce qui avait mobilisé la communauté internationale à intervenir en DRC pour la lutte contre le viol comme crime de guerre, suite a l’adoption de la Résolution 1820 en Juin 2008. </w:t>
      </w:r>
    </w:p>
    <w:p w:rsidR="006E6AAA" w:rsidRPr="006E6AAA" w:rsidRDefault="006E6AAA" w:rsidP="006E6AAA">
      <w:pPr>
        <w:spacing w:after="0" w:line="280" w:lineRule="exact"/>
        <w:jc w:val="both"/>
        <w:rPr>
          <w:rFonts w:ascii="Calibri" w:eastAsia="Times New Roman" w:hAnsi="Calibri" w:cs="Times New Roman"/>
          <w:lang w:eastAsia="it-IT"/>
        </w:rPr>
      </w:pPr>
      <w:r w:rsidRPr="006E6AAA">
        <w:rPr>
          <w:rFonts w:ascii="Calibri" w:eastAsia="Times New Roman" w:hAnsi="Calibri" w:cs="Times New Roman"/>
          <w:lang w:eastAsia="it-IT"/>
        </w:rPr>
        <w:t>Une etude menée par OXFAM au Sud Kivu rapporte que « </w:t>
      </w:r>
      <w:r w:rsidRPr="006E6AAA">
        <w:rPr>
          <w:rFonts w:ascii="Calibri" w:eastAsia="Times New Roman" w:hAnsi="Calibri" w:cs="Times New Roman"/>
          <w:i/>
          <w:lang w:eastAsia="it-IT"/>
        </w:rPr>
        <w:t xml:space="preserve">After years of military rape in </w:t>
      </w:r>
      <w:smartTag w:uri="urn:schemas-microsoft-com:office:smarttags" w:element="place">
        <w:r w:rsidRPr="006E6AAA">
          <w:rPr>
            <w:rFonts w:ascii="Calibri" w:eastAsia="Times New Roman" w:hAnsi="Calibri" w:cs="Times New Roman"/>
            <w:i/>
            <w:lang w:eastAsia="it-IT"/>
          </w:rPr>
          <w:t>South Kivu</w:t>
        </w:r>
      </w:smartTag>
      <w:r w:rsidRPr="006E6AAA">
        <w:rPr>
          <w:rFonts w:ascii="Calibri" w:eastAsia="Times New Roman" w:hAnsi="Calibri" w:cs="Times New Roman"/>
          <w:i/>
          <w:lang w:eastAsia="it-IT"/>
        </w:rPr>
        <w:t>, civilian adoption of sexual violence is becoming recognized as its own problem</w:t>
      </w:r>
      <w:r w:rsidRPr="006E6AAA">
        <w:rPr>
          <w:rFonts w:ascii="TimesNewRomanPSMT" w:eastAsia="Times New Roman" w:hAnsi="TimesNewRomanPSMT" w:cs="TimesNewRomanPSMT"/>
          <w:szCs w:val="24"/>
        </w:rPr>
        <w:t>”</w:t>
      </w:r>
      <w:r w:rsidRPr="006E6AAA">
        <w:rPr>
          <w:rFonts w:ascii="Calibri" w:eastAsia="Times New Roman" w:hAnsi="Calibri" w:cs="Times New Roman"/>
          <w:lang w:eastAsia="it-IT"/>
        </w:rPr>
        <w:t> </w:t>
      </w:r>
      <w:r w:rsidRPr="006E6AAA">
        <w:rPr>
          <w:rFonts w:ascii="Calibri" w:eastAsia="Times New Roman" w:hAnsi="Calibri" w:cs="Times New Roman"/>
          <w:vertAlign w:val="superscript"/>
          <w:lang w:val="fr-FR" w:eastAsia="it-IT"/>
        </w:rPr>
        <w:footnoteReference w:id="217"/>
      </w:r>
      <w:r w:rsidRPr="006E6AAA">
        <w:rPr>
          <w:rFonts w:ascii="Calibri" w:eastAsia="Times New Roman" w:hAnsi="Calibri" w:cs="Times New Roman"/>
          <w:lang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Cette tendance est confirmée par la Directrice de SOFEPADI, une ONG de Bunia qui appuie les AF, ainsi que par les statistiques du monitoring judiciaire PNUD, qui rapportent pour 2010 seulement « </w:t>
      </w:r>
      <w:r w:rsidRPr="006E6AAA">
        <w:rPr>
          <w:rFonts w:ascii="Calibri" w:eastAsia="Times New Roman" w:hAnsi="Calibri" w:cs="Times New Roman"/>
          <w:i/>
          <w:lang w:val="fr-FR" w:eastAsia="it-IT"/>
        </w:rPr>
        <w:t>5 dossiers VBG du tribunal militaire et 500 du tribunal civil </w:t>
      </w: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ScalaSans-Regular"/>
          <w:lang w:val="fr-FR" w:eastAsia="it-IT"/>
        </w:rPr>
      </w:pPr>
    </w:p>
    <w:p w:rsidR="006E6AAA" w:rsidRPr="006E6AAA" w:rsidRDefault="006E6AAA" w:rsidP="006E6AAA">
      <w:pPr>
        <w:spacing w:after="0" w:line="280" w:lineRule="exact"/>
        <w:jc w:val="both"/>
        <w:rPr>
          <w:rFonts w:ascii="Calibri" w:eastAsia="Times New Roman" w:hAnsi="Calibri" w:cs="Times New Roman"/>
          <w:b/>
          <w:i/>
          <w:color w:val="000080"/>
          <w:lang w:val="fr-FR" w:eastAsia="it-IT"/>
        </w:rPr>
      </w:pPr>
      <w:r w:rsidRPr="006E6AAA">
        <w:rPr>
          <w:rFonts w:ascii="Times New Roman" w:eastAsia="Times New Roman" w:hAnsi="Times New Roman" w:cs="Times New Roman"/>
          <w:color w:val="000080"/>
          <w:lang w:val="fr-FR" w:eastAsia="it-IT"/>
        </w:rPr>
        <w:t xml:space="preserve">► </w:t>
      </w:r>
      <w:r w:rsidRPr="006E6AAA">
        <w:rPr>
          <w:rFonts w:ascii="Calibri" w:eastAsia="Times New Roman" w:hAnsi="Calibri" w:cs="Times New Roman"/>
          <w:b/>
          <w:i/>
          <w:color w:val="000080"/>
          <w:lang w:val="fr-FR" w:eastAsia="it-IT"/>
        </w:rPr>
        <w:t>Les conséquences inattendues des politiques de lutte contre les VBG</w:t>
      </w: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ScalaSans-Regular"/>
          <w:lang w:val="fr-FR" w:eastAsia="it-IT"/>
        </w:rPr>
      </w:pPr>
      <w:r w:rsidRPr="006E6AAA">
        <w:rPr>
          <w:rFonts w:ascii="Calibri" w:eastAsia="Times New Roman" w:hAnsi="Calibri" w:cs="ScalaSans-Regular"/>
          <w:lang w:val="fr-FR" w:eastAsia="it-IT"/>
        </w:rPr>
        <w:t>Certains rapports ont commencé à mettre en relief les conséquences inattendues des politiques de lutte contre les VBG, par exemple une étude par Disaster Studies soutient la théorie que les interventions pour les VBG  à l’Est de la RDC sont devenues un fonds de commerce</w:t>
      </w:r>
      <w:r w:rsidRPr="006E6AAA">
        <w:rPr>
          <w:rFonts w:ascii="Calibri" w:eastAsia="Times New Roman" w:hAnsi="Calibri" w:cs="Times New Roman"/>
          <w:vertAlign w:val="superscript"/>
          <w:lang w:val="fr-FR" w:eastAsia="it-IT"/>
        </w:rPr>
        <w:footnoteReference w:id="218"/>
      </w:r>
      <w:r w:rsidRPr="006E6AAA">
        <w:rPr>
          <w:rFonts w:ascii="Calibri" w:eastAsia="Times New Roman" w:hAnsi="Calibri" w:cs="ScalaSans-Regular"/>
          <w:lang w:val="fr-FR" w:eastAsia="it-IT"/>
        </w:rPr>
        <w:t>.</w:t>
      </w:r>
    </w:p>
    <w:p w:rsidR="006E6AAA" w:rsidRPr="006E6AAA" w:rsidRDefault="006E6AAA" w:rsidP="006E6AAA">
      <w:pPr>
        <w:autoSpaceDE w:val="0"/>
        <w:autoSpaceDN w:val="0"/>
        <w:adjustRightInd w:val="0"/>
        <w:spacing w:after="0" w:line="280" w:lineRule="exact"/>
        <w:jc w:val="both"/>
        <w:rPr>
          <w:rFonts w:ascii="Calibri" w:eastAsia="Times New Roman" w:hAnsi="Calibri" w:cs="ScalaSans-Regular"/>
          <w:lang w:val="fr-FR" w:eastAsia="it-IT"/>
        </w:rPr>
      </w:pPr>
      <w:r w:rsidRPr="006E6AAA">
        <w:rPr>
          <w:rFonts w:ascii="Calibri" w:eastAsia="Times New Roman" w:hAnsi="Calibri" w:cs="ScalaSans-Regular"/>
          <w:lang w:val="fr-FR" w:eastAsia="it-IT"/>
        </w:rPr>
        <w:t>Certains effets inattendus dénoncés par le rapport devraient être tenues en considération dans la planification future des AF, notamment:</w:t>
      </w:r>
    </w:p>
    <w:p w:rsidR="006E6AAA" w:rsidRPr="006E6AAA" w:rsidRDefault="006E6AAA" w:rsidP="006E6AAA">
      <w:pPr>
        <w:autoSpaceDE w:val="0"/>
        <w:autoSpaceDN w:val="0"/>
        <w:adjustRightInd w:val="0"/>
        <w:spacing w:after="0" w:line="280" w:lineRule="exact"/>
        <w:jc w:val="both"/>
        <w:rPr>
          <w:rFonts w:ascii="Calibri" w:eastAsia="Times New Roman" w:hAnsi="Calibri" w:cs="ScalaSans-Regular"/>
          <w:lang w:val="fr-FR" w:eastAsia="it-IT"/>
        </w:rPr>
      </w:pPr>
    </w:p>
    <w:p w:rsidR="006E6AAA" w:rsidRPr="006E6AAA" w:rsidRDefault="006E6AAA" w:rsidP="006E6AAA">
      <w:pPr>
        <w:numPr>
          <w:ilvl w:val="0"/>
          <w:numId w:val="62"/>
        </w:numPr>
        <w:autoSpaceDE w:val="0"/>
        <w:autoSpaceDN w:val="0"/>
        <w:adjustRightInd w:val="0"/>
        <w:spacing w:after="0" w:line="280" w:lineRule="exact"/>
        <w:jc w:val="both"/>
        <w:rPr>
          <w:rFonts w:ascii="Calibri" w:eastAsia="Times New Roman" w:hAnsi="Calibri" w:cs="ScalaSans-Regular"/>
          <w:lang w:eastAsia="it-IT"/>
        </w:rPr>
      </w:pPr>
      <w:r w:rsidRPr="006E6AAA">
        <w:rPr>
          <w:rFonts w:ascii="Calibri" w:eastAsia="Times New Roman" w:hAnsi="Calibri" w:cs="ScalaSans-Regular"/>
          <w:lang w:eastAsia="it-IT"/>
        </w:rPr>
        <w:t xml:space="preserve">la diffusion du phénomène </w:t>
      </w:r>
      <w:r w:rsidRPr="006E6AAA">
        <w:rPr>
          <w:rFonts w:ascii="Calibri" w:eastAsia="Times New Roman" w:hAnsi="Calibri" w:cs="ScalaSans-Regular"/>
          <w:b/>
          <w:lang w:eastAsia="it-IT"/>
        </w:rPr>
        <w:t>d’instrumentalisation la justice pour régler des affaires personnelles</w:t>
      </w:r>
      <w:r w:rsidRPr="006E6AAA">
        <w:rPr>
          <w:rFonts w:ascii="Calibri" w:eastAsia="Times New Roman" w:hAnsi="Calibri" w:cs="ScalaSans-Regular"/>
          <w:lang w:eastAsia="it-IT"/>
        </w:rPr>
        <w:t> : “</w:t>
      </w:r>
      <w:r w:rsidRPr="006E6AAA">
        <w:rPr>
          <w:rFonts w:ascii="Calibri" w:eastAsia="Times New Roman" w:hAnsi="Calibri" w:cs="ScalaSans-Regular"/>
          <w:i/>
          <w:lang w:eastAsia="it-IT"/>
        </w:rPr>
        <w:t>Framing somebody for rape has become an effective way to ‘get somebody out of the way’ or to claim financial compensation. This is, for example, the case with teenage love affairs that result in pregnancy. When the families cannot agree on marriage or compensation for the costs of the child, sexual violence accusations may result</w:t>
      </w:r>
      <w:r w:rsidRPr="006E6AAA">
        <w:rPr>
          <w:rFonts w:ascii="Calibri" w:eastAsia="Times New Roman" w:hAnsi="Calibri" w:cs="ScalaSans-Regular"/>
          <w:lang w:eastAsia="it-IT"/>
        </w:rPr>
        <w:t xml:space="preserve">”. </w:t>
      </w:r>
      <w:r w:rsidRPr="006E6AAA">
        <w:rPr>
          <w:rFonts w:ascii="Calibri" w:eastAsia="Times New Roman" w:hAnsi="Calibri" w:cs="Times New Roman"/>
          <w:vertAlign w:val="superscript"/>
          <w:lang w:eastAsia="it-IT"/>
        </w:rPr>
        <w:footnoteReference w:id="219"/>
      </w:r>
    </w:p>
    <w:p w:rsidR="006E6AAA" w:rsidRPr="006E6AAA" w:rsidRDefault="006E6AAA" w:rsidP="006E6AAA">
      <w:pPr>
        <w:numPr>
          <w:ilvl w:val="0"/>
          <w:numId w:val="62"/>
        </w:numPr>
        <w:autoSpaceDE w:val="0"/>
        <w:autoSpaceDN w:val="0"/>
        <w:adjustRightInd w:val="0"/>
        <w:spacing w:after="0" w:line="280" w:lineRule="exact"/>
        <w:jc w:val="both"/>
        <w:rPr>
          <w:rFonts w:ascii="ScalaSans-Regular" w:eastAsia="Times New Roman" w:hAnsi="ScalaSans-Regular" w:cs="ScalaSans-Regular"/>
          <w:lang w:val="fr-FR" w:eastAsia="it-IT"/>
        </w:rPr>
      </w:pPr>
      <w:r w:rsidRPr="006E6AAA">
        <w:rPr>
          <w:rFonts w:ascii="Calibri" w:eastAsia="Times New Roman" w:hAnsi="Calibri" w:cs="ScalaSans-Regular"/>
          <w:lang w:val="fr-FR" w:eastAsia="it-IT"/>
        </w:rPr>
        <w:lastRenderedPageBreak/>
        <w:t xml:space="preserve">la tendance du système judiciaire, poussé par la communauté internationale et la politique tolérance zéro du gouvernement, à </w:t>
      </w:r>
      <w:r w:rsidRPr="006E6AAA">
        <w:rPr>
          <w:rFonts w:ascii="Calibri" w:eastAsia="Times New Roman" w:hAnsi="Calibri" w:cs="ScalaSans-Regular"/>
          <w:b/>
          <w:lang w:val="fr-FR" w:eastAsia="it-IT"/>
        </w:rPr>
        <w:t>produire un nombre élevé de condamnations</w:t>
      </w:r>
      <w:r w:rsidRPr="006E6AAA">
        <w:rPr>
          <w:rFonts w:ascii="Calibri" w:eastAsia="Times New Roman" w:hAnsi="Calibri" w:cs="ScalaSans-Regular"/>
          <w:lang w:val="fr-FR" w:eastAsia="it-IT"/>
        </w:rPr>
        <w:t xml:space="preserve"> pour viol, parfois dans des situations où le prévenu se retrouve sans une assistance judiciaire adéquate</w:t>
      </w:r>
      <w:r w:rsidRPr="006E6AAA">
        <w:rPr>
          <w:rFonts w:ascii="Calibri" w:eastAsia="Times New Roman" w:hAnsi="Calibri" w:cs="Times New Roman"/>
          <w:vertAlign w:val="superscript"/>
          <w:lang w:val="fr-FR" w:eastAsia="it-IT"/>
        </w:rPr>
        <w:footnoteReference w:id="220"/>
      </w:r>
      <w:r w:rsidRPr="006E6AAA">
        <w:rPr>
          <w:rFonts w:ascii="Calibri" w:eastAsia="Times New Roman" w:hAnsi="Calibri" w:cs="ScalaSans-Regular"/>
          <w:lang w:val="fr-FR" w:eastAsia="it-IT"/>
        </w:rPr>
        <w:t xml:space="preserve">. </w:t>
      </w:r>
    </w:p>
    <w:p w:rsidR="006E6AAA" w:rsidRPr="006E6AAA" w:rsidRDefault="006E6AAA" w:rsidP="006E6AAA">
      <w:pPr>
        <w:autoSpaceDE w:val="0"/>
        <w:autoSpaceDN w:val="0"/>
        <w:adjustRightInd w:val="0"/>
        <w:spacing w:after="0" w:line="280" w:lineRule="exact"/>
        <w:ind w:left="288"/>
        <w:jc w:val="both"/>
        <w:rPr>
          <w:rFonts w:ascii="ScalaSans-Regular" w:eastAsia="Times New Roman" w:hAnsi="ScalaSans-Regular" w:cs="ScalaSans-Regular"/>
          <w:lang w:val="fr-FR" w:eastAsia="it-IT"/>
        </w:rPr>
      </w:pPr>
      <w:r w:rsidRPr="006E6AAA">
        <w:rPr>
          <w:rFonts w:ascii="Calibri" w:eastAsia="Times New Roman" w:hAnsi="Calibri" w:cs="ScalaSans-Regular"/>
          <w:lang w:val="fr-FR" w:eastAsia="it-IT"/>
        </w:rPr>
        <w:t>Vu que les AF appuyées par le PNUD ont enregistré un taux très élevée de condamnations (presque 80%) dans les 2 dernières années, il serait recommandé de mener des analyses des jugements afin de vérifier que les condamnations aient été prononcées dans le respect des principes du procès équitable.</w:t>
      </w:r>
    </w:p>
    <w:p w:rsidR="006E6AAA" w:rsidRPr="006E6AAA" w:rsidRDefault="006E6AAA" w:rsidP="006E6AAA">
      <w:pPr>
        <w:autoSpaceDE w:val="0"/>
        <w:autoSpaceDN w:val="0"/>
        <w:adjustRightInd w:val="0"/>
        <w:spacing w:after="0" w:line="280" w:lineRule="exact"/>
        <w:jc w:val="both"/>
        <w:rPr>
          <w:rFonts w:ascii="ScalaSans-Regular" w:eastAsia="Times New Roman" w:hAnsi="ScalaSans-Regular" w:cs="ScalaSans-Regular"/>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Comme illustré plus en détail au § 6.4 les AF contribuent á la poursuite des crimes internationaux: non seulement un pourcentage croissant de dossiers de viol est qualifié comme crime de guerre mais les AF adressent aussi les besoins de justice des victimes et des prévenus d’autres crimes internationaux, comme les pillages ou la torture qui relèvent de la définition codifiée dans le Statut de Rome.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dossiers de crimes internationaux sont toutefois encore en nombre très réduit, malgré les besoins soient importants et selon certain rapports plus urgents que les VBG</w:t>
      </w:r>
      <w:r w:rsidRPr="006E6AAA">
        <w:rPr>
          <w:rFonts w:ascii="Calibri" w:eastAsia="Times New Roman" w:hAnsi="Calibri" w:cs="Times New Roman"/>
          <w:vertAlign w:val="superscript"/>
          <w:lang w:val="fr-FR" w:eastAsia="it-IT"/>
        </w:rPr>
        <w:footnoteReference w:id="221"/>
      </w:r>
      <w:r w:rsidRPr="006E6AAA">
        <w:rPr>
          <w:rFonts w:ascii="Calibri" w:eastAsia="Times New Roman" w:hAnsi="Calibri" w:cs="Times New Roman"/>
          <w:lang w:val="fr-FR" w:eastAsia="it-IT"/>
        </w:rPr>
        <w:t xml:space="preserve">. Par exemple les moniteurs judiciaires PNUD rapportent que </w:t>
      </w:r>
      <w:r w:rsidRPr="006E6AAA">
        <w:rPr>
          <w:rFonts w:ascii="Calibri" w:eastAsia="Times New Roman" w:hAnsi="Calibri" w:cs="Calibri"/>
          <w:i/>
          <w:lang w:val="fr-FR" w:eastAsia="it-IT"/>
        </w:rPr>
        <w:t>« </w:t>
      </w:r>
      <w:r w:rsidRPr="006E6AAA">
        <w:rPr>
          <w:rFonts w:ascii="Calibri" w:eastAsia="Times New Roman" w:hAnsi="Calibri" w:cs="Arial"/>
          <w:i/>
          <w:lang w:val="fr-FR" w:eastAsia="it-IT"/>
        </w:rPr>
        <w:t>les juges sont affectés à travailler en priorité sur les dossiers déterminés par le choix du thème soutenu par l’audience (souvent des violences sexuelles) lequel ne correspond pas forcément aux besoins judiciaires les plus criants du moment</w:t>
      </w:r>
      <w:r w:rsidRPr="006E6AAA">
        <w:rPr>
          <w:rFonts w:ascii="Calibri" w:eastAsia="Times New Roman" w:hAnsi="Calibri" w:cs="Arial"/>
          <w:lang w:val="fr-FR" w:eastAsia="it-IT"/>
        </w:rPr>
        <w:t> »</w:t>
      </w:r>
      <w:r w:rsidRPr="006E6AAA">
        <w:rPr>
          <w:rFonts w:ascii="Calibri" w:eastAsia="Times New Roman" w:hAnsi="Calibri" w:cs="Times New Roman"/>
          <w:vertAlign w:val="superscript"/>
          <w:lang w:val="fr-FR" w:eastAsia="it-IT"/>
        </w:rPr>
        <w:footnoteReference w:id="222"/>
      </w:r>
      <w:r w:rsidRPr="006E6AAA">
        <w:rPr>
          <w:rFonts w:ascii="Calibri" w:eastAsia="Times New Roman" w:hAnsi="Calibri" w:cs="Arial"/>
          <w:lang w:val="fr-FR" w:eastAsia="it-IT"/>
        </w:rPr>
        <w:t xml:space="preserve"> </w:t>
      </w:r>
    </w:p>
    <w:p w:rsidR="006E6AAA" w:rsidRPr="006E6AAA" w:rsidRDefault="006E6AAA" w:rsidP="006E6AAA">
      <w:pPr>
        <w:autoSpaceDE w:val="0"/>
        <w:autoSpaceDN w:val="0"/>
        <w:adjustRightInd w:val="0"/>
        <w:spacing w:after="0" w:line="280" w:lineRule="exact"/>
        <w:jc w:val="both"/>
        <w:rPr>
          <w:rFonts w:ascii="Sabon-Roman" w:eastAsia="Times New Roman" w:hAnsi="Sabon-Roman" w:cs="Sabon-Roman"/>
          <w:sz w:val="21"/>
          <w:szCs w:val="21"/>
          <w:lang w:val="fr-FR" w:eastAsia="it-IT"/>
        </w:rPr>
      </w:pPr>
    </w:p>
    <w:p w:rsidR="006E6AAA" w:rsidRPr="006E6AAA" w:rsidRDefault="006E6AAA" w:rsidP="006E6AAA">
      <w:pPr>
        <w:shd w:val="clear" w:color="auto" w:fill="CCCCCC"/>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shd w:val="clear" w:color="auto" w:fill="CCCCCC"/>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En conclusion les AF ont été très pertinentes par rapport aux besoins des victimes de violences sexuelles commises par les militaires et par rapport aux politiques nationales de lutte contre les VBG. </w:t>
      </w:r>
    </w:p>
    <w:p w:rsidR="006E6AAA" w:rsidRPr="006E6AAA" w:rsidRDefault="006E6AAA" w:rsidP="006E6AAA">
      <w:pPr>
        <w:shd w:val="clear" w:color="auto" w:fill="CCCCCC"/>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pertinence des AF par rapport aux besoins de justice liés aux infractions non-VBG a été faible</w:t>
      </w:r>
      <w:r w:rsidRPr="006E6AAA">
        <w:rPr>
          <w:rFonts w:ascii="Calibri" w:eastAsia="Times New Roman" w:hAnsi="Calibri" w:cs="Times New Roman"/>
          <w:vertAlign w:val="superscript"/>
          <w:lang w:val="fr-FR" w:eastAsia="it-IT"/>
        </w:rPr>
        <w:footnoteReference w:id="223"/>
      </w:r>
      <w:r w:rsidRPr="006E6AAA">
        <w:rPr>
          <w:rFonts w:ascii="Calibri" w:eastAsia="Times New Roman" w:hAnsi="Calibri" w:cs="Times New Roman"/>
          <w:lang w:val="fr-FR" w:eastAsia="it-IT"/>
        </w:rPr>
        <w:t>.</w:t>
      </w:r>
    </w:p>
    <w:p w:rsidR="006E6AAA" w:rsidRPr="006E6AAA" w:rsidRDefault="006E6AAA" w:rsidP="006E6AAA">
      <w:pPr>
        <w:shd w:val="clear" w:color="auto" w:fill="CCCCCC"/>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A la lumières des changements de contexte sous-mentionnés et dans le but de mieux refléter les besoins de la population, la planification future du PNUD pourrait tenir compte des aspects suivants :</w:t>
      </w:r>
    </w:p>
    <w:p w:rsidR="006E6AAA" w:rsidRPr="006E6AAA" w:rsidRDefault="006E6AAA" w:rsidP="006E6AAA">
      <w:pPr>
        <w:numPr>
          <w:ilvl w:val="0"/>
          <w:numId w:val="75"/>
        </w:numPr>
        <w:shd w:val="clear" w:color="auto" w:fill="CCCCCC"/>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Eliminer la priorité accordée aux dossiers VBG et élargir le champ d’intervention des AF à toutes les infractions pour les AF organisées selon le « </w:t>
      </w:r>
      <w:r w:rsidRPr="006E6AAA">
        <w:rPr>
          <w:rFonts w:ascii="Calibri" w:eastAsia="Times New Roman" w:hAnsi="Calibri" w:cs="Sabon-Roman"/>
          <w:i/>
          <w:lang w:val="fr-FR" w:eastAsia="it-IT"/>
        </w:rPr>
        <w:t>modèle continu</w:t>
      </w:r>
      <w:r w:rsidRPr="006E6AAA">
        <w:rPr>
          <w:rFonts w:ascii="Calibri" w:eastAsia="Times New Roman" w:hAnsi="Calibri" w:cs="Sabon-Roman"/>
          <w:lang w:val="fr-FR" w:eastAsia="it-IT"/>
        </w:rPr>
        <w:t xml:space="preserve"> », tout en gardant une priorité sur les dossiers de crimes internationaux pour les AF organisées selon le </w:t>
      </w:r>
      <w:r w:rsidRPr="006E6AAA">
        <w:rPr>
          <w:rFonts w:ascii="Calibri" w:eastAsia="Times New Roman" w:hAnsi="Calibri" w:cs="Sabon-Roman"/>
          <w:i/>
          <w:lang w:val="fr-FR" w:eastAsia="it-IT"/>
        </w:rPr>
        <w:t>« modèle ponctuel (ad hoc)</w:t>
      </w:r>
      <w:r w:rsidRPr="006E6AAA">
        <w:rPr>
          <w:rFonts w:ascii="Calibri" w:eastAsia="Times New Roman" w:hAnsi="Calibri" w:cs="Sabon-Roman"/>
          <w:lang w:val="fr-FR" w:eastAsia="it-IT"/>
        </w:rPr>
        <w:t xml:space="preserve"> ». </w:t>
      </w:r>
    </w:p>
    <w:p w:rsidR="006E6AAA" w:rsidRPr="006E6AAA" w:rsidRDefault="006E6AAA" w:rsidP="006E6AAA">
      <w:pPr>
        <w:numPr>
          <w:ilvl w:val="0"/>
          <w:numId w:val="75"/>
        </w:numPr>
        <w:shd w:val="clear" w:color="auto" w:fill="CCCCCC"/>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 xml:space="preserve">Engager </w:t>
      </w:r>
      <w:r w:rsidRPr="006E6AAA">
        <w:rPr>
          <w:rFonts w:ascii="Calibri" w:eastAsia="Times New Roman" w:hAnsi="Calibri" w:cs="Times New Roman"/>
          <w:lang w:val="fr-FR" w:eastAsia="it-IT"/>
        </w:rPr>
        <w:t xml:space="preserve">davantage les juridictions civiles dans la lutte contre les VBG ; </w:t>
      </w:r>
    </w:p>
    <w:p w:rsidR="006E6AAA" w:rsidRPr="006E6AAA" w:rsidRDefault="006E6AAA" w:rsidP="006E6AAA">
      <w:pPr>
        <w:numPr>
          <w:ilvl w:val="0"/>
          <w:numId w:val="75"/>
        </w:num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Scala"/>
          <w:lang w:val="fr-FR" w:eastAsia="it-IT"/>
        </w:rPr>
        <w:t xml:space="preserve">Assurer que les besoin des prévenus soient adéquatement adressés; </w:t>
      </w:r>
    </w:p>
    <w:p w:rsidR="006E6AAA" w:rsidRPr="006E6AAA" w:rsidRDefault="006E6AAA" w:rsidP="006E6AAA">
      <w:pPr>
        <w:numPr>
          <w:ilvl w:val="0"/>
          <w:numId w:val="75"/>
        </w:num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Scala"/>
          <w:lang w:val="fr-FR" w:eastAsia="it-IT"/>
        </w:rPr>
        <w:t xml:space="preserve">Assister les victimes dans la phase d’exécution du jugement pour obtenir les réparations/dommages et intérêts. </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pBdr>
          <w:bottom w:val="single" w:sz="12" w:space="1" w:color="000080"/>
        </w:pBdr>
        <w:tabs>
          <w:tab w:val="left" w:pos="540"/>
          <w:tab w:val="left" w:pos="72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lastRenderedPageBreak/>
        <w:t>§ 5.4</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La pertinence avec le principe d’appropriation nationale</w:t>
      </w: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 xml:space="preserve">Il existe une bonne appropriation nationale des AF pour les aspects strictement liés à leur mise en œuvre. </w:t>
      </w: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 xml:space="preserve">Les AF ainsi que les enquêtes préliminaires du Parquet et les descentes sur terrain du Greffe sont menées entièrement par les autorités judiciaires nationales, qui ont été formées avec l’appui des partenaires internationaux et ont ainsi développé des bonnes connaissances dans la tenue des audiences selon les standards internationaux du procès équitable. </w:t>
      </w: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 xml:space="preserve">La présence des représentants des juridictions est assurée dans toutes les réunions de coordination des AF menées sous le </w:t>
      </w:r>
      <w:r w:rsidRPr="006E6AAA">
        <w:rPr>
          <w:rFonts w:ascii="Calibri" w:eastAsia="Times New Roman" w:hAnsi="Calibri" w:cs="Sabon-Roman"/>
          <w:i/>
          <w:lang w:val="fr-FR" w:eastAsia="it-IT"/>
        </w:rPr>
        <w:t>leadership</w:t>
      </w:r>
      <w:r w:rsidRPr="006E6AAA">
        <w:rPr>
          <w:rFonts w:ascii="Calibri" w:eastAsia="Times New Roman" w:hAnsi="Calibri" w:cs="Sabon-Roman"/>
          <w:lang w:val="fr-FR" w:eastAsia="it-IT"/>
        </w:rPr>
        <w:t xml:space="preserve"> des partenaires internationaux</w:t>
      </w:r>
      <w:r w:rsidRPr="006E6AAA">
        <w:rPr>
          <w:rFonts w:ascii="Calibri" w:eastAsia="Times New Roman" w:hAnsi="Calibri" w:cs="Times New Roman"/>
          <w:vertAlign w:val="superscript"/>
          <w:lang w:val="fr-FR" w:eastAsia="it-IT"/>
        </w:rPr>
        <w:footnoteReference w:id="224"/>
      </w:r>
      <w:r w:rsidRPr="006E6AAA">
        <w:rPr>
          <w:rFonts w:ascii="Calibri" w:eastAsia="Times New Roman" w:hAnsi="Calibri" w:cs="Sabon-Roman"/>
          <w:lang w:val="fr-FR" w:eastAsia="it-IT"/>
        </w:rPr>
        <w:t> et un échange régulier est assuré avec le PNUD.</w:t>
      </w: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 xml:space="preserve">Les demandes d’appui aux AF sont initiées par les juridictions, selon les modalités illustrées au § 5.1; mais il est arrivé que dans certains cas de graves violations des droits de l’homme, les partenaires internationaux ont sollicité les juridictions à organiser une AF. </w:t>
      </w: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Néanmoins, la tenue des AF est entièrement financée par les acteurs internationaux, par conséquent le système de la justice civile et militaire itinérante dépend entièrement du soutien de la communauté internationale.</w:t>
      </w: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 xml:space="preserve">Dans la planification et le suivi de l’initiative on perçoit encore une trop forte influence des partenaires internationaux, en particulier par rapport au aspect suivants: </w:t>
      </w: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p>
    <w:p w:rsidR="006E6AAA" w:rsidRPr="006E6AAA" w:rsidRDefault="006E6AAA" w:rsidP="006E6AAA">
      <w:pPr>
        <w:numPr>
          <w:ilvl w:val="0"/>
          <w:numId w:val="62"/>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 xml:space="preserve">Sélection des dossiers traités en foraine : </w:t>
      </w:r>
      <w:r w:rsidRPr="006E6AAA">
        <w:rPr>
          <w:rFonts w:ascii="Calibri" w:eastAsia="Times New Roman" w:hAnsi="Calibri" w:cs="Times New Roman"/>
          <w:lang w:val="fr-FR" w:eastAsia="it-IT"/>
        </w:rPr>
        <w:t>comme illustré au § 5.3 la politique du PNUD (et de la majorité des autres partenaires) reflet la condition imposée par les bailleurs d’appuyer une AF seulement si des dossiers VBG sont enrôlés.</w:t>
      </w:r>
      <w:r w:rsidRPr="006E6AAA">
        <w:rPr>
          <w:rFonts w:ascii="Calibri" w:eastAsia="Times New Roman" w:hAnsi="Calibri" w:cs="Times New Roman"/>
          <w:b/>
          <w:lang w:val="fr-FR" w:eastAsia="it-IT"/>
        </w:rPr>
        <w:t xml:space="preserve">  </w:t>
      </w:r>
    </w:p>
    <w:p w:rsidR="006E6AAA" w:rsidRPr="006E6AAA" w:rsidRDefault="006E6AAA" w:rsidP="006E6AAA">
      <w:pPr>
        <w:numPr>
          <w:ilvl w:val="0"/>
          <w:numId w:val="62"/>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Manque de contribution du gouvernement congolais au budget des AF.</w:t>
      </w:r>
    </w:p>
    <w:p w:rsidR="006E6AAA" w:rsidRPr="006E6AAA" w:rsidRDefault="006E6AAA" w:rsidP="006E6AAA">
      <w:pPr>
        <w:numPr>
          <w:ilvl w:val="0"/>
          <w:numId w:val="62"/>
        </w:num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 xml:space="preserve">La gestion financière des AF. </w:t>
      </w:r>
      <w:r w:rsidRPr="006E6AAA">
        <w:rPr>
          <w:rFonts w:ascii="Calibri" w:eastAsia="Times New Roman" w:hAnsi="Calibri" w:cs="Times New Roman"/>
          <w:lang w:val="fr-FR" w:eastAsia="it-IT"/>
        </w:rPr>
        <w:t>Les juridictions ne gèrent pas les fonds pour les AF mais dépendent  entièrement du PNUD (et des autres partenaires), qui décaisse les montants selon la nécessité.</w:t>
      </w:r>
      <w:r w:rsidRPr="006E6AAA">
        <w:rPr>
          <w:rFonts w:ascii="Calibri" w:eastAsia="Times New Roman" w:hAnsi="Calibri" w:cs="Times New Roman"/>
          <w:b/>
          <w:lang w:val="fr-FR" w:eastAsia="it-IT"/>
        </w:rPr>
        <w:t xml:space="preserve"> </w:t>
      </w:r>
    </w:p>
    <w:p w:rsidR="006E6AAA" w:rsidRPr="006E6AAA" w:rsidRDefault="006E6AAA" w:rsidP="006E6AAA">
      <w:pPr>
        <w:numPr>
          <w:ilvl w:val="0"/>
          <w:numId w:val="62"/>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Le suivi des AF. </w:t>
      </w:r>
      <w:r w:rsidRPr="006E6AAA">
        <w:rPr>
          <w:rFonts w:ascii="Calibri" w:eastAsia="Times New Roman" w:hAnsi="Calibri" w:cs="Times New Roman"/>
          <w:lang w:val="fr-FR" w:eastAsia="it-IT"/>
        </w:rPr>
        <w:t>Comme illustrée au § 6.1, l’implication des juridictions dans le suivi des AF est faible: actuellement les rapports d’AF sont rédigés par les internationaux présents aux AF en tant qu’observateurs ou moniteurs judiciaires.  Les greffes rédigent des rapports internes qui ne semblent pourtant pas partagés avec les partenaires internationaux et donc pas pris en compte dans suivi des AF</w:t>
      </w:r>
      <w:r w:rsidRPr="006E6AAA">
        <w:rPr>
          <w:rFonts w:ascii="Calibri" w:eastAsia="Times New Roman" w:hAnsi="Calibri" w:cs="Times New Roman"/>
          <w:vertAlign w:val="superscript"/>
          <w:lang w:val="fr-FR" w:eastAsia="it-IT"/>
        </w:rPr>
        <w:footnoteReference w:id="225"/>
      </w:r>
      <w:r w:rsidRPr="006E6AAA">
        <w:rPr>
          <w:rFonts w:ascii="Calibri" w:eastAsia="Times New Roman" w:hAnsi="Calibri" w:cs="Times New Roman"/>
          <w:lang w:val="fr-FR" w:eastAsia="it-IT"/>
        </w:rPr>
        <w:t>.</w:t>
      </w:r>
    </w:p>
    <w:p w:rsidR="006E6AAA" w:rsidRPr="006E6AAA" w:rsidRDefault="006E6AAA" w:rsidP="006E6AAA">
      <w:pPr>
        <w:numPr>
          <w:ilvl w:val="0"/>
          <w:numId w:val="62"/>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 La sécurité des AF. </w:t>
      </w:r>
      <w:r w:rsidRPr="006E6AAA">
        <w:rPr>
          <w:rFonts w:ascii="Calibri" w:eastAsia="Times New Roman" w:hAnsi="Calibri" w:cs="Times New Roman"/>
          <w:lang w:val="fr-FR" w:eastAsia="it-IT"/>
        </w:rPr>
        <w:t>Malgré la présence d’éléments de la police nationale et des FARDC, les magistrats dérivent leurs sens de sécurité principalement de la présence des Casques Bleu de la MONUSCO, en particulier quand il s’agit de siéger dans des zones á haut risque d’insécurité.</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r w:rsidRPr="006E6AAA">
        <w:rPr>
          <w:rFonts w:ascii="Calibri" w:eastAsia="Times New Roman" w:hAnsi="Calibri" w:cs="Sabon-Roman"/>
          <w:lang w:val="fr-FR" w:eastAsia="it-IT"/>
        </w:rPr>
        <w:t>L’appropriation locale dans la définition du PNUD, pourrait donc être promue davantage, en particulier dans le but de faciliter l’éventuel transfert de l’initiative aux partenaires nationaux et d’assurer qu’un budget national soit alloué à la tenue des AF</w:t>
      </w:r>
    </w:p>
    <w:p w:rsidR="006E6AAA" w:rsidRPr="006E6AAA" w:rsidRDefault="006E6AAA" w:rsidP="006E6AAA">
      <w:pPr>
        <w:autoSpaceDE w:val="0"/>
        <w:autoSpaceDN w:val="0"/>
        <w:adjustRightInd w:val="0"/>
        <w:spacing w:after="0" w:line="280" w:lineRule="exact"/>
        <w:jc w:val="both"/>
        <w:rPr>
          <w:rFonts w:ascii="Calibri" w:eastAsia="Times New Roman" w:hAnsi="Calibri" w:cs="Sabon-Roman"/>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BookAntiqua"/>
          <w:b/>
          <w:color w:val="000080"/>
          <w:sz w:val="24"/>
          <w:szCs w:val="24"/>
          <w:lang w:val="fr-FR" w:eastAsia="it-IT"/>
        </w:rPr>
      </w:pPr>
      <w:bookmarkStart w:id="3" w:name="_Toc356240473"/>
    </w:p>
    <w:p w:rsidR="006E6AAA" w:rsidRPr="006E6AAA" w:rsidRDefault="006E6AAA" w:rsidP="006E6AAA">
      <w:pPr>
        <w:tabs>
          <w:tab w:val="left" w:pos="540"/>
        </w:tabs>
        <w:spacing w:after="0" w:line="280" w:lineRule="exact"/>
        <w:jc w:val="both"/>
        <w:outlineLvl w:val="0"/>
        <w:rPr>
          <w:rFonts w:ascii="Calibri" w:eastAsia="Times New Roman" w:hAnsi="Calibri" w:cs="BookAntiqua"/>
          <w:b/>
          <w:color w:val="000080"/>
          <w:sz w:val="24"/>
          <w:szCs w:val="24"/>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b/>
          <w:smallCaps/>
          <w:color w:val="000080"/>
          <w:sz w:val="24"/>
          <w:szCs w:val="24"/>
          <w:lang w:val="fr-FR" w:eastAsia="it-IT"/>
        </w:rPr>
      </w:pPr>
      <w:r w:rsidRPr="006E6AAA">
        <w:rPr>
          <w:rFonts w:ascii="Calibri" w:eastAsia="Times New Roman" w:hAnsi="Calibri" w:cs="BookAntiqua"/>
          <w:b/>
          <w:color w:val="000080"/>
          <w:sz w:val="24"/>
          <w:szCs w:val="24"/>
          <w:lang w:val="fr-FR" w:eastAsia="it-IT"/>
        </w:rPr>
        <w:lastRenderedPageBreak/>
        <w:t>6. EFFICACITE</w:t>
      </w:r>
      <w:bookmarkEnd w:id="3"/>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 xml:space="preserve">§ 6.1. </w:t>
      </w:r>
      <w:r w:rsidRPr="006E6AAA">
        <w:rPr>
          <w:rFonts w:ascii="Calibri" w:eastAsia="Times New Roman" w:hAnsi="Calibri" w:cs="Times New Roman"/>
          <w:b/>
          <w:lang w:val="fr-FR" w:eastAsia="it-IT"/>
        </w:rPr>
        <w:t>Planification et suivi</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i/>
          <w:color w:val="000080"/>
          <w:lang w:val="fr-FR" w:eastAsia="it-IT"/>
        </w:rPr>
      </w:pPr>
      <w:r w:rsidRPr="006E6AAA">
        <w:rPr>
          <w:rFonts w:ascii="Times New Roman" w:eastAsia="Times New Roman" w:hAnsi="Times New Roman" w:cs="Times New Roman"/>
          <w:i/>
          <w:color w:val="000080"/>
          <w:lang w:val="fr-FR" w:eastAsia="it-IT"/>
        </w:rPr>
        <w:t>►</w:t>
      </w:r>
      <w:r w:rsidRPr="006E6AAA">
        <w:rPr>
          <w:rFonts w:ascii="Calibri" w:eastAsia="Times New Roman" w:hAnsi="Calibri" w:cs="Times New Roman"/>
          <w:i/>
          <w:color w:val="000080"/>
          <w:lang w:val="fr-FR" w:eastAsia="it-IT"/>
        </w:rPr>
        <w:t xml:space="preserve"> </w:t>
      </w:r>
      <w:r w:rsidRPr="006E6AAA">
        <w:rPr>
          <w:rFonts w:ascii="Calibri" w:eastAsia="Times New Roman" w:hAnsi="Calibri" w:cs="Times New Roman"/>
          <w:b/>
          <w:i/>
          <w:color w:val="000080"/>
          <w:lang w:val="fr-FR" w:eastAsia="it-IT"/>
        </w:rPr>
        <w:t>Planification</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Comme illustré au § 3, les AF sont planifiées</w:t>
      </w:r>
      <w:bookmarkStart w:id="4" w:name="_Toc277688554"/>
      <w:r w:rsidRPr="006E6AAA">
        <w:rPr>
          <w:rFonts w:ascii="Calibri" w:eastAsia="Times New Roman" w:hAnsi="Calibri" w:cs="Times New Roman"/>
          <w:lang w:val="fr-FR" w:eastAsia="it-IT"/>
        </w:rPr>
        <w:t xml:space="preserve"> dans le cadre de deux projets PNUD: </w:t>
      </w:r>
    </w:p>
    <w:p w:rsidR="006E6AAA" w:rsidRPr="006E6AAA" w:rsidRDefault="006E6AAA" w:rsidP="006E6AAA">
      <w:pPr>
        <w:numPr>
          <w:ilvl w:val="0"/>
          <w:numId w:val="89"/>
        </w:num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le projet 1888</w:t>
      </w:r>
      <w:r w:rsidRPr="006E6AAA">
        <w:rPr>
          <w:rFonts w:ascii="Calibri" w:eastAsia="Times New Roman" w:hAnsi="Calibri" w:cs="Times New Roman"/>
          <w:lang w:val="fr-FR" w:eastAsia="it-IT"/>
        </w:rPr>
        <w:t xml:space="preserve"> </w:t>
      </w:r>
      <w:r w:rsidRPr="006E6AAA">
        <w:rPr>
          <w:rFonts w:ascii="Calibri" w:eastAsia="Times New Roman" w:hAnsi="Calibri" w:cs="Calibri"/>
          <w:lang w:val="fr-FR" w:eastAsia="it-IT"/>
        </w:rPr>
        <w:t>(</w:t>
      </w:r>
      <w:r w:rsidRPr="006E6AAA">
        <w:rPr>
          <w:rFonts w:ascii="Calibri" w:eastAsia="Times New Roman" w:hAnsi="Calibri" w:cs="Calibri"/>
          <w:i/>
          <w:lang w:val="fr-FR" w:eastAsia="it-IT"/>
        </w:rPr>
        <w:t xml:space="preserve">Renforcement de la capacité du système judiciaire militaire d’enquêter et de poursuivre les crimes des violences sexuelles dans l’est de la RDC) </w:t>
      </w:r>
      <w:r w:rsidRPr="006E6AAA">
        <w:rPr>
          <w:rFonts w:ascii="Calibri" w:eastAsia="Times New Roman" w:hAnsi="Calibri" w:cs="Times New Roman"/>
          <w:lang w:val="fr-FR" w:eastAsia="it-IT"/>
        </w:rPr>
        <w:t xml:space="preserve">et </w:t>
      </w:r>
    </w:p>
    <w:p w:rsidR="006E6AAA" w:rsidRPr="006E6AAA" w:rsidRDefault="006E6AAA" w:rsidP="006E6AAA">
      <w:pPr>
        <w:numPr>
          <w:ilvl w:val="0"/>
          <w:numId w:val="89"/>
        </w:num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le projet SIDA</w:t>
      </w:r>
      <w:bookmarkEnd w:id="4"/>
      <w:r w:rsidRPr="006E6AAA">
        <w:rPr>
          <w:rFonts w:ascii="Calibri" w:eastAsia="Times New Roman" w:hAnsi="Calibri" w:cs="Times New Roman"/>
          <w:b/>
          <w:lang w:val="fr-FR" w:eastAsia="it-IT"/>
        </w:rPr>
        <w:t xml:space="preserve"> </w:t>
      </w:r>
      <w:r w:rsidRPr="006E6AAA">
        <w:rPr>
          <w:rFonts w:ascii="Calibri" w:eastAsia="Times New Roman" w:hAnsi="Calibri" w:cs="Times New Roman"/>
          <w:lang w:val="fr-FR" w:eastAsia="it-IT"/>
        </w:rPr>
        <w:t>(</w:t>
      </w:r>
      <w:r w:rsidRPr="006E6AAA">
        <w:rPr>
          <w:rFonts w:ascii="Calibri" w:eastAsia="Times New Roman" w:hAnsi="Calibri" w:cs="Calibri"/>
          <w:i/>
          <w:lang w:val="fr-FR" w:eastAsia="it-IT"/>
        </w:rPr>
        <w:t xml:space="preserve">Renforcement de l'accès des femmes à la justice : </w:t>
      </w:r>
      <w:r w:rsidRPr="006E6AAA">
        <w:rPr>
          <w:rFonts w:ascii="Calibri" w:eastAsia="Times New Roman" w:hAnsi="Calibri" w:cs="Calibri"/>
          <w:i/>
          <w:iCs/>
          <w:lang w:val="fr-FR" w:eastAsia="it-IT"/>
        </w:rPr>
        <w:t>sécurisation et autonomisation des populations dans les Kivus et en Ituri)</w:t>
      </w:r>
      <w:r w:rsidRPr="006E6AAA">
        <w:rPr>
          <w:rFonts w:ascii="Calibri" w:eastAsia="Times New Roman" w:hAnsi="Calibri" w:cs="Times New Roman"/>
          <w:lang w:val="fr-FR" w:eastAsia="it-IT"/>
        </w:rPr>
        <w:t>.</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Un extrait des cadres respectifs de ressources et des résultats est présenté ci-dessous :</w:t>
      </w:r>
    </w:p>
    <w:p w:rsidR="006E6AAA" w:rsidRPr="006E6AAA" w:rsidRDefault="006E6AAA" w:rsidP="006E6AAA">
      <w:pPr>
        <w:tabs>
          <w:tab w:val="left" w:pos="540"/>
          <w:tab w:val="left" w:pos="8460"/>
        </w:tabs>
        <w:spacing w:after="0" w:line="240" w:lineRule="auto"/>
        <w:rPr>
          <w:rFonts w:ascii="Calibri" w:eastAsia="Times New Roman" w:hAnsi="Calibri" w:cs="Times New Roman"/>
          <w:b/>
          <w:lang w:val="fr-FR"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1903"/>
        <w:gridCol w:w="909"/>
        <w:gridCol w:w="1147"/>
        <w:gridCol w:w="3706"/>
      </w:tblGrid>
      <w:tr w:rsidR="006E6AAA" w:rsidRPr="006E6AAA" w:rsidTr="00C8613A">
        <w:tc>
          <w:tcPr>
            <w:tcW w:w="9854" w:type="dxa"/>
            <w:gridSpan w:val="5"/>
            <w:shd w:val="clear" w:color="auto" w:fill="E6E6E6"/>
          </w:tcPr>
          <w:p w:rsidR="006E6AAA" w:rsidRPr="006E6AAA" w:rsidRDefault="006E6AAA" w:rsidP="006E6AAA">
            <w:pPr>
              <w:spacing w:after="0" w:line="240" w:lineRule="auto"/>
              <w:jc w:val="center"/>
              <w:rPr>
                <w:rFonts w:ascii="Calibri" w:eastAsia="Times New Roman" w:hAnsi="Calibri" w:cs="Times New Roman"/>
                <w:i/>
                <w:sz w:val="20"/>
                <w:szCs w:val="24"/>
                <w:lang w:eastAsia="it-IT"/>
              </w:rPr>
            </w:pPr>
            <w:r w:rsidRPr="006E6AAA">
              <w:rPr>
                <w:rFonts w:ascii="Calibri" w:eastAsia="Times New Roman" w:hAnsi="Calibri" w:cs="Times New Roman"/>
                <w:i/>
                <w:sz w:val="20"/>
                <w:szCs w:val="24"/>
                <w:lang w:eastAsia="it-IT"/>
              </w:rPr>
              <w:t>A) Abstract of Results Framework for project 1888 (2011 to 2012):</w:t>
            </w:r>
          </w:p>
        </w:tc>
      </w:tr>
      <w:tr w:rsidR="006E6AAA" w:rsidRPr="006E6AAA" w:rsidTr="00C8613A">
        <w:tc>
          <w:tcPr>
            <w:tcW w:w="1932"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Activity result 2.1</w:t>
            </w:r>
          </w:p>
        </w:tc>
        <w:tc>
          <w:tcPr>
            <w:tcW w:w="1956"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Activity 3</w:t>
            </w:r>
          </w:p>
        </w:tc>
        <w:tc>
          <w:tcPr>
            <w:tcW w:w="909"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baseline</w:t>
            </w:r>
          </w:p>
        </w:tc>
        <w:tc>
          <w:tcPr>
            <w:tcW w:w="1147"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indicator</w:t>
            </w:r>
          </w:p>
        </w:tc>
        <w:tc>
          <w:tcPr>
            <w:tcW w:w="3910"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Target</w:t>
            </w:r>
          </w:p>
        </w:tc>
      </w:tr>
      <w:tr w:rsidR="006E6AAA" w:rsidRPr="006E6AAA" w:rsidTr="00C8613A">
        <w:tc>
          <w:tcPr>
            <w:tcW w:w="1932" w:type="dxa"/>
            <w:tcBorders>
              <w:bottom w:val="single" w:sz="4" w:space="0" w:color="auto"/>
            </w:tcBorders>
          </w:tcPr>
          <w:p w:rsidR="006E6AAA" w:rsidRPr="006E6AAA" w:rsidRDefault="006E6AAA" w:rsidP="006E6AAA">
            <w:pPr>
              <w:spacing w:after="0" w:line="240" w:lineRule="auto"/>
              <w:contextualSpacing/>
              <w:rPr>
                <w:rFonts w:ascii="Cambria" w:eastAsia="Times New Roman" w:hAnsi="Cambria" w:cs="Arial"/>
                <w:iCs/>
                <w:sz w:val="18"/>
                <w:szCs w:val="18"/>
                <w:lang w:eastAsia="it-IT"/>
              </w:rPr>
            </w:pPr>
            <w:r w:rsidRPr="006E6AAA">
              <w:rPr>
                <w:rFonts w:ascii="Cambria" w:eastAsia="Times New Roman" w:hAnsi="Cambria" w:cs="Arial"/>
                <w:iCs/>
                <w:sz w:val="18"/>
                <w:szCs w:val="18"/>
                <w:lang w:eastAsia="it-IT"/>
              </w:rPr>
              <w:t>Reinforce and strengthen the military judicial actions based on gender and SGBV;</w:t>
            </w:r>
          </w:p>
        </w:tc>
        <w:tc>
          <w:tcPr>
            <w:tcW w:w="1956" w:type="dxa"/>
            <w:tcBorders>
              <w:bottom w:val="single" w:sz="4" w:space="0" w:color="auto"/>
            </w:tcBorders>
          </w:tcPr>
          <w:p w:rsidR="006E6AAA" w:rsidRPr="006E6AAA" w:rsidRDefault="006E6AAA" w:rsidP="006E6AAA">
            <w:pPr>
              <w:spacing w:after="0" w:line="240" w:lineRule="auto"/>
              <w:rPr>
                <w:rFonts w:ascii="Calibri" w:eastAsia="Times New Roman" w:hAnsi="Calibri" w:cs="Times New Roman"/>
                <w:sz w:val="20"/>
                <w:szCs w:val="24"/>
                <w:lang w:eastAsia="it-IT"/>
              </w:rPr>
            </w:pPr>
            <w:r w:rsidRPr="006E6AAA">
              <w:rPr>
                <w:rFonts w:ascii="Cambria" w:eastAsia="Times New Roman" w:hAnsi="Cambria" w:cs="Arial"/>
                <w:iCs/>
                <w:sz w:val="18"/>
                <w:szCs w:val="18"/>
                <w:lang w:eastAsia="it-IT"/>
              </w:rPr>
              <w:t xml:space="preserve">Logistical assistance to investigation,  prosecution and </w:t>
            </w:r>
            <w:r w:rsidRPr="006E6AAA">
              <w:rPr>
                <w:rFonts w:ascii="Cambria" w:eastAsia="Times New Roman" w:hAnsi="Cambria" w:cs="Arial"/>
                <w:b/>
                <w:iCs/>
                <w:sz w:val="18"/>
                <w:szCs w:val="18"/>
                <w:u w:val="single"/>
                <w:lang w:eastAsia="it-IT"/>
              </w:rPr>
              <w:t>trials (mobile)</w:t>
            </w:r>
            <w:r w:rsidRPr="006E6AAA">
              <w:rPr>
                <w:rFonts w:ascii="Cambria" w:eastAsia="Times New Roman" w:hAnsi="Cambria" w:cs="Arial"/>
                <w:iCs/>
                <w:sz w:val="18"/>
                <w:szCs w:val="18"/>
                <w:lang w:eastAsia="it-IT"/>
              </w:rPr>
              <w:t xml:space="preserve"> of  sexual violence.;</w:t>
            </w:r>
          </w:p>
        </w:tc>
        <w:tc>
          <w:tcPr>
            <w:tcW w:w="909" w:type="dxa"/>
            <w:tcBorders>
              <w:bottom w:val="single" w:sz="4" w:space="0" w:color="auto"/>
            </w:tcBorders>
          </w:tcPr>
          <w:p w:rsidR="006E6AAA" w:rsidRPr="006E6AAA" w:rsidRDefault="006E6AAA" w:rsidP="006E6AAA">
            <w:pPr>
              <w:spacing w:after="0" w:line="240" w:lineRule="auto"/>
              <w:rPr>
                <w:rFonts w:ascii="Calibri" w:eastAsia="Times New Roman" w:hAnsi="Calibri" w:cs="Times New Roman"/>
                <w:sz w:val="20"/>
                <w:szCs w:val="24"/>
                <w:lang w:eastAsia="it-IT"/>
              </w:rPr>
            </w:pPr>
            <w:r w:rsidRPr="006E6AAA">
              <w:rPr>
                <w:rFonts w:ascii="Calibri" w:eastAsia="Times New Roman" w:hAnsi="Calibri" w:cs="Times New Roman"/>
                <w:sz w:val="20"/>
                <w:szCs w:val="24"/>
                <w:lang w:eastAsia="it-IT"/>
              </w:rPr>
              <w:t>n/a</w:t>
            </w:r>
          </w:p>
        </w:tc>
        <w:tc>
          <w:tcPr>
            <w:tcW w:w="1147" w:type="dxa"/>
            <w:tcBorders>
              <w:bottom w:val="single" w:sz="4" w:space="0" w:color="auto"/>
            </w:tcBorders>
          </w:tcPr>
          <w:p w:rsidR="006E6AAA" w:rsidRPr="006E6AAA" w:rsidRDefault="006E6AAA" w:rsidP="006E6AAA">
            <w:pPr>
              <w:spacing w:after="0" w:line="240" w:lineRule="auto"/>
              <w:rPr>
                <w:rFonts w:ascii="Calibri" w:eastAsia="Times New Roman" w:hAnsi="Calibri" w:cs="Times New Roman"/>
                <w:sz w:val="20"/>
                <w:szCs w:val="24"/>
                <w:lang w:eastAsia="it-IT"/>
              </w:rPr>
            </w:pPr>
            <w:r w:rsidRPr="006E6AAA">
              <w:rPr>
                <w:rFonts w:ascii="Calibri" w:eastAsia="Times New Roman" w:hAnsi="Calibri" w:cs="Times New Roman"/>
                <w:sz w:val="20"/>
                <w:szCs w:val="24"/>
                <w:lang w:eastAsia="it-IT"/>
              </w:rPr>
              <w:t>n/a</w:t>
            </w:r>
          </w:p>
        </w:tc>
        <w:tc>
          <w:tcPr>
            <w:tcW w:w="3910" w:type="dxa"/>
            <w:tcBorders>
              <w:bottom w:val="single" w:sz="4" w:space="0" w:color="auto"/>
            </w:tcBorders>
          </w:tcPr>
          <w:p w:rsidR="006E6AAA" w:rsidRPr="006E6AAA" w:rsidRDefault="006E6AAA" w:rsidP="006E6AAA">
            <w:pPr>
              <w:spacing w:after="0" w:line="240" w:lineRule="auto"/>
              <w:rPr>
                <w:rFonts w:ascii="Cambria" w:eastAsia="Times New Roman" w:hAnsi="Cambria" w:cs="Times New Roman"/>
                <w:sz w:val="18"/>
                <w:szCs w:val="18"/>
                <w:lang w:eastAsia="it-IT"/>
              </w:rPr>
            </w:pPr>
            <w:r w:rsidRPr="006E6AAA">
              <w:rPr>
                <w:rFonts w:ascii="Cambria" w:eastAsia="Times New Roman" w:hAnsi="Cambria" w:cs="Times New Roman"/>
                <w:sz w:val="18"/>
                <w:szCs w:val="18"/>
                <w:lang w:eastAsia="it-IT"/>
              </w:rPr>
              <w:t>- 20 % increase of the number of SGBV cases dealt with by military jurisdictions;</w:t>
            </w:r>
          </w:p>
          <w:p w:rsidR="006E6AAA" w:rsidRPr="006E6AAA" w:rsidRDefault="006E6AAA" w:rsidP="006E6AAA">
            <w:pPr>
              <w:spacing w:after="0" w:line="240" w:lineRule="auto"/>
              <w:contextualSpacing/>
              <w:rPr>
                <w:rFonts w:ascii="Cambria" w:eastAsia="Times New Roman" w:hAnsi="Cambria" w:cs="Times New Roman"/>
                <w:sz w:val="18"/>
                <w:szCs w:val="18"/>
                <w:lang w:eastAsia="it-IT"/>
              </w:rPr>
            </w:pPr>
            <w:r w:rsidRPr="006E6AAA">
              <w:rPr>
                <w:rFonts w:ascii="Cambria" w:eastAsia="Times New Roman" w:hAnsi="Cambria" w:cs="Times New Roman"/>
                <w:sz w:val="18"/>
                <w:szCs w:val="18"/>
                <w:lang w:eastAsia="it-IT"/>
              </w:rPr>
              <w:t>- 20% increase of cases dealt with under the legal delays.</w:t>
            </w:r>
          </w:p>
          <w:p w:rsidR="006E6AAA" w:rsidRPr="006E6AAA" w:rsidRDefault="006E6AAA" w:rsidP="006E6AAA">
            <w:pPr>
              <w:spacing w:after="0" w:line="240" w:lineRule="auto"/>
              <w:rPr>
                <w:rFonts w:ascii="Calibri" w:eastAsia="Times New Roman" w:hAnsi="Calibri" w:cs="Times New Roman"/>
                <w:sz w:val="20"/>
                <w:szCs w:val="24"/>
                <w:lang w:eastAsia="it-IT"/>
              </w:rPr>
            </w:pPr>
          </w:p>
        </w:tc>
      </w:tr>
      <w:tr w:rsidR="006E6AAA" w:rsidRPr="006E6AAA" w:rsidTr="00C8613A">
        <w:tc>
          <w:tcPr>
            <w:tcW w:w="9854" w:type="dxa"/>
            <w:gridSpan w:val="5"/>
            <w:shd w:val="clear" w:color="auto" w:fill="E0E0E0"/>
          </w:tcPr>
          <w:p w:rsidR="006E6AAA" w:rsidRPr="006E6AAA" w:rsidRDefault="006E6AAA" w:rsidP="006E6AAA">
            <w:pPr>
              <w:spacing w:after="0" w:line="240" w:lineRule="auto"/>
              <w:jc w:val="center"/>
              <w:rPr>
                <w:rFonts w:ascii="Cambria" w:eastAsia="Times New Roman" w:hAnsi="Cambria" w:cs="Times New Roman"/>
                <w:sz w:val="18"/>
                <w:szCs w:val="18"/>
                <w:lang w:eastAsia="it-IT"/>
              </w:rPr>
            </w:pPr>
            <w:r w:rsidRPr="006E6AAA">
              <w:rPr>
                <w:rFonts w:ascii="Calibri" w:eastAsia="Times New Roman" w:hAnsi="Calibri" w:cs="Times New Roman"/>
                <w:i/>
                <w:sz w:val="20"/>
                <w:szCs w:val="24"/>
                <w:lang w:eastAsia="it-IT"/>
              </w:rPr>
              <w:t>B) Abstract of Results Framework for project SIDA (2011 to 2012):</w:t>
            </w:r>
          </w:p>
        </w:tc>
      </w:tr>
      <w:tr w:rsidR="006E6AAA" w:rsidRPr="006E6AAA" w:rsidTr="00C8613A">
        <w:tc>
          <w:tcPr>
            <w:tcW w:w="1932"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Activity result 2</w:t>
            </w:r>
          </w:p>
        </w:tc>
        <w:tc>
          <w:tcPr>
            <w:tcW w:w="1956"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Activity 5</w:t>
            </w:r>
          </w:p>
        </w:tc>
        <w:tc>
          <w:tcPr>
            <w:tcW w:w="909"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baseline</w:t>
            </w:r>
          </w:p>
        </w:tc>
        <w:tc>
          <w:tcPr>
            <w:tcW w:w="1147"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indicator</w:t>
            </w:r>
          </w:p>
        </w:tc>
        <w:tc>
          <w:tcPr>
            <w:tcW w:w="3910" w:type="dxa"/>
          </w:tcPr>
          <w:p w:rsidR="006E6AAA" w:rsidRPr="006E6AAA" w:rsidRDefault="006E6AAA" w:rsidP="006E6AAA">
            <w:pPr>
              <w:spacing w:after="0" w:line="240" w:lineRule="auto"/>
              <w:rPr>
                <w:rFonts w:ascii="Calibri" w:eastAsia="Times New Roman" w:hAnsi="Calibri" w:cs="Times New Roman"/>
                <w:b/>
                <w:sz w:val="20"/>
                <w:szCs w:val="24"/>
                <w:lang w:eastAsia="it-IT"/>
              </w:rPr>
            </w:pPr>
            <w:r w:rsidRPr="006E6AAA">
              <w:rPr>
                <w:rFonts w:ascii="Calibri" w:eastAsia="Times New Roman" w:hAnsi="Calibri" w:cs="Times New Roman"/>
                <w:b/>
                <w:sz w:val="20"/>
                <w:szCs w:val="24"/>
                <w:lang w:eastAsia="it-IT"/>
              </w:rPr>
              <w:t>Target</w:t>
            </w:r>
          </w:p>
        </w:tc>
      </w:tr>
      <w:tr w:rsidR="006E6AAA" w:rsidRPr="006E6AAA" w:rsidTr="00C8613A">
        <w:tc>
          <w:tcPr>
            <w:tcW w:w="1932" w:type="dxa"/>
          </w:tcPr>
          <w:p w:rsidR="006E6AAA" w:rsidRPr="006E6AAA" w:rsidRDefault="006E6AAA" w:rsidP="006E6AAA">
            <w:pPr>
              <w:spacing w:after="0" w:line="240" w:lineRule="auto"/>
              <w:contextualSpacing/>
              <w:rPr>
                <w:rFonts w:ascii="Cambria" w:eastAsia="Times New Roman" w:hAnsi="Cambria" w:cs="Arial"/>
                <w:iCs/>
                <w:sz w:val="18"/>
                <w:szCs w:val="18"/>
                <w:lang w:eastAsia="it-IT"/>
              </w:rPr>
            </w:pPr>
            <w:r w:rsidRPr="006E6AAA">
              <w:rPr>
                <w:rFonts w:ascii="Cambria" w:eastAsia="Times New Roman" w:hAnsi="Cambria" w:cs="Arial"/>
                <w:iCs/>
                <w:sz w:val="18"/>
                <w:szCs w:val="18"/>
                <w:lang w:eastAsia="it-IT"/>
              </w:rPr>
              <w:t xml:space="preserve">Reinforce and strengthen the judicial response to civil and criminal action based on gender and SGBV; </w:t>
            </w:r>
          </w:p>
          <w:p w:rsidR="006E6AAA" w:rsidRPr="006E6AAA" w:rsidRDefault="006E6AAA" w:rsidP="006E6AAA">
            <w:pPr>
              <w:spacing w:after="0" w:line="240" w:lineRule="auto"/>
              <w:contextualSpacing/>
              <w:rPr>
                <w:rFonts w:ascii="Cambria" w:eastAsia="Times New Roman" w:hAnsi="Cambria" w:cs="Arial"/>
                <w:b/>
                <w:iCs/>
                <w:sz w:val="18"/>
                <w:szCs w:val="18"/>
                <w:lang w:eastAsia="it-IT"/>
              </w:rPr>
            </w:pPr>
          </w:p>
        </w:tc>
        <w:tc>
          <w:tcPr>
            <w:tcW w:w="1956" w:type="dxa"/>
          </w:tcPr>
          <w:p w:rsidR="006E6AAA" w:rsidRPr="006E6AAA" w:rsidRDefault="006E6AAA" w:rsidP="006E6AAA">
            <w:pPr>
              <w:spacing w:after="0" w:line="240" w:lineRule="auto"/>
              <w:contextualSpacing/>
              <w:rPr>
                <w:rFonts w:ascii="Cambria" w:eastAsia="Times New Roman" w:hAnsi="Cambria" w:cs="Arial"/>
                <w:b/>
                <w:iCs/>
                <w:sz w:val="18"/>
                <w:szCs w:val="18"/>
                <w:u w:val="single"/>
                <w:lang w:val="it-IT" w:eastAsia="it-IT"/>
              </w:rPr>
            </w:pPr>
            <w:r w:rsidRPr="006E6AAA">
              <w:rPr>
                <w:rFonts w:ascii="Cambria" w:eastAsia="Times New Roman" w:hAnsi="Cambria" w:cs="Arial"/>
                <w:iCs/>
                <w:sz w:val="18"/>
                <w:szCs w:val="18"/>
                <w:lang w:val="it-IT" w:eastAsia="it-IT"/>
              </w:rPr>
              <w:t xml:space="preserve">Support to </w:t>
            </w:r>
            <w:r w:rsidRPr="006E6AAA">
              <w:rPr>
                <w:rFonts w:ascii="Cambria" w:eastAsia="Times New Roman" w:hAnsi="Cambria" w:cs="Arial"/>
                <w:b/>
                <w:iCs/>
                <w:sz w:val="18"/>
                <w:szCs w:val="18"/>
                <w:u w:val="single"/>
                <w:lang w:val="it-IT" w:eastAsia="it-IT"/>
              </w:rPr>
              <w:t xml:space="preserve">audiences foraines; </w:t>
            </w:r>
          </w:p>
          <w:p w:rsidR="006E6AAA" w:rsidRPr="006E6AAA" w:rsidRDefault="006E6AAA" w:rsidP="006E6AAA">
            <w:pPr>
              <w:spacing w:after="0" w:line="240" w:lineRule="auto"/>
              <w:rPr>
                <w:rFonts w:ascii="Cambria" w:eastAsia="Times New Roman" w:hAnsi="Cambria" w:cs="Arial"/>
                <w:iCs/>
                <w:sz w:val="18"/>
                <w:szCs w:val="18"/>
                <w:lang w:eastAsia="it-IT"/>
              </w:rPr>
            </w:pPr>
          </w:p>
        </w:tc>
        <w:tc>
          <w:tcPr>
            <w:tcW w:w="909" w:type="dxa"/>
          </w:tcPr>
          <w:p w:rsidR="006E6AAA" w:rsidRPr="006E6AAA" w:rsidRDefault="006E6AAA" w:rsidP="006E6AAA">
            <w:pPr>
              <w:spacing w:after="0" w:line="240" w:lineRule="auto"/>
              <w:rPr>
                <w:rFonts w:ascii="Calibri" w:eastAsia="Times New Roman" w:hAnsi="Calibri" w:cs="Times New Roman"/>
                <w:sz w:val="20"/>
                <w:szCs w:val="24"/>
                <w:lang w:eastAsia="it-IT"/>
              </w:rPr>
            </w:pPr>
            <w:r w:rsidRPr="006E6AAA">
              <w:rPr>
                <w:rFonts w:ascii="Calibri" w:eastAsia="Times New Roman" w:hAnsi="Calibri" w:cs="Times New Roman"/>
                <w:sz w:val="20"/>
                <w:szCs w:val="24"/>
                <w:lang w:eastAsia="it-IT"/>
              </w:rPr>
              <w:t>n/a</w:t>
            </w:r>
          </w:p>
        </w:tc>
        <w:tc>
          <w:tcPr>
            <w:tcW w:w="1147" w:type="dxa"/>
          </w:tcPr>
          <w:p w:rsidR="006E6AAA" w:rsidRPr="006E6AAA" w:rsidRDefault="006E6AAA" w:rsidP="006E6AAA">
            <w:pPr>
              <w:spacing w:after="0" w:line="240" w:lineRule="auto"/>
              <w:rPr>
                <w:rFonts w:ascii="Calibri" w:eastAsia="Times New Roman" w:hAnsi="Calibri" w:cs="Times New Roman"/>
                <w:sz w:val="20"/>
                <w:szCs w:val="24"/>
                <w:lang w:eastAsia="it-IT"/>
              </w:rPr>
            </w:pPr>
            <w:r w:rsidRPr="006E6AAA">
              <w:rPr>
                <w:rFonts w:ascii="Cambria" w:eastAsia="Times New Roman" w:hAnsi="Cambria" w:cs="Times New Roman"/>
                <w:bCs/>
                <w:sz w:val="18"/>
                <w:szCs w:val="18"/>
                <w:lang w:eastAsia="it-IT"/>
              </w:rPr>
              <w:t>% change in</w:t>
            </w:r>
            <w:r w:rsidRPr="006E6AAA">
              <w:rPr>
                <w:rFonts w:ascii="Cambria" w:eastAsia="Times New Roman" w:hAnsi="Cambria" w:cs="Times New Roman"/>
                <w:b/>
                <w:sz w:val="18"/>
                <w:szCs w:val="18"/>
                <w:lang w:eastAsia="it-IT"/>
              </w:rPr>
              <w:t xml:space="preserve"> </w:t>
            </w:r>
            <w:r w:rsidRPr="006E6AAA">
              <w:rPr>
                <w:rFonts w:ascii="Cambria" w:eastAsia="Times New Roman" w:hAnsi="Cambria" w:cs="Times New Roman"/>
                <w:sz w:val="18"/>
                <w:szCs w:val="18"/>
                <w:lang w:eastAsia="it-IT"/>
              </w:rPr>
              <w:t>the number of SGBV cases dealt with by judicial institutions;</w:t>
            </w:r>
            <w:r w:rsidRPr="006E6AAA">
              <w:rPr>
                <w:rFonts w:ascii="Cambria" w:eastAsia="Times New Roman" w:hAnsi="Cambria" w:cs="Times New Roman"/>
                <w:b/>
                <w:sz w:val="18"/>
                <w:szCs w:val="18"/>
                <w:lang w:eastAsia="it-IT"/>
              </w:rPr>
              <w:t xml:space="preserve">  </w:t>
            </w:r>
          </w:p>
        </w:tc>
        <w:tc>
          <w:tcPr>
            <w:tcW w:w="3910" w:type="dxa"/>
          </w:tcPr>
          <w:p w:rsidR="006E6AAA" w:rsidRPr="006E6AAA" w:rsidRDefault="006E6AAA" w:rsidP="006E6AAA">
            <w:pPr>
              <w:spacing w:after="0" w:line="240" w:lineRule="auto"/>
              <w:contextualSpacing/>
              <w:rPr>
                <w:rFonts w:ascii="Cambria" w:eastAsia="Times New Roman" w:hAnsi="Cambria" w:cs="Times New Roman"/>
                <w:sz w:val="18"/>
                <w:szCs w:val="18"/>
                <w:lang w:eastAsia="it-IT"/>
              </w:rPr>
            </w:pPr>
            <w:r w:rsidRPr="006E6AAA">
              <w:rPr>
                <w:rFonts w:ascii="Cambria" w:eastAsia="Times New Roman" w:hAnsi="Cambria" w:cs="Times New Roman"/>
                <w:sz w:val="18"/>
                <w:szCs w:val="18"/>
                <w:lang w:eastAsia="it-IT"/>
              </w:rPr>
              <w:t xml:space="preserve">- 10 % increase of the number of SGBV cases dealt with by judicial institutions; </w:t>
            </w:r>
          </w:p>
          <w:p w:rsidR="006E6AAA" w:rsidRPr="006E6AAA" w:rsidRDefault="006E6AAA" w:rsidP="006E6AAA">
            <w:pPr>
              <w:spacing w:after="0" w:line="240" w:lineRule="auto"/>
              <w:contextualSpacing/>
              <w:rPr>
                <w:rFonts w:ascii="Cambria" w:eastAsia="Times New Roman" w:hAnsi="Cambria" w:cs="Times New Roman"/>
                <w:sz w:val="18"/>
                <w:szCs w:val="18"/>
                <w:lang w:eastAsia="it-IT"/>
              </w:rPr>
            </w:pPr>
            <w:r w:rsidRPr="006E6AAA">
              <w:rPr>
                <w:rFonts w:ascii="Cambria" w:eastAsia="Times New Roman" w:hAnsi="Cambria" w:cs="Times New Roman"/>
                <w:sz w:val="18"/>
                <w:szCs w:val="18"/>
                <w:lang w:eastAsia="it-IT"/>
              </w:rPr>
              <w:t>20% increase of cases dealt with under the legal delays.</w:t>
            </w:r>
          </w:p>
          <w:p w:rsidR="006E6AAA" w:rsidRPr="006E6AAA" w:rsidRDefault="006E6AAA" w:rsidP="006E6AAA">
            <w:pPr>
              <w:spacing w:after="0" w:line="240" w:lineRule="auto"/>
              <w:rPr>
                <w:rFonts w:ascii="Cambria" w:eastAsia="Times New Roman" w:hAnsi="Cambria" w:cs="Times New Roman"/>
                <w:sz w:val="18"/>
                <w:szCs w:val="18"/>
                <w:lang w:val="fr-FR" w:eastAsia="it-IT"/>
              </w:rPr>
            </w:pPr>
            <w:r w:rsidRPr="006E6AAA">
              <w:rPr>
                <w:rFonts w:ascii="Cambria" w:eastAsia="Times New Roman" w:hAnsi="Cambria" w:cs="Times New Roman"/>
                <w:sz w:val="18"/>
                <w:szCs w:val="18"/>
                <w:lang w:val="fr-FR" w:eastAsia="it-IT"/>
              </w:rPr>
              <w:t>- au moins 50 % des procès sont été intentés par une femme/ou ceux où la femme a été la victime (PTA 2012)</w:t>
            </w:r>
          </w:p>
        </w:tc>
      </w:tr>
    </w:tbl>
    <w:p w:rsidR="006E6AAA" w:rsidRPr="006E6AAA" w:rsidRDefault="006E6AAA" w:rsidP="006E6AAA">
      <w:pPr>
        <w:spacing w:after="0" w:line="240" w:lineRule="auto"/>
        <w:rPr>
          <w:rFonts w:ascii="Calibri" w:eastAsia="Times New Roman" w:hAnsi="Calibri" w:cs="Times New Roman"/>
          <w:lang w:val="fr-FR" w:eastAsia="it-IT"/>
        </w:rPr>
      </w:pPr>
    </w:p>
    <w:p w:rsidR="006E6AAA" w:rsidRPr="006E6AAA" w:rsidRDefault="006E6AAA" w:rsidP="006E6AAA">
      <w:pPr>
        <w:spacing w:after="0" w:line="280" w:lineRule="exact"/>
        <w:contextualSpacing/>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Etant donné que  l’appui aux AF est une composante mineure de deux plus vastes projets d’accès á la justice, des cibles et des indicateurs spécifiques pour les AF n’ont pas étés identifiés, mais sont les mêmes que  les indicateurs pour les juridictions permanentes. </w:t>
      </w:r>
    </w:p>
    <w:p w:rsidR="006E6AAA" w:rsidRPr="006E6AAA" w:rsidRDefault="006E6AAA" w:rsidP="006E6AAA">
      <w:pPr>
        <w:spacing w:after="0" w:line="280" w:lineRule="exact"/>
        <w:contextualSpacing/>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Termes de Référence des AF présentent une description narrative des AF.</w:t>
      </w:r>
    </w:p>
    <w:p w:rsidR="006E6AAA" w:rsidRPr="006E6AAA" w:rsidRDefault="006E6AAA" w:rsidP="006E6AAA">
      <w:pPr>
        <w:spacing w:after="0" w:line="280" w:lineRule="exact"/>
        <w:contextualSpacing/>
        <w:jc w:val="both"/>
        <w:rPr>
          <w:rFonts w:ascii="Calibri" w:eastAsia="Times New Roman" w:hAnsi="Calibri" w:cs="Arial"/>
          <w:lang w:val="fr-FR" w:eastAsia="it-IT"/>
        </w:rPr>
      </w:pPr>
    </w:p>
    <w:p w:rsidR="006E6AAA" w:rsidRPr="006E6AAA" w:rsidRDefault="006E6AAA" w:rsidP="006E6AAA">
      <w:pPr>
        <w:spacing w:after="0" w:line="280" w:lineRule="exact"/>
        <w:contextualSpacing/>
        <w:jc w:val="both"/>
        <w:rPr>
          <w:rFonts w:ascii="Calibri" w:eastAsia="Times New Roman" w:hAnsi="Calibri" w:cs="Times New Roman"/>
          <w:lang w:val="fr-FR" w:eastAsia="it-IT"/>
        </w:rPr>
      </w:pPr>
      <w:r w:rsidRPr="006E6AAA">
        <w:rPr>
          <w:rFonts w:ascii="Calibri" w:eastAsia="Times New Roman" w:hAnsi="Calibri" w:cs="Arial"/>
          <w:lang w:val="fr-FR" w:eastAsia="it-IT"/>
        </w:rPr>
        <w:t>Les éléments de la planification qui pourraient être renforcés sont indiqués ci-dessous.</w:t>
      </w:r>
    </w:p>
    <w:p w:rsidR="006E6AAA" w:rsidRPr="006E6AAA" w:rsidRDefault="006E6AAA" w:rsidP="006E6AAA">
      <w:pPr>
        <w:spacing w:after="0" w:line="280" w:lineRule="exact"/>
        <w:contextualSpacing/>
        <w:jc w:val="both"/>
        <w:rPr>
          <w:rFonts w:ascii="Calibri" w:eastAsia="Times New Roman" w:hAnsi="Calibri" w:cs="Times New Roman"/>
          <w:lang w:val="fr-FR" w:eastAsia="it-IT"/>
        </w:rPr>
      </w:pPr>
    </w:p>
    <w:p w:rsidR="006E6AAA" w:rsidRPr="006E6AAA" w:rsidRDefault="006E6AAA" w:rsidP="006E6AAA">
      <w:pPr>
        <w:numPr>
          <w:ilvl w:val="0"/>
          <w:numId w:val="64"/>
        </w:numPr>
        <w:tabs>
          <w:tab w:val="left" w:pos="540"/>
          <w:tab w:val="left" w:pos="72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Renforcer la planification des AF</w:t>
      </w:r>
    </w:p>
    <w:p w:rsidR="006E6AAA" w:rsidRPr="006E6AAA" w:rsidRDefault="006E6AAA" w:rsidP="006E6AAA">
      <w:pPr>
        <w:tabs>
          <w:tab w:val="left" w:pos="540"/>
          <w:tab w:val="left" w:pos="720"/>
          <w:tab w:val="left" w:pos="8460"/>
        </w:tabs>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 5.2 a souligné le besoin ressenti par tous les acteurs qui interviennent dans l’organisation des AF d’une  planification plus spécifique, afin </w:t>
      </w:r>
      <w:r w:rsidRPr="006E6AAA">
        <w:rPr>
          <w:rFonts w:ascii="Calibri" w:eastAsia="Times New Roman" w:hAnsi="Calibri" w:cs="Times New Roman"/>
          <w:i/>
          <w:lang w:val="fr-FR" w:eastAsia="it-IT"/>
        </w:rPr>
        <w:t>inter alia</w:t>
      </w:r>
      <w:r w:rsidRPr="006E6AAA">
        <w:rPr>
          <w:rFonts w:ascii="Calibri" w:eastAsia="Times New Roman" w:hAnsi="Calibri" w:cs="Times New Roman"/>
          <w:lang w:val="fr-FR" w:eastAsia="it-IT"/>
        </w:rPr>
        <w:t xml:space="preserve"> de faciliter</w:t>
      </w:r>
      <w:r w:rsidRPr="006E6AAA">
        <w:rPr>
          <w:rFonts w:ascii="Calibri" w:eastAsia="Times New Roman" w:hAnsi="Calibri" w:cs="Arial"/>
          <w:lang w:val="fr-FR" w:eastAsia="it-IT"/>
        </w:rPr>
        <w:t xml:space="preserve"> la mesure du progrès des activités envers les résultats escomptés et l’impact de l’initiative.</w:t>
      </w:r>
    </w:p>
    <w:p w:rsidR="006E6AAA" w:rsidRPr="006E6AAA" w:rsidRDefault="006E6AAA" w:rsidP="006E6AAA">
      <w:pPr>
        <w:tabs>
          <w:tab w:val="left" w:pos="540"/>
          <w:tab w:val="left" w:pos="720"/>
          <w:tab w:val="left" w:pos="8460"/>
        </w:tabs>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Une suggestion qui a rencontré l’intérêt des parties intéressés est la </w:t>
      </w:r>
      <w:r w:rsidRPr="006E6AAA">
        <w:rPr>
          <w:rFonts w:ascii="Calibri" w:eastAsia="Times New Roman" w:hAnsi="Calibri" w:cs="Times New Roman"/>
          <w:b/>
          <w:lang w:val="fr-FR" w:eastAsia="it-IT"/>
        </w:rPr>
        <w:t>rédaction d’un Protocole d’entente annuel</w:t>
      </w:r>
      <w:r w:rsidRPr="006E6AAA">
        <w:rPr>
          <w:rFonts w:ascii="Calibri" w:eastAsia="Times New Roman" w:hAnsi="Calibri" w:cs="Times New Roman"/>
          <w:lang w:val="fr-FR" w:eastAsia="it-IT"/>
        </w:rPr>
        <w:t xml:space="preserve"> entre les partenaires internationaux qui appuient les AF et les autorités judiciaires pour gérer et planifier les AF. Ce document permettrait de définir un cadre de travail cohérent avec des indicateurs, points de repère et aspects financiers harmonisées; il devrait être conçu comme une mesure intérimaire dans l’attente que le système des AF puisse être transféré aux partenaires nationaux et donc devrait inclure une solide stratégie de pérennisation</w:t>
      </w:r>
      <w:r w:rsidRPr="006E6AAA">
        <w:rPr>
          <w:rFonts w:ascii="Calibri" w:eastAsia="Times New Roman" w:hAnsi="Calibri" w:cs="Times New Roman"/>
          <w:vertAlign w:val="superscript"/>
          <w:lang w:val="fr-FR" w:eastAsia="it-IT"/>
        </w:rPr>
        <w:footnoteReference w:id="226"/>
      </w:r>
      <w:r w:rsidRPr="006E6AAA">
        <w:rPr>
          <w:rFonts w:ascii="Calibri" w:eastAsia="Times New Roman" w:hAnsi="Calibri" w:cs="Times New Roman"/>
          <w:lang w:val="fr-FR" w:eastAsia="it-IT"/>
        </w:rPr>
        <w:t xml:space="preserve">. Le document pourrait aussi régir les aspects financiers avec la création d’un </w:t>
      </w:r>
      <w:r w:rsidRPr="006E6AAA">
        <w:rPr>
          <w:rFonts w:ascii="Calibri" w:eastAsia="Times New Roman" w:hAnsi="Calibri" w:cs="Times New Roman"/>
          <w:i/>
          <w:lang w:val="fr-FR" w:eastAsia="it-IT"/>
        </w:rPr>
        <w:t>basket fund</w:t>
      </w:r>
      <w:r w:rsidRPr="006E6AAA">
        <w:rPr>
          <w:rFonts w:ascii="Calibri" w:eastAsia="Times New Roman" w:hAnsi="Calibri" w:cs="Times New Roman"/>
          <w:lang w:val="fr-FR" w:eastAsia="it-IT"/>
        </w:rPr>
        <w:t>, comme illustre au § 3.1.</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La cheffe de mission d’ASF a suggéré de prévoir un accord de principe avec le Ministère de la Justice au niveau national pour définir la stratégie d’intervention et un accord opérationnel au niveau des provinces.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D’autres partenaires suggèrent d’intégrer dans le Protocole les aspect de renforcement des juridictions permanentes en assurant que le Ministère de la Justice s’engage á affecter des magistrats dans les zones où interviennent les AF.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p>
    <w:p w:rsidR="006E6AAA" w:rsidRPr="006E6AAA" w:rsidRDefault="006E6AAA" w:rsidP="006E6AAA">
      <w:pPr>
        <w:numPr>
          <w:ilvl w:val="0"/>
          <w:numId w:val="64"/>
        </w:numPr>
        <w:spacing w:after="0" w:line="280" w:lineRule="exact"/>
        <w:contextualSpacing/>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Renforcer les indicateurs de performance des AF</w:t>
      </w:r>
    </w:p>
    <w:p w:rsidR="006E6AAA" w:rsidRPr="006E6AAA" w:rsidRDefault="006E6AAA" w:rsidP="006E6AAA">
      <w:pPr>
        <w:spacing w:after="0" w:line="280" w:lineRule="exact"/>
        <w:ind w:left="288"/>
        <w:contextualSpacing/>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définition du protocole d’entente susmentionné permettrait d’adopter des indicateurs spécifiques aux AF pour mesurer leur performance et impact. </w:t>
      </w:r>
    </w:p>
    <w:p w:rsidR="006E6AAA" w:rsidRPr="006E6AAA" w:rsidRDefault="006E6AAA" w:rsidP="006E6AAA">
      <w:pPr>
        <w:spacing w:after="0" w:line="280" w:lineRule="exact"/>
        <w:ind w:left="288"/>
        <w:contextualSpacing/>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w:t>
      </w:r>
      <w:r w:rsidRPr="006E6AAA">
        <w:rPr>
          <w:rFonts w:ascii="Calibri" w:eastAsia="Times New Roman" w:hAnsi="Calibri" w:cs="Times New Roman"/>
          <w:b/>
          <w:lang w:val="fr-FR" w:eastAsia="it-IT"/>
        </w:rPr>
        <w:t>indicateurs de performance</w:t>
      </w:r>
      <w:r w:rsidRPr="006E6AAA">
        <w:rPr>
          <w:rFonts w:ascii="Calibri" w:eastAsia="Times New Roman" w:hAnsi="Calibri" w:cs="Times New Roman"/>
          <w:lang w:val="fr-FR" w:eastAsia="it-IT"/>
        </w:rPr>
        <w:t xml:space="preserve"> devraient au moins inclure : 1) nombre de dossiers enrôlés, ventilé par typologie d’infraction ; 2) nombre de décisions rendues, ventilé par résultats de l’affaire et par typologie de sanction  3) nombre de bénéficiaires, ventilé par genre et par rôle dans le procès ; 4) nombre d’avocats déployés, ventilé par genre et par typologie de clients ; 5) statistiques sur les séances de sensibilisation pour la population et les activités préliminaires aux AF, tel que les missions d’enquête du Parquet.</w:t>
      </w:r>
    </w:p>
    <w:p w:rsidR="006E6AAA" w:rsidRPr="006E6AAA" w:rsidRDefault="006E6AAA" w:rsidP="006E6AAA">
      <w:pPr>
        <w:spacing w:after="0" w:line="280" w:lineRule="exact"/>
        <w:ind w:left="288"/>
        <w:contextualSpacing/>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Des </w:t>
      </w:r>
      <w:r w:rsidRPr="006E6AAA">
        <w:rPr>
          <w:rFonts w:ascii="Calibri" w:eastAsia="Times New Roman" w:hAnsi="Calibri" w:cs="Times New Roman"/>
          <w:b/>
          <w:lang w:val="fr-FR" w:eastAsia="it-IT"/>
        </w:rPr>
        <w:t>indicateurs d’impact</w:t>
      </w:r>
      <w:r w:rsidRPr="006E6AAA">
        <w:rPr>
          <w:rFonts w:ascii="Calibri" w:eastAsia="Times New Roman" w:hAnsi="Calibri" w:cs="Times New Roman"/>
          <w:lang w:val="fr-FR" w:eastAsia="it-IT"/>
        </w:rPr>
        <w:t xml:space="preserve"> devraient également être inclus et pourraient viser á mesurer : 1) si les AF contribuent á améliorer l’accès á la justice dans les zones reculées (pour les AF organisées selon le « modèle continu » 2) si les AF contribuent á la poursuite des crimes internationaux et au renforcement des capacités des juridictions nationales en cette matière (pour les AF organisées selon le « modèle ponctuel/</w:t>
      </w:r>
      <w:r w:rsidRPr="006E6AAA">
        <w:rPr>
          <w:rFonts w:ascii="Calibri" w:eastAsia="Times New Roman" w:hAnsi="Calibri" w:cs="Times New Roman"/>
          <w:i/>
          <w:lang w:val="fr-FR" w:eastAsia="it-IT"/>
        </w:rPr>
        <w:t>ad hoc »</w:t>
      </w:r>
      <w:r w:rsidRPr="006E6AAA">
        <w:rPr>
          <w:rFonts w:ascii="Calibri" w:eastAsia="Times New Roman" w:hAnsi="Calibri" w:cs="Times New Roman"/>
          <w:lang w:val="fr-FR" w:eastAsia="it-IT"/>
        </w:rPr>
        <w:t>).</w:t>
      </w:r>
    </w:p>
    <w:p w:rsidR="006E6AAA" w:rsidRPr="006E6AAA" w:rsidRDefault="006E6AAA" w:rsidP="006E6AAA">
      <w:pPr>
        <w:spacing w:after="0" w:line="280" w:lineRule="exact"/>
        <w:ind w:left="288"/>
        <w:contextualSpacing/>
        <w:jc w:val="both"/>
        <w:rPr>
          <w:rFonts w:ascii="Calibri" w:eastAsia="Times New Roman" w:hAnsi="Calibri" w:cs="Times New Roman"/>
          <w:lang w:val="fr-FR" w:eastAsia="it-IT"/>
        </w:rPr>
      </w:pPr>
    </w:p>
    <w:p w:rsidR="006E6AAA" w:rsidRPr="006E6AAA" w:rsidRDefault="006E6AAA" w:rsidP="006E6AAA">
      <w:pPr>
        <w:spacing w:after="0" w:line="280" w:lineRule="exact"/>
        <w:ind w:left="288"/>
        <w:contextualSpacing/>
        <w:jc w:val="both"/>
        <w:rPr>
          <w:rFonts w:ascii="Calibri" w:eastAsia="Times New Roman" w:hAnsi="Calibri" w:cs="Times New Roman"/>
          <w:lang w:val="fr-FR" w:eastAsia="it-IT"/>
        </w:rPr>
      </w:pPr>
      <w:r w:rsidRPr="006E6AAA">
        <w:rPr>
          <w:rFonts w:ascii="Calibri" w:eastAsia="Times New Roman" w:hAnsi="Calibri" w:cs="Times New Roman"/>
          <w:lang w:val="fr-FR" w:eastAsia="it-IT"/>
        </w:rPr>
        <w:t>Une analyse des indicateurs couramment utilisés suggère que l’indicateur « </w:t>
      </w:r>
      <w:r w:rsidRPr="006E6AAA">
        <w:rPr>
          <w:rFonts w:ascii="Calibri" w:eastAsia="Times New Roman" w:hAnsi="Calibri" w:cs="Times New Roman"/>
          <w:i/>
          <w:lang w:val="fr-FR" w:eastAsia="it-IT"/>
        </w:rPr>
        <w:t>pourcentage d’augmentation du nombre de dossiers de VBG pris en charge per les AF </w:t>
      </w:r>
      <w:r w:rsidRPr="006E6AAA">
        <w:rPr>
          <w:rFonts w:ascii="Calibri" w:eastAsia="Times New Roman" w:hAnsi="Calibri" w:cs="Times New Roman"/>
          <w:lang w:val="fr-FR" w:eastAsia="it-IT"/>
        </w:rPr>
        <w:t>» et l’indicateur « </w:t>
      </w:r>
      <w:r w:rsidRPr="006E6AAA">
        <w:rPr>
          <w:rFonts w:ascii="Calibri" w:eastAsia="Times New Roman" w:hAnsi="Calibri" w:cs="Times New Roman"/>
          <w:i/>
          <w:lang w:val="fr-FR" w:eastAsia="it-IT"/>
        </w:rPr>
        <w:t>augmentation du nombre de condamnations des auteurs de violence sexuelle et sexiste </w:t>
      </w:r>
      <w:r w:rsidRPr="006E6AAA">
        <w:rPr>
          <w:rFonts w:ascii="Calibri" w:eastAsia="Times New Roman" w:hAnsi="Calibri" w:cs="Times New Roman"/>
          <w:lang w:val="fr-FR" w:eastAsia="it-IT"/>
        </w:rPr>
        <w:t>» pourraient être reformulées afin d’éviter que les juridictions en foraine se sentent poussées à produire un nombre élevé de jugements de VBG en dépit de la qualité du travail pour satisfaire les exigences des bailleurs. Une révision des indicateurs est par ailleurs en cours au sein de l’équipe accès à la justice du PNUD.</w:t>
      </w:r>
    </w:p>
    <w:p w:rsidR="006E6AAA" w:rsidRPr="006E6AAA" w:rsidRDefault="006E6AAA" w:rsidP="006E6AAA">
      <w:pPr>
        <w:spacing w:after="0" w:line="280" w:lineRule="exact"/>
        <w:ind w:left="288"/>
        <w:contextualSpacing/>
        <w:jc w:val="both"/>
        <w:rPr>
          <w:rFonts w:ascii="Calibri" w:eastAsia="Times New Roman" w:hAnsi="Calibri" w:cs="Arial"/>
          <w:lang w:val="fr-FR" w:eastAsia="it-IT"/>
        </w:rPr>
      </w:pPr>
      <w:r w:rsidRPr="006E6AAA">
        <w:rPr>
          <w:rFonts w:ascii="Calibri" w:eastAsia="Times New Roman" w:hAnsi="Calibri" w:cs="Arial"/>
          <w:lang w:val="fr-FR" w:eastAsia="it-IT"/>
        </w:rPr>
        <w:t>Il serait aussi recommandé d’inclure des indicateurs référés aux bénéficiaires et d’assurer que les données collectées soient ventilées par genre. Par exemple il aurait été intéressant de savoir combien d’avocats femmes ont été engagées dans les AF, ou si parmi les prévenus il y avait des femmes.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i/>
          <w:color w:val="000080"/>
          <w:lang w:val="fr-FR" w:eastAsia="it-IT"/>
        </w:rPr>
      </w:pPr>
      <w:r w:rsidRPr="006E6AAA">
        <w:rPr>
          <w:rFonts w:ascii="Times New Roman" w:eastAsia="Times New Roman" w:hAnsi="Times New Roman" w:cs="Times New Roman"/>
          <w:i/>
          <w:color w:val="000080"/>
          <w:lang w:val="fr-FR" w:eastAsia="it-IT"/>
        </w:rPr>
        <w:t>►</w:t>
      </w:r>
      <w:r w:rsidRPr="006E6AAA">
        <w:rPr>
          <w:rFonts w:ascii="Calibri" w:eastAsia="Times New Roman" w:hAnsi="Calibri" w:cs="Times New Roman"/>
          <w:i/>
          <w:color w:val="000080"/>
          <w:lang w:val="fr-FR" w:eastAsia="it-IT"/>
        </w:rPr>
        <w:t xml:space="preserve"> </w:t>
      </w:r>
      <w:r w:rsidRPr="006E6AAA">
        <w:rPr>
          <w:rFonts w:ascii="Calibri" w:eastAsia="Times New Roman" w:hAnsi="Calibri" w:cs="Times New Roman"/>
          <w:b/>
          <w:i/>
          <w:color w:val="000080"/>
          <w:lang w:val="fr-FR" w:eastAsia="it-IT"/>
        </w:rPr>
        <w:t>Suivi</w:t>
      </w:r>
    </w:p>
    <w:p w:rsidR="006E6AAA" w:rsidRPr="006E6AAA" w:rsidRDefault="006E6AAA" w:rsidP="006E6AAA">
      <w:pPr>
        <w:tabs>
          <w:tab w:val="left" w:pos="540"/>
          <w:tab w:val="left" w:pos="8460"/>
        </w:tabs>
        <w:spacing w:after="0" w:line="280" w:lineRule="exact"/>
        <w:jc w:val="both"/>
        <w:rPr>
          <w:rFonts w:ascii="Calibri" w:eastAsia="Times New Roman" w:hAnsi="Calibri" w:cs="Arial"/>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Le manque d’une planification spécifique pour les AF s’est reflété sur le suivi des activités, car il n’a pas été possible de mesurer le progrès vers les résultats escomptés. </w:t>
      </w:r>
    </w:p>
    <w:p w:rsidR="006E6AAA" w:rsidRPr="006E6AAA" w:rsidRDefault="006E6AAA" w:rsidP="006E6AAA">
      <w:p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Les principaux outils de suivi des AF sont : </w:t>
      </w:r>
    </w:p>
    <w:p w:rsidR="006E6AAA" w:rsidRPr="006E6AAA" w:rsidRDefault="006E6AAA" w:rsidP="006E6AAA">
      <w:pPr>
        <w:numPr>
          <w:ilvl w:val="0"/>
          <w:numId w:val="65"/>
        </w:num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les rapports de monitorage judiciaire et les rapports de mission rédigés par les moniteurs PNUD </w:t>
      </w:r>
    </w:p>
    <w:p w:rsidR="006E6AAA" w:rsidRPr="006E6AAA" w:rsidRDefault="006E6AAA" w:rsidP="006E6AAA">
      <w:pPr>
        <w:numPr>
          <w:ilvl w:val="0"/>
          <w:numId w:val="65"/>
        </w:num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 les rapports annuels pour les projets 1888</w:t>
      </w:r>
      <w:r w:rsidRPr="006E6AAA">
        <w:rPr>
          <w:rFonts w:ascii="Calibri" w:eastAsia="Times New Roman" w:hAnsi="Calibri" w:cs="Times New Roman"/>
          <w:vertAlign w:val="superscript"/>
          <w:lang w:val="fr-FR" w:eastAsia="it-IT"/>
        </w:rPr>
        <w:footnoteReference w:id="227"/>
      </w:r>
      <w:r w:rsidRPr="006E6AAA">
        <w:rPr>
          <w:rFonts w:ascii="Calibri" w:eastAsia="Times New Roman" w:hAnsi="Calibri" w:cs="Arial"/>
          <w:lang w:val="fr-FR" w:eastAsia="it-IT"/>
        </w:rPr>
        <w:t xml:space="preserve"> et SIDA</w:t>
      </w:r>
      <w:r w:rsidRPr="006E6AAA">
        <w:rPr>
          <w:rFonts w:ascii="Calibri" w:eastAsia="Times New Roman" w:hAnsi="Calibri" w:cs="Times New Roman"/>
          <w:vertAlign w:val="superscript"/>
          <w:lang w:val="fr-FR" w:eastAsia="it-IT"/>
        </w:rPr>
        <w:footnoteReference w:id="228"/>
      </w:r>
      <w:r w:rsidRPr="006E6AAA">
        <w:rPr>
          <w:rFonts w:ascii="Calibri" w:eastAsia="Times New Roman" w:hAnsi="Calibri" w:cs="Arial"/>
          <w:lang w:val="fr-FR" w:eastAsia="it-IT"/>
        </w:rPr>
        <w:t xml:space="preserve"> .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Dans le cadre des efforts du PNUD pour promouvoir l’accès á la justice, </w:t>
      </w:r>
      <w:r w:rsidRPr="006E6AAA">
        <w:rPr>
          <w:rFonts w:ascii="Calibri" w:eastAsia="Times New Roman" w:hAnsi="Calibri" w:cs="Times New Roman"/>
          <w:b/>
          <w:lang w:val="fr-FR" w:eastAsia="it-IT"/>
        </w:rPr>
        <w:t>une équipe de 8 moniteurs judiciaires employés par le PNUD</w:t>
      </w:r>
      <w:r w:rsidRPr="006E6AAA">
        <w:rPr>
          <w:rFonts w:ascii="Calibri" w:eastAsia="Times New Roman" w:hAnsi="Calibri" w:cs="Times New Roman"/>
          <w:lang w:val="fr-FR" w:eastAsia="it-IT"/>
        </w:rPr>
        <w:t xml:space="preserve"> (1 en Ituri, 3 au Sud Kivu et 4 au Nord Kivu) a été mise en place afin </w:t>
      </w:r>
      <w:r w:rsidRPr="006E6AAA">
        <w:rPr>
          <w:rFonts w:ascii="Calibri" w:eastAsia="Times New Roman" w:hAnsi="Calibri" w:cs="Times New Roman"/>
          <w:lang w:val="fr-FR" w:eastAsia="it-IT"/>
        </w:rPr>
        <w:lastRenderedPageBreak/>
        <w:t xml:space="preserve">d’assurer le monitoring des procédures judiciaires et de police ainsi que l’observation d’un échantillon d’audiences, avec un focus spécifique sur les VBG.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moniteurs judiciaires ont participé au 90% des AF appuyées par le PNUD dans les 2 dernières années; pour la majorité de ces audiences un rapport de monitoring a été produit.</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C’est une excellente initiative qui est reconnue pour avoir poussé les juridictions à respecter les standards internationaux du procès équitable et en même temps d’avoir un aperçu impartial des résultats atteints par les AF.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moniteurs judiciaires sont des jeunes juristes compétents et engagés qui ont </w:t>
      </w:r>
      <w:r w:rsidRPr="006E6AAA">
        <w:rPr>
          <w:rFonts w:ascii="Calibri" w:eastAsia="Times New Roman" w:hAnsi="Calibri" w:cs="Times New Roman"/>
          <w:i/>
          <w:lang w:val="fr-FR" w:eastAsia="it-IT"/>
        </w:rPr>
        <w:t>inter alia</w:t>
      </w:r>
      <w:r w:rsidRPr="006E6AAA">
        <w:rPr>
          <w:rFonts w:ascii="Calibri" w:eastAsia="Times New Roman" w:hAnsi="Calibri" w:cs="Times New Roman"/>
          <w:lang w:val="fr-FR" w:eastAsia="it-IT"/>
        </w:rPr>
        <w:t xml:space="preserve"> contribué au présent rapport avec des opinions pertinentes et bien argumentées.  Des faiblesses ont pourtant été relevées au niveau des statistiques et des informations collectées au cours des AF observées.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Certaines informations essentielles ne sont pas disponibles : par exemple il n’a pas été possible de connaître le nombre total des victimes/ prévenus et parties civiles aux AF. </w:t>
      </w:r>
      <w:r w:rsidRPr="006E6AAA">
        <w:rPr>
          <w:rFonts w:ascii="Calibri" w:eastAsia="Times New Roman" w:hAnsi="Calibri" w:cs="Whitney-Book"/>
          <w:lang w:val="fr-FR" w:eastAsia="it-IT"/>
        </w:rPr>
        <w:t xml:space="preserve">Parfois on relève des écarts importants entre les chiffres fournis dans les différents documents produits : par exemple pour l’AF du TGI de Bunia à Mahagi le rapport de monitorage indique 93 dossiers et le fichier récapitulatif en indique 24. </w:t>
      </w:r>
      <w:r w:rsidRPr="006E6AAA">
        <w:rPr>
          <w:rFonts w:ascii="Calibri" w:eastAsia="Times New Roman" w:hAnsi="Calibri" w:cs="Times New Roman"/>
          <w:lang w:val="fr-FR" w:eastAsia="it-IT"/>
        </w:rPr>
        <w:t xml:space="preserve"> Des difficultés particulières ont été rencontrées quand il s’agissait de recevoir les informations d’autres partenaires: par exemple il n’a été possible de connaître le coût total des AF au Sud Kivu.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Des recommandations pour renforcer les équipes de moniteurs dans leur travail auprès des AF sont présentées ci-dessous. L’identification d’une personne avec une fonction de coordination et supervision d l’équipe des moniteurs pourrait faciliter la mise en place des recommandations proposées.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64"/>
        </w:num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rapports de monitoring des AF devraient suivre un </w:t>
      </w:r>
      <w:r w:rsidRPr="006E6AAA">
        <w:rPr>
          <w:rFonts w:ascii="Calibri" w:eastAsia="Times New Roman" w:hAnsi="Calibri" w:cs="Times New Roman"/>
          <w:b/>
          <w:lang w:val="fr-FR" w:eastAsia="it-IT"/>
        </w:rPr>
        <w:t>format standard</w:t>
      </w:r>
      <w:r w:rsidRPr="006E6AAA">
        <w:rPr>
          <w:rFonts w:ascii="Calibri" w:eastAsia="Times New Roman" w:hAnsi="Calibri" w:cs="Times New Roman"/>
          <w:lang w:val="fr-FR" w:eastAsia="it-IT"/>
        </w:rPr>
        <w:t xml:space="preserve"> afin de faciliter la collecte et l’analyse des données : les moniteurs devraient utiliser un cadre commun pour l’analyse juridique et devraient rapporter tous sur les mêmes aspects légaux, identifiés à l’avance.  </w:t>
      </w:r>
    </w:p>
    <w:p w:rsidR="006E6AAA" w:rsidRPr="006E6AAA" w:rsidRDefault="006E6AAA" w:rsidP="006E6AAA">
      <w:pPr>
        <w:tabs>
          <w:tab w:val="left" w:pos="540"/>
          <w:tab w:val="left" w:pos="8460"/>
        </w:tabs>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Actuellement les moniteurs suivent un format narratif ouvert que chaque moniteur rédige selon son expérience; parfois le format utilisé est celui du rapport de mission du PNUD. Certains rapports présentent des tableaux de synthèse par dossier traités (Mahangi), d’autres présentent un tableau des activités du tribunal par jour (Komanda). Le rapport de l’AF de Mambasa est un rapport en forme de publication qui s’arrête longuement sur la question doctrinale l’applicabilité du Statut de Rome ; le rapport de Walunga présente une description très détaillé de l’audience dans une approche chronologique, mais manque d’analyse légale.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moniteurs ont expliqué qu’ils n’assistent pas à toutes les séances de chaque AF, mais seulement à quelques unes. Cette limitation est mentionnée par ailleurs dans un des rapports de monitoring qui recommande d’ « </w:t>
      </w:r>
      <w:r w:rsidRPr="006E6AAA">
        <w:rPr>
          <w:rFonts w:ascii="Calibri" w:eastAsia="Times New Roman" w:hAnsi="Calibri" w:cs="Times New Roman"/>
          <w:i/>
          <w:lang w:val="fr-FR" w:eastAsia="it-IT"/>
        </w:rPr>
        <w:t>Assister á toutes les audiences pour participer á l’instruction, aux plaidoiries et au prononcé aux fins de faire une analyse complète des dossiers instruits et de présenter un rapport complet d’une chambre foraine</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footnoteReference w:id="229"/>
      </w: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Considéré que touts les partenaires envoient normalement des représentants pour observer les AF, on aurait pourtant pu s’attendre á ce qu’un mécanisme pour consolider et éventuellement trianguler les informations soit en place, dans une approche de coordination du suivi des AF.</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64"/>
        </w:numPr>
        <w:spacing w:after="0" w:line="280" w:lineRule="exact"/>
        <w:jc w:val="both"/>
        <w:rPr>
          <w:rFonts w:ascii="Calibri" w:eastAsia="Times New Roman" w:hAnsi="Calibri" w:cs="Helvetica"/>
          <w:lang w:val="fr-FR" w:eastAsia="it-IT"/>
        </w:rPr>
      </w:pPr>
      <w:r w:rsidRPr="006E6AAA">
        <w:rPr>
          <w:rFonts w:ascii="Calibri" w:eastAsia="Times New Roman" w:hAnsi="Calibri" w:cs="Times New Roman"/>
          <w:lang w:val="fr-FR" w:eastAsia="it-IT"/>
        </w:rPr>
        <w:t xml:space="preserve">Il faudrait assurer que pour toutes les </w:t>
      </w:r>
      <w:r w:rsidRPr="006E6AAA">
        <w:rPr>
          <w:rFonts w:ascii="Calibri" w:eastAsia="Times New Roman" w:hAnsi="Calibri" w:cs="Times New Roman"/>
          <w:b/>
          <w:lang w:val="fr-FR" w:eastAsia="it-IT"/>
        </w:rPr>
        <w:t>audiences foraines appuyées un rapport soit disponible</w:t>
      </w:r>
      <w:r w:rsidRPr="006E6AAA">
        <w:rPr>
          <w:rFonts w:ascii="Calibri" w:eastAsia="Times New Roman" w:hAnsi="Calibri" w:cs="Times New Roman"/>
          <w:lang w:val="fr-FR" w:eastAsia="it-IT"/>
        </w:rPr>
        <w:t xml:space="preserve"> ainsi que toutes les donnes quantitatives nécessaires au suivi (actuellement seulement 10 rapports sur 16 AF appuyées sont disponibles). </w:t>
      </w:r>
    </w:p>
    <w:p w:rsidR="006E6AAA" w:rsidRPr="006E6AAA" w:rsidRDefault="006E6AAA" w:rsidP="006E6AAA">
      <w:pPr>
        <w:spacing w:after="0" w:line="280" w:lineRule="exact"/>
        <w:ind w:left="288"/>
        <w:jc w:val="both"/>
        <w:rPr>
          <w:rFonts w:ascii="Calibri" w:eastAsia="Times New Roman" w:hAnsi="Calibri" w:cs="Helvetica"/>
          <w:lang w:val="fr-FR" w:eastAsia="it-IT"/>
        </w:rPr>
      </w:pPr>
      <w:r w:rsidRPr="006E6AAA">
        <w:rPr>
          <w:rFonts w:ascii="Calibri" w:eastAsia="Times New Roman" w:hAnsi="Calibri" w:cs="Helvetica"/>
          <w:lang w:val="fr-FR" w:eastAsia="it-IT"/>
        </w:rPr>
        <w:t xml:space="preserve">Il serait aussi recommandé de mettre en place une </w:t>
      </w:r>
      <w:r w:rsidRPr="006E6AAA">
        <w:rPr>
          <w:rFonts w:ascii="Calibri" w:eastAsia="Times New Roman" w:hAnsi="Calibri" w:cs="Helvetica"/>
          <w:b/>
          <w:lang w:val="fr-FR" w:eastAsia="it-IT"/>
        </w:rPr>
        <w:t>base de donnés sur Excel</w:t>
      </w:r>
      <w:r w:rsidRPr="006E6AAA">
        <w:rPr>
          <w:rFonts w:ascii="Calibri" w:eastAsia="Times New Roman" w:hAnsi="Calibri" w:cs="Helvetica"/>
          <w:lang w:val="fr-FR" w:eastAsia="it-IT"/>
        </w:rPr>
        <w:t xml:space="preserve"> avec la possibilité de faire des tris et d’obtenir rapidement des informations sur les AF pour faire des analyses et</w:t>
      </w:r>
      <w:r w:rsidRPr="006E6AAA">
        <w:rPr>
          <w:rFonts w:ascii="Calibri" w:eastAsia="Times New Roman" w:hAnsi="Calibri" w:cs="Times New Roman"/>
          <w:lang w:val="fr-FR" w:eastAsia="it-IT"/>
        </w:rPr>
        <w:t xml:space="preserve"> rédiger les rapports internes et des communiques externes</w:t>
      </w:r>
      <w:r w:rsidRPr="006E6AAA">
        <w:rPr>
          <w:rFonts w:ascii="Calibri" w:eastAsia="Times New Roman" w:hAnsi="Calibri" w:cs="Helvetica"/>
          <w:lang w:val="fr-FR" w:eastAsia="it-IT"/>
        </w:rPr>
        <w:t xml:space="preserve">.  Actuellement, les résultats quantitatifs des AF </w:t>
      </w:r>
      <w:r w:rsidRPr="006E6AAA">
        <w:rPr>
          <w:rFonts w:ascii="Calibri" w:eastAsia="Times New Roman" w:hAnsi="Calibri" w:cs="Helvetica"/>
          <w:lang w:val="fr-FR" w:eastAsia="it-IT"/>
        </w:rPr>
        <w:lastRenderedPageBreak/>
        <w:t xml:space="preserve">ne sont pas facilement consultables, bien que disponibles après un long exercice de lecture et de recherche dans les rapports de monitoring judiciaire. </w:t>
      </w:r>
    </w:p>
    <w:p w:rsidR="006E6AAA" w:rsidRPr="006E6AAA" w:rsidRDefault="006E6AAA" w:rsidP="006E6AAA">
      <w:pPr>
        <w:spacing w:after="0" w:line="280" w:lineRule="exact"/>
        <w:jc w:val="both"/>
        <w:rPr>
          <w:rFonts w:ascii="Calibri" w:eastAsia="Times New Roman" w:hAnsi="Calibri" w:cs="Helvetica"/>
          <w:lang w:val="fr-FR" w:eastAsia="it-IT"/>
        </w:rPr>
      </w:pPr>
    </w:p>
    <w:p w:rsidR="006E6AAA" w:rsidRPr="006E6AAA" w:rsidRDefault="006E6AAA" w:rsidP="006E6AAA">
      <w:pPr>
        <w:numPr>
          <w:ilvl w:val="0"/>
          <w:numId w:val="64"/>
        </w:numPr>
        <w:spacing w:after="0" w:line="280" w:lineRule="exact"/>
        <w:jc w:val="both"/>
        <w:rPr>
          <w:rFonts w:ascii="Calibri" w:eastAsia="Times New Roman" w:hAnsi="Calibri" w:cs="Helvetica"/>
          <w:lang w:val="fr-FR" w:eastAsia="it-IT"/>
        </w:rPr>
      </w:pPr>
      <w:r w:rsidRPr="006E6AAA">
        <w:rPr>
          <w:rFonts w:ascii="Calibri" w:eastAsia="Times New Roman" w:hAnsi="Calibri" w:cs="Whitney-Book"/>
          <w:lang w:val="fr-FR" w:eastAsia="it-IT"/>
        </w:rPr>
        <w:t xml:space="preserve">Une attention particulière devrait être réservée aux </w:t>
      </w:r>
      <w:r w:rsidRPr="006E6AAA">
        <w:rPr>
          <w:rFonts w:ascii="Calibri" w:eastAsia="Times New Roman" w:hAnsi="Calibri" w:cs="Whitney-Book"/>
          <w:b/>
          <w:lang w:val="fr-FR" w:eastAsia="it-IT"/>
        </w:rPr>
        <w:t>dossiers de crimes internationaux</w:t>
      </w:r>
      <w:r w:rsidRPr="006E6AAA">
        <w:rPr>
          <w:rFonts w:ascii="Calibri" w:eastAsia="Times New Roman" w:hAnsi="Calibri" w:cs="Whitney-Book"/>
          <w:lang w:val="fr-FR" w:eastAsia="it-IT"/>
        </w:rPr>
        <w:t xml:space="preserve">. Dans ce cas les moniteurs devraient vérifier le raisonnement suivi par le juge et le parquet pour identifier les éléments constitutifs des crimes de guerre ou de crimes contre l’humanité afin de s’assurer que l’infraction n’aurai pas du être traitée comme un crime de droit commun. </w:t>
      </w:r>
    </w:p>
    <w:p w:rsidR="006E6AAA" w:rsidRPr="006E6AAA" w:rsidRDefault="006E6AAA" w:rsidP="006E6AAA">
      <w:pPr>
        <w:spacing w:after="0" w:line="280" w:lineRule="exact"/>
        <w:jc w:val="both"/>
        <w:rPr>
          <w:rFonts w:ascii="Calibri" w:eastAsia="Times New Roman" w:hAnsi="Calibri" w:cs="Helvetica"/>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Dans le but d’engager davantage les partenaires nationaux dans les activités de suivi des projets, le PNUD est entrain d’établir un partenariat avec les Universités à Goma pour établir des mécanismes de monitoring des statistiques produites par les institutions publiques. Dans le cadre de cette initiative et dans une approche de pérennisation des AF, il serait recommandé d’explorer la possibilité que des étudiants en droit participent aux activités de monitoring judiciaire des AF sur le modèle adopté par le PNUD en Somalie .</w:t>
      </w:r>
      <w:r w:rsidRPr="006E6AAA">
        <w:rPr>
          <w:rFonts w:ascii="Calibri" w:eastAsia="Times New Roman" w:hAnsi="Calibri" w:cs="Times New Roman"/>
          <w:vertAlign w:val="superscript"/>
          <w:lang w:val="fr-FR" w:eastAsia="it-IT"/>
        </w:rPr>
        <w:footnoteReference w:id="230"/>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Helvetica"/>
          <w:lang w:val="fr-FR" w:eastAsia="it-IT"/>
        </w:rPr>
      </w:pPr>
      <w:r w:rsidRPr="006E6AAA">
        <w:rPr>
          <w:rFonts w:ascii="Calibri" w:eastAsia="Times New Roman" w:hAnsi="Calibri" w:cs="Helvetica"/>
          <w:lang w:val="fr-FR" w:eastAsia="it-IT"/>
        </w:rPr>
        <w:t xml:space="preserve">Une attention particulière devrait être dédiée aux </w:t>
      </w:r>
      <w:r w:rsidRPr="006E6AAA">
        <w:rPr>
          <w:rFonts w:ascii="Calibri" w:eastAsia="Times New Roman" w:hAnsi="Calibri" w:cs="Helvetica"/>
          <w:b/>
          <w:lang w:val="fr-FR" w:eastAsia="it-IT"/>
        </w:rPr>
        <w:t>autorités judiciaires, qui ne sont actuellement pas activement impliquées dans le suivi des activités des AF.</w:t>
      </w:r>
      <w:r w:rsidRPr="006E6AAA">
        <w:rPr>
          <w:rFonts w:ascii="Calibri" w:eastAsia="Times New Roman" w:hAnsi="Calibri" w:cs="Helvetica"/>
          <w:lang w:val="fr-FR" w:eastAsia="it-IT"/>
        </w:rPr>
        <w:t xml:space="preserve"> Un des analystes de projet PNUD explique que « </w:t>
      </w:r>
      <w:r w:rsidRPr="006E6AAA">
        <w:rPr>
          <w:rFonts w:ascii="Calibri" w:eastAsia="Times New Roman" w:hAnsi="Calibri" w:cs="Helvetica"/>
          <w:i/>
          <w:lang w:val="fr-FR" w:eastAsia="it-IT"/>
        </w:rPr>
        <w:t>les autorités judiciaires n’ont pas besoin de rédiger les rapports car les moniteurs du PNUD, et parfois aussi d’autres organisations, sont là pour faire ce travail</w:t>
      </w:r>
      <w:r w:rsidRPr="006E6AAA">
        <w:rPr>
          <w:rFonts w:ascii="Calibri" w:eastAsia="Times New Roman" w:hAnsi="Calibri" w:cs="Helvetica"/>
          <w:lang w:val="fr-FR" w:eastAsia="it-IT"/>
        </w:rPr>
        <w:t xml:space="preserve"> ». </w:t>
      </w:r>
    </w:p>
    <w:p w:rsidR="006E6AAA" w:rsidRPr="006E6AAA" w:rsidRDefault="006E6AAA" w:rsidP="006E6AAA">
      <w:pPr>
        <w:spacing w:after="0" w:line="280" w:lineRule="exact"/>
        <w:jc w:val="both"/>
        <w:rPr>
          <w:rFonts w:ascii="Calibri" w:eastAsia="Times New Roman" w:hAnsi="Calibri" w:cs="Helvetica"/>
          <w:lang w:val="fr-FR" w:eastAsia="it-IT"/>
        </w:rPr>
      </w:pPr>
      <w:r w:rsidRPr="006E6AAA">
        <w:rPr>
          <w:rFonts w:ascii="Calibri" w:eastAsia="Times New Roman" w:hAnsi="Calibri" w:cs="Helvetica"/>
          <w:lang w:val="fr-FR" w:eastAsia="it-IT"/>
        </w:rPr>
        <w:t xml:space="preserve">Dans une approche de pérennisation et dans le but de renforcer l’appropriation nationale il faudrait graduellement impliquer les juridictions dans les activités de suivi, par exemple par la rédaction d’un rapport d’audience ou de rapports de suivi semestriels.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Sur les 10 rapports d’AF disponibles pour la présente évaluation, un seul a été rédigé par les juridictions, notamment par Président de la Cour d’Appel de Bukavu pour l’AF de Kamitunga.  Ce rapport est d’excellente qualité: il illustre clairement toutes les activités menées au cours de l’AF et présente un tableau synoptique clair de tous les dossiers traités. Ce document a en outre permis au chef de la juridiction de présenter au PNUD son cahier de doléances avec des recommandations, assurant ainsi le point de vue du partenaire national, qui normalement ne figure pas dans les rapports PNUD.</w:t>
      </w:r>
    </w:p>
    <w:p w:rsidR="006E6AAA" w:rsidRPr="006E6AAA" w:rsidRDefault="006E6AAA" w:rsidP="006E6AAA">
      <w:pPr>
        <w:spacing w:after="0" w:line="280" w:lineRule="exact"/>
        <w:jc w:val="both"/>
        <w:rPr>
          <w:rFonts w:ascii="Calibri" w:eastAsia="Times New Roman" w:hAnsi="Calibri" w:cs="Helvetica"/>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Helvetica"/>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Helvetica"/>
          <w:lang w:val="fr-FR" w:eastAsia="it-IT"/>
        </w:rPr>
      </w:pPr>
      <w:r w:rsidRPr="006E6AAA">
        <w:rPr>
          <w:rFonts w:ascii="Calibri" w:eastAsia="Times New Roman" w:hAnsi="Calibri" w:cs="Helvetica"/>
          <w:lang w:val="fr-FR" w:eastAsia="it-IT"/>
        </w:rPr>
        <w:t xml:space="preserve">La promotion d’un éventuel Protocole d’entente pour les AF entre les juridictions et les partenaires internationaux, pourrait faciliter la planification et le suivi des AF par la mise en place d’outils communs et harmonisés et pourrait mieux valoriser le rôle des autorités judiciaires, </w:t>
      </w:r>
      <w:r w:rsidRPr="006E6AAA">
        <w:rPr>
          <w:rFonts w:ascii="Calibri" w:eastAsia="Times New Roman" w:hAnsi="Calibri" w:cs="Helvetica"/>
          <w:i/>
          <w:lang w:val="fr-FR" w:eastAsia="it-IT"/>
        </w:rPr>
        <w:t>inter alia</w:t>
      </w:r>
      <w:r w:rsidRPr="006E6AAA">
        <w:rPr>
          <w:rFonts w:ascii="Calibri" w:eastAsia="Times New Roman" w:hAnsi="Calibri" w:cs="Helvetica"/>
          <w:lang w:val="fr-FR" w:eastAsia="it-IT"/>
        </w:rPr>
        <w:t xml:space="preserve"> dans rédaction des  rapports d’AF.</w:t>
      </w:r>
    </w:p>
    <w:p w:rsidR="006E6AAA" w:rsidRPr="006E6AAA" w:rsidRDefault="006E6AAA" w:rsidP="006E6AAA">
      <w:pPr>
        <w:shd w:val="clear" w:color="auto" w:fill="CCCCCC"/>
        <w:spacing w:after="0" w:line="280" w:lineRule="exact"/>
        <w:jc w:val="both"/>
        <w:rPr>
          <w:rFonts w:ascii="Calibri" w:eastAsia="Times New Roman" w:hAnsi="Calibri" w:cs="Helvetica"/>
          <w:lang w:val="fr-FR" w:eastAsia="it-IT"/>
        </w:rPr>
      </w:pP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r w:rsidRPr="006E6AAA">
        <w:rPr>
          <w:rFonts w:ascii="Calibri" w:eastAsia="Times New Roman" w:hAnsi="Calibri" w:cs="Arial"/>
          <w:lang w:val="fr-FR" w:eastAsia="it-IT"/>
        </w:rPr>
        <w:t>Pour renforcer d’avantage la visibilité de l’initiative, il serait recommandé de rédiger périodiquement pour la diffusion extérieure un bulletin/newsletter sur les résultats atteints par les AF avec l’illustration d’histoires à succès et dossiers emblématiques.</w:t>
      </w:r>
      <w:r w:rsidRPr="006E6AAA">
        <w:rPr>
          <w:rFonts w:ascii="Calibri" w:eastAsia="Times New Roman" w:hAnsi="Calibri" w:cs="Times New Roman"/>
          <w:lang w:val="fr-FR" w:eastAsia="it-IT"/>
        </w:rPr>
        <w:t xml:space="preserve"> </w:t>
      </w:r>
    </w:p>
    <w:p w:rsidR="006E6AAA" w:rsidRPr="006E6AAA" w:rsidRDefault="006E6AAA" w:rsidP="006E6AAA">
      <w:pPr>
        <w:shd w:val="clear" w:color="auto" w:fill="CCCCCC"/>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Arial"/>
          <w:b/>
          <w:lang w:val="fr-FR" w:eastAsia="it-IT"/>
        </w:rPr>
      </w:pPr>
      <w:r w:rsidRPr="006E6AAA">
        <w:rPr>
          <w:rFonts w:ascii="Calibri" w:eastAsia="Times New Roman" w:hAnsi="Calibri" w:cs="Times New Roman"/>
          <w:b/>
          <w:color w:val="000080"/>
          <w:lang w:val="fr-FR" w:eastAsia="it-IT"/>
        </w:rPr>
        <w:t xml:space="preserve">§ 6.2. </w:t>
      </w:r>
      <w:r w:rsidRPr="006E6AAA">
        <w:rPr>
          <w:rFonts w:ascii="Calibri" w:eastAsia="Times New Roman" w:hAnsi="Calibri" w:cs="Arial"/>
          <w:b/>
          <w:lang w:val="fr-FR" w:eastAsia="it-IT"/>
        </w:rPr>
        <w:t>Les résultats atteints</w:t>
      </w:r>
    </w:p>
    <w:p w:rsidR="006E6AAA" w:rsidRPr="006E6AAA" w:rsidRDefault="006E6AAA" w:rsidP="006E6AAA">
      <w:pPr>
        <w:tabs>
          <w:tab w:val="left" w:pos="540"/>
          <w:tab w:val="left" w:pos="8460"/>
        </w:tabs>
        <w:spacing w:after="0" w:line="280" w:lineRule="exact"/>
        <w:jc w:val="both"/>
        <w:rPr>
          <w:rFonts w:ascii="Calibri" w:eastAsia="Times New Roman" w:hAnsi="Calibri" w:cs="Arial"/>
          <w:b/>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Arial"/>
          <w:b/>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Au courant du 2011 et 2012, un total de </w:t>
      </w:r>
      <w:r w:rsidRPr="006E6AAA">
        <w:rPr>
          <w:rFonts w:ascii="Calibri" w:eastAsia="Times New Roman" w:hAnsi="Calibri" w:cs="Times New Roman"/>
          <w:b/>
          <w:lang w:val="fr-FR" w:eastAsia="it-IT"/>
        </w:rPr>
        <w:t>16 audiences foraines</w:t>
      </w:r>
      <w:r w:rsidRPr="006E6AAA">
        <w:rPr>
          <w:rFonts w:ascii="Calibri" w:eastAsia="Times New Roman" w:hAnsi="Calibri" w:cs="Times New Roman"/>
          <w:lang w:val="fr-FR" w:eastAsia="it-IT"/>
        </w:rPr>
        <w:t xml:space="preserve"> ont été organisées avec l’appui du PNUD pour 198 jours en foraine et une contribution de 155.000 USD. 97 avocats et 72 magistrats/juges assesseurs ont participé aux AF. 202 dossiers ont été enrôles, dont 60% de VBG. 206 jugements ont été prononcés avec un taux de condamnation de 78%.</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cible prévue dans le document de projet « </w:t>
      </w:r>
      <w:r w:rsidRPr="006E6AAA">
        <w:rPr>
          <w:rFonts w:ascii="Calibri" w:eastAsia="Times New Roman" w:hAnsi="Calibri" w:cs="Times New Roman"/>
          <w:i/>
          <w:lang w:val="fr-FR" w:eastAsia="it-IT"/>
        </w:rPr>
        <w:t>augmentation de 20% (10% dans le projet SIDA</w:t>
      </w:r>
      <w:r w:rsidRPr="006E6AAA">
        <w:rPr>
          <w:rFonts w:ascii="Calibri" w:eastAsia="Times New Roman" w:hAnsi="Calibri" w:cs="Times New Roman"/>
          <w:i/>
          <w:vertAlign w:val="superscript"/>
          <w:lang w:val="fr-FR" w:eastAsia="it-IT"/>
        </w:rPr>
        <w:footnoteReference w:id="231"/>
      </w:r>
      <w:r w:rsidRPr="006E6AAA">
        <w:rPr>
          <w:rFonts w:ascii="Calibri" w:eastAsia="Times New Roman" w:hAnsi="Calibri" w:cs="Times New Roman"/>
          <w:i/>
          <w:lang w:val="fr-FR" w:eastAsia="it-IT"/>
        </w:rPr>
        <w:t xml:space="preserve">) de dossiers de VBG pris en charge per les juridictions » </w:t>
      </w:r>
      <w:r w:rsidRPr="006E6AAA">
        <w:rPr>
          <w:rFonts w:ascii="Calibri" w:eastAsia="Times New Roman" w:hAnsi="Calibri" w:cs="Times New Roman"/>
          <w:lang w:val="fr-FR" w:eastAsia="it-IT"/>
        </w:rPr>
        <w:t xml:space="preserve">n’a pas été atteinte car le nombre de dossiers VBG a baissé de 20% de 2011 à 2012 pour les AF. Le résultat apparait pourtant positif et justifié si interprété á la lumière des questions soulevées au § 5.1 sur l’importance d’élargir le champ d’intervention des AF aux dossiers non-VBG. A noter que le résultat n’inclût pas les dossiers de VGB traités par les juridictions permanentes.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activités préliminaires visant à la préparation des AF, tel que les enquêtes du Parquet/Auditorat et les descentes sur terrain de la Greffe ont également été appuyées par le PNUD avec les résultats indiqués dans le tableau ci-dessous. Ces activités préliminaires sont illustrées en détail au § 5.1, toutefois il convient de rappeler leur importance pour une implémentation efficace des AF car elles assurent que les AF soient adéquatement préparées et produisent des résultats de qualité ; comme souligné par une des partenaires au cours des entretiens d’évaluation </w:t>
      </w:r>
      <w:r w:rsidRPr="006E6AAA">
        <w:rPr>
          <w:rFonts w:ascii="Calibri" w:eastAsia="Times New Roman" w:hAnsi="Calibri" w:cs="Times New Roman"/>
          <w:i/>
          <w:lang w:val="fr-FR" w:eastAsia="it-IT"/>
        </w:rPr>
        <w:t>« sans enquêtes du Parquet, il n’y a pas d’audiences foraines</w:t>
      </w:r>
      <w:r w:rsidRPr="006E6AAA">
        <w:rPr>
          <w:rFonts w:ascii="Calibri" w:eastAsia="Times New Roman" w:hAnsi="Calibri" w:cs="Times New Roman"/>
          <w:lang w:val="fr-FR" w:eastAsia="it-IT"/>
        </w:rPr>
        <w:t xml:space="preserve"> ».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40" w:lineRule="auto"/>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40" w:lineRule="auto"/>
        <w:rPr>
          <w:rFonts w:ascii="Calibri" w:eastAsia="Times New Roman" w:hAnsi="Calibri" w:cs="Times New Roman"/>
          <w:lang w:val="fr-FR"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60"/>
        <w:gridCol w:w="1080"/>
        <w:gridCol w:w="1260"/>
        <w:gridCol w:w="1260"/>
        <w:gridCol w:w="1260"/>
      </w:tblGrid>
      <w:tr w:rsidR="006E6AAA" w:rsidRPr="006E6AAA" w:rsidTr="00C8613A">
        <w:tc>
          <w:tcPr>
            <w:tcW w:w="8860" w:type="dxa"/>
            <w:gridSpan w:val="6"/>
            <w:tcBorders>
              <w:bottom w:val="single" w:sz="4" w:space="0" w:color="auto"/>
            </w:tcBorders>
            <w:shd w:val="clear" w:color="auto" w:fill="333333"/>
          </w:tcPr>
          <w:p w:rsidR="006E6AAA" w:rsidRPr="006E6AAA" w:rsidRDefault="006E6AAA" w:rsidP="006E6AAA">
            <w:pPr>
              <w:tabs>
                <w:tab w:val="left" w:pos="1210"/>
              </w:tabs>
              <w:spacing w:after="0" w:line="240" w:lineRule="auto"/>
              <w:jc w:val="center"/>
              <w:rPr>
                <w:rFonts w:ascii="Calibri" w:eastAsia="Times New Roman" w:hAnsi="Calibri" w:cs="Times New Roman"/>
                <w:b/>
                <w:bCs/>
                <w:color w:val="FFFFFF"/>
                <w:kern w:val="2"/>
                <w:sz w:val="20"/>
                <w:szCs w:val="20"/>
                <w:lang w:val="fr-FR" w:eastAsia="it-IT"/>
              </w:rPr>
            </w:pPr>
            <w:r w:rsidRPr="006E6AAA">
              <w:rPr>
                <w:rFonts w:ascii="Calibri" w:eastAsia="Times New Roman" w:hAnsi="Calibri" w:cs="Times New Roman"/>
                <w:b/>
                <w:bCs/>
                <w:color w:val="FFFFFF"/>
                <w:kern w:val="2"/>
                <w:sz w:val="20"/>
                <w:szCs w:val="20"/>
                <w:lang w:val="fr-FR" w:eastAsia="it-IT"/>
              </w:rPr>
              <w:t>Tableau récapitulatif des résultats des audiences foraines</w:t>
            </w:r>
          </w:p>
          <w:p w:rsidR="006E6AAA" w:rsidRPr="006E6AAA" w:rsidRDefault="006E6AAA" w:rsidP="006E6AAA">
            <w:pPr>
              <w:tabs>
                <w:tab w:val="left" w:pos="1210"/>
              </w:tabs>
              <w:spacing w:after="0" w:line="240" w:lineRule="auto"/>
              <w:jc w:val="center"/>
              <w:rPr>
                <w:rFonts w:ascii="Calibri" w:eastAsia="Times New Roman" w:hAnsi="Calibri" w:cs="Times New Roman"/>
                <w:b/>
                <w:bCs/>
                <w:color w:val="FFFFFF"/>
                <w:kern w:val="2"/>
                <w:sz w:val="20"/>
                <w:szCs w:val="20"/>
                <w:lang w:val="fr-FR" w:eastAsia="it-IT"/>
              </w:rPr>
            </w:pPr>
            <w:r w:rsidRPr="006E6AAA">
              <w:rPr>
                <w:rFonts w:ascii="Calibri" w:eastAsia="Times New Roman" w:hAnsi="Calibri" w:cs="Times New Roman"/>
                <w:b/>
                <w:bCs/>
                <w:color w:val="FFFFFF"/>
                <w:kern w:val="2"/>
                <w:sz w:val="20"/>
                <w:szCs w:val="20"/>
                <w:lang w:val="fr-FR" w:eastAsia="it-IT"/>
              </w:rPr>
              <w:t>appuyées par le PNUD  du 01/2011 au 12/2012</w:t>
            </w:r>
          </w:p>
        </w:tc>
      </w:tr>
      <w:tr w:rsidR="006E6AAA" w:rsidRPr="006E6AAA" w:rsidTr="00C8613A">
        <w:tc>
          <w:tcPr>
            <w:tcW w:w="440" w:type="dxa"/>
            <w:tcBorders>
              <w:bottom w:val="single" w:sz="4" w:space="0" w:color="auto"/>
            </w:tcBorders>
            <w:shd w:val="clear" w:color="auto" w:fill="8C8C8C"/>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tcBorders>
              <w:bottom w:val="single" w:sz="4" w:space="0" w:color="auto"/>
            </w:tcBorders>
            <w:shd w:val="clear" w:color="auto" w:fill="8C8C8C"/>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1080" w:type="dxa"/>
            <w:tcBorders>
              <w:bottom w:val="single" w:sz="4" w:space="0" w:color="auto"/>
            </w:tcBorders>
            <w:shd w:val="clear" w:color="auto" w:fill="8C8C8C"/>
          </w:tcPr>
          <w:p w:rsidR="006E6AAA" w:rsidRPr="006E6AAA" w:rsidRDefault="006E6AAA" w:rsidP="006E6AAA">
            <w:pPr>
              <w:tabs>
                <w:tab w:val="left" w:pos="1210"/>
              </w:tabs>
              <w:spacing w:after="0" w:line="240" w:lineRule="auto"/>
              <w:rPr>
                <w:rFonts w:ascii="Calibri" w:eastAsia="Times New Roman" w:hAnsi="Calibri" w:cs="Times New Roman"/>
                <w:b/>
                <w:bCs/>
                <w:smallCaps/>
                <w:kern w:val="2"/>
                <w:lang w:val="fr-FR" w:eastAsia="it-IT"/>
              </w:rPr>
            </w:pPr>
            <w:r w:rsidRPr="006E6AAA">
              <w:rPr>
                <w:rFonts w:ascii="Calibri" w:eastAsia="Times New Roman" w:hAnsi="Calibri" w:cs="Times New Roman"/>
                <w:b/>
                <w:bCs/>
                <w:smallCaps/>
                <w:kern w:val="2"/>
                <w:lang w:val="fr-FR" w:eastAsia="it-IT"/>
              </w:rPr>
              <w:t xml:space="preserve">total </w:t>
            </w:r>
          </w:p>
        </w:tc>
        <w:tc>
          <w:tcPr>
            <w:tcW w:w="1260" w:type="dxa"/>
            <w:tcBorders>
              <w:bottom w:val="single" w:sz="4" w:space="0" w:color="auto"/>
            </w:tcBorders>
            <w:shd w:val="clear" w:color="auto" w:fill="8C8C8C"/>
          </w:tcPr>
          <w:p w:rsidR="006E6AAA" w:rsidRPr="006E6AAA" w:rsidRDefault="006E6AAA" w:rsidP="006E6AAA">
            <w:pPr>
              <w:tabs>
                <w:tab w:val="left" w:pos="1210"/>
              </w:tabs>
              <w:spacing w:after="0" w:line="240" w:lineRule="auto"/>
              <w:rPr>
                <w:rFonts w:ascii="Calibri" w:eastAsia="Times New Roman" w:hAnsi="Calibri" w:cs="Times New Roman"/>
                <w:b/>
                <w:bCs/>
                <w:smallCaps/>
                <w:kern w:val="2"/>
                <w:lang w:val="fr-FR" w:eastAsia="it-IT"/>
              </w:rPr>
            </w:pPr>
            <w:r w:rsidRPr="006E6AAA">
              <w:rPr>
                <w:rFonts w:ascii="Calibri" w:eastAsia="Times New Roman" w:hAnsi="Calibri" w:cs="Times New Roman"/>
                <w:b/>
                <w:bCs/>
                <w:smallCaps/>
                <w:kern w:val="2"/>
                <w:lang w:val="fr-FR" w:eastAsia="it-IT"/>
              </w:rPr>
              <w:t>nord kivu</w:t>
            </w:r>
          </w:p>
        </w:tc>
        <w:tc>
          <w:tcPr>
            <w:tcW w:w="1260" w:type="dxa"/>
            <w:tcBorders>
              <w:bottom w:val="single" w:sz="4" w:space="0" w:color="auto"/>
            </w:tcBorders>
            <w:shd w:val="clear" w:color="auto" w:fill="8C8C8C"/>
          </w:tcPr>
          <w:p w:rsidR="006E6AAA" w:rsidRPr="006E6AAA" w:rsidRDefault="006E6AAA" w:rsidP="006E6AAA">
            <w:pPr>
              <w:tabs>
                <w:tab w:val="left" w:pos="1210"/>
              </w:tabs>
              <w:spacing w:after="0" w:line="240" w:lineRule="auto"/>
              <w:rPr>
                <w:rFonts w:ascii="Calibri" w:eastAsia="Times New Roman" w:hAnsi="Calibri" w:cs="Times New Roman"/>
                <w:b/>
                <w:bCs/>
                <w:smallCaps/>
                <w:kern w:val="2"/>
                <w:lang w:val="fr-FR" w:eastAsia="it-IT"/>
              </w:rPr>
            </w:pPr>
            <w:r w:rsidRPr="006E6AAA">
              <w:rPr>
                <w:rFonts w:ascii="Calibri" w:eastAsia="Times New Roman" w:hAnsi="Calibri" w:cs="Times New Roman"/>
                <w:b/>
                <w:bCs/>
                <w:smallCaps/>
                <w:kern w:val="2"/>
                <w:lang w:val="fr-FR" w:eastAsia="it-IT"/>
              </w:rPr>
              <w:t>sud kivu</w:t>
            </w:r>
          </w:p>
        </w:tc>
        <w:tc>
          <w:tcPr>
            <w:tcW w:w="1260" w:type="dxa"/>
            <w:tcBorders>
              <w:bottom w:val="single" w:sz="4" w:space="0" w:color="auto"/>
            </w:tcBorders>
            <w:shd w:val="clear" w:color="auto" w:fill="8C8C8C"/>
          </w:tcPr>
          <w:p w:rsidR="006E6AAA" w:rsidRPr="006E6AAA" w:rsidRDefault="006E6AAA" w:rsidP="006E6AAA">
            <w:pPr>
              <w:tabs>
                <w:tab w:val="left" w:pos="1210"/>
              </w:tabs>
              <w:spacing w:after="0" w:line="240" w:lineRule="auto"/>
              <w:rPr>
                <w:rFonts w:ascii="Calibri" w:eastAsia="Times New Roman" w:hAnsi="Calibri" w:cs="Times New Roman"/>
                <w:b/>
                <w:bCs/>
                <w:smallCaps/>
                <w:kern w:val="2"/>
                <w:lang w:val="fr-FR" w:eastAsia="it-IT"/>
              </w:rPr>
            </w:pPr>
            <w:r w:rsidRPr="006E6AAA">
              <w:rPr>
                <w:rFonts w:ascii="Calibri" w:eastAsia="Times New Roman" w:hAnsi="Calibri" w:cs="Times New Roman"/>
                <w:b/>
                <w:bCs/>
                <w:smallCaps/>
                <w:kern w:val="2"/>
                <w:lang w:val="fr-FR" w:eastAsia="it-IT"/>
              </w:rPr>
              <w:t>ituri</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w:t>
            </w: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 total audiences foraines</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16</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3</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8</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5</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n. AF juridictions civiles</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4</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2</w:t>
            </w:r>
          </w:p>
        </w:tc>
      </w:tr>
      <w:tr w:rsidR="006E6AAA" w:rsidRPr="006E6AAA" w:rsidTr="00C8613A">
        <w:tc>
          <w:tcPr>
            <w:tcW w:w="440" w:type="dxa"/>
            <w:tcBorders>
              <w:bottom w:val="single" w:sz="4" w:space="0" w:color="auto"/>
            </w:tcBorders>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n. AF juridictions militaires</w:t>
            </w:r>
          </w:p>
        </w:tc>
        <w:tc>
          <w:tcPr>
            <w:tcW w:w="108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12</w:t>
            </w:r>
          </w:p>
        </w:tc>
        <w:tc>
          <w:tcPr>
            <w:tcW w:w="12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2</w:t>
            </w:r>
          </w:p>
        </w:tc>
        <w:tc>
          <w:tcPr>
            <w:tcW w:w="12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7</w:t>
            </w:r>
          </w:p>
        </w:tc>
        <w:tc>
          <w:tcPr>
            <w:tcW w:w="12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3</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Cs/>
                <w:kern w:val="2"/>
                <w:lang w:val="fr-FR" w:eastAsia="it-IT"/>
              </w:rPr>
              <w:t>→ n. AF juridictions appel</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6</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5</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0</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Cs/>
                <w:kern w:val="2"/>
                <w:lang w:val="fr-FR" w:eastAsia="it-IT"/>
              </w:rPr>
              <w:t>→ n. AF juridictions premier degré</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10</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2</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3</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5</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2</w:t>
            </w: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 de jours de foraine</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198</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46</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92</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60</w:t>
            </w:r>
          </w:p>
        </w:tc>
      </w:tr>
      <w:tr w:rsidR="006E6AAA" w:rsidRPr="006E6AAA" w:rsidTr="00C8613A">
        <w:tc>
          <w:tcPr>
            <w:tcW w:w="440" w:type="dxa"/>
            <w:tcBorders>
              <w:bottom w:val="single" w:sz="4" w:space="0" w:color="auto"/>
            </w:tcBorders>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3</w:t>
            </w:r>
          </w:p>
        </w:tc>
        <w:tc>
          <w:tcPr>
            <w:tcW w:w="35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 dossiers enrôlés</w:t>
            </w:r>
          </w:p>
        </w:tc>
        <w:tc>
          <w:tcPr>
            <w:tcW w:w="108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206</w:t>
            </w:r>
          </w:p>
        </w:tc>
        <w:tc>
          <w:tcPr>
            <w:tcW w:w="12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74</w:t>
            </w:r>
          </w:p>
        </w:tc>
        <w:tc>
          <w:tcPr>
            <w:tcW w:w="12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75</w:t>
            </w:r>
          </w:p>
        </w:tc>
        <w:tc>
          <w:tcPr>
            <w:tcW w:w="1260" w:type="dxa"/>
            <w:tcBorders>
              <w:bottom w:val="single" w:sz="4" w:space="0" w:color="auto"/>
            </w:tcBorders>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57</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n. dossiers VBG</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128</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44</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46</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38</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n. dossiers crimes internationaux</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n/d</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n/d</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6</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Cs/>
                <w:kern w:val="2"/>
                <w:highlight w:val="red"/>
                <w:lang w:val="it-IT" w:eastAsia="it-IT"/>
              </w:rPr>
            </w:pPr>
            <w:r w:rsidRPr="006E6AAA">
              <w:rPr>
                <w:rFonts w:ascii="Calibri" w:eastAsia="Times New Roman" w:hAnsi="Calibri" w:cs="Times New Roman"/>
                <w:bCs/>
                <w:kern w:val="2"/>
                <w:lang w:val="it-IT" w:eastAsia="it-IT"/>
              </w:rPr>
              <w:t>2</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4</w:t>
            </w:r>
          </w:p>
        </w:tc>
        <w:tc>
          <w:tcPr>
            <w:tcW w:w="35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it-IT" w:eastAsia="it-IT"/>
              </w:rPr>
            </w:pPr>
            <w:r w:rsidRPr="006E6AAA">
              <w:rPr>
                <w:rFonts w:ascii="Calibri" w:eastAsia="Times New Roman" w:hAnsi="Calibri" w:cs="Times New Roman"/>
                <w:b/>
                <w:bCs/>
                <w:kern w:val="2"/>
                <w:lang w:val="fr-FR" w:eastAsia="it-IT"/>
              </w:rPr>
              <w:t xml:space="preserve">n. </w:t>
            </w:r>
            <w:r w:rsidRPr="006E6AAA">
              <w:rPr>
                <w:rFonts w:ascii="Calibri" w:eastAsia="Times New Roman" w:hAnsi="Calibri" w:cs="Times New Roman"/>
                <w:b/>
                <w:bCs/>
                <w:kern w:val="2"/>
                <w:lang w:val="it-IT" w:eastAsia="it-IT"/>
              </w:rPr>
              <w:t>jugements rendus</w:t>
            </w:r>
          </w:p>
        </w:tc>
        <w:tc>
          <w:tcPr>
            <w:tcW w:w="108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it-IT" w:eastAsia="it-IT"/>
              </w:rPr>
            </w:pPr>
            <w:r w:rsidRPr="006E6AAA">
              <w:rPr>
                <w:rFonts w:ascii="Calibri" w:eastAsia="Times New Roman" w:hAnsi="Calibri" w:cs="Times New Roman"/>
                <w:b/>
                <w:bCs/>
                <w:kern w:val="2"/>
                <w:lang w:val="it-IT" w:eastAsia="it-IT"/>
              </w:rPr>
              <w:t>202</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it-IT" w:eastAsia="it-IT"/>
              </w:rPr>
            </w:pPr>
            <w:r w:rsidRPr="006E6AAA">
              <w:rPr>
                <w:rFonts w:ascii="Calibri" w:eastAsia="Times New Roman" w:hAnsi="Calibri" w:cs="Times New Roman"/>
                <w:b/>
                <w:bCs/>
                <w:kern w:val="2"/>
                <w:lang w:val="it-IT" w:eastAsia="it-IT"/>
              </w:rPr>
              <w:t>56</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it-IT" w:eastAsia="it-IT"/>
              </w:rPr>
            </w:pPr>
            <w:r w:rsidRPr="006E6AAA">
              <w:rPr>
                <w:rFonts w:ascii="Calibri" w:eastAsia="Times New Roman" w:hAnsi="Calibri" w:cs="Times New Roman"/>
                <w:b/>
                <w:bCs/>
                <w:kern w:val="2"/>
                <w:lang w:val="it-IT" w:eastAsia="it-IT"/>
              </w:rPr>
              <w:t>82</w:t>
            </w:r>
          </w:p>
        </w:tc>
        <w:tc>
          <w:tcPr>
            <w:tcW w:w="1260" w:type="dxa"/>
            <w:shd w:val="clear" w:color="auto" w:fill="auto"/>
          </w:tcPr>
          <w:p w:rsidR="006E6AAA" w:rsidRPr="006E6AAA" w:rsidRDefault="006E6AAA" w:rsidP="006E6AAA">
            <w:pPr>
              <w:tabs>
                <w:tab w:val="left" w:pos="1210"/>
              </w:tabs>
              <w:spacing w:after="0" w:line="240" w:lineRule="auto"/>
              <w:rPr>
                <w:rFonts w:ascii="Calibri" w:eastAsia="Times New Roman" w:hAnsi="Calibri" w:cs="Times New Roman"/>
                <w:b/>
                <w:bCs/>
                <w:kern w:val="2"/>
                <w:lang w:val="it-IT" w:eastAsia="it-IT"/>
              </w:rPr>
            </w:pPr>
            <w:r w:rsidRPr="006E6AAA">
              <w:rPr>
                <w:rFonts w:ascii="Calibri" w:eastAsia="Times New Roman" w:hAnsi="Calibri" w:cs="Times New Roman"/>
                <w:b/>
                <w:bCs/>
                <w:kern w:val="2"/>
                <w:lang w:val="it-IT" w:eastAsia="it-IT"/>
              </w:rPr>
              <w:t>64</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fr-FR" w:eastAsia="it-IT"/>
              </w:rPr>
              <w:t>→</w:t>
            </w:r>
            <w:r w:rsidRPr="006E6AAA">
              <w:rPr>
                <w:rFonts w:ascii="Calibri" w:eastAsia="Times New Roman" w:hAnsi="Calibri" w:cs="Times New Roman"/>
                <w:bCs/>
                <w:kern w:val="2"/>
                <w:lang w:val="it-IT" w:eastAsia="it-IT"/>
              </w:rPr>
              <w:t xml:space="preserve"> n. Condemnations</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158</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42</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65</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51</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fr-FR" w:eastAsia="it-IT"/>
              </w:rPr>
              <w:t xml:space="preserve">→ </w:t>
            </w:r>
            <w:r w:rsidRPr="006E6AAA">
              <w:rPr>
                <w:rFonts w:ascii="Calibri" w:eastAsia="Times New Roman" w:hAnsi="Calibri" w:cs="Times New Roman"/>
                <w:bCs/>
                <w:kern w:val="2"/>
                <w:lang w:val="it-IT" w:eastAsia="it-IT"/>
              </w:rPr>
              <w:t>n. Acquittements</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24</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14</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6</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it-IT" w:eastAsia="it-IT"/>
              </w:rPr>
            </w:pPr>
            <w:r w:rsidRPr="006E6AAA">
              <w:rPr>
                <w:rFonts w:ascii="Calibri" w:eastAsia="Times New Roman" w:hAnsi="Calibri" w:cs="Times New Roman"/>
                <w:bCs/>
                <w:kern w:val="2"/>
                <w:lang w:val="it-IT" w:eastAsia="it-IT"/>
              </w:rPr>
              <w:t>4</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it-IT"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Cs/>
                <w:kern w:val="2"/>
                <w:lang w:val="fr-FR" w:eastAsia="it-IT"/>
              </w:rPr>
              <w:t xml:space="preserve">→ n. autre jugements </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20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11</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9</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 xml:space="preserve">5 </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 xml:space="preserve">n. parties au procès </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n/d</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6</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 xml:space="preserve">n. avocats déployés </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97</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21</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39</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37</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avocats victimes/partie civiles</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53</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25</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18</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avocat prévenus</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44</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11</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14</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19</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7</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 moniteurs judiciaires déployés</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12</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 xml:space="preserve">5 </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6</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 xml:space="preserve">8 </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 xml:space="preserve">n. missions enquêtes du Parquet </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8</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6</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8</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9</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 missions de la Greffe</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16</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3</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8</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5</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10</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 sensibilisations sur les AF</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5</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6</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11</w:t>
            </w: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cout des audiences foraines (USD)</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52.000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
                <w:bCs/>
                <w:kern w:val="2"/>
                <w:lang w:val="fr-FR" w:eastAsia="it-IT"/>
              </w:rPr>
              <w:t>65.348</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r w:rsidRPr="006E6AAA">
              <w:rPr>
                <w:rFonts w:ascii="Calibri" w:eastAsia="Times New Roman" w:hAnsi="Calibri" w:cs="Times New Roman"/>
                <w:bCs/>
                <w:kern w:val="2"/>
                <w:lang w:val="fr-FR" w:eastAsia="it-IT"/>
              </w:rPr>
              <w:t>→ contribution du PNUD (USD)</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155.317</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33.000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62.540</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59.777</w:t>
            </w:r>
          </w:p>
        </w:tc>
      </w:tr>
      <w:tr w:rsidR="006E6AAA" w:rsidRPr="006E6AAA" w:rsidTr="00C8613A">
        <w:tc>
          <w:tcPr>
            <w:tcW w:w="440" w:type="dxa"/>
          </w:tcPr>
          <w:p w:rsidR="006E6AAA" w:rsidRPr="006E6AAA" w:rsidRDefault="006E6AAA" w:rsidP="006E6AAA">
            <w:pPr>
              <w:tabs>
                <w:tab w:val="left" w:pos="1210"/>
              </w:tabs>
              <w:spacing w:after="0" w:line="240" w:lineRule="auto"/>
              <w:rPr>
                <w:rFonts w:ascii="Calibri" w:eastAsia="Times New Roman" w:hAnsi="Calibri" w:cs="Times New Roman"/>
                <w:b/>
                <w:bCs/>
                <w:kern w:val="2"/>
                <w:lang w:val="fr-FR" w:eastAsia="it-IT"/>
              </w:rPr>
            </w:pPr>
          </w:p>
        </w:tc>
        <w:tc>
          <w:tcPr>
            <w:tcW w:w="35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 autres contributions (USD)</w:t>
            </w:r>
          </w:p>
        </w:tc>
        <w:tc>
          <w:tcPr>
            <w:tcW w:w="108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19.000 ABA</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r w:rsidRPr="006E6AAA">
              <w:rPr>
                <w:rFonts w:ascii="Calibri" w:eastAsia="Times New Roman" w:hAnsi="Calibri" w:cs="Times New Roman"/>
                <w:bCs/>
                <w:kern w:val="2"/>
                <w:lang w:val="fr-FR" w:eastAsia="it-IT"/>
              </w:rPr>
              <w:t>n/d</w:t>
            </w:r>
          </w:p>
        </w:tc>
        <w:tc>
          <w:tcPr>
            <w:tcW w:w="1260" w:type="dxa"/>
          </w:tcPr>
          <w:p w:rsidR="006E6AAA" w:rsidRPr="006E6AAA" w:rsidRDefault="006E6AAA" w:rsidP="006E6AAA">
            <w:pPr>
              <w:tabs>
                <w:tab w:val="left" w:pos="1210"/>
              </w:tabs>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4.071</w:t>
            </w:r>
            <w:r w:rsidRPr="006E6AAA">
              <w:rPr>
                <w:rFonts w:ascii="Calibri" w:eastAsia="Times New Roman" w:hAnsi="Calibri" w:cs="Times New Roman"/>
                <w:sz w:val="16"/>
                <w:szCs w:val="16"/>
                <w:lang w:val="fr-FR" w:eastAsia="it-IT"/>
              </w:rPr>
              <w:t xml:space="preserve">BCNUDH </w:t>
            </w:r>
            <w:r w:rsidRPr="006E6AAA">
              <w:rPr>
                <w:rFonts w:ascii="Calibri" w:eastAsia="Times New Roman" w:hAnsi="Calibri" w:cs="Times New Roman"/>
                <w:sz w:val="20"/>
                <w:szCs w:val="20"/>
                <w:lang w:val="fr-FR" w:eastAsia="it-IT"/>
              </w:rPr>
              <w:t>1.500 ABA</w:t>
            </w:r>
          </w:p>
        </w:tc>
      </w:tr>
    </w:tbl>
    <w:p w:rsidR="006E6AAA" w:rsidRPr="006E6AAA" w:rsidRDefault="006E6AAA" w:rsidP="006E6AAA">
      <w:pPr>
        <w:tabs>
          <w:tab w:val="left" w:pos="1210"/>
        </w:tabs>
        <w:spacing w:after="0" w:line="240" w:lineRule="auto"/>
        <w:rPr>
          <w:rFonts w:ascii="Calibri" w:eastAsia="Times New Roman" w:hAnsi="Calibri" w:cs="Times New Roman"/>
          <w:bCs/>
          <w:kern w:val="2"/>
          <w:lang w:val="fr-FR" w:eastAsia="it-IT"/>
        </w:rPr>
      </w:pPr>
    </w:p>
    <w:p w:rsidR="006E6AAA" w:rsidRPr="006E6AAA" w:rsidRDefault="006E6AAA" w:rsidP="006E6AAA">
      <w:pPr>
        <w:tabs>
          <w:tab w:val="left" w:pos="1210"/>
        </w:tabs>
        <w:spacing w:after="0" w:line="240" w:lineRule="auto"/>
        <w:rPr>
          <w:rFonts w:ascii="Calibri" w:eastAsia="Times New Roman" w:hAnsi="Calibri" w:cs="Times New Roman"/>
          <w:lang w:val="fr-FR" w:eastAsia="it-IT"/>
        </w:rPr>
      </w:pPr>
    </w:p>
    <w:p w:rsidR="006E6AAA" w:rsidRPr="006E6AAA" w:rsidRDefault="006E6AAA" w:rsidP="006E6AAA">
      <w:pPr>
        <w:tabs>
          <w:tab w:val="left" w:pos="1210"/>
        </w:tabs>
        <w:spacing w:after="0" w:line="240" w:lineRule="auto"/>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6.3</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La qualité des résultats atteints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L’objectif de la présente évaluation est également d’évaluer la qualité des services fournis au cours des AF et en particulier leur conformité aux standards internationaux du procès équitable et au mandat du PNUD, avec un focus sur les questions de genre et la complémentarité avec la CPI.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rapports de monitoring et les entretiens au cours de la mission ont souligné la bonne qualité de la pratique judiciaire des AF, qui a été jugée en général en conformité avec les standards internationaux.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L’engagement et le travail remarquable menés par des magistrats sont amplement reconnus ; par exemple un rapport d’ASF conclus que « </w:t>
      </w:r>
      <w:r w:rsidRPr="006E6AAA">
        <w:rPr>
          <w:rFonts w:ascii="Calibri" w:eastAsia="Times New Roman" w:hAnsi="Calibri" w:cs="Times New Roman"/>
          <w:i/>
          <w:lang w:val="fr-FR" w:eastAsia="it-IT"/>
        </w:rPr>
        <w:t>les autorités judiciaires ont les compétences pour faire eux-mêmes</w:t>
      </w:r>
      <w:r w:rsidRPr="006E6AAA">
        <w:rPr>
          <w:rFonts w:ascii="Calibri" w:eastAsia="Times New Roman" w:hAnsi="Calibri" w:cs="Times New Roman"/>
          <w:lang w:val="fr-FR" w:eastAsia="it-IT"/>
        </w:rPr>
        <w:t>»</w:t>
      </w:r>
      <w:r w:rsidRPr="006E6AAA">
        <w:rPr>
          <w:rFonts w:ascii="Calibri" w:eastAsia="Times New Roman" w:hAnsi="Calibri" w:cs="Times New Roman"/>
          <w:vertAlign w:val="superscript"/>
          <w:lang w:val="fr-FR" w:eastAsia="it-IT"/>
        </w:rPr>
        <w:footnoteReference w:id="232"/>
      </w:r>
      <w:r w:rsidRPr="006E6AAA">
        <w:rPr>
          <w:rFonts w:ascii="Calibri" w:eastAsia="Times New Roman" w:hAnsi="Calibri" w:cs="Times New Roman"/>
          <w:lang w:val="fr-FR" w:eastAsia="it-IT"/>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Sur le plan juridique les aspects qui pourraient être améliorés sont indiqués ci-dessous. </w:t>
      </w: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lang w:val="fr-FR" w:eastAsia="it-IT"/>
        </w:rPr>
      </w:pP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lang w:val="fr-FR" w:eastAsia="it-IT"/>
        </w:rPr>
      </w:pP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b/>
          <w:color w:val="00008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color w:val="000080"/>
          <w:lang w:val="fr-FR" w:eastAsia="it-IT"/>
        </w:rPr>
      </w:pPr>
      <w:r w:rsidRPr="006E6AAA">
        <w:rPr>
          <w:rFonts w:ascii="Times New Roman" w:eastAsia="Times New Roman" w:hAnsi="Times New Roman" w:cs="Times New Roman"/>
          <w:b/>
          <w:color w:val="000080"/>
          <w:lang w:val="fr-FR" w:eastAsia="it-IT"/>
        </w:rPr>
        <w:t>►</w:t>
      </w:r>
      <w:r w:rsidRPr="006E6AAA">
        <w:rPr>
          <w:rFonts w:ascii="Calibri" w:eastAsia="Times New Roman" w:hAnsi="Calibri" w:cs="Times New Roman"/>
          <w:b/>
          <w:color w:val="000080"/>
          <w:lang w:val="fr-FR" w:eastAsia="it-IT"/>
        </w:rPr>
        <w:t xml:space="preserve"> </w:t>
      </w:r>
      <w:r w:rsidRPr="006E6AAA">
        <w:rPr>
          <w:rFonts w:ascii="Calibri" w:eastAsia="Times New Roman" w:hAnsi="Calibri" w:cs="Times New Roman"/>
          <w:b/>
          <w:color w:val="000080"/>
          <w:u w:val="single"/>
          <w:lang w:val="fr-FR" w:eastAsia="it-IT"/>
        </w:rPr>
        <w:t>La parité des armes</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Au cours des AF les victimes et les prévenus sont toujours représentés par des avocats ou des défenseurs judiciaires: les statistiques PNUD indiquent au total 44 avocats pour les prévenus et 53 avocats pour les victimes/parties civiles ont été déployés. En termes financiers ces efforts représentent un engagement important: le </w:t>
      </w:r>
      <w:r w:rsidRPr="006E6AAA">
        <w:rPr>
          <w:rFonts w:ascii="Calibri" w:eastAsia="Times New Roman" w:hAnsi="Calibri" w:cs="Times New Roman"/>
          <w:i/>
          <w:lang w:val="fr-FR" w:eastAsia="it-IT"/>
        </w:rPr>
        <w:t>perdiem</w:t>
      </w:r>
      <w:r w:rsidRPr="006E6AAA">
        <w:rPr>
          <w:rFonts w:ascii="Calibri" w:eastAsia="Times New Roman" w:hAnsi="Calibri" w:cs="Times New Roman"/>
          <w:lang w:val="fr-FR" w:eastAsia="it-IT"/>
        </w:rPr>
        <w:t xml:space="preserve"> pour 6 avocats envoyés en foraine pour 15 jours a un coût approximatif de 5.000 USD.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Ces chiffres semblent indiquer que les parties au procès sont bien représentées aux AF, toutefois une analyse plus approfondie, supportée par les opinions des nombreux répondants, permet de conclure qu’au cours des AF </w:t>
      </w:r>
      <w:r w:rsidRPr="006E6AAA">
        <w:rPr>
          <w:rFonts w:ascii="Calibri" w:eastAsia="Times New Roman" w:hAnsi="Calibri" w:cs="Times New Roman"/>
          <w:b/>
          <w:lang w:val="fr-FR" w:eastAsia="it-IT"/>
        </w:rPr>
        <w:t>les droits de la victime sont mieux protégées par rapport aux droits du prévenu</w:t>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cause principale de ce déséquilibre est à rechercher dans le fait que les parties au procès sont représentées par deux typologies différentes d’avocats</w:t>
      </w:r>
      <w:r w:rsidRPr="006E6AAA">
        <w:rPr>
          <w:rFonts w:ascii="Calibri" w:eastAsia="Times New Roman" w:hAnsi="Calibri" w:cs="Times New Roman"/>
          <w:vertAlign w:val="superscript"/>
          <w:lang w:val="fr-FR" w:eastAsia="it-IT"/>
        </w:rPr>
        <w:footnoteReference w:id="233"/>
      </w:r>
      <w:r w:rsidRPr="006E6AAA">
        <w:rPr>
          <w:rFonts w:ascii="Calibri" w:eastAsia="Times New Roman" w:hAnsi="Calibri" w:cs="Times New Roman"/>
          <w:lang w:val="fr-FR" w:eastAsia="it-IT"/>
        </w:rPr>
        <w:t xml:space="preserve"> : </w:t>
      </w:r>
    </w:p>
    <w:p w:rsidR="006E6AAA" w:rsidRPr="006E6AAA" w:rsidRDefault="006E6AAA" w:rsidP="006E6AAA">
      <w:pPr>
        <w:numPr>
          <w:ilvl w:val="0"/>
          <w:numId w:val="6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des avocats-consultants, </w:t>
      </w:r>
      <w:r w:rsidRPr="006E6AAA">
        <w:rPr>
          <w:rFonts w:ascii="Calibri" w:eastAsia="Times New Roman" w:hAnsi="Calibri" w:cs="Times New Roman"/>
          <w:lang w:val="fr-FR" w:eastAsia="it-IT"/>
        </w:rPr>
        <w:t xml:space="preserve">payés mensuellement et formés régulièrement par des ONG comme ABA, représentent les victimes/partie civile, </w:t>
      </w:r>
    </w:p>
    <w:p w:rsidR="006E6AAA" w:rsidRPr="006E6AAA" w:rsidRDefault="006E6AAA" w:rsidP="006E6AAA">
      <w:pPr>
        <w:numPr>
          <w:ilvl w:val="0"/>
          <w:numId w:val="6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des avocats-pro deo, </w:t>
      </w:r>
      <w:r w:rsidRPr="006E6AAA">
        <w:rPr>
          <w:rFonts w:ascii="Calibri" w:eastAsia="Times New Roman" w:hAnsi="Calibri" w:cs="Times New Roman"/>
          <w:lang w:val="fr-FR" w:eastAsia="it-IT"/>
        </w:rPr>
        <w:t xml:space="preserve">envoyés d’office par les Barreau et payés uniquement le </w:t>
      </w:r>
      <w:r w:rsidRPr="006E6AAA">
        <w:rPr>
          <w:rFonts w:ascii="Calibri" w:eastAsia="Times New Roman" w:hAnsi="Calibri" w:cs="Times New Roman"/>
          <w:i/>
          <w:lang w:val="fr-FR" w:eastAsia="it-IT"/>
        </w:rPr>
        <w:t>perdiem</w:t>
      </w:r>
      <w:r w:rsidRPr="006E6AAA">
        <w:rPr>
          <w:rFonts w:ascii="Calibri" w:eastAsia="Times New Roman" w:hAnsi="Calibri" w:cs="Times New Roman"/>
          <w:lang w:val="fr-FR" w:eastAsia="it-IT"/>
        </w:rPr>
        <w:t xml:space="preserve"> pour les déplacements en foraine, représentent le prévenu</w:t>
      </w:r>
      <w:r w:rsidRPr="006E6AAA">
        <w:rPr>
          <w:rFonts w:ascii="Calibri" w:eastAsia="Times New Roman" w:hAnsi="Calibri" w:cs="Times New Roman"/>
          <w:vertAlign w:val="superscript"/>
          <w:lang w:val="fr-FR" w:eastAsia="it-IT"/>
        </w:rPr>
        <w:footnoteReference w:id="234"/>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 des rapports de monitoring judiciaire illustre clairement la différence susmentionnée: </w:t>
      </w:r>
      <w:r w:rsidRPr="006E6AAA">
        <w:rPr>
          <w:rFonts w:ascii="Calibri" w:eastAsia="Times New Roman" w:hAnsi="Calibri" w:cs="Times New Roman"/>
          <w:i/>
          <w:lang w:val="fr-FR" w:eastAsia="it-IT"/>
        </w:rPr>
        <w:t xml:space="preserve">« Les avocats de la défense (pro deo) n’ont pas d’arguments à présenter devant le juge parce qu’ils ne connaissent pas </w:t>
      </w:r>
      <w:r w:rsidRPr="006E6AAA">
        <w:rPr>
          <w:rFonts w:ascii="Calibri" w:eastAsia="Times New Roman" w:hAnsi="Calibri" w:cs="Times New Roman"/>
          <w:i/>
          <w:lang w:val="fr-FR" w:eastAsia="it-IT"/>
        </w:rPr>
        <w:lastRenderedPageBreak/>
        <w:t>le dossier en profondeur; certains d’entre eux s’y imprègnent séance tenante. Ces derniers ont peu d’expérience en matière de défense des crimes internationaux et plaident comme si le prévenu avait commis un crime de droit commun. Par contre la partie civile est sérieusement outillée et expérimentée pour plaider les crimes de ces genres</w:t>
      </w:r>
      <w:r w:rsidRPr="006E6AAA">
        <w:rPr>
          <w:rFonts w:ascii="Calibri" w:eastAsia="Times New Roman" w:hAnsi="Calibri" w:cs="Times New Roman"/>
          <w:lang w:val="fr-FR" w:eastAsia="it-IT"/>
        </w:rPr>
        <w:t>.»</w:t>
      </w:r>
      <w:r w:rsidRPr="006E6AAA">
        <w:rPr>
          <w:rFonts w:ascii="Calibri" w:eastAsia="Times New Roman" w:hAnsi="Calibri" w:cs="Times New Roman"/>
          <w:vertAlign w:val="superscript"/>
          <w:lang w:val="fr-FR" w:eastAsia="it-IT"/>
        </w:rPr>
        <w:footnoteReference w:id="235"/>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Times New Roman" w:eastAsia="Times New Roman" w:hAnsi="Times New Roman"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représentant du Barreau du Sud Kivu a soulevé cette problématique á la réunion avec le Gouverneur et a sollicité le PNUD à fournir plus d’appui aux avocats des prévenus en soulignant « </w:t>
      </w:r>
      <w:r w:rsidRPr="006E6AAA">
        <w:rPr>
          <w:rFonts w:ascii="Calibri" w:eastAsia="Times New Roman" w:hAnsi="Calibri" w:cs="Times New Roman"/>
          <w:i/>
          <w:lang w:val="fr-FR" w:eastAsia="it-IT"/>
        </w:rPr>
        <w:t>les déséquilibres entre la défense et la partie civile, car ces derniers sont souvent mieux outilles </w:t>
      </w:r>
      <w:r w:rsidRPr="006E6AAA">
        <w:rPr>
          <w:rFonts w:ascii="Calibri" w:eastAsia="Times New Roman" w:hAnsi="Calibri" w:cs="Times New Roman"/>
          <w:lang w:val="fr-FR" w:eastAsia="it-IT"/>
        </w:rPr>
        <w:t>»</w:t>
      </w:r>
      <w:r w:rsidRPr="006E6AAA">
        <w:rPr>
          <w:rFonts w:ascii="Calibri" w:eastAsia="Times New Roman" w:hAnsi="Calibri" w:cs="Times New Roman"/>
          <w:vertAlign w:val="superscript"/>
          <w:lang w:val="fr-FR" w:eastAsia="it-IT"/>
        </w:rPr>
        <w:footnoteReference w:id="236"/>
      </w:r>
      <w:r w:rsidRPr="006E6AAA">
        <w:rPr>
          <w:rFonts w:ascii="Calibri" w:eastAsia="Times New Roman" w:hAnsi="Calibri" w:cs="Times New Roman"/>
          <w:lang w:val="fr-FR" w:eastAsia="it-IT"/>
        </w:rPr>
        <w:t xml:space="preserve">.  </w:t>
      </w:r>
      <w:r w:rsidRPr="006E6AAA">
        <w:rPr>
          <w:rFonts w:ascii="Calibri" w:eastAsia="Times New Roman" w:hAnsi="Calibri" w:cs="ScalaPro-Regular"/>
          <w:lang w:val="fr-FR" w:eastAsia="it-IT"/>
        </w:rPr>
        <w:t>Le Président de la Cour d’Appel de Bukavu a ajouté que</w:t>
      </w:r>
      <w:r w:rsidRPr="006E6AAA">
        <w:rPr>
          <w:rFonts w:ascii="Calibri" w:eastAsia="Times New Roman" w:hAnsi="Calibri" w:cs="Times New Roman"/>
          <w:lang w:val="fr-FR" w:eastAsia="it-IT"/>
        </w:rPr>
        <w:t xml:space="preserve"> « </w:t>
      </w:r>
      <w:r w:rsidRPr="006E6AAA">
        <w:rPr>
          <w:rFonts w:ascii="Calibri" w:eastAsia="Times New Roman" w:hAnsi="Calibri" w:cs="Times New Roman"/>
          <w:i/>
          <w:lang w:val="fr-FR" w:eastAsia="it-IT"/>
        </w:rPr>
        <w:t>Les partenaires mettent beaucoup plus l’accent sur les victimes et s’attendent à une condamnation. Les prévenus sont diabolisés</w:t>
      </w:r>
      <w:r w:rsidRPr="006E6AAA">
        <w:rPr>
          <w:rFonts w:ascii="Calibri" w:eastAsia="Times New Roman" w:hAnsi="Calibri" w:cs="Times New Roman"/>
          <w:lang w:val="fr-FR" w:eastAsia="it-IT"/>
        </w:rPr>
        <w:t xml:space="preserve"> ».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Souvent les avocats de la défense sont désignés seulement la veille de la première audience</w:t>
      </w:r>
      <w:r w:rsidRPr="006E6AAA">
        <w:rPr>
          <w:rFonts w:ascii="Calibri" w:eastAsia="Times New Roman" w:hAnsi="Calibri" w:cs="Times New Roman"/>
          <w:vertAlign w:val="superscript"/>
          <w:lang w:val="fr-FR" w:eastAsia="it-IT"/>
        </w:rPr>
        <w:footnoteReference w:id="237"/>
      </w:r>
      <w:r w:rsidRPr="006E6AAA">
        <w:rPr>
          <w:rFonts w:ascii="Calibri" w:eastAsia="Times New Roman" w:hAnsi="Calibri" w:cs="Times New Roman"/>
          <w:lang w:val="fr-FR" w:eastAsia="it-IT"/>
        </w:rPr>
        <w:t>, tandis que les avocats de la victime ont le temps de descendre sur le terrain avant l’audience foraine pour la rencontrer et la préparer pour l’audience. En outre, comme illustré par le rapport de monitoring «</w:t>
      </w:r>
      <w:r w:rsidRPr="006E6AAA">
        <w:rPr>
          <w:rFonts w:ascii="Calibri" w:eastAsia="Times New Roman" w:hAnsi="Calibri" w:cs="Times New Roman"/>
          <w:i/>
          <w:lang w:val="fr-FR" w:eastAsia="it-IT"/>
        </w:rPr>
        <w:t xml:space="preserve"> les prévenus étant en cachot et n’ayant pas d’avocat au cours de toute la durée de l’instruction pré juridictionnelle, ils n’ont pas eu l’occasion de requérir des témoins. Ce pourquoi, à l’audience, seuls étaient présents les témoins à charge qui avaient été identifiés et requis par le ministère public.</w:t>
      </w:r>
      <w:r w:rsidRPr="006E6AAA">
        <w:rPr>
          <w:rFonts w:ascii="Calibri" w:eastAsia="Times New Roman" w:hAnsi="Calibri" w:cs="Times New Roman"/>
          <w:lang w:val="fr-FR" w:eastAsia="it-IT"/>
        </w:rPr>
        <w:t>»</w:t>
      </w:r>
      <w:r w:rsidRPr="006E6AAA">
        <w:rPr>
          <w:rFonts w:ascii="Calibri" w:eastAsia="Times New Roman" w:hAnsi="Calibri" w:cs="Times New Roman"/>
          <w:vertAlign w:val="superscript"/>
          <w:lang w:val="fr-FR" w:eastAsia="it-IT"/>
        </w:rPr>
        <w:footnoteReference w:id="238"/>
      </w: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color w:val="000080"/>
          <w:lang w:val="fr-FR" w:eastAsia="it-IT"/>
        </w:rPr>
      </w:pPr>
      <w:r w:rsidRPr="006E6AAA">
        <w:rPr>
          <w:rFonts w:ascii="Times New Roman" w:eastAsia="Times New Roman" w:hAnsi="Times New Roman" w:cs="Times New Roman"/>
          <w:b/>
          <w:color w:val="000080"/>
          <w:lang w:val="fr-FR" w:eastAsia="it-IT"/>
        </w:rPr>
        <w:t>►</w:t>
      </w:r>
      <w:r w:rsidRPr="006E6AAA">
        <w:rPr>
          <w:rFonts w:ascii="Calibri" w:eastAsia="Times New Roman" w:hAnsi="Calibri" w:cs="Times New Roman"/>
          <w:b/>
          <w:color w:val="000080"/>
          <w:lang w:val="fr-FR" w:eastAsia="it-IT"/>
        </w:rPr>
        <w:t xml:space="preserve"> </w:t>
      </w:r>
      <w:r w:rsidRPr="006E6AAA">
        <w:rPr>
          <w:rFonts w:ascii="Calibri" w:eastAsia="Times New Roman" w:hAnsi="Calibri" w:cs="Times New Roman"/>
          <w:b/>
          <w:color w:val="000080"/>
          <w:u w:val="single"/>
          <w:lang w:val="fr-FR" w:eastAsia="it-IT"/>
        </w:rPr>
        <w:t>Le droit á un interprète</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 interprète dans la langue locale est normalement intégré dans l’équipe foraine. Les audiences se déroulent en français mais les parties au procès peuvent s’exprimer dans leur langue (swahili, lingala…) et si les magistrats le souhaitent ils sont autorisés à utiliser la langue locale.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question de la langue utilisée au procès n’as pas été mentionnée comme problématique au cours des entretiens et n’ayant pas pu observer une AF, la consultante n’as pas pu tirer des conclusions sur cet aspect.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L’analyse des rapports de monitoring permet de noter l’attention particulière que le PNUD porte à cette question. Par exemple le rapport PNUD de l’AF à Walungu indique que « </w:t>
      </w:r>
      <w:r w:rsidRPr="006E6AAA">
        <w:rPr>
          <w:rFonts w:ascii="Calibri" w:eastAsia="Times New Roman" w:hAnsi="Calibri" w:cs="Times New Roman"/>
          <w:i/>
          <w:lang w:val="fr-FR" w:eastAsia="it-IT"/>
        </w:rPr>
        <w:t>les prévenus ont bénéficié de l’assistance d’un interprète lors de leur interrogatoire, ainsi que les victimes lors de leurs audition parce que parlaient tous Swahili</w:t>
      </w:r>
      <w:r w:rsidRPr="006E6AAA">
        <w:rPr>
          <w:rFonts w:ascii="Calibri" w:eastAsia="Times New Roman" w:hAnsi="Calibri" w:cs="Times New Roman"/>
          <w:lang w:val="fr-FR" w:eastAsia="it-IT"/>
        </w:rPr>
        <w:t>” et que  «l</w:t>
      </w:r>
      <w:r w:rsidRPr="006E6AAA">
        <w:rPr>
          <w:rFonts w:ascii="Calibri" w:eastAsia="Times New Roman" w:hAnsi="Calibri" w:cs="Times New Roman"/>
          <w:i/>
          <w:lang w:val="fr-FR" w:eastAsia="it-IT"/>
        </w:rPr>
        <w:t>e troisième dossier n’a pu être instruit parce que le prévenu a souhaité s’exprimer en Kinyarwanda, et il n’y avait pas d’interprète à cet effet. Son dossier a été renvoyé pour qu’on puisse avoir un interprète, au 16 mars 2011. </w:t>
      </w:r>
      <w:r w:rsidRPr="006E6AAA">
        <w:rPr>
          <w:rFonts w:ascii="Calibri" w:eastAsia="Times New Roman" w:hAnsi="Calibri" w:cs="Times New Roman"/>
          <w:lang w:val="fr-FR" w:eastAsia="it-IT"/>
        </w:rPr>
        <w:t>»</w:t>
      </w:r>
      <w:r w:rsidRPr="006E6AAA">
        <w:rPr>
          <w:rFonts w:ascii="Calibri" w:eastAsia="Times New Roman" w:hAnsi="Calibri" w:cs="Times New Roman"/>
          <w:vertAlign w:val="superscript"/>
          <w:lang w:val="fr-FR" w:eastAsia="it-IT"/>
        </w:rPr>
        <w:footnoteReference w:id="239"/>
      </w:r>
      <w:r w:rsidRPr="006E6AAA">
        <w:rPr>
          <w:rFonts w:ascii="Calibri" w:eastAsia="Times New Roman" w:hAnsi="Calibri" w:cs="Times New Roman"/>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Etant donné que les AF ont aussi un objectif pédagogique car elles représentent une opportunité pour expliquer le droit á la population, il est recommandé de continuer à porter une attention particulière à ce que les parties au procès puissent participer activement aux procédures en assurant qu’elles ne soient pas limités par des barrières linguistiques.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Par exemple les moniteurs pourraient aller au delà de simplement vérifier la présence des interprètes aux audiences et, dans la même approche utilisée pour les avocats, vérifier la qualité de leur apports et éventuellement trianguler les conclusions avec l’opinion des parties au procès.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Comme illustre une étude par RCN, une analyse plus approfondie pourrait faire ressortir des éléments importants : « </w:t>
      </w:r>
      <w:r w:rsidRPr="006E6AAA">
        <w:rPr>
          <w:rFonts w:ascii="Calibri" w:eastAsia="Times New Roman" w:hAnsi="Calibri" w:cs="Times New Roman"/>
          <w:i/>
          <w:lang w:val="fr-FR" w:eastAsia="it-IT"/>
        </w:rPr>
        <w:t>Au cours des entretiens menés avec les responsables des juridictions, la question de la langue ne semblait jamais constituer un problème. C’est en rencontrant les chefs coutumiers et en lisant les questionnaires des justiciables qu’elle est ressortie avec force »</w:t>
      </w:r>
      <w:r w:rsidRPr="006E6AAA">
        <w:rPr>
          <w:rFonts w:ascii="Calibri" w:eastAsia="Times New Roman" w:hAnsi="Calibri" w:cs="Times New Roman"/>
          <w:lang w:val="fr-FR" w:eastAsia="it-IT"/>
        </w:rPr>
        <w:t>.</w:t>
      </w:r>
      <w:r w:rsidRPr="006E6AAA">
        <w:rPr>
          <w:rFonts w:ascii="Calibri" w:eastAsia="Times New Roman" w:hAnsi="Calibri" w:cs="Times New Roman"/>
          <w:i/>
          <w:vertAlign w:val="superscript"/>
          <w:lang w:val="fr-FR" w:eastAsia="it-IT"/>
        </w:rPr>
        <w:footnoteReference w:id="240"/>
      </w:r>
      <w:r w:rsidRPr="006E6AAA">
        <w:rPr>
          <w:rFonts w:ascii="Calibri" w:eastAsia="Times New Roman" w:hAnsi="Calibri" w:cs="Times New Roman"/>
          <w:lang w:val="fr-FR" w:eastAsia="it-IT"/>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lang w:val="fr-FR" w:eastAsia="it-IT"/>
        </w:rPr>
      </w:pPr>
    </w:p>
    <w:p w:rsidR="006E6AAA" w:rsidRPr="006E6AAA" w:rsidRDefault="006E6AAA" w:rsidP="006E6AAA">
      <w:pPr>
        <w:spacing w:after="0" w:line="280" w:lineRule="exact"/>
        <w:jc w:val="both"/>
        <w:rPr>
          <w:rFonts w:ascii="Calibri" w:eastAsia="Times New Roman" w:hAnsi="Calibri" w:cs="Times New Roman"/>
          <w:b/>
          <w:color w:val="000080"/>
          <w:u w:val="single"/>
          <w:lang w:val="fr-FR" w:eastAsia="it-IT"/>
        </w:rPr>
      </w:pPr>
      <w:r w:rsidRPr="006E6AAA">
        <w:rPr>
          <w:rFonts w:ascii="Times New Roman" w:eastAsia="Times New Roman" w:hAnsi="Times New Roman" w:cs="Times New Roman"/>
          <w:b/>
          <w:color w:val="000080"/>
          <w:lang w:val="fr-FR" w:eastAsia="it-IT"/>
        </w:rPr>
        <w:t>►</w:t>
      </w:r>
      <w:r w:rsidRPr="006E6AAA">
        <w:rPr>
          <w:rFonts w:ascii="Calibri" w:eastAsia="Times New Roman" w:hAnsi="Calibri" w:cs="Times New Roman"/>
          <w:b/>
          <w:color w:val="000080"/>
          <w:lang w:val="fr-FR" w:eastAsia="it-IT"/>
        </w:rPr>
        <w:t xml:space="preserve"> </w:t>
      </w:r>
      <w:r w:rsidRPr="006E6AAA">
        <w:rPr>
          <w:rFonts w:ascii="Calibri" w:eastAsia="Times New Roman" w:hAnsi="Calibri" w:cs="Times New Roman"/>
          <w:b/>
          <w:color w:val="000080"/>
          <w:u w:val="single"/>
          <w:lang w:val="fr-FR" w:eastAsia="it-IT"/>
        </w:rPr>
        <w:t>La protection des victimes et des témoins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Des mesures sont en place pour assurer la confidentialité des victimes et des témoins au cours de l’AF : si la victime ne veut pas affronter le prévenu elle peut être voilée ou demander que l’audience ait lieu á huis clos.  Le Président de la Cour Militaire de Goma ajoute qu’en rédigeant l’extrait de rôle, le greffier s’assure de mélanger les dossiers VBG aux autres. L’octroi de codes numériques pour designer les victimes des violences sexuelles tout au long de la procédure est aussi une pratique courante</w:t>
      </w:r>
      <w:r w:rsidRPr="006E6AAA">
        <w:rPr>
          <w:rFonts w:ascii="Calibri" w:eastAsia="Times New Roman" w:hAnsi="Calibri" w:cs="Times New Roman"/>
          <w:vertAlign w:val="superscript"/>
          <w:lang w:val="fr-FR" w:eastAsia="it-IT"/>
        </w:rPr>
        <w:footnoteReference w:id="241"/>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Commandant de la Police spéciale pour la protection de la femme et de l’enfant à Goma a souligné que le manque d’infrastructures dans les territoires éloignés rends parfois difficile la mise en place de ces mesures, de plus il a assisté à des cas ou les femmes ne demandent pas les huis clos et parlent avec un grand gêne car le public réagit souvent en ridiculisant les témoignages.</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représentante du Ministère de la Justice au Nord Kivu estime que voiler les femmes n’est pas une solution efficace car les gens se connaissent dans les villages, de plus la victime et son bourreau doivent se rencontrer á un certain moment pour des exigences de la procédure.</w:t>
      </w:r>
    </w:p>
    <w:p w:rsidR="006E6AAA" w:rsidRPr="006E6AAA" w:rsidRDefault="006E6AAA" w:rsidP="006E6AAA">
      <w:pPr>
        <w:spacing w:after="0" w:line="280" w:lineRule="exact"/>
        <w:jc w:val="both"/>
        <w:rPr>
          <w:rFonts w:ascii="Calibri" w:eastAsia="Times New Roman" w:hAnsi="Calibri" w:cs="Times New Roman"/>
          <w:b/>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w:t>
      </w:r>
      <w:r w:rsidRPr="006E6AAA">
        <w:rPr>
          <w:rFonts w:ascii="Calibri" w:eastAsia="Times New Roman" w:hAnsi="Calibri" w:cs="Times New Roman"/>
          <w:b/>
          <w:lang w:val="fr-FR" w:eastAsia="it-IT"/>
        </w:rPr>
        <w:t xml:space="preserve"> </w:t>
      </w:r>
      <w:r w:rsidRPr="006E6AAA">
        <w:rPr>
          <w:rFonts w:ascii="Calibri" w:eastAsia="Times New Roman" w:hAnsi="Calibri" w:cs="Times New Roman"/>
          <w:lang w:val="fr-FR" w:eastAsia="it-IT"/>
        </w:rPr>
        <w:t xml:space="preserve">Représentante du Ministère de la Justice mentionne que les victimes et les témoins, en particulier les survivantes de viol, reçoivent des menaces par les condamnés une fois sortis de prison ou par leurs familles. La facilité et la fréquence avec laquelle les condamnés s’évadent des prisons congolaises rendent les victimes encore plus exposées au danger.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efforts des partenaires internationaux et des ONG nationales pour assurer la présence des victimes au procès et encourager la constitution des parties civiles sont amplement reconnus. Une partie importante du budget des AF (environ le 20%) est en effet réservé au remboursement des frais de transport, de restauration et logement des victimes et des témoins afin d’assurer leur présence pendent les audiences. </w:t>
      </w: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lang w:val="fr-FR" w:eastAsia="it-IT"/>
        </w:rPr>
      </w:pP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color w:val="000080"/>
          <w:lang w:val="fr-FR" w:eastAsia="it-IT"/>
        </w:rPr>
      </w:pPr>
      <w:r w:rsidRPr="006E6AAA">
        <w:rPr>
          <w:rFonts w:ascii="Times New Roman" w:eastAsia="Times New Roman" w:hAnsi="Times New Roman" w:cs="Times New Roman"/>
          <w:b/>
          <w:color w:val="000080"/>
          <w:lang w:val="fr-FR" w:eastAsia="it-IT"/>
        </w:rPr>
        <w:t>►</w:t>
      </w:r>
      <w:r w:rsidRPr="006E6AAA">
        <w:rPr>
          <w:rFonts w:ascii="Calibri" w:eastAsia="Times New Roman" w:hAnsi="Calibri" w:cs="Times New Roman"/>
          <w:b/>
          <w:color w:val="000080"/>
          <w:u w:val="single"/>
          <w:lang w:val="fr-FR" w:eastAsia="it-IT"/>
        </w:rPr>
        <w:t xml:space="preserve">Détention préventive </w:t>
      </w:r>
    </w:p>
    <w:p w:rsidR="006E6AAA" w:rsidRPr="006E6AAA" w:rsidRDefault="006E6AAA" w:rsidP="006E6AAA">
      <w:pPr>
        <w:spacing w:after="0" w:line="280" w:lineRule="exact"/>
        <w:jc w:val="both"/>
        <w:rPr>
          <w:rFonts w:ascii="Calibri" w:eastAsia="Times New Roman" w:hAnsi="Calibri" w:cs="ScalaPro-Regular"/>
          <w:lang w:val="fr-FR" w:eastAsia="it-IT"/>
        </w:rPr>
      </w:pPr>
    </w:p>
    <w:p w:rsidR="006E6AAA" w:rsidRPr="006E6AAA" w:rsidRDefault="006E6AAA" w:rsidP="006E6AAA">
      <w:pPr>
        <w:spacing w:after="0" w:line="280" w:lineRule="exact"/>
        <w:jc w:val="both"/>
        <w:rPr>
          <w:rFonts w:ascii="Calibri" w:eastAsia="Times New Roman" w:hAnsi="Calibri" w:cs="ScalaPro-Regular"/>
          <w:lang w:val="fr-FR" w:eastAsia="it-IT"/>
        </w:rPr>
      </w:pPr>
      <w:r w:rsidRPr="006E6AAA">
        <w:rPr>
          <w:rFonts w:ascii="Calibri" w:eastAsia="Times New Roman" w:hAnsi="Calibri" w:cs="ScalaPro-Regular"/>
          <w:lang w:val="fr-FR" w:eastAsia="it-IT"/>
        </w:rPr>
        <w:t xml:space="preserve">La détention préventive reste une question ouverte pour le système pénitentiaire en RDC en général, toutefois quelques remarques spécifiques aux AF ont été récoltées au cours de la mission. </w:t>
      </w:r>
    </w:p>
    <w:p w:rsidR="006E6AAA" w:rsidRPr="006E6AAA" w:rsidRDefault="006E6AAA" w:rsidP="006E6AAA">
      <w:pPr>
        <w:spacing w:after="0" w:line="280" w:lineRule="exact"/>
        <w:jc w:val="both"/>
        <w:rPr>
          <w:rFonts w:ascii="Calibri" w:eastAsia="Times New Roman" w:hAnsi="Calibri" w:cs="ScalaPro-Regular"/>
          <w:lang w:val="fr-FR" w:eastAsia="it-IT"/>
        </w:rPr>
      </w:pPr>
      <w:r w:rsidRPr="006E6AAA">
        <w:rPr>
          <w:rFonts w:ascii="Calibri" w:eastAsia="Times New Roman" w:hAnsi="Calibri" w:cs="ScalaPro-Regular"/>
          <w:lang w:val="fr-FR" w:eastAsia="it-IT"/>
        </w:rPr>
        <w:lastRenderedPageBreak/>
        <w:t xml:space="preserve">A noter qu’avec la procédure de transfert des prévenus illustrée au § 5.1, le problème de la détention préventive illégale des prévenus aux procès en foraine ne se pose pas en termes aussi problématiques que dans d’autres pays, comme la Sierra Leone. En principe et sauf les cas d’évasion, les prévenus aux AF se trouvent dans les prisons centrales des provinces et les délais légaux de leur détention préventive sont sous le contrôle des Parquets. </w:t>
      </w:r>
    </w:p>
    <w:p w:rsidR="006E6AAA" w:rsidRPr="006E6AAA" w:rsidRDefault="006E6AAA" w:rsidP="006E6AAA">
      <w:pPr>
        <w:spacing w:after="0" w:line="280" w:lineRule="exact"/>
        <w:jc w:val="both"/>
        <w:rPr>
          <w:rFonts w:ascii="Calibri" w:eastAsia="Times New Roman" w:hAnsi="Calibri" w:cs="ScalaPro-Regular"/>
          <w:lang w:val="fr-FR" w:eastAsia="it-IT"/>
        </w:rPr>
      </w:pPr>
      <w:r w:rsidRPr="006E6AAA">
        <w:rPr>
          <w:rFonts w:ascii="Calibri" w:eastAsia="Times New Roman" w:hAnsi="Calibri" w:cs="ScalaPro-Regular"/>
          <w:lang w:val="fr-FR" w:eastAsia="it-IT"/>
        </w:rPr>
        <w:t>Un des analystes de projet PNUD au Sud Kivu a souligné que les AF peuvent favoriser les détentions préventives prolongées (bien que légales) en attendant que tous les partenaires se mettent d’accord pour tenir une AF et réunir les conditions logistiques et financières nécessaires.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Une bonne pratique pour assurer le contrôle des</w:t>
      </w:r>
      <w:r w:rsidRPr="006E6AAA">
        <w:rPr>
          <w:rFonts w:ascii="Calibri" w:eastAsia="Times New Roman" w:hAnsi="Calibri" w:cs="Times New Roman"/>
          <w:color w:val="FF0000"/>
          <w:lang w:val="fr-FR" w:eastAsia="it-IT"/>
        </w:rPr>
        <w:t xml:space="preserve"> </w:t>
      </w:r>
      <w:r w:rsidRPr="006E6AAA">
        <w:rPr>
          <w:rFonts w:ascii="Calibri" w:eastAsia="Times New Roman" w:hAnsi="Calibri" w:cs="Times New Roman"/>
          <w:lang w:val="fr-FR" w:eastAsia="it-IT"/>
        </w:rPr>
        <w:t>détentions préventives s’est développée dans les prisons de Goma et Bunia où les juridictions organisent des AF hebdomadaires à l’intérieur de la prison et la visite d’un magistrat du Parquet</w:t>
      </w:r>
      <w:r w:rsidRPr="006E6AAA">
        <w:rPr>
          <w:rFonts w:ascii="Calibri" w:eastAsia="Times New Roman" w:hAnsi="Calibri" w:cs="Times New Roman"/>
          <w:vertAlign w:val="superscript"/>
          <w:lang w:val="fr-FR" w:eastAsia="it-IT"/>
        </w:rPr>
        <w:footnoteReference w:id="242"/>
      </w:r>
      <w:r w:rsidRPr="006E6AAA">
        <w:rPr>
          <w:rFonts w:ascii="Calibri" w:eastAsia="Times New Roman" w:hAnsi="Calibri" w:cs="Times New Roman"/>
          <w:lang w:val="fr-FR" w:eastAsia="it-IT"/>
        </w:rPr>
        <w:t xml:space="preserve">. Le directeur de la prison de Goma, souligne </w:t>
      </w:r>
      <w:r w:rsidRPr="006E6AAA">
        <w:rPr>
          <w:rFonts w:ascii="Calibri" w:eastAsia="Times New Roman" w:hAnsi="Calibri" w:cs="ScalaPro-Regular"/>
          <w:lang w:val="fr-FR" w:eastAsia="it-IT"/>
        </w:rPr>
        <w:t>que les AF ont un impact positif sur la réduction du taux de détention préventive illégale.</w:t>
      </w:r>
    </w:p>
    <w:p w:rsidR="006E6AAA" w:rsidRPr="006E6AAA" w:rsidRDefault="006E6AAA" w:rsidP="006E6AAA">
      <w:pPr>
        <w:spacing w:after="0" w:line="280" w:lineRule="exact"/>
        <w:jc w:val="both"/>
        <w:rPr>
          <w:rFonts w:ascii="Calibri" w:eastAsia="Times New Roman" w:hAnsi="Calibri" w:cs="ScalaPro-Regular"/>
          <w:lang w:val="fr-FR" w:eastAsia="it-IT"/>
        </w:rPr>
      </w:pPr>
      <w:r w:rsidRPr="006E6AAA">
        <w:rPr>
          <w:rFonts w:ascii="Calibri" w:eastAsia="Times New Roman" w:hAnsi="Calibri" w:cs="Times New Roman"/>
          <w:lang w:val="fr-FR" w:eastAsia="it-IT"/>
        </w:rPr>
        <w:t>Néanmoins le taux de détention préventive reste alarmant : au mois de Mars 2013 le Directeur de la prison de Goma á rapporté que sur 264 détenus</w:t>
      </w:r>
      <w:r w:rsidRPr="006E6AAA">
        <w:rPr>
          <w:rFonts w:ascii="Calibri" w:eastAsia="Times New Roman" w:hAnsi="Calibri" w:cs="Times New Roman"/>
          <w:vertAlign w:val="superscript"/>
          <w:lang w:val="fr-FR" w:eastAsia="it-IT"/>
        </w:rPr>
        <w:footnoteReference w:id="243"/>
      </w:r>
      <w:r w:rsidRPr="006E6AAA">
        <w:rPr>
          <w:rFonts w:ascii="Calibri" w:eastAsia="Times New Roman" w:hAnsi="Calibri" w:cs="Times New Roman"/>
          <w:lang w:val="fr-FR" w:eastAsia="it-IT"/>
        </w:rPr>
        <w:t xml:space="preserve"> seulement 4 sont des condamnés.</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Deux contraintes spécifiques aux juridictions militaires ont été soulevées au cours des entretiens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67"/>
        </w:numPr>
        <w:autoSpaceDE w:val="0"/>
        <w:autoSpaceDN w:val="0"/>
        <w:adjustRightInd w:val="0"/>
        <w:spacing w:after="0" w:line="280" w:lineRule="exact"/>
        <w:jc w:val="both"/>
        <w:rPr>
          <w:rFonts w:ascii="Calibri" w:eastAsia="Times New Roman" w:hAnsi="Calibri" w:cs="TimesNewRoman"/>
          <w:lang w:val="fr-FR" w:eastAsia="it-IT"/>
        </w:rPr>
      </w:pPr>
      <w:r w:rsidRPr="006E6AAA">
        <w:rPr>
          <w:rFonts w:ascii="Calibri" w:eastAsia="Times New Roman" w:hAnsi="Calibri" w:cs="Times New Roman"/>
          <w:lang w:val="fr-FR" w:eastAsia="it-IT"/>
        </w:rPr>
        <w:t xml:space="preserve">En conséquence de la priorité que le Projet 1888 accorde à la justice militaire, les AF appuyées par le PNUD produisent un nombre particulièrement élevé de condamnés militaires.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Etant donné que la RDC a une seule prison militaire pour tout le pays, c’est une pratique courante </w:t>
      </w:r>
      <w:r w:rsidRPr="006E6AAA">
        <w:rPr>
          <w:rFonts w:ascii="Calibri" w:eastAsia="Times New Roman" w:hAnsi="Calibri" w:cs="Times New Roman"/>
          <w:b/>
          <w:lang w:val="fr-FR" w:eastAsia="it-IT"/>
        </w:rPr>
        <w:t>d’accueillir les militaires dans les prisons ordinaires</w:t>
      </w:r>
      <w:r w:rsidRPr="006E6AAA">
        <w:rPr>
          <w:rFonts w:ascii="Calibri" w:eastAsia="Times New Roman" w:hAnsi="Calibri" w:cs="Times New Roman"/>
          <w:lang w:val="fr-FR" w:eastAsia="it-IT"/>
        </w:rPr>
        <w:t xml:space="preserve"> où, comme souligné par un rapport de la MONUSCO « </w:t>
      </w:r>
      <w:r w:rsidRPr="006E6AAA">
        <w:rPr>
          <w:rFonts w:ascii="Calibri" w:eastAsia="Times New Roman" w:hAnsi="Calibri" w:cs="Times New Roman"/>
          <w:i/>
          <w:lang w:val="fr-FR" w:eastAsia="it-IT"/>
        </w:rPr>
        <w:t>Il n’existe pas de séparation entre catégories de détenus civils et militaires, ce qui expose les premiers aux pressions des militaires</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footnoteReference w:id="244"/>
      </w:r>
      <w:r w:rsidRPr="006E6AAA">
        <w:rPr>
          <w:rFonts w:ascii="Calibri" w:eastAsia="Times New Roman" w:hAnsi="Calibri" w:cs="Times New Roman"/>
          <w:lang w:val="fr-FR" w:eastAsia="it-IT"/>
        </w:rPr>
        <w:t xml:space="preserve">. Les moniteurs PNUD du Nord Kivu ont confirmé des fréquents épisodes de harcèlement des civils de la part des militaires.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NewRoman"/>
          <w:lang w:val="fr-FR" w:eastAsia="it-IT"/>
        </w:rPr>
      </w:pPr>
      <w:r w:rsidRPr="006E6AAA">
        <w:rPr>
          <w:rFonts w:ascii="Calibri" w:eastAsia="Times New Roman" w:hAnsi="Calibri" w:cs="Times New Roman"/>
          <w:lang w:val="fr-FR" w:eastAsia="it-IT"/>
        </w:rPr>
        <w:t xml:space="preserve">A noter qu’un projet de renouvellement de la prisons de Goma a permis de construire un nouveau bâtiment pour séparer les civils des militaires, mais suite aux pillages de Novembre 2012 ce bâtiment est actuellement utilisé pour touts les détenus. </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NewRoman"/>
          <w:lang w:val="fr-FR" w:eastAsia="it-IT"/>
        </w:rPr>
      </w:pPr>
      <w:r w:rsidRPr="006E6AAA">
        <w:rPr>
          <w:rFonts w:ascii="Calibri" w:eastAsia="Times New Roman" w:hAnsi="Calibri" w:cs="Times New Roman"/>
          <w:lang w:val="fr-FR" w:eastAsia="it-IT"/>
        </w:rPr>
        <w:t xml:space="preserve">Une autre problématique commune aux détenus (civils et militaires) originaires des territoires éloignés c’est qu’ils ne reçoivent pas l’appui de leurs familles, en particulier pour la nourriture de laquelle ils dépendent fortement vu l’insuffisance des rations alimentaires dans les établissements pénitentiaires.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67"/>
        </w:numPr>
        <w:spacing w:after="0" w:line="280" w:lineRule="exact"/>
        <w:jc w:val="both"/>
        <w:rPr>
          <w:rFonts w:ascii="Calibri" w:eastAsia="Times New Roman" w:hAnsi="Calibri" w:cs="Times New Roman"/>
          <w:lang w:val="fr-FR" w:eastAsia="it-IT"/>
        </w:rPr>
      </w:pPr>
      <w:r w:rsidRPr="006E6AAA">
        <w:rPr>
          <w:rFonts w:ascii="Calibri" w:eastAsia="Times New Roman" w:hAnsi="Calibri" w:cs="ScalaPro-Regular"/>
          <w:lang w:val="fr-FR" w:eastAsia="it-IT"/>
        </w:rPr>
        <w:t xml:space="preserve">Certain rapports dénoncent l’illégitimité du régime de la détention préventive du système de justice militaire, car en </w:t>
      </w:r>
      <w:r w:rsidRPr="006E6AAA">
        <w:rPr>
          <w:rFonts w:ascii="Calibri" w:eastAsia="Times New Roman" w:hAnsi="Calibri" w:cs="ScalaPro-Regular"/>
          <w:b/>
          <w:lang w:val="fr-FR" w:eastAsia="it-IT"/>
        </w:rPr>
        <w:t>violation de la garantie de l’</w:t>
      </w:r>
      <w:r w:rsidRPr="006E6AAA">
        <w:rPr>
          <w:rFonts w:ascii="Calibri" w:eastAsia="Times New Roman" w:hAnsi="Calibri" w:cs="ScalaPro-Regular"/>
          <w:b/>
          <w:i/>
          <w:lang w:val="fr-FR" w:eastAsia="it-IT"/>
        </w:rPr>
        <w:t>habeas corpus</w:t>
      </w:r>
      <w:r w:rsidRPr="006E6AAA">
        <w:rPr>
          <w:rFonts w:ascii="Calibri" w:eastAsia="Times New Roman" w:hAnsi="Calibri" w:cs="ScalaPro-Regular"/>
          <w:i/>
          <w:lang w:val="fr-FR" w:eastAsia="it-IT"/>
        </w:rPr>
        <w:t xml:space="preserve"> </w:t>
      </w:r>
      <w:r w:rsidRPr="006E6AAA">
        <w:rPr>
          <w:rFonts w:ascii="Calibri" w:eastAsia="Times New Roman" w:hAnsi="Calibri" w:cs="ScalaPro-Regular"/>
          <w:lang w:val="fr-FR" w:eastAsia="it-IT"/>
        </w:rPr>
        <w:t>pour la raison que « </w:t>
      </w:r>
      <w:r w:rsidRPr="006E6AAA">
        <w:rPr>
          <w:rFonts w:ascii="Calibri" w:eastAsia="Times New Roman" w:hAnsi="Calibri" w:cs="ScalaPro-Regular"/>
          <w:i/>
          <w:lang w:val="fr-FR" w:eastAsia="it-IT"/>
        </w:rPr>
        <w:t>c’est l’auditeur militaire (lequel occupe les fonctions du ministère public) et non un magistrat du siège, qui statue (pendant 12 mois) par ordonnance sur la détention provisoire</w:t>
      </w:r>
      <w:r w:rsidRPr="006E6AAA">
        <w:rPr>
          <w:rFonts w:ascii="Calibri" w:eastAsia="Times New Roman" w:hAnsi="Calibri" w:cs="ScalaPro-Regular"/>
          <w:lang w:val="fr-FR" w:eastAsia="it-IT"/>
        </w:rPr>
        <w:t> »</w:t>
      </w:r>
      <w:r w:rsidRPr="006E6AAA">
        <w:rPr>
          <w:rFonts w:ascii="Calibri" w:eastAsia="Times New Roman" w:hAnsi="Calibri" w:cs="Times New Roman"/>
          <w:vertAlign w:val="superscript"/>
          <w:lang w:val="fr-FR" w:eastAsia="it-IT"/>
        </w:rPr>
        <w:footnoteReference w:id="245"/>
      </w:r>
      <w:r w:rsidRPr="006E6AAA">
        <w:rPr>
          <w:rFonts w:ascii="Calibri" w:eastAsia="Times New Roman" w:hAnsi="Calibri" w:cs="ScalaPro-Regular"/>
          <w:lang w:val="fr-FR" w:eastAsia="it-IT"/>
        </w:rPr>
        <w:t xml:space="preserve"> Les personnes en détention </w:t>
      </w:r>
      <w:r w:rsidRPr="006E6AAA">
        <w:rPr>
          <w:rFonts w:ascii="Calibri" w:eastAsia="Times New Roman" w:hAnsi="Calibri" w:cs="ScalaPro-Regular"/>
          <w:lang w:val="fr-FR" w:eastAsia="it-IT"/>
        </w:rPr>
        <w:lastRenderedPageBreak/>
        <w:t xml:space="preserve">préventive, ne peuvent donc pas saisir un juge pour faire examiner la régularité de leur détention dans le 12 premiers mois de détention.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président du Tribunal Militaire de Garnison de Bukavu reconnait cette faiblesse dans la législation militaire, mais assure que dans la pratique judiciaire les dossiers sont renvoyées à temps et que c’est l’exception d’arriver aux 12 mois. </w:t>
      </w:r>
    </w:p>
    <w:p w:rsidR="006E6AAA" w:rsidRPr="006E6AAA" w:rsidRDefault="006E6AAA" w:rsidP="006E6AAA">
      <w:pPr>
        <w:autoSpaceDE w:val="0"/>
        <w:autoSpaceDN w:val="0"/>
        <w:adjustRightInd w:val="0"/>
        <w:spacing w:after="0" w:line="280" w:lineRule="exact"/>
        <w:jc w:val="both"/>
        <w:rPr>
          <w:rFonts w:ascii="AmnestyTradeGothic" w:eastAsia="Times New Roman" w:hAnsi="AmnestyTradeGothic" w:cs="AmnestyTradeGothic"/>
          <w:sz w:val="18"/>
          <w:szCs w:val="18"/>
          <w:lang w:val="fr-FR" w:eastAsia="it-IT"/>
        </w:rPr>
      </w:pPr>
    </w:p>
    <w:p w:rsidR="006E6AAA" w:rsidRPr="006E6AAA" w:rsidRDefault="006E6AAA" w:rsidP="006E6AAA">
      <w:pPr>
        <w:autoSpaceDE w:val="0"/>
        <w:autoSpaceDN w:val="0"/>
        <w:adjustRightInd w:val="0"/>
        <w:spacing w:after="0" w:line="280" w:lineRule="exact"/>
        <w:jc w:val="both"/>
        <w:rPr>
          <w:rFonts w:ascii="AmnestyTradeGothic" w:eastAsia="Times New Roman" w:hAnsi="AmnestyTradeGothic" w:cs="AmnestyTradeGothic"/>
          <w:sz w:val="18"/>
          <w:szCs w:val="18"/>
          <w:lang w:val="fr-FR" w:eastAsia="it-IT"/>
        </w:rPr>
      </w:pPr>
    </w:p>
    <w:p w:rsidR="006E6AAA" w:rsidRPr="006E6AAA" w:rsidRDefault="006E6AAA" w:rsidP="006E6AAA">
      <w:pPr>
        <w:spacing w:after="0" w:line="280" w:lineRule="exact"/>
        <w:jc w:val="both"/>
        <w:rPr>
          <w:rFonts w:ascii="Calibri" w:eastAsia="Times New Roman" w:hAnsi="Calibri" w:cs="Times New Roman"/>
          <w:b/>
          <w:color w:val="000080"/>
          <w:u w:val="single"/>
          <w:lang w:val="fr-FR" w:eastAsia="it-IT"/>
        </w:rPr>
      </w:pPr>
      <w:r w:rsidRPr="006E6AAA">
        <w:rPr>
          <w:rFonts w:ascii="Times New Roman" w:eastAsia="Times New Roman" w:hAnsi="Times New Roman" w:cs="Times New Roman"/>
          <w:b/>
          <w:color w:val="000080"/>
          <w:lang w:val="fr-FR" w:eastAsia="it-IT"/>
        </w:rPr>
        <w:t>►</w:t>
      </w:r>
      <w:r w:rsidRPr="006E6AAA">
        <w:rPr>
          <w:rFonts w:ascii="Calibri" w:eastAsia="Times New Roman" w:hAnsi="Calibri" w:cs="Times New Roman"/>
          <w:b/>
          <w:color w:val="000080"/>
          <w:lang w:val="fr-FR" w:eastAsia="it-IT"/>
        </w:rPr>
        <w:t xml:space="preserve"> E</w:t>
      </w:r>
      <w:r w:rsidRPr="006E6AAA">
        <w:rPr>
          <w:rFonts w:ascii="Calibri" w:eastAsia="Times New Roman" w:hAnsi="Calibri" w:cs="Times New Roman"/>
          <w:b/>
          <w:color w:val="000080"/>
          <w:u w:val="single"/>
          <w:lang w:val="fr-FR" w:eastAsia="it-IT"/>
        </w:rPr>
        <w:t xml:space="preserve">xécution des décisions relatives aux intérêts civils </w:t>
      </w:r>
    </w:p>
    <w:p w:rsidR="006E6AAA" w:rsidRPr="006E6AAA" w:rsidRDefault="006E6AAA" w:rsidP="006E6AAA">
      <w:pPr>
        <w:spacing w:after="0" w:line="280" w:lineRule="exact"/>
        <w:jc w:val="both"/>
        <w:rPr>
          <w:rFonts w:ascii="Calibri" w:eastAsia="Times New Roman" w:hAnsi="Calibri" w:cs="Times New Roman"/>
          <w:u w:val="single"/>
          <w:lang w:val="fr-FR" w:eastAsia="it-IT"/>
        </w:rPr>
      </w:pP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majorité des personnes interrogées a reconnu un </w:t>
      </w:r>
      <w:r w:rsidRPr="006E6AAA">
        <w:rPr>
          <w:rFonts w:ascii="Calibri" w:eastAsia="Times New Roman" w:hAnsi="Calibri" w:cs="Times New Roman"/>
          <w:b/>
          <w:lang w:val="fr-FR" w:eastAsia="it-IT"/>
        </w:rPr>
        <w:t xml:space="preserve">faible taux d’exécution </w:t>
      </w:r>
      <w:r w:rsidRPr="006E6AAA">
        <w:rPr>
          <w:rFonts w:ascii="Arial" w:eastAsia="Times New Roman" w:hAnsi="Arial" w:cs="Arial"/>
          <w:b/>
          <w:color w:val="000000"/>
          <w:sz w:val="19"/>
          <w:szCs w:val="19"/>
          <w:lang w:val="fr-FR" w:eastAsia="it-IT"/>
        </w:rPr>
        <w:t>de la condamnation civile</w:t>
      </w:r>
      <w:r w:rsidRPr="006E6AAA">
        <w:rPr>
          <w:rFonts w:ascii="Arial" w:eastAsia="Times New Roman" w:hAnsi="Arial" w:cs="Arial"/>
          <w:color w:val="000000"/>
          <w:sz w:val="19"/>
          <w:szCs w:val="19"/>
          <w:lang w:val="fr-FR" w:eastAsia="it-IT"/>
        </w:rPr>
        <w:t xml:space="preserve"> </w:t>
      </w:r>
      <w:r w:rsidRPr="006E6AAA">
        <w:rPr>
          <w:rFonts w:ascii="Calibri" w:eastAsia="Times New Roman" w:hAnsi="Calibri" w:cs="Times New Roman"/>
          <w:lang w:val="fr-FR" w:eastAsia="it-IT"/>
        </w:rPr>
        <w:t>(versement de dommages-intérêts)</w:t>
      </w:r>
      <w:r w:rsidRPr="006E6AAA">
        <w:rPr>
          <w:rFonts w:ascii="Arial" w:eastAsia="Times New Roman" w:hAnsi="Arial" w:cs="Arial"/>
          <w:color w:val="000000"/>
          <w:sz w:val="19"/>
          <w:szCs w:val="19"/>
          <w:lang w:val="fr-FR" w:eastAsia="it-IT"/>
        </w:rPr>
        <w:t xml:space="preserve"> par les </w:t>
      </w:r>
      <w:r w:rsidRPr="006E6AAA">
        <w:rPr>
          <w:rFonts w:ascii="Calibri" w:eastAsia="Times New Roman" w:hAnsi="Calibri" w:cs="Times New Roman"/>
          <w:lang w:val="fr-FR" w:eastAsia="it-IT"/>
        </w:rPr>
        <w:t xml:space="preserve">jugements rendus au cours des AF. </w:t>
      </w:r>
    </w:p>
    <w:p w:rsidR="006E6AAA" w:rsidRPr="006E6AAA" w:rsidRDefault="006E6AAA" w:rsidP="006E6AAA">
      <w:pPr>
        <w:autoSpaceDE w:val="0"/>
        <w:autoSpaceDN w:val="0"/>
        <w:adjustRightInd w:val="0"/>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Rapport monitoring judiciaire PNUD présente une analyse de l’exécution des décisions relatives aux intérêts de la partie civile et conclus que « </w:t>
      </w:r>
      <w:r w:rsidRPr="006E6AAA">
        <w:rPr>
          <w:rFonts w:ascii="Calibri" w:eastAsia="Times New Roman" w:hAnsi="Calibri" w:cs="Times New Roman"/>
          <w:i/>
          <w:lang w:val="fr-FR" w:eastAsia="it-IT"/>
        </w:rPr>
        <w:t>le taux d’exécution des jugements en matière de violences sexuelles reste malheureusement totalement nul</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footnoteReference w:id="246"/>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avocats présents à la réunion avec le Barreau de Goma reconnaissent de ne pas poser des actes d’exécution et affirment que «</w:t>
      </w:r>
      <w:r w:rsidRPr="006E6AAA">
        <w:rPr>
          <w:rFonts w:ascii="Calibri" w:eastAsia="Times New Roman" w:hAnsi="Calibri" w:cs="Times New Roman"/>
          <w:i/>
          <w:lang w:val="fr-FR" w:eastAsia="it-IT"/>
        </w:rPr>
        <w:t>dès que la décision est rendue on se sent déchargés</w:t>
      </w:r>
      <w:r w:rsidRPr="006E6AAA">
        <w:rPr>
          <w:rFonts w:ascii="Calibri" w:eastAsia="Times New Roman" w:hAnsi="Calibri" w:cs="Times New Roman"/>
          <w:lang w:val="fr-FR" w:eastAsia="it-IT"/>
        </w:rPr>
        <w:t> ».</w:t>
      </w:r>
    </w:p>
    <w:p w:rsidR="006E6AAA" w:rsidRPr="006E6AAA" w:rsidRDefault="006E6AAA" w:rsidP="006E6AAA">
      <w:p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lang w:eastAsia="it-IT"/>
        </w:rPr>
        <w:t xml:space="preserve">Un rapport de </w:t>
      </w:r>
      <w:smartTag w:uri="urn:schemas-microsoft-com:office:smarttags" w:element="place">
        <w:smartTag w:uri="urn:schemas-microsoft-com:office:smarttags" w:element="City">
          <w:r w:rsidRPr="006E6AAA">
            <w:rPr>
              <w:rFonts w:ascii="Calibri" w:eastAsia="Times New Roman" w:hAnsi="Calibri" w:cs="Times New Roman"/>
              <w:lang w:eastAsia="it-IT"/>
            </w:rPr>
            <w:t>ABA</w:t>
          </w:r>
        </w:smartTag>
      </w:smartTag>
      <w:r w:rsidRPr="006E6AAA">
        <w:rPr>
          <w:rFonts w:ascii="Calibri" w:eastAsia="Times New Roman" w:hAnsi="Calibri" w:cs="Times New Roman"/>
          <w:lang w:eastAsia="it-IT"/>
        </w:rPr>
        <w:t xml:space="preserve"> confirme que « </w:t>
      </w:r>
      <w:r w:rsidRPr="006E6AAA">
        <w:rPr>
          <w:rFonts w:ascii="Calibri" w:eastAsia="Times New Roman" w:hAnsi="Calibri" w:cs="Times New Roman"/>
          <w:i/>
          <w:lang w:eastAsia="it-IT"/>
        </w:rPr>
        <w:t>it is universally the case in the DRC that the penalties and reparations levied against convicted defendants – and awarded to the victims or civil parties – are never paid</w:t>
      </w:r>
      <w:r w:rsidRPr="006E6AAA">
        <w:rPr>
          <w:rFonts w:ascii="Calibri" w:eastAsia="Times New Roman" w:hAnsi="Calibri" w:cs="Times New Roman"/>
          <w:lang w:eastAsia="it-IT"/>
        </w:rPr>
        <w:t xml:space="preserve">”. </w:t>
      </w:r>
      <w:r w:rsidRPr="006E6AAA">
        <w:rPr>
          <w:rFonts w:ascii="Calibri" w:eastAsia="Times New Roman" w:hAnsi="Calibri" w:cs="Times New Roman"/>
          <w:vertAlign w:val="superscript"/>
          <w:lang w:eastAsia="it-IT"/>
        </w:rPr>
        <w:footnoteReference w:id="247"/>
      </w:r>
      <w:r w:rsidRPr="006E6AAA">
        <w:rPr>
          <w:rFonts w:ascii="Calibri" w:eastAsia="Times New Roman" w:hAnsi="Calibri" w:cs="Times New Roman"/>
          <w:lang w:eastAsia="it-IT"/>
        </w:rPr>
        <w:t xml:space="preserve"> </w:t>
      </w:r>
      <w:r w:rsidRPr="006E6AAA">
        <w:rPr>
          <w:rFonts w:ascii="Calibri" w:eastAsia="Times New Roman" w:hAnsi="Calibri" w:cs="Times New Roman"/>
          <w:lang w:val="fr-FR" w:eastAsia="it-IT"/>
        </w:rPr>
        <w:t>Finalement la directrice de l’ONG SOFEPADI reconnaît que bien que les condamnés aillent normalement à la prison, les victimes obtiennent rarement les dommages et intérêts, du fait de l’indigence des condamnés.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Des faiblesses sont également évidentes par rapport au droit des victimes des crimes internationaux à obtenir une réparation pour le préjudice subi: l’absence d’une stratégie globale pour les réparations introduisant </w:t>
      </w:r>
      <w:r w:rsidRPr="006E6AAA">
        <w:rPr>
          <w:rFonts w:ascii="Calibri" w:eastAsia="Times New Roman" w:hAnsi="Calibri" w:cs="Times New Roman"/>
          <w:i/>
          <w:lang w:val="fr-FR" w:eastAsia="it-IT"/>
        </w:rPr>
        <w:t>inter alia</w:t>
      </w:r>
      <w:r w:rsidRPr="006E6AAA">
        <w:rPr>
          <w:rFonts w:ascii="Calibri" w:eastAsia="Times New Roman" w:hAnsi="Calibri" w:cs="Times New Roman"/>
          <w:lang w:val="fr-FR" w:eastAsia="it-IT"/>
        </w:rPr>
        <w:t xml:space="preserve"> le principe des réparations collectives et non-pécuniaires, ainsi que d’un fonds au profit de ces victimes sont parmi les obstacles mentionnées dans les nombreuses publications disponibles sur cette thématique.</w:t>
      </w:r>
      <w:r w:rsidRPr="006E6AAA">
        <w:rPr>
          <w:rFonts w:ascii="Calibri" w:eastAsia="Times New Roman" w:hAnsi="Calibri" w:cs="Times New Roman"/>
          <w:vertAlign w:val="superscript"/>
          <w:lang w:val="fr-FR" w:eastAsia="it-IT"/>
        </w:rPr>
        <w:footnoteReference w:id="248"/>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Concernant l’exécution des jugements civils, une bonne pratique développée par Avocats sans Frontières,  qui pourrait être répliquée pour les AF appuyées par le PNUD, est d’organiser des missions pour vérifier l’exécution des jugements civils, quelques semaines après la tenue de l’AF.</w:t>
      </w:r>
      <w:r w:rsidRPr="006E6AAA">
        <w:rPr>
          <w:rFonts w:ascii="Calibri" w:eastAsia="Times New Roman" w:hAnsi="Calibri" w:cs="Times New Roman"/>
          <w:vertAlign w:val="superscript"/>
          <w:lang w:val="fr-FR" w:eastAsia="it-IT"/>
        </w:rPr>
        <w:footnoteReference w:id="249"/>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b/>
          <w:color w:val="000080"/>
          <w:u w:val="single"/>
          <w:lang w:val="fr-FR" w:eastAsia="it-IT"/>
        </w:rPr>
      </w:pPr>
      <w:r w:rsidRPr="006E6AAA">
        <w:rPr>
          <w:rFonts w:ascii="Times New Roman" w:eastAsia="Times New Roman" w:hAnsi="Times New Roman" w:cs="Times New Roman"/>
          <w:b/>
          <w:i/>
          <w:color w:val="000080"/>
          <w:u w:val="single"/>
          <w:lang w:val="fr-FR" w:eastAsia="it-IT"/>
        </w:rPr>
        <w:t>►</w:t>
      </w:r>
      <w:r w:rsidRPr="006E6AAA">
        <w:rPr>
          <w:rFonts w:ascii="Calibri" w:eastAsia="Times New Roman" w:hAnsi="Calibri" w:cs="Times New Roman"/>
          <w:b/>
          <w:color w:val="000080"/>
          <w:u w:val="single"/>
          <w:lang w:val="fr-FR" w:eastAsia="it-IT"/>
        </w:rPr>
        <w:t>Durée des AF</w:t>
      </w:r>
    </w:p>
    <w:p w:rsidR="006E6AAA" w:rsidRPr="006E6AAA" w:rsidRDefault="006E6AAA" w:rsidP="006E6AAA">
      <w:pPr>
        <w:spacing w:after="0" w:line="280" w:lineRule="exact"/>
        <w:jc w:val="both"/>
        <w:rPr>
          <w:rFonts w:ascii="Calibri" w:eastAsia="Times New Roman" w:hAnsi="Calibri" w:cs="Times New Roman"/>
          <w:u w:val="single"/>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durée d’une AF varie en fonction du nombre des dossiers, mais ne dépasse rarement les 15 jours pour des raisons financières.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Plusieurs chefs de juridiction ont souhaité que les AF puissent durer plus longtemps et ont souligné que, surtout en cas de dossiers complexes comme les crimes internationaux, </w:t>
      </w:r>
      <w:r w:rsidRPr="006E6AAA">
        <w:rPr>
          <w:rFonts w:ascii="Calibri" w:eastAsia="Times New Roman" w:hAnsi="Calibri" w:cs="Times New Roman"/>
          <w:b/>
          <w:lang w:val="fr-FR" w:eastAsia="it-IT"/>
        </w:rPr>
        <w:t>une durée trop limitée a des répercussions sur la qualité de l’AF et du procès équitable.</w:t>
      </w:r>
      <w:r w:rsidRPr="006E6AAA">
        <w:rPr>
          <w:rFonts w:ascii="Calibri" w:eastAsia="Times New Roman" w:hAnsi="Calibri" w:cs="Times New Roman"/>
          <w:lang w:val="fr-FR" w:eastAsia="it-IT"/>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Le Président du Tribunal Militaire de Garnison de Bukavu estime que la rapidité avec laquelle se déroulent les AF, justifie les déficiences qui se vérifient parfois dans le traitement des dossiers. Il porte comme exemple l’AF de Walungu où il y avait, pour un seul dossier, 106 victimes et 4 prévenus mais seulement 10 jours pour juger. Par ailleurs le Président de la Cour Militaire de Goma a exprimé la préoccupation que la confiance de la population dans la justice puisse diminuer vu que « </w:t>
      </w:r>
      <w:r w:rsidRPr="006E6AAA">
        <w:rPr>
          <w:rFonts w:ascii="Calibri" w:eastAsia="Times New Roman" w:hAnsi="Calibri" w:cs="Times New Roman"/>
          <w:i/>
          <w:lang w:val="fr-FR" w:eastAsia="it-IT"/>
        </w:rPr>
        <w:t>l’extrait du rôle est affichée publiquement donc les gens s’attendent que leur dossier soit décidé au cours de l’AF, mais cela n’arrive pas par manque de temps</w:t>
      </w:r>
      <w:r w:rsidRPr="006E6AAA">
        <w:rPr>
          <w:rFonts w:ascii="Calibri" w:eastAsia="Times New Roman" w:hAnsi="Calibri" w:cs="Times New Roman"/>
          <w:lang w:val="fr-FR" w:eastAsia="it-IT"/>
        </w:rPr>
        <w:t xml:space="preserve"> » .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moniteurs judiciaires ajoutent que, vu le temps limité, certains aspects de la procédure sont traités superficiellement : par exemple touts les témoins disponibles ne sont pas entendus ou quand un témoin est entrain de faire sa déposition, </w:t>
      </w:r>
      <w:r w:rsidRPr="006E6AAA">
        <w:rPr>
          <w:rFonts w:ascii="Calibri" w:eastAsia="Times New Roman" w:hAnsi="Calibri" w:cs="Times New Roman"/>
          <w:i/>
          <w:lang w:val="fr-FR" w:eastAsia="it-IT"/>
        </w:rPr>
        <w:t>« le juge lui met la pression en l’invitant à se dépêcher</w:t>
      </w:r>
      <w:r w:rsidRPr="006E6AAA">
        <w:rPr>
          <w:rFonts w:ascii="Calibri" w:eastAsia="Times New Roman" w:hAnsi="Calibri" w:cs="Times New Roman"/>
          <w:lang w:val="fr-FR" w:eastAsia="it-IT"/>
        </w:rPr>
        <w:t> » et «</w:t>
      </w:r>
      <w:r w:rsidRPr="006E6AAA">
        <w:rPr>
          <w:rFonts w:ascii="Calibri" w:eastAsia="Times New Roman" w:hAnsi="Calibri" w:cs="Times New Roman"/>
          <w:i/>
          <w:lang w:val="fr-FR" w:eastAsia="it-IT"/>
        </w:rPr>
        <w:t>parfois pour assurer la célérité du procès, les victimes sont entendues rapidement et interrompues</w:t>
      </w:r>
      <w:r w:rsidRPr="006E6AAA">
        <w:rPr>
          <w:rFonts w:ascii="Calibri" w:eastAsia="Times New Roman" w:hAnsi="Calibri" w:cs="Times New Roman"/>
          <w:lang w:val="fr-FR" w:eastAsia="it-IT"/>
        </w:rPr>
        <w:t xml:space="preserve"> ».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personnes interrogées ont mentionné que  parfois des dossiers qui devraient être traités au siège du tribunal, sont jugés en foraine.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Le rapport PNUD de monitoring judiciaire illustre des situations également ambigües : « </w:t>
      </w:r>
      <w:r w:rsidRPr="006E6AAA">
        <w:rPr>
          <w:rFonts w:ascii="Calibri" w:eastAsia="Times New Roman" w:hAnsi="Calibri" w:cs="Arial"/>
          <w:i/>
          <w:lang w:val="fr-FR" w:eastAsia="it-IT"/>
        </w:rPr>
        <w:t>Dans certains cas, les chefs de juridictions ont attendu l’organisation des audiences foraines pour prendre des ordonnances de fixation des causes en audience foraine alors que les décisions de renvoi leur ont été communiquées 3 mois à 9 mois d’avance.</w:t>
      </w:r>
      <w:r w:rsidRPr="006E6AAA">
        <w:rPr>
          <w:rFonts w:ascii="Calibri" w:eastAsia="Times New Roman" w:hAnsi="Calibri" w:cs="Arial"/>
          <w:lang w:val="fr-FR" w:eastAsia="it-IT"/>
        </w:rPr>
        <w:t> </w:t>
      </w:r>
      <w:r w:rsidRPr="006E6AAA">
        <w:rPr>
          <w:rFonts w:ascii="Calibri" w:eastAsia="Times New Roman" w:hAnsi="Calibri" w:cs="Arial"/>
          <w:i/>
          <w:lang w:val="fr-FR" w:eastAsia="it-IT"/>
        </w:rPr>
        <w:t xml:space="preserve"> </w:t>
      </w:r>
      <w:r w:rsidRPr="006E6AAA">
        <w:rPr>
          <w:rFonts w:ascii="Calibri" w:eastAsia="Times New Roman" w:hAnsi="Calibri" w:cs="Arial"/>
          <w:lang w:val="fr-FR" w:eastAsia="it-IT"/>
        </w:rPr>
        <w:t>(…)</w:t>
      </w:r>
      <w:r w:rsidRPr="006E6AAA">
        <w:rPr>
          <w:rFonts w:ascii="Calibri" w:eastAsia="Times New Roman" w:hAnsi="Calibri" w:cs="Arial"/>
          <w:i/>
          <w:lang w:val="fr-FR" w:eastAsia="it-IT"/>
        </w:rPr>
        <w:t>Dans plusieurs cas, le tribunal a tenu une audience foraine loin du lieu de la commission des faits. Il a même été constaté des situations où le prévenu était en détention mais transportés dans des territoires éloignés du lieu de la commission des faits pour être jugé en foraine</w:t>
      </w:r>
      <w:r w:rsidRPr="006E6AAA">
        <w:rPr>
          <w:rFonts w:ascii="Calibri" w:eastAsia="Times New Roman" w:hAnsi="Calibri" w:cs="Arial"/>
          <w:lang w:val="fr-FR" w:eastAsia="it-IT"/>
        </w:rPr>
        <w:t xml:space="preserve">.» </w:t>
      </w:r>
      <w:r w:rsidRPr="006E6AAA">
        <w:rPr>
          <w:rFonts w:ascii="Calibri" w:eastAsia="Times New Roman" w:hAnsi="Calibri" w:cs="Times New Roman"/>
          <w:vertAlign w:val="superscript"/>
          <w:lang w:val="fr-FR" w:eastAsia="it-IT"/>
        </w:rPr>
        <w:footnoteReference w:id="250"/>
      </w:r>
      <w:r w:rsidRPr="006E6AAA">
        <w:rPr>
          <w:rFonts w:ascii="Calibri" w:eastAsia="Times New Roman" w:hAnsi="Calibri" w:cs="Arial"/>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 xml:space="preserve">Différentes raisons ont été mentionnées pour expliquer ces pratiques.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
          <w:lang w:val="fr-FR" w:eastAsia="it-IT"/>
        </w:rPr>
        <w:t>Un chef de juridiction a clarifié que ça arrive souvent par rapport aux dossiers de VBG, car les juridictions cumulent les dossiers de VBG á traiter au siège du tribunal avec celles á traiter en foraine afin de pouvoir atteindre le pourcentage minimal de dossier de VBG requis pour obtenir l’appui des partenaires internationaux. D’autres personnes recommandent une attention particulière á ces pratiques car elles pourraient refléter l’intérêt de certains acteurs de la justice de participer á un nombre élevé d’AF pour percevoir le Perdiem octroyé.</w:t>
      </w: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color w:val="000080"/>
          <w:lang w:val="fr-FR" w:eastAsia="it-IT"/>
        </w:rPr>
        <w:t>§ 6.4.</w:t>
      </w:r>
      <w:r w:rsidRPr="006E6AAA">
        <w:rPr>
          <w:rFonts w:ascii="Calibri" w:eastAsia="Times New Roman" w:hAnsi="Calibri" w:cs="Times New Roman"/>
          <w:b/>
          <w:lang w:val="fr-FR" w:eastAsia="it-IT"/>
        </w:rPr>
        <w:t xml:space="preserve"> La poursuite des crimes internationaux en complémentarité avec la  CPI</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L’appui aux AF pour le traitement des crimes internationaux est une des premières expériences de mise en application de l’approche intégré á la justice transitionnelle du PNUD, visant à promouvoir des liens entre développement et justice transitionnelle, en particulier par le renforcement des capacités des acteurs nationaux dans la poursuite de crimes internationaux en complémentarité</w:t>
      </w:r>
      <w:r w:rsidRPr="006E6AAA">
        <w:rPr>
          <w:rFonts w:ascii="Calibri" w:eastAsia="Times New Roman" w:hAnsi="Calibri" w:cs="Times New Roman"/>
          <w:color w:val="000000"/>
          <w:vertAlign w:val="superscript"/>
          <w:lang w:val="fr-FR" w:eastAsia="it-IT"/>
        </w:rPr>
        <w:footnoteReference w:id="251"/>
      </w:r>
      <w:r w:rsidRPr="006E6AAA">
        <w:rPr>
          <w:rFonts w:ascii="Calibri" w:eastAsia="Times New Roman" w:hAnsi="Calibri" w:cs="Corbel"/>
          <w:color w:val="000000"/>
          <w:lang w:val="fr-FR" w:eastAsia="it-IT"/>
        </w:rPr>
        <w:t xml:space="preserve"> avec la CPI</w:t>
      </w:r>
      <w:r w:rsidRPr="006E6AAA">
        <w:rPr>
          <w:rFonts w:ascii="Calibri" w:eastAsia="Times New Roman" w:hAnsi="Calibri" w:cs="Times New Roman"/>
          <w:color w:val="000000"/>
          <w:vertAlign w:val="superscript"/>
          <w:lang w:val="fr-FR" w:eastAsia="it-IT"/>
        </w:rPr>
        <w:footnoteReference w:id="252"/>
      </w:r>
      <w:r w:rsidRPr="006E6AAA">
        <w:rPr>
          <w:rFonts w:ascii="Calibri" w:eastAsia="Times New Roman" w:hAnsi="Calibri" w:cs="Corbel"/>
          <w:color w:val="000000"/>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orbel"/>
          <w:lang w:val="fr-FR" w:eastAsia="it-IT"/>
        </w:rPr>
      </w:pPr>
      <w:r w:rsidRPr="006E6AAA">
        <w:rPr>
          <w:rFonts w:ascii="Calibri" w:eastAsia="Times New Roman" w:hAnsi="Calibri" w:cs="Corbel"/>
          <w:color w:val="000000"/>
          <w:lang w:val="fr-FR" w:eastAsia="it-IT"/>
        </w:rPr>
        <w:t>Dans ce but les Parquets dans l’Est de la RDC ont été formés dans la conduite des enquêtes pour les crimes internationaux par les experts de la Cellule d’appui aux poursuites (CAP) de la MONUSCO</w:t>
      </w:r>
      <w:r w:rsidRPr="006E6AAA">
        <w:rPr>
          <w:rFonts w:ascii="Calibri" w:eastAsia="Times New Roman" w:hAnsi="Calibri" w:cs="Times New Roman"/>
          <w:color w:val="000000"/>
          <w:vertAlign w:val="superscript"/>
          <w:lang w:val="fr-FR" w:eastAsia="it-IT"/>
        </w:rPr>
        <w:footnoteReference w:id="253"/>
      </w:r>
      <w:r w:rsidRPr="006E6AAA">
        <w:rPr>
          <w:rFonts w:ascii="Calibri" w:eastAsia="Times New Roman" w:hAnsi="Calibri" w:cs="Corbel"/>
          <w:color w:val="000000"/>
          <w:lang w:val="fr-FR" w:eastAsia="it-IT"/>
        </w:rPr>
        <w:t xml:space="preserve"> </w:t>
      </w:r>
      <w:r w:rsidRPr="006E6AAA">
        <w:rPr>
          <w:rFonts w:ascii="Calibri" w:eastAsia="Times New Roman" w:hAnsi="Calibri" w:cs="Corbel"/>
          <w:lang w:val="fr-FR" w:eastAsia="it-IT"/>
        </w:rPr>
        <w:t xml:space="preserve">avec l’appui du PNUD et en collaboration avec le Bureau du Procureur de la CPI.  </w:t>
      </w: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lang w:val="fr-FR" w:eastAsia="it-IT"/>
        </w:rPr>
        <w:lastRenderedPageBreak/>
        <w:t>L’appui aux AF a permis</w:t>
      </w:r>
      <w:r w:rsidRPr="006E6AAA">
        <w:rPr>
          <w:rFonts w:ascii="Calibri" w:eastAsia="Times New Roman" w:hAnsi="Calibri" w:cs="Corbel"/>
          <w:color w:val="000000"/>
          <w:lang w:val="fr-FR" w:eastAsia="it-IT"/>
        </w:rPr>
        <w:t xml:space="preserve"> de donner une suite á ces enquêtes et d’atteindre des importants résultats dans l’avancement de la justice pénale internationale.</w:t>
      </w: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Une publication d’Avocats sans Frontières montre qu’une jurisprudence en matière de crimes internationaux est graduellement entrain de se consolider au Congo</w:t>
      </w:r>
      <w:r w:rsidRPr="006E6AAA">
        <w:rPr>
          <w:rFonts w:ascii="Calibri" w:eastAsia="Times New Roman" w:hAnsi="Calibri" w:cs="Times New Roman"/>
          <w:color w:val="000000"/>
          <w:vertAlign w:val="superscript"/>
          <w:lang w:val="fr-FR" w:eastAsia="it-IT"/>
        </w:rPr>
        <w:footnoteReference w:id="254"/>
      </w:r>
      <w:r w:rsidRPr="006E6AAA">
        <w:rPr>
          <w:rFonts w:ascii="Calibri" w:eastAsia="Times New Roman" w:hAnsi="Calibri" w:cs="Corbel"/>
          <w:color w:val="000000"/>
          <w:lang w:val="fr-FR" w:eastAsia="it-IT"/>
        </w:rPr>
        <w:t>: de 2002 à 2008</w:t>
      </w:r>
      <w:r w:rsidRPr="006E6AAA">
        <w:rPr>
          <w:rFonts w:ascii="Calibri" w:eastAsia="Times New Roman" w:hAnsi="Calibri" w:cs="Corbel"/>
          <w:b/>
          <w:color w:val="000000"/>
          <w:lang w:val="fr-FR" w:eastAsia="it-IT"/>
        </w:rPr>
        <w:t xml:space="preserve"> plus de 20 dossiers de crimes internationaux ont été jugés dans l’Est de la RDC (7 au Sud Kivu), tous au courant d’audiences foraines</w:t>
      </w:r>
      <w:r w:rsidRPr="006E6AAA">
        <w:rPr>
          <w:rFonts w:ascii="Calibri" w:eastAsia="Times New Roman" w:hAnsi="Calibri" w:cs="Times New Roman"/>
          <w:color w:val="000000"/>
          <w:vertAlign w:val="superscript"/>
          <w:lang w:val="fr-FR" w:eastAsia="it-IT"/>
        </w:rPr>
        <w:footnoteReference w:id="255"/>
      </w:r>
      <w:r w:rsidRPr="006E6AAA">
        <w:rPr>
          <w:rFonts w:ascii="Calibri" w:eastAsia="Times New Roman" w:hAnsi="Calibri" w:cs="Corbel"/>
          <w:color w:val="000000"/>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Les rapports de monitoring PNUD confirment que ce genre de dossier est traité de plus de plus fréquemment par les AF et soulignent que souvent les juridictions appliquent directement le Statut de Rome dans leurs jugements</w:t>
      </w:r>
      <w:r w:rsidRPr="006E6AAA">
        <w:rPr>
          <w:rFonts w:ascii="Calibri" w:eastAsia="Times New Roman" w:hAnsi="Calibri" w:cs="Times New Roman"/>
          <w:color w:val="000000"/>
          <w:vertAlign w:val="superscript"/>
          <w:lang w:val="fr-FR" w:eastAsia="it-IT"/>
        </w:rPr>
        <w:footnoteReference w:id="256"/>
      </w:r>
      <w:r w:rsidRPr="006E6AAA">
        <w:rPr>
          <w:rFonts w:ascii="Calibri" w:eastAsia="Times New Roman" w:hAnsi="Calibri" w:cs="Corbel"/>
          <w:color w:val="000000"/>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Corbel"/>
          <w:i/>
          <w:color w:val="000000"/>
          <w:lang w:val="fr-FR" w:eastAsia="it-IT"/>
        </w:rPr>
      </w:pPr>
      <w:r w:rsidRPr="006E6AAA">
        <w:rPr>
          <w:rFonts w:ascii="Calibri" w:eastAsia="Times New Roman" w:hAnsi="Calibri" w:cs="Corbel"/>
          <w:color w:val="000000"/>
          <w:lang w:val="fr-FR" w:eastAsia="it-IT"/>
        </w:rPr>
        <w:t xml:space="preserve">On perçoit une nette amélioration par rapport aux conclusions présentées par le </w:t>
      </w:r>
      <w:r w:rsidRPr="006E6AAA">
        <w:rPr>
          <w:rFonts w:ascii="Calibri" w:eastAsia="Times New Roman" w:hAnsi="Calibri" w:cs="Corbel"/>
          <w:i/>
          <w:color w:val="000000"/>
          <w:lang w:val="fr-FR" w:eastAsia="it-IT"/>
        </w:rPr>
        <w:t>Mapping Report</w:t>
      </w:r>
      <w:r w:rsidRPr="006E6AAA">
        <w:rPr>
          <w:rFonts w:ascii="Calibri" w:eastAsia="Times New Roman" w:hAnsi="Calibri" w:cs="Corbel"/>
          <w:color w:val="000000"/>
          <w:lang w:val="fr-FR" w:eastAsia="it-IT"/>
        </w:rPr>
        <w:t xml:space="preserve"> de 2003, qui, en illustrant le cadre de la justice pénale internationale en RDC, rapportait que « </w:t>
      </w:r>
      <w:r w:rsidRPr="006E6AAA">
        <w:rPr>
          <w:rFonts w:ascii="Calibri" w:eastAsia="Times New Roman" w:hAnsi="Calibri" w:cs="Corbel"/>
          <w:i/>
          <w:color w:val="000000"/>
          <w:lang w:val="fr-FR" w:eastAsia="it-IT"/>
        </w:rPr>
        <w:t>quelques acteurs de la justice militaire congolaise ont été inspirés et, soutenus par la communauté internationale, ont rendu un petit nombre de décisions courageuses</w:t>
      </w:r>
      <w:r w:rsidRPr="006E6AAA">
        <w:rPr>
          <w:rFonts w:ascii="Calibri" w:eastAsia="Times New Roman" w:hAnsi="Calibri" w:cs="Corbel"/>
          <w:color w:val="000000"/>
          <w:lang w:val="fr-FR" w:eastAsia="it-IT"/>
        </w:rPr>
        <w:t>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En février 2011 pour la  première fois un haut comandant des FARDC a été condamné pour crimes internationaux par une juridiction congolaise au cours du procès exemplaire connu comme le « procès Fizi », qui a eu lieu pendent une AF appuyée à Baraka par les partenaires internationaux du Sud Kivu, y inclus le PNUD</w:t>
      </w:r>
      <w:r w:rsidRPr="006E6AAA">
        <w:rPr>
          <w:rFonts w:ascii="Calibri" w:eastAsia="Times New Roman" w:hAnsi="Calibri" w:cs="Times New Roman"/>
          <w:vertAlign w:val="superscript"/>
          <w:lang w:val="fr-FR" w:eastAsia="it-IT"/>
        </w:rPr>
        <w:footnoteReference w:id="257"/>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statistiques disponibles ne permettent pas de présenter un aperçu complet des dossiers de crimes internationaux jugées au cours des AF appuyées par PNUD, toutefois au moins 8 dossiers ont été signalés par les bureaux PNUD en Ituri et Sud Kivu entre 2011 et 2012.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Dans le cadre du projet 1888 on peut mentionner les AF suivantes avec un focus spécifique sur les crimes internationaux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71"/>
        </w:numPr>
        <w:shd w:val="clear" w:color="auto" w:fill="FFFFFF"/>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L’AF du </w:t>
      </w:r>
      <w:r w:rsidRPr="006E6AAA">
        <w:rPr>
          <w:rFonts w:ascii="Calibri" w:eastAsia="Times New Roman" w:hAnsi="Calibri" w:cs="Times New Roman"/>
          <w:b/>
          <w:lang w:val="fr-FR" w:eastAsia="it-IT"/>
        </w:rPr>
        <w:t>Tribunal Militaire de Garnison de Bukavu</w:t>
      </w:r>
      <w:r w:rsidRPr="006E6AAA">
        <w:rPr>
          <w:rFonts w:ascii="Calibri" w:eastAsia="Times New Roman" w:hAnsi="Calibri" w:cs="Times New Roman"/>
          <w:lang w:val="fr-FR" w:eastAsia="it-IT"/>
        </w:rPr>
        <w:t xml:space="preserve"> (Sud Kivu) du 7 au 16 octobre 2012 à </w:t>
      </w:r>
      <w:r w:rsidRPr="006E6AAA">
        <w:rPr>
          <w:rFonts w:ascii="Calibri" w:eastAsia="Times New Roman" w:hAnsi="Calibri" w:cs="Times New Roman"/>
          <w:b/>
          <w:u w:val="single"/>
          <w:lang w:val="fr-FR" w:eastAsia="it-IT"/>
        </w:rPr>
        <w:t>Walungu</w:t>
      </w:r>
      <w:r w:rsidRPr="006E6AAA">
        <w:rPr>
          <w:rFonts w:ascii="Calibri" w:eastAsia="Times New Roman" w:hAnsi="Calibri" w:cs="Times New Roman"/>
          <w:b/>
          <w:u w:val="single"/>
          <w:vertAlign w:val="superscript"/>
          <w:lang w:val="fr-FR" w:eastAsia="it-IT"/>
        </w:rPr>
        <w:footnoteReference w:id="258"/>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4 dossiers ont été juges pour des faits qualifiés de crimes de guerre commis à Mupoke par les éléments FARDC contre la population civile. (le 17/01/2010 les FARDC, en mission officielle pour traquer des éléments FDLR, lancent une attaque armée contre le marché de Mupoke causant la mort a plusieurs marchands, des pillages et le viol de femmes). Sur le nombre de 106 victimes, 32 ont comparues à l’audience ; 16 étaient des victimes de violences sexuelles. 4 avocats (2 pour les victimes et 2 pour les prévenus) ont été engagés. </w:t>
      </w:r>
    </w:p>
    <w:p w:rsidR="006E6AAA" w:rsidRPr="006E6AAA" w:rsidRDefault="006E6AAA" w:rsidP="006E6AAA">
      <w:pPr>
        <w:spacing w:after="120" w:line="280" w:lineRule="exact"/>
        <w:ind w:left="288"/>
        <w:jc w:val="both"/>
        <w:rPr>
          <w:rFonts w:ascii="Calibri" w:eastAsia="MS Mincho" w:hAnsi="Calibri" w:cs="Times New Roman"/>
          <w:lang w:val="fr-FR"/>
        </w:rPr>
      </w:pPr>
      <w:r w:rsidRPr="006E6AAA">
        <w:rPr>
          <w:rFonts w:ascii="Calibri" w:eastAsia="Times New Roman" w:hAnsi="Calibri" w:cs="Times New Roman"/>
          <w:lang w:val="fr-FR" w:eastAsia="it-IT"/>
        </w:rPr>
        <w:t xml:space="preserve">Le prévenu principal, </w:t>
      </w:r>
      <w:r w:rsidRPr="006E6AAA">
        <w:rPr>
          <w:rFonts w:ascii="Calibri" w:eastAsia="Times New Roman" w:hAnsi="Calibri" w:cs="Times New Roman"/>
          <w:lang w:val="fr-FR"/>
        </w:rPr>
        <w:t>un Sous-lieutenant des FARDC</w:t>
      </w:r>
      <w:r w:rsidRPr="006E6AAA">
        <w:rPr>
          <w:rFonts w:ascii="Calibri" w:eastAsia="MS Mincho" w:hAnsi="Calibri" w:cs="Times New Roman"/>
          <w:lang w:val="fr-FR"/>
        </w:rPr>
        <w:t xml:space="preserve">, a été condamné à </w:t>
      </w:r>
      <w:r w:rsidRPr="006E6AAA">
        <w:rPr>
          <w:rFonts w:ascii="Calibri" w:eastAsia="Times New Roman" w:hAnsi="Calibri" w:cs="Times New Roman"/>
          <w:lang w:val="fr-FR" w:eastAsia="it-IT"/>
        </w:rPr>
        <w:t>la peine</w:t>
      </w:r>
      <w:r w:rsidRPr="006E6AAA">
        <w:rPr>
          <w:rFonts w:ascii="Calibri" w:eastAsia="MS Mincho" w:hAnsi="Calibri" w:cs="Times New Roman"/>
          <w:lang w:val="fr-FR"/>
        </w:rPr>
        <w:t xml:space="preserve"> de 20 ans </w:t>
      </w:r>
      <w:r w:rsidRPr="006E6AAA">
        <w:rPr>
          <w:rFonts w:ascii="Calibri" w:eastAsia="Times New Roman" w:hAnsi="Calibri" w:cs="Times New Roman"/>
          <w:lang w:val="fr-FR" w:eastAsia="it-IT"/>
        </w:rPr>
        <w:t xml:space="preserve">de servitude pénale </w:t>
      </w:r>
      <w:r w:rsidRPr="006E6AAA">
        <w:rPr>
          <w:rFonts w:ascii="Calibri" w:eastAsia="MS Mincho" w:hAnsi="Calibri" w:cs="Times New Roman"/>
          <w:lang w:val="fr-FR"/>
        </w:rPr>
        <w:t>pour crime de guerre par torture</w:t>
      </w:r>
      <w:r w:rsidRPr="006E6AAA">
        <w:rPr>
          <w:rFonts w:ascii="Calibri" w:eastAsia="MS Mincho" w:hAnsi="Calibri" w:cs="Times New Roman"/>
          <w:lang w:val="fr-FR" w:eastAsia="it-IT"/>
        </w:rPr>
        <w:t>, viol, traitement</w:t>
      </w:r>
      <w:r w:rsidRPr="006E6AAA">
        <w:rPr>
          <w:rFonts w:ascii="Calibri" w:eastAsia="MS Mincho" w:hAnsi="Calibri" w:cs="Times New Roman"/>
          <w:lang w:val="fr-FR"/>
        </w:rPr>
        <w:t xml:space="preserve"> inhumain et dégradant, torture et pillage. </w:t>
      </w:r>
      <w:r w:rsidRPr="006E6AAA">
        <w:rPr>
          <w:rFonts w:ascii="Calibri" w:eastAsia="Times New Roman" w:hAnsi="Calibri" w:cs="Times New Roman"/>
          <w:lang w:val="fr-FR"/>
        </w:rPr>
        <w:t xml:space="preserve"> </w:t>
      </w:r>
      <w:r w:rsidRPr="006E6AAA">
        <w:rPr>
          <w:rFonts w:ascii="Calibri" w:eastAsia="MS Mincho" w:hAnsi="Calibri" w:cs="Times New Roman"/>
          <w:lang w:val="fr-FR"/>
        </w:rPr>
        <w:t xml:space="preserve">Les 3 co-prévenus (en fuite) ont été condamnés </w:t>
      </w:r>
      <w:r w:rsidRPr="006E6AAA">
        <w:rPr>
          <w:rFonts w:ascii="Calibri" w:eastAsia="MS Mincho" w:hAnsi="Calibri" w:cs="Times New Roman"/>
          <w:i/>
          <w:lang w:val="fr-FR"/>
        </w:rPr>
        <w:t>in absentia</w:t>
      </w:r>
      <w:r w:rsidRPr="006E6AAA">
        <w:rPr>
          <w:rFonts w:ascii="Calibri" w:eastAsia="MS Mincho" w:hAnsi="Calibri" w:cs="Times New Roman"/>
          <w:lang w:val="fr-FR"/>
        </w:rPr>
        <w:t xml:space="preserve"> à servitude pénale à </w:t>
      </w:r>
      <w:r w:rsidRPr="006E6AAA">
        <w:rPr>
          <w:rFonts w:ascii="Calibri" w:eastAsia="MS Mincho" w:hAnsi="Calibri" w:cs="Times New Roman"/>
          <w:lang w:val="fr-FR"/>
        </w:rPr>
        <w:lastRenderedPageBreak/>
        <w:t xml:space="preserve">perpétuité. Le Tribunal a alloué á chaque victime un montant variable de 50.000 USD (meurtre) à 5.000 USD (pillage) en fonction de la gravite du préjudice subi. </w:t>
      </w:r>
    </w:p>
    <w:p w:rsidR="006E6AAA" w:rsidRPr="006E6AAA" w:rsidRDefault="006E6AAA" w:rsidP="006E6AAA">
      <w:pPr>
        <w:numPr>
          <w:ilvl w:val="0"/>
          <w:numId w:val="71"/>
        </w:numPr>
        <w:shd w:val="clear" w:color="auto" w:fill="FFFFFF"/>
        <w:spacing w:after="0" w:line="280" w:lineRule="exact"/>
        <w:jc w:val="both"/>
        <w:rPr>
          <w:rFonts w:ascii="Calibri" w:eastAsia="Times New Roman" w:hAnsi="Calibri" w:cs="Calibri"/>
          <w:color w:val="000000"/>
          <w:lang w:val="fr-FR" w:eastAsia="it-IT"/>
        </w:rPr>
      </w:pPr>
      <w:r w:rsidRPr="006E6AAA">
        <w:rPr>
          <w:rFonts w:ascii="Calibri" w:eastAsia="Times New Roman" w:hAnsi="Calibri" w:cs="Calibri"/>
          <w:color w:val="000000"/>
          <w:lang w:val="fr-FR" w:eastAsia="it-IT"/>
        </w:rPr>
        <w:t xml:space="preserve">L’AF du </w:t>
      </w:r>
      <w:r w:rsidRPr="006E6AAA">
        <w:rPr>
          <w:rFonts w:ascii="Calibri" w:eastAsia="Times New Roman" w:hAnsi="Calibri" w:cs="Calibri"/>
          <w:b/>
          <w:color w:val="000000"/>
          <w:lang w:val="fr-FR" w:eastAsia="it-IT"/>
        </w:rPr>
        <w:t>Tribunal Militaire de Garnison de Bunia</w:t>
      </w:r>
      <w:r w:rsidRPr="006E6AAA">
        <w:rPr>
          <w:rFonts w:ascii="Calibri" w:eastAsia="Times New Roman" w:hAnsi="Calibri" w:cs="Times New Roman"/>
          <w:lang w:val="fr-FR" w:eastAsia="it-IT"/>
        </w:rPr>
        <w:t xml:space="preserve"> (Ituri) du 15 au 28 novembre </w:t>
      </w:r>
      <w:r w:rsidRPr="006E6AAA">
        <w:rPr>
          <w:rFonts w:ascii="Calibri" w:eastAsia="Times New Roman" w:hAnsi="Calibri" w:cs="Times New Roman"/>
          <w:b/>
          <w:lang w:val="fr-FR" w:eastAsia="it-IT"/>
        </w:rPr>
        <w:t>2012</w:t>
      </w:r>
      <w:r w:rsidRPr="006E6AAA">
        <w:rPr>
          <w:rFonts w:ascii="Calibri" w:eastAsia="Times New Roman" w:hAnsi="Calibri" w:cs="Calibri"/>
          <w:b/>
          <w:color w:val="000000"/>
          <w:lang w:val="fr-FR" w:eastAsia="it-IT"/>
        </w:rPr>
        <w:t xml:space="preserve"> à </w:t>
      </w:r>
      <w:r w:rsidRPr="006E6AAA">
        <w:rPr>
          <w:rFonts w:ascii="Calibri" w:eastAsia="Times New Roman" w:hAnsi="Calibri" w:cs="Times New Roman"/>
          <w:b/>
          <w:u w:val="single"/>
          <w:lang w:val="fr-FR" w:eastAsia="it-IT"/>
        </w:rPr>
        <w:t>Mambasa </w:t>
      </w:r>
      <w:r w:rsidRPr="006E6AAA">
        <w:rPr>
          <w:rFonts w:ascii="Calibri" w:eastAsia="Times New Roman" w:hAnsi="Calibri" w:cs="Times New Roman"/>
          <w:b/>
          <w:u w:val="single"/>
          <w:vertAlign w:val="superscript"/>
          <w:lang w:val="fr-FR" w:eastAsia="it-IT"/>
        </w:rPr>
        <w:footnoteReference w:id="259"/>
      </w:r>
      <w:r w:rsidRPr="006E6AAA">
        <w:rPr>
          <w:rFonts w:ascii="Calibri" w:eastAsia="Times New Roman" w:hAnsi="Calibri" w:cs="Times New Roman"/>
          <w:b/>
          <w:u w:val="single"/>
          <w:lang w:val="fr-FR" w:eastAsia="it-IT"/>
        </w:rPr>
        <w:t xml:space="preserve">: </w:t>
      </w:r>
    </w:p>
    <w:p w:rsidR="006E6AAA" w:rsidRPr="006E6AAA" w:rsidRDefault="006E6AAA" w:rsidP="006E6AAA">
      <w:pPr>
        <w:shd w:val="clear" w:color="auto" w:fill="FFFFFF"/>
        <w:spacing w:after="0" w:line="280" w:lineRule="exact"/>
        <w:ind w:left="288"/>
        <w:jc w:val="both"/>
        <w:rPr>
          <w:rFonts w:ascii="Calibri" w:eastAsia="Times New Roman" w:hAnsi="Calibri" w:cs="Calibri"/>
          <w:color w:val="000000"/>
          <w:lang w:val="fr-FR" w:eastAsia="it-IT"/>
        </w:rPr>
      </w:pPr>
      <w:r w:rsidRPr="006E6AAA">
        <w:rPr>
          <w:rFonts w:ascii="Calibri" w:eastAsia="Times New Roman" w:hAnsi="Calibri" w:cs="Calibri"/>
          <w:color w:val="000000"/>
          <w:lang w:val="fr-FR" w:eastAsia="it-IT"/>
        </w:rPr>
        <w:t>Sur le total de 8 dossiers traités au cours de l’AF, 2 concernent des faits constitutifs de crimes contre l’humanité. Il s’agit des crimes (meurtres, pillages, viols et déportations) commis par des éléments du groupe Mai-Mai Simba au cours de l’attaque au village de Epulu, dans la nuit du 23 au 24 juin 2012. Sur le total de 94 victimes (dont 17 femmes violées</w:t>
      </w:r>
      <w:r w:rsidRPr="006E6AAA">
        <w:rPr>
          <w:rFonts w:ascii="Calibri" w:eastAsia="Times New Roman" w:hAnsi="Calibri" w:cs="Calibri"/>
          <w:lang w:val="fr-FR" w:eastAsia="it-IT"/>
        </w:rPr>
        <w:t>), 60 victimes et témoins</w:t>
      </w:r>
      <w:r w:rsidRPr="006E6AAA">
        <w:rPr>
          <w:rFonts w:ascii="Calibri" w:eastAsia="Times New Roman" w:hAnsi="Calibri" w:cs="Calibri"/>
          <w:color w:val="000000"/>
          <w:lang w:val="fr-FR" w:eastAsia="it-IT"/>
        </w:rPr>
        <w:t xml:space="preserve"> ont participé à cette procédure (47 parties civiles).</w:t>
      </w:r>
    </w:p>
    <w:p w:rsidR="006E6AAA" w:rsidRPr="006E6AAA" w:rsidRDefault="006E6AAA" w:rsidP="006E6AAA">
      <w:pPr>
        <w:autoSpaceDE w:val="0"/>
        <w:autoSpaceDN w:val="0"/>
        <w:adjustRightInd w:val="0"/>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Calibri"/>
          <w:color w:val="000000"/>
          <w:lang w:val="fr-FR" w:eastAsia="it-IT"/>
        </w:rPr>
        <w:t xml:space="preserve">Au total 5 avocats ont été engagés (3 pour les prévenus et 2 pour les victimes). 2 prévenus ont été condamnés </w:t>
      </w:r>
      <w:r w:rsidRPr="006E6AAA">
        <w:rPr>
          <w:rFonts w:ascii="Calibri" w:eastAsia="Times New Roman" w:hAnsi="Calibri" w:cs="Corbel"/>
          <w:color w:val="000000"/>
          <w:lang w:val="fr-FR" w:eastAsia="it-IT"/>
        </w:rPr>
        <w:t xml:space="preserve">à servitude pénale á perpétuité pour crimes contre l’humanité et </w:t>
      </w:r>
      <w:r w:rsidRPr="006E6AAA">
        <w:rPr>
          <w:rFonts w:ascii="Calibri" w:eastAsia="Times New Roman" w:hAnsi="Calibri" w:cs="Calibri"/>
          <w:color w:val="000000"/>
          <w:lang w:val="fr-FR" w:eastAsia="it-IT"/>
        </w:rPr>
        <w:t xml:space="preserve">3 prévenus ont été acquittés.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eastAsia="it-IT"/>
        </w:rPr>
      </w:pPr>
      <w:r w:rsidRPr="006E6AAA">
        <w:rPr>
          <w:rFonts w:ascii="Calibri" w:eastAsia="Times New Roman" w:hAnsi="Calibri" w:cs="Times New Roman"/>
          <w:lang w:val="fr-FR" w:eastAsia="it-IT"/>
        </w:rPr>
        <w:t xml:space="preserve">Les exemples sous-mentionnés montrent les efforts et les progrès que les juridictions militaires sont entrain de réaliser en matière de crimes internationaux, grâce á l’appui des AF. </w:t>
      </w:r>
      <w:r w:rsidRPr="006E6AAA">
        <w:rPr>
          <w:rFonts w:ascii="Calibri" w:eastAsia="Times New Roman" w:hAnsi="Calibri" w:cs="Times New Roman"/>
          <w:lang w:eastAsia="it-IT"/>
        </w:rPr>
        <w:t xml:space="preserve">Un rapport de </w:t>
      </w:r>
      <w:smartTag w:uri="urn:schemas-microsoft-com:office:smarttags" w:element="place">
        <w:smartTag w:uri="urn:schemas-microsoft-com:office:smarttags" w:element="City">
          <w:r w:rsidRPr="006E6AAA">
            <w:rPr>
              <w:rFonts w:ascii="Calibri" w:eastAsia="Times New Roman" w:hAnsi="Calibri" w:cs="Times New Roman"/>
              <w:lang w:eastAsia="it-IT"/>
            </w:rPr>
            <w:t>ABA</w:t>
          </w:r>
        </w:smartTag>
      </w:smartTag>
      <w:r w:rsidRPr="006E6AAA">
        <w:rPr>
          <w:rFonts w:ascii="Calibri" w:eastAsia="Times New Roman" w:hAnsi="Calibri" w:cs="Times New Roman"/>
          <w:lang w:eastAsia="it-IT"/>
        </w:rPr>
        <w:t xml:space="preserve"> partage cette conclusion: “</w:t>
      </w:r>
      <w:r w:rsidRPr="006E6AAA">
        <w:rPr>
          <w:rFonts w:ascii="Calibri" w:eastAsia="Times New Roman" w:hAnsi="Calibri" w:cs="Times New Roman"/>
          <w:i/>
          <w:lang w:eastAsia="it-IT"/>
        </w:rPr>
        <w:t>Certainly the mobile courts have shown that they can be very effective in meeting the challenges of trying highly visible international crimes</w:t>
      </w:r>
      <w:r w:rsidRPr="006E6AAA">
        <w:rPr>
          <w:rFonts w:ascii="Calibri" w:eastAsia="Times New Roman" w:hAnsi="Calibri" w:cs="Times New Roman"/>
          <w:lang w:eastAsia="it-IT"/>
        </w:rPr>
        <w:t>”</w:t>
      </w:r>
      <w:r w:rsidRPr="006E6AAA">
        <w:rPr>
          <w:rFonts w:ascii="Calibri" w:eastAsia="Times New Roman" w:hAnsi="Calibri" w:cs="Times New Roman"/>
          <w:vertAlign w:val="superscript"/>
          <w:lang w:eastAsia="it-IT"/>
        </w:rPr>
        <w:footnoteReference w:id="260"/>
      </w:r>
      <w:r w:rsidRPr="006E6AAA">
        <w:rPr>
          <w:rFonts w:ascii="Calibri" w:eastAsia="Times New Roman" w:hAnsi="Calibri" w:cs="Times New Roman"/>
          <w:lang w:eastAsia="it-IT"/>
        </w:rPr>
        <w:t xml:space="preserve"> </w:t>
      </w:r>
    </w:p>
    <w:p w:rsidR="006E6AAA" w:rsidRPr="006E6AAA" w:rsidRDefault="006E6AAA" w:rsidP="006E6AAA">
      <w:pPr>
        <w:spacing w:after="0" w:line="280" w:lineRule="exact"/>
        <w:jc w:val="both"/>
        <w:rPr>
          <w:rFonts w:ascii="Calibri" w:eastAsia="Times New Roman" w:hAnsi="Calibri" w:cs="Times New Roman"/>
          <w:lang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défis sont toutefois encore nombreux. </w:t>
      </w:r>
    </w:p>
    <w:p w:rsidR="006E6AAA" w:rsidRPr="006E6AAA" w:rsidRDefault="006E6AAA" w:rsidP="006E6AAA">
      <w:pPr>
        <w:autoSpaceDE w:val="0"/>
        <w:autoSpaceDN w:val="0"/>
        <w:adjustRightInd w:val="0"/>
        <w:spacing w:after="0" w:line="280" w:lineRule="exact"/>
        <w:jc w:val="both"/>
        <w:rPr>
          <w:rFonts w:ascii="Calibri" w:eastAsia="Times New Roman" w:hAnsi="Calibri" w:cs="ScalaPro-Regular"/>
          <w:lang w:val="fr-FR" w:eastAsia="it-IT"/>
        </w:rPr>
      </w:pPr>
      <w:r w:rsidRPr="006E6AAA">
        <w:rPr>
          <w:rFonts w:ascii="Calibri" w:eastAsia="Times New Roman" w:hAnsi="Calibri" w:cs="ScalaPro-Regular"/>
          <w:lang w:val="fr-FR" w:eastAsia="it-IT"/>
        </w:rPr>
        <w:t xml:space="preserve">Tout d’abord la contribution des juridictions congolaises à la justice pénale internationale </w:t>
      </w:r>
      <w:r w:rsidRPr="006E6AAA">
        <w:rPr>
          <w:rFonts w:ascii="Calibri" w:eastAsia="Times New Roman" w:hAnsi="Calibri" w:cs="ScalaPro-Regular"/>
          <w:b/>
          <w:lang w:val="fr-FR" w:eastAsia="it-IT"/>
        </w:rPr>
        <w:t>manque d’une politique de poursuite cohérente</w:t>
      </w:r>
      <w:r w:rsidRPr="006E6AAA">
        <w:rPr>
          <w:rFonts w:ascii="Calibri" w:eastAsia="Times New Roman" w:hAnsi="Calibri" w:cs="ScalaPro-Regular"/>
          <w:lang w:val="fr-FR" w:eastAsia="it-IT"/>
        </w:rPr>
        <w:t xml:space="preserve"> telle qu’a été mise en place en Uganda par exemple</w:t>
      </w:r>
      <w:r w:rsidRPr="006E6AAA">
        <w:rPr>
          <w:rFonts w:ascii="Calibri" w:eastAsia="Times New Roman" w:hAnsi="Calibri" w:cs="Times New Roman"/>
          <w:vertAlign w:val="superscript"/>
          <w:lang w:val="fr-FR" w:eastAsia="it-IT"/>
        </w:rPr>
        <w:footnoteReference w:id="261"/>
      </w:r>
      <w:r w:rsidRPr="006E6AAA">
        <w:rPr>
          <w:rFonts w:ascii="Calibri" w:eastAsia="Times New Roman" w:hAnsi="Calibri" w:cs="ScalaPro-Regular"/>
          <w:lang w:val="fr-FR" w:eastAsia="it-IT"/>
        </w:rPr>
        <w:t>, et « </w:t>
      </w:r>
      <w:r w:rsidRPr="006E6AAA">
        <w:rPr>
          <w:rFonts w:ascii="Calibri" w:eastAsia="Times New Roman" w:hAnsi="Calibri" w:cs="ScalaPro-Regular"/>
          <w:i/>
          <w:lang w:val="fr-FR" w:eastAsia="it-IT"/>
        </w:rPr>
        <w:t>trahit l’approche opportuniste qui a caractérisé à la fois les poursuites devant les tribunaux militaires et le soutien des bailleurs de fonds à ces poursuites </w:t>
      </w:r>
      <w:r w:rsidRPr="006E6AAA">
        <w:rPr>
          <w:rFonts w:ascii="Calibri" w:eastAsia="Times New Roman" w:hAnsi="Calibri" w:cs="ScalaPro-Regular"/>
          <w:lang w:val="fr-FR" w:eastAsia="it-IT"/>
        </w:rPr>
        <w:t>»</w:t>
      </w:r>
      <w:r w:rsidRPr="006E6AAA">
        <w:rPr>
          <w:rFonts w:ascii="Calibri" w:eastAsia="Times New Roman" w:hAnsi="Calibri" w:cs="Times New Roman"/>
          <w:vertAlign w:val="superscript"/>
          <w:lang w:val="fr-FR" w:eastAsia="it-IT"/>
        </w:rPr>
        <w:footnoteReference w:id="262"/>
      </w:r>
      <w:r w:rsidRPr="006E6AAA">
        <w:rPr>
          <w:rFonts w:ascii="Calibri" w:eastAsia="Times New Roman" w:hAnsi="Calibri" w:cs="ScalaPro-Regular"/>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NewRoman"/>
          <w:lang w:val="fr-FR" w:eastAsia="it-IT"/>
        </w:rPr>
      </w:pPr>
      <w:r w:rsidRPr="006E6AAA">
        <w:rPr>
          <w:rFonts w:ascii="Calibri" w:eastAsia="Times New Roman" w:hAnsi="Calibri" w:cs="Times New Roman"/>
          <w:lang w:val="fr-FR" w:eastAsia="it-IT"/>
        </w:rPr>
        <w:t xml:space="preserve">Une autre difficulté que les juridictions militaires connaissent est la question du </w:t>
      </w:r>
      <w:r w:rsidRPr="006E6AAA">
        <w:rPr>
          <w:rFonts w:ascii="Calibri" w:eastAsia="Times New Roman" w:hAnsi="Calibri" w:cs="Times New Roman"/>
          <w:b/>
          <w:lang w:val="fr-FR" w:eastAsia="it-IT"/>
        </w:rPr>
        <w:t>choix du droit applicable</w:t>
      </w:r>
      <w:r w:rsidRPr="006E6AAA">
        <w:rPr>
          <w:rFonts w:ascii="Calibri" w:eastAsia="Times New Roman" w:hAnsi="Calibri" w:cs="Times New Roman"/>
          <w:lang w:val="fr-FR" w:eastAsia="it-IT"/>
        </w:rPr>
        <w:t xml:space="preserve">, notamment le Statut de Rome ou la législation congolaise. </w:t>
      </w:r>
      <w:r w:rsidRPr="006E6AAA">
        <w:rPr>
          <w:rFonts w:ascii="Calibri" w:eastAsia="Times New Roman" w:hAnsi="Calibri" w:cs="TimesNewRoman"/>
          <w:lang w:val="fr-FR" w:eastAsia="it-IT"/>
        </w:rPr>
        <w:t xml:space="preserve">Ce conflit normatif est une conséquence du fait que, malgré la RDC ait ratifié le Statut de Rome en 2002,  </w:t>
      </w:r>
      <w:r w:rsidRPr="006E6AAA">
        <w:rPr>
          <w:rFonts w:ascii="Calibri" w:eastAsia="Times New Roman" w:hAnsi="Calibri" w:cs="Times New Roman"/>
          <w:lang w:val="fr-FR" w:eastAsia="it-IT"/>
        </w:rPr>
        <w:t>le « </w:t>
      </w:r>
      <w:r w:rsidRPr="006E6AAA">
        <w:rPr>
          <w:rFonts w:ascii="Calibri" w:eastAsia="Times New Roman" w:hAnsi="Calibri" w:cs="Times New Roman"/>
          <w:i/>
          <w:lang w:val="fr-FR" w:eastAsia="it-IT"/>
        </w:rPr>
        <w:t>projet de loi pour la mise en œuvre du Statut de Rome</w:t>
      </w:r>
      <w:r w:rsidRPr="006E6AAA">
        <w:rPr>
          <w:rFonts w:ascii="Calibri" w:eastAsia="Times New Roman" w:hAnsi="Calibri" w:cs="Times New Roman"/>
          <w:lang w:val="fr-FR" w:eastAsia="it-IT"/>
        </w:rPr>
        <w:t> »</w:t>
      </w:r>
      <w:r w:rsidRPr="006E6AAA">
        <w:rPr>
          <w:rFonts w:ascii="Calibri" w:eastAsia="Times New Roman" w:hAnsi="Calibri" w:cs="Times New Roman"/>
          <w:vertAlign w:val="superscript"/>
          <w:lang w:val="fr-FR" w:eastAsia="it-IT"/>
        </w:rPr>
        <w:footnoteReference w:id="263"/>
      </w:r>
      <w:r w:rsidRPr="006E6AAA">
        <w:rPr>
          <w:rFonts w:ascii="Calibri" w:eastAsia="Times New Roman" w:hAnsi="Calibri" w:cs="Times New Roman"/>
          <w:lang w:val="fr-FR" w:eastAsia="it-IT"/>
        </w:rPr>
        <w:t xml:space="preserve"> dont l’objectif principal est d’introduire des modifications à la législation pénale congolaise afin de la rendre conforme au Statut de Rome, est encore en discussion au Parlement. Entretemps certaines juridictions militaires appliquent les normes du Statut de Rome au lieu du code pénal militaire dans leur pratique judiciaire en vertu du principe de</w:t>
      </w:r>
      <w:r w:rsidRPr="006E6AAA">
        <w:rPr>
          <w:rFonts w:ascii="Calibri" w:eastAsia="Times New Roman" w:hAnsi="Calibri" w:cs="TimesNewRoman"/>
          <w:lang w:val="fr-FR" w:eastAsia="it-IT"/>
        </w:rPr>
        <w:t xml:space="preserve"> l’applicabilité directe des traités internationaux dans le droit interne énoncé á l’article 215 de la Constitution.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Par exemple dans l’AF de Mambasa, le Ministère Public avait poursuivit les prévenus pour crimes contre l’humanité sur la base des articles pertinents du code pénal ordinaire et du code judiciaire militaire congolais. Faisant suite à la demande des avocats de la défense et des parties civiles d’utiliser le Statut de Rome au cours de la procédure, le tribunal a condamné les prévenus en appliquant ce dernier</w:t>
      </w:r>
      <w:r w:rsidRPr="006E6AAA">
        <w:rPr>
          <w:rFonts w:ascii="Calibri" w:eastAsia="Times New Roman" w:hAnsi="Calibri" w:cs="Times New Roman"/>
          <w:vertAlign w:val="superscript"/>
          <w:lang w:val="fr-FR" w:eastAsia="it-IT"/>
        </w:rPr>
        <w:footnoteReference w:id="264"/>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question du droit applicable entraine des conséquences importantes vu les conflits normatifs qu’il y a  entre les dispositions nationales et celles du Statut de Rome: il s’agit </w:t>
      </w:r>
      <w:r w:rsidRPr="006E6AAA">
        <w:rPr>
          <w:rFonts w:ascii="Calibri" w:eastAsia="Times New Roman" w:hAnsi="Calibri" w:cs="Times New Roman"/>
          <w:i/>
          <w:lang w:val="fr-FR" w:eastAsia="it-IT"/>
        </w:rPr>
        <w:t>inter alia</w:t>
      </w:r>
      <w:r w:rsidRPr="006E6AAA">
        <w:rPr>
          <w:rFonts w:ascii="Calibri" w:eastAsia="Times New Roman" w:hAnsi="Calibri" w:cs="Times New Roman"/>
          <w:lang w:val="fr-FR" w:eastAsia="it-IT"/>
        </w:rPr>
        <w:t xml:space="preserve"> de divergences dans la </w:t>
      </w:r>
      <w:r w:rsidRPr="006E6AAA">
        <w:rPr>
          <w:rFonts w:ascii="Calibri" w:eastAsia="Times New Roman" w:hAnsi="Calibri" w:cs="Times New Roman"/>
          <w:lang w:val="fr-FR" w:eastAsia="it-IT"/>
        </w:rPr>
        <w:lastRenderedPageBreak/>
        <w:t>définition des crimes ou dans la prévision des peines</w:t>
      </w:r>
      <w:r w:rsidRPr="006E6AAA">
        <w:rPr>
          <w:rFonts w:ascii="Calibri" w:eastAsia="Times New Roman" w:hAnsi="Calibri" w:cs="Times New Roman"/>
          <w:vertAlign w:val="superscript"/>
          <w:lang w:val="fr-FR" w:eastAsia="it-IT"/>
        </w:rPr>
        <w:footnoteReference w:id="265"/>
      </w:r>
      <w:r w:rsidRPr="006E6AAA">
        <w:rPr>
          <w:rFonts w:ascii="Calibri" w:eastAsia="Times New Roman" w:hAnsi="Calibri" w:cs="Times New Roman"/>
          <w:lang w:val="fr-FR" w:eastAsia="it-IT"/>
        </w:rPr>
        <w:t xml:space="preserve">. Par exemple au cours de l’AF de Mambasa le Ministère Public a demandé la peine de mort pour crimes contre l’humanité, ce qui n’est pas envisageable sous le Statut de Rome.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40" w:lineRule="auto"/>
        <w:jc w:val="both"/>
        <w:rPr>
          <w:rFonts w:ascii="Times New Roman" w:eastAsia="MS Mincho" w:hAnsi="Times New Roman" w:cs="Times New Roman"/>
          <w:sz w:val="20"/>
          <w:szCs w:val="20"/>
          <w:lang w:val="fr-FR" w:eastAsia="fr-FR"/>
        </w:rPr>
      </w:pPr>
      <w:r w:rsidRPr="006E6AAA">
        <w:rPr>
          <w:rFonts w:ascii="Calibri" w:eastAsia="MS Mincho" w:hAnsi="Calibri" w:cs="Times New Roman"/>
          <w:lang w:val="fr-FR" w:eastAsia="fr-FR"/>
        </w:rPr>
        <w:t xml:space="preserve">La </w:t>
      </w:r>
      <w:r w:rsidRPr="006E6AAA">
        <w:rPr>
          <w:rFonts w:ascii="Calibri" w:eastAsia="MS Mincho" w:hAnsi="Calibri" w:cs="Times New Roman"/>
          <w:b/>
          <w:lang w:val="fr-FR" w:eastAsia="fr-FR"/>
        </w:rPr>
        <w:t>compétence des juridictions civiles ou militaires</w:t>
      </w:r>
      <w:r w:rsidRPr="006E6AAA">
        <w:rPr>
          <w:rFonts w:ascii="Calibri" w:eastAsia="MS Mincho" w:hAnsi="Calibri" w:cs="Times New Roman"/>
          <w:lang w:val="fr-FR" w:eastAsia="fr-FR"/>
        </w:rPr>
        <w:t xml:space="preserve"> pour les crimes internationaux soulève également des questions au sein de la communauté juridique congolaise. La compétence pour ces crimes était exclusive des juridictions miliaires jusqu’en Avril 2013, quand la loi de reforme de l’organisation judiciaire a reconnu cette compétence aussi aux juridictions civiles</w:t>
      </w:r>
      <w:r w:rsidRPr="006E6AAA">
        <w:rPr>
          <w:rFonts w:ascii="Calibri" w:eastAsia="MS Mincho" w:hAnsi="Calibri" w:cs="Times New Roman"/>
          <w:vertAlign w:val="superscript"/>
          <w:lang w:val="fr-FR" w:eastAsia="fr-FR"/>
        </w:rPr>
        <w:footnoteReference w:id="266"/>
      </w:r>
      <w:r w:rsidRPr="006E6AAA">
        <w:rPr>
          <w:rFonts w:ascii="Calibri" w:eastAsia="MS Mincho" w:hAnsi="Calibri" w:cs="Times New Roman"/>
          <w:lang w:val="fr-FR" w:eastAsia="fr-FR"/>
        </w:rPr>
        <w:t xml:space="preserve">. Cette ouverture marque un développement positif, mais laisse toutefois ouvert le débat sur l’opportunité de reconnaitre l’exclusivité de la compétence aux juridictions civiles, </w:t>
      </w:r>
      <w:r w:rsidRPr="006E6AAA">
        <w:rPr>
          <w:rFonts w:ascii="Calibri" w:eastAsia="MS Mincho" w:hAnsi="Calibri" w:cs="MiloLF-Regular"/>
          <w:color w:val="000000"/>
          <w:lang w:val="fr-FR" w:eastAsia="fr-FR"/>
        </w:rPr>
        <w:t xml:space="preserve">comme prévu par le du projet de loi </w:t>
      </w:r>
      <w:r w:rsidRPr="006E6AAA">
        <w:rPr>
          <w:rFonts w:ascii="Calibri" w:eastAsia="MS Mincho" w:hAnsi="Calibri" w:cs="Times New Roman"/>
          <w:lang w:val="fr-FR" w:eastAsia="fr-FR"/>
        </w:rPr>
        <w:t>de mise en œuvre du Statut de Rome.</w:t>
      </w:r>
    </w:p>
    <w:p w:rsidR="006E6AAA" w:rsidRPr="006E6AAA" w:rsidRDefault="006E6AAA" w:rsidP="006E6AAA">
      <w:pPr>
        <w:spacing w:after="0" w:line="280" w:lineRule="exact"/>
        <w:jc w:val="both"/>
        <w:rPr>
          <w:rFonts w:ascii="Calibri" w:eastAsia="Times New Roman" w:hAnsi="Calibri" w:cs="MiloLF-Regular"/>
          <w:color w:val="000000"/>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MiloLF-Regular"/>
          <w:color w:val="000000"/>
          <w:lang w:val="fr-FR" w:eastAsia="it-IT"/>
        </w:rPr>
        <w:t>Ces aspects devraient être tenus en considération dans la programmation future du PNUD en matière d’AF, qui devrait envisager un élargissement de l’appui aux juridictions civiles</w:t>
      </w:r>
      <w:r w:rsidRPr="006E6AAA">
        <w:rPr>
          <w:rFonts w:ascii="Calibri" w:eastAsia="Times New Roman" w:hAnsi="Calibri" w:cs="Times New Roman"/>
          <w:lang w:val="fr-FR" w:eastAsia="it-IT"/>
        </w:rPr>
        <w:t>.</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Une dernière question qui mériterait une réflexion concerne le fait que </w:t>
      </w:r>
      <w:r w:rsidRPr="006E6AAA">
        <w:rPr>
          <w:rFonts w:ascii="Calibri" w:eastAsia="Times New Roman" w:hAnsi="Calibri" w:cs="Times New Roman"/>
          <w:b/>
          <w:lang w:val="fr-FR" w:eastAsia="it-IT"/>
        </w:rPr>
        <w:t>les magistrats du Parquet reçoivent en général plus d’assistance</w:t>
      </w:r>
      <w:r w:rsidRPr="006E6AAA">
        <w:rPr>
          <w:rFonts w:ascii="Calibri" w:eastAsia="Times New Roman" w:hAnsi="Calibri" w:cs="Times New Roman"/>
          <w:lang w:val="fr-FR" w:eastAsia="it-IT"/>
        </w:rPr>
        <w:t xml:space="preserve"> de la part de la communauté internationale par rapport aux magistrats du siège: par exemple la CAP/MONUSCO travaille en priorité avec les procureurs de la justice militaire congolaise pour renforcer les enquêtes criminelles et les capacités en matière de poursuites judiciaires. Le projet PNUD 1888 a aussi un focus prioritaire sur les enquêtes et les poursuites du système judiciaire militaire. </w:t>
      </w: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 xml:space="preserve">Etant entendu l’urgence et l’importance d’appuyer les Parquets afin que l’action pénale soit initiée, il serait important, surtout afin d’éviter de créer un déséquilibre entre l’efficacité des actions du Siege et du Parquet, de mener en parallèle des actions visant à appuyer les magistrats du siège. </w:t>
      </w:r>
    </w:p>
    <w:p w:rsidR="006E6AAA" w:rsidRPr="006E6AAA" w:rsidRDefault="006E6AAA" w:rsidP="006E6AAA">
      <w:pPr>
        <w:autoSpaceDE w:val="0"/>
        <w:autoSpaceDN w:val="0"/>
        <w:adjustRightInd w:val="0"/>
        <w:spacing w:after="0" w:line="280" w:lineRule="exact"/>
        <w:jc w:val="both"/>
        <w:rPr>
          <w:rFonts w:ascii="Calibri" w:eastAsia="Times New Roman" w:hAnsi="Calibri" w:cs="Quadraat"/>
          <w:color w:val="000000"/>
          <w:lang w:val="fr-FR" w:eastAsia="it-IT"/>
        </w:rPr>
      </w:pPr>
      <w:r w:rsidRPr="006E6AAA">
        <w:rPr>
          <w:rFonts w:ascii="Calibri" w:eastAsia="Times New Roman" w:hAnsi="Calibri" w:cs="Corbel"/>
          <w:color w:val="000000"/>
          <w:lang w:val="fr-FR" w:eastAsia="it-IT"/>
        </w:rPr>
        <w:t xml:space="preserve">Par exemple, comme illustrée par certains </w:t>
      </w:r>
      <w:r w:rsidRPr="006E6AAA">
        <w:rPr>
          <w:rFonts w:ascii="Calibri" w:eastAsia="Times New Roman" w:hAnsi="Calibri" w:cs="Quadraat"/>
          <w:color w:val="000000"/>
          <w:lang w:val="fr-FR" w:eastAsia="it-IT"/>
        </w:rPr>
        <w:t xml:space="preserve">rapports de monitoring PNUD et </w:t>
      </w:r>
      <w:r w:rsidRPr="006E6AAA">
        <w:rPr>
          <w:rFonts w:ascii="Calibri" w:eastAsia="Times New Roman" w:hAnsi="Calibri" w:cs="Corbel"/>
          <w:color w:val="000000"/>
          <w:lang w:val="fr-FR" w:eastAsia="it-IT"/>
        </w:rPr>
        <w:t>une étude d’ASF, une des faiblesses relevées dans l’analyse des jugements en matière de crimes internationaux est que « </w:t>
      </w:r>
      <w:r w:rsidRPr="006E6AAA">
        <w:rPr>
          <w:rFonts w:ascii="Calibri" w:eastAsia="Times New Roman" w:hAnsi="Calibri" w:cs="Quadraat"/>
          <w:i/>
          <w:color w:val="000000"/>
          <w:lang w:val="fr-FR" w:eastAsia="it-IT"/>
        </w:rPr>
        <w:t>les juges ne s’attachent pas à systématiquement rappeler les éléments constitutifs des crimes ou les étapes essentielles à la qualification juridique</w:t>
      </w:r>
      <w:r w:rsidRPr="006E6AAA">
        <w:rPr>
          <w:rFonts w:ascii="Calibri" w:eastAsia="Times New Roman" w:hAnsi="Calibri" w:cs="Quadraat"/>
          <w:color w:val="000000"/>
          <w:lang w:val="fr-FR" w:eastAsia="it-IT"/>
        </w:rPr>
        <w:t> »</w:t>
      </w:r>
      <w:r w:rsidRPr="006E6AAA">
        <w:rPr>
          <w:rFonts w:ascii="Calibri" w:eastAsia="Times New Roman" w:hAnsi="Calibri" w:cs="Times New Roman"/>
          <w:color w:val="000000"/>
          <w:vertAlign w:val="superscript"/>
          <w:lang w:val="fr-FR" w:eastAsia="it-IT"/>
        </w:rPr>
        <w:footnoteReference w:id="267"/>
      </w:r>
      <w:r w:rsidRPr="006E6AAA">
        <w:rPr>
          <w:rFonts w:ascii="Calibri" w:eastAsia="Times New Roman" w:hAnsi="Calibri" w:cs="Quadraat"/>
          <w:color w:val="000000"/>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Corbel"/>
          <w:color w:val="000000"/>
          <w:lang w:val="fr-FR" w:eastAsia="it-IT"/>
        </w:rPr>
      </w:pPr>
      <w:r w:rsidRPr="006E6AAA">
        <w:rPr>
          <w:rFonts w:ascii="Calibri" w:eastAsia="Times New Roman" w:hAnsi="Calibri" w:cs="Corbel"/>
          <w:color w:val="000000"/>
          <w:lang w:val="fr-FR" w:eastAsia="it-IT"/>
        </w:rPr>
        <w:t>Il serait donc envisageable d’organiser des formations pour renforcer les capacités des juges militaires dans la rédaction des jugements en matière de crimes internationaux. Une publication centrée sur l’analyse des jugements rendus par les AF (sur le modèle de l’étude d’ASF sur la jurisprudence en matière de crimes internationaux) serait un important outil pour renforcer les capacités des magistrats dans la rédaction des jugements sans interférer avec leur travail.</w:t>
      </w:r>
    </w:p>
    <w:p w:rsidR="006E6AAA" w:rsidRPr="006E6AAA" w:rsidRDefault="006E6AAA" w:rsidP="006E6AAA">
      <w:pPr>
        <w:autoSpaceDE w:val="0"/>
        <w:autoSpaceDN w:val="0"/>
        <w:adjustRightInd w:val="0"/>
        <w:spacing w:after="0" w:line="280" w:lineRule="exact"/>
        <w:jc w:val="both"/>
        <w:rPr>
          <w:rFonts w:ascii="Calibri" w:eastAsia="Times New Roman" w:hAnsi="Calibri" w:cs="AmnestyTradeGothic"/>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b/>
          <w:smallCaps/>
          <w:color w:val="000080"/>
          <w:sz w:val="24"/>
          <w:szCs w:val="24"/>
          <w:lang w:val="fr-FR" w:eastAsia="it-IT"/>
        </w:rPr>
      </w:pPr>
      <w:bookmarkStart w:id="5" w:name="_Toc356240474"/>
      <w:r w:rsidRPr="006E6AAA">
        <w:rPr>
          <w:rFonts w:ascii="Calibri" w:eastAsia="Times New Roman" w:hAnsi="Calibri" w:cs="Times New Roman"/>
          <w:b/>
          <w:color w:val="000080"/>
          <w:sz w:val="24"/>
          <w:szCs w:val="24"/>
          <w:lang w:val="fr-FR" w:eastAsia="it-IT"/>
        </w:rPr>
        <w:t>7. EFFICIENCE</w:t>
      </w:r>
      <w:bookmarkEnd w:id="5"/>
    </w:p>
    <w:p w:rsidR="006E6AAA" w:rsidRPr="006E6AAA" w:rsidRDefault="006E6AAA" w:rsidP="006E6AAA">
      <w:pPr>
        <w:tabs>
          <w:tab w:val="left" w:pos="540"/>
        </w:tabs>
        <w:spacing w:after="0" w:line="280" w:lineRule="exact"/>
        <w:jc w:val="both"/>
        <w:outlineLvl w:val="0"/>
        <w:rPr>
          <w:rFonts w:ascii="Calibri" w:eastAsia="Times New Roman" w:hAnsi="Calibri" w:cs="Times New Roman"/>
          <w:b/>
          <w:smallCaps/>
          <w:color w:val="000080"/>
          <w:lang w:val="fr-FR"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lang w:val="fr-FR" w:eastAsia="it-IT"/>
        </w:rPr>
      </w:pPr>
      <w:bookmarkStart w:id="6" w:name="_Toc356240475"/>
      <w:r w:rsidRPr="006E6AAA">
        <w:rPr>
          <w:rFonts w:ascii="Calibri" w:eastAsia="Times New Roman" w:hAnsi="Calibri" w:cs="Times New Roman"/>
          <w:b/>
          <w:color w:val="000080"/>
          <w:lang w:val="fr-FR" w:eastAsia="it-IT"/>
        </w:rPr>
        <w:t>§ 7.1</w:t>
      </w:r>
      <w:r w:rsidRPr="006E6AAA">
        <w:rPr>
          <w:rFonts w:ascii="Calibri" w:eastAsia="Times New Roman" w:hAnsi="Calibri" w:cs="Times New Roman"/>
          <w:b/>
          <w:lang w:val="fr-FR" w:eastAsia="it-IT"/>
        </w:rPr>
        <w:t xml:space="preserve"> Viabilité financière</w:t>
      </w:r>
      <w:bookmarkEnd w:id="6"/>
    </w:p>
    <w:p w:rsidR="006E6AAA" w:rsidRPr="006E6AAA" w:rsidRDefault="006E6AAA" w:rsidP="006E6AAA">
      <w:pPr>
        <w:tabs>
          <w:tab w:val="left" w:pos="540"/>
          <w:tab w:val="left" w:pos="8460"/>
        </w:tabs>
        <w:spacing w:after="0" w:line="280" w:lineRule="exact"/>
        <w:jc w:val="both"/>
        <w:rPr>
          <w:rFonts w:ascii="Cambria" w:eastAsia="Times New Roman" w:hAnsi="Cambria" w:cs="Times New Roman"/>
          <w:b/>
          <w:bCs/>
          <w:color w:val="000000"/>
          <w:sz w:val="16"/>
          <w:szCs w:val="16"/>
          <w:u w:val="single"/>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Dans un effort de coordination de l’appui aux AF, chaque partenaire international prend en charge une rubrique spécifique du budget des AF : par exemple ASF et ABA couvrent des couts relatifs aux victimes (avocats, transport victimes/témoins) et la MONUSCO/BCNUDH prennent en charge le transport en avion et la sécurité de lieux.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lastRenderedPageBreak/>
        <w:t>Les partenaires internationaux couvrent le 90 % des coûts des AF</w:t>
      </w:r>
      <w:r w:rsidRPr="006E6AAA">
        <w:rPr>
          <w:rFonts w:ascii="Calibri" w:eastAsia="Times New Roman" w:hAnsi="Calibri" w:cs="Times New Roman"/>
          <w:lang w:val="fr-FR" w:eastAsia="it-IT"/>
        </w:rPr>
        <w:t xml:space="preserve">, considéré que les salaires du personnel judiciaire sont payés par l’Etat.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PNUD est le partenaire international qui apporte la contribution financière plus significative aux AF en Ituri et au Nord Kivu: par rapport aux 8 AF qui ont été appuyées par la communauté internationale dans ces zones de 2011 à 2012, le 78% du cout total (113.277 USD) a été soutenu par le PNUD.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Au Sud Kivu la coordination des moyens financiers est particulièrement dynamique vu la présence nombreux projets d’accès à la justice appuyés par les ONG et le système des Nations Unies. </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r w:rsidRPr="006E6AAA">
        <w:rPr>
          <w:rFonts w:ascii="Calibri" w:eastAsia="Times New Roman" w:hAnsi="Calibri" w:cs="Times New Roman"/>
          <w:lang w:val="fr-FR" w:eastAsia="it-IT"/>
        </w:rPr>
        <w:t>Sur les 19 AF qui ont été appuyées par la communauté internationale en 2011/2012, le PNUD a participé á 8 des ces interventions; l’absence des données fournies par certaines partenaires (comme la BCNUDH) n’a pas permis d’en mesurer l’impact sur le total.</w:t>
      </w:r>
      <w:r w:rsidRPr="006E6AAA">
        <w:rPr>
          <w:rFonts w:ascii="Times New Roman" w:eastAsia="Times New Roman" w:hAnsi="Times New Roman" w:cs="Times New Roman"/>
          <w:sz w:val="24"/>
          <w:szCs w:val="24"/>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budgets des AF varient significativement en fonction du nombre des dossiers, des victimes/témoins, des avocats, des détenus à transporter et des jours d’audience.</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 tableau ci-dessous présente un exemple de budget pour une AF, estimé sur la base des coûts pour l’AF que le PNUD a appuyée à Mambasa pendent une période de 15 jours, avec 16 prévenus, 60 victimes et un coût total de 20.000 USD. Les frais pour les enquêtes préliminaires ne sont pas inclus.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 noter que les frais pour le transport de l’équipe foraine et la sécurité des lieux ne sont pas comptabilisées car ce sont des services fournis par la MONUSCO, mais représentent une partie significative du budget, dont il faudrait tenir compte dans un éventuel plan de transfert des AF au partenaire national.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40" w:lineRule="auto"/>
        <w:rPr>
          <w:rFonts w:ascii="Calibri" w:eastAsia="Times New Roman" w:hAnsi="Calibri" w:cs="Times New Roman"/>
          <w:lang w:val="fr-FR" w:eastAsia="it-IT"/>
        </w:rPr>
      </w:pPr>
      <w:r w:rsidRPr="006E6AAA">
        <w:rPr>
          <w:rFonts w:ascii="Times New Roman" w:eastAsia="Times New Roman" w:hAnsi="Times New Roman" w:cs="Times New Roman"/>
          <w:sz w:val="24"/>
          <w:szCs w:val="24"/>
          <w:lang w:val="fr-FR" w:eastAsia="it-IT"/>
        </w:rPr>
        <w:t xml:space="preserve"> </w:t>
      </w:r>
    </w:p>
    <w:tbl>
      <w:tblPr>
        <w:tblW w:w="9680" w:type="dxa"/>
        <w:tblInd w:w="59" w:type="dxa"/>
        <w:tblCellMar>
          <w:left w:w="70" w:type="dxa"/>
          <w:right w:w="70" w:type="dxa"/>
        </w:tblCellMar>
        <w:tblLook w:val="0000" w:firstRow="0" w:lastRow="0" w:firstColumn="0" w:lastColumn="0" w:noHBand="0" w:noVBand="0"/>
      </w:tblPr>
      <w:tblGrid>
        <w:gridCol w:w="6131"/>
        <w:gridCol w:w="65"/>
        <w:gridCol w:w="665"/>
        <w:gridCol w:w="796"/>
        <w:gridCol w:w="1044"/>
        <w:gridCol w:w="979"/>
      </w:tblGrid>
      <w:tr w:rsidR="006E6AAA" w:rsidRPr="006E6AAA" w:rsidTr="00C8613A">
        <w:trPr>
          <w:trHeight w:val="540"/>
        </w:trPr>
        <w:tc>
          <w:tcPr>
            <w:tcW w:w="96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rsidR="006E6AAA" w:rsidRPr="006E6AAA" w:rsidRDefault="006E6AAA" w:rsidP="006E6AAA">
            <w:pPr>
              <w:spacing w:after="0" w:line="240" w:lineRule="auto"/>
              <w:jc w:val="center"/>
              <w:rPr>
                <w:rFonts w:ascii="Arial" w:eastAsia="Times New Roman" w:hAnsi="Arial" w:cs="Arial"/>
                <w:b/>
                <w:bCs/>
                <w:i/>
                <w:iCs/>
                <w:color w:val="000000"/>
                <w:sz w:val="20"/>
                <w:szCs w:val="20"/>
                <w:lang w:val="fr-FR" w:eastAsia="it-IT"/>
              </w:rPr>
            </w:pPr>
            <w:r w:rsidRPr="006E6AAA">
              <w:rPr>
                <w:rFonts w:ascii="Arial" w:eastAsia="Times New Roman" w:hAnsi="Arial" w:cs="Arial"/>
                <w:b/>
                <w:bCs/>
                <w:i/>
                <w:iCs/>
                <w:color w:val="000000"/>
                <w:sz w:val="20"/>
                <w:szCs w:val="20"/>
                <w:lang w:val="fr-FR" w:eastAsia="it-IT"/>
              </w:rPr>
              <w:t>Modèle de BUDGET pour 1 AF de 15 jours avec 60 parties civiles, 16 prévenus, 8 dossiers</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b/>
                <w:bCs/>
                <w:i/>
                <w:iCs/>
                <w:color w:val="000000"/>
                <w:sz w:val="20"/>
                <w:szCs w:val="20"/>
                <w:lang w:val="fr-FR" w:eastAsia="it-IT"/>
              </w:rPr>
            </w:pPr>
            <w:r w:rsidRPr="006E6AAA">
              <w:rPr>
                <w:rFonts w:ascii="Arial" w:eastAsia="Times New Roman" w:hAnsi="Arial" w:cs="Arial"/>
                <w:b/>
                <w:bCs/>
                <w:i/>
                <w:iCs/>
                <w:color w:val="000000"/>
                <w:sz w:val="20"/>
                <w:szCs w:val="20"/>
                <w:lang w:val="fr-FR" w:eastAsia="it-IT"/>
              </w:rPr>
              <w:t> </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i/>
                <w:iCs/>
                <w:color w:val="000000"/>
                <w:sz w:val="20"/>
                <w:szCs w:val="20"/>
                <w:lang w:val="it-IT" w:eastAsia="it-IT"/>
              </w:rPr>
            </w:pPr>
            <w:r w:rsidRPr="006E6AAA">
              <w:rPr>
                <w:rFonts w:ascii="Arial" w:eastAsia="Times New Roman" w:hAnsi="Arial" w:cs="Arial"/>
                <w:i/>
                <w:iCs/>
                <w:color w:val="000000"/>
                <w:sz w:val="20"/>
                <w:szCs w:val="20"/>
                <w:lang w:val="it-IT" w:eastAsia="it-IT"/>
              </w:rPr>
              <w:t>n. pax</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i/>
                <w:iCs/>
                <w:color w:val="000000"/>
                <w:sz w:val="20"/>
                <w:szCs w:val="20"/>
                <w:lang w:val="it-IT" w:eastAsia="it-IT"/>
              </w:rPr>
            </w:pPr>
            <w:r w:rsidRPr="006E6AAA">
              <w:rPr>
                <w:rFonts w:ascii="Arial" w:eastAsia="Times New Roman" w:hAnsi="Arial" w:cs="Arial"/>
                <w:i/>
                <w:iCs/>
                <w:color w:val="000000"/>
                <w:sz w:val="20"/>
                <w:szCs w:val="20"/>
                <w:lang w:val="it-IT" w:eastAsia="it-IT"/>
              </w:rPr>
              <w:t>n. jours</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i/>
                <w:iCs/>
                <w:color w:val="000000"/>
                <w:sz w:val="20"/>
                <w:szCs w:val="20"/>
                <w:lang w:val="it-IT" w:eastAsia="it-IT"/>
              </w:rPr>
            </w:pPr>
            <w:r w:rsidRPr="006E6AAA">
              <w:rPr>
                <w:rFonts w:ascii="Arial" w:eastAsia="Times New Roman" w:hAnsi="Arial" w:cs="Arial"/>
                <w:i/>
                <w:iCs/>
                <w:color w:val="000000"/>
                <w:sz w:val="20"/>
                <w:szCs w:val="20"/>
                <w:lang w:val="it-IT" w:eastAsia="it-IT"/>
              </w:rPr>
              <w:t>cout unité</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i/>
                <w:iCs/>
                <w:color w:val="000000"/>
                <w:sz w:val="20"/>
                <w:szCs w:val="20"/>
                <w:lang w:val="it-IT" w:eastAsia="it-IT"/>
              </w:rPr>
            </w:pPr>
            <w:r w:rsidRPr="006E6AAA">
              <w:rPr>
                <w:rFonts w:ascii="Arial" w:eastAsia="Times New Roman" w:hAnsi="Arial" w:cs="Arial"/>
                <w:i/>
                <w:iCs/>
                <w:color w:val="000000"/>
                <w:sz w:val="20"/>
                <w:szCs w:val="20"/>
                <w:lang w:val="it-IT" w:eastAsia="it-IT"/>
              </w:rPr>
              <w:t>cout total</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i/>
                <w:iCs/>
                <w:color w:val="FFFFFF"/>
                <w:sz w:val="20"/>
                <w:szCs w:val="20"/>
                <w:lang w:val="it-IT" w:eastAsia="it-IT"/>
              </w:rPr>
            </w:pPr>
            <w:r w:rsidRPr="006E6AAA">
              <w:rPr>
                <w:rFonts w:ascii="Arial" w:eastAsia="Times New Roman" w:hAnsi="Arial" w:cs="Arial"/>
                <w:b/>
                <w:bCs/>
                <w:i/>
                <w:iCs/>
                <w:color w:val="FFFFFF"/>
                <w:sz w:val="20"/>
                <w:szCs w:val="20"/>
                <w:lang w:val="it-IT" w:eastAsia="it-IT"/>
              </w:rPr>
              <w:t>Perdiem (logement/restauration)</w:t>
            </w:r>
          </w:p>
        </w:tc>
        <w:tc>
          <w:tcPr>
            <w:tcW w:w="730" w:type="dxa"/>
            <w:gridSpan w:val="2"/>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i/>
                <w:iCs/>
                <w:color w:val="FFFFFF"/>
                <w:sz w:val="20"/>
                <w:szCs w:val="20"/>
                <w:lang w:val="it-IT" w:eastAsia="it-IT"/>
              </w:rPr>
            </w:pPr>
            <w:r w:rsidRPr="006E6AAA">
              <w:rPr>
                <w:rFonts w:ascii="Arial" w:eastAsia="Times New Roman" w:hAnsi="Arial" w:cs="Arial"/>
                <w:b/>
                <w:bCs/>
                <w:i/>
                <w:iCs/>
                <w:color w:val="FFFFFF"/>
                <w:sz w:val="20"/>
                <w:szCs w:val="20"/>
                <w:lang w:val="it-IT" w:eastAsia="it-IT"/>
              </w:rPr>
              <w:t> </w:t>
            </w:r>
          </w:p>
        </w:tc>
        <w:tc>
          <w:tcPr>
            <w:tcW w:w="796"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i/>
                <w:iCs/>
                <w:color w:val="FFFFFF"/>
                <w:sz w:val="20"/>
                <w:szCs w:val="20"/>
                <w:lang w:val="it-IT" w:eastAsia="it-IT"/>
              </w:rPr>
            </w:pPr>
            <w:r w:rsidRPr="006E6AAA">
              <w:rPr>
                <w:rFonts w:ascii="Arial" w:eastAsia="Times New Roman" w:hAnsi="Arial" w:cs="Arial"/>
                <w:b/>
                <w:bCs/>
                <w:i/>
                <w:iCs/>
                <w:color w:val="FFFFFF"/>
                <w:sz w:val="20"/>
                <w:szCs w:val="20"/>
                <w:lang w:val="it-IT" w:eastAsia="it-IT"/>
              </w:rPr>
              <w:t> </w:t>
            </w:r>
          </w:p>
        </w:tc>
        <w:tc>
          <w:tcPr>
            <w:tcW w:w="1044"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i/>
                <w:iCs/>
                <w:color w:val="FFFFFF"/>
                <w:sz w:val="20"/>
                <w:szCs w:val="20"/>
                <w:lang w:val="it-IT" w:eastAsia="it-IT"/>
              </w:rPr>
            </w:pPr>
            <w:r w:rsidRPr="006E6AAA">
              <w:rPr>
                <w:rFonts w:ascii="Arial" w:eastAsia="Times New Roman" w:hAnsi="Arial" w:cs="Arial"/>
                <w:b/>
                <w:bCs/>
                <w:i/>
                <w:iCs/>
                <w:color w:val="FFFFFF"/>
                <w:sz w:val="20"/>
                <w:szCs w:val="20"/>
                <w:lang w:val="it-IT"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i/>
                <w:iCs/>
                <w:sz w:val="20"/>
                <w:szCs w:val="20"/>
                <w:lang w:val="it-IT" w:eastAsia="it-IT"/>
              </w:rPr>
            </w:pPr>
            <w:r w:rsidRPr="006E6AAA">
              <w:rPr>
                <w:rFonts w:ascii="Arial" w:eastAsia="Times New Roman" w:hAnsi="Arial" w:cs="Arial"/>
                <w:b/>
                <w:bCs/>
                <w:i/>
                <w:iCs/>
                <w:sz w:val="20"/>
                <w:szCs w:val="20"/>
                <w:lang w:val="it-IT" w:eastAsia="it-IT"/>
              </w:rPr>
              <w:t> </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perdiem juge</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3</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59</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2,655</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perdiem juge assesseur local</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3</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7</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315</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perdiem Officier du Ministère Public</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2</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59</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1,770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perdiem greffier AF</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2</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59</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1,770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perdiem greffier descentes terrain pour la signification actes</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6</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59</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354</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 xml:space="preserve">perdiem avocat de la défense </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6</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59</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5,310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xml:space="preserve">perdiem interprete </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7</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105</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perdiem escorte des detenus</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16</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4</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20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1,280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perdiem victimes et temoins</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60</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10</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6,000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restauration des detenus</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16</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7</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1,680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b/>
                <w:bCs/>
                <w:color w:val="000000"/>
                <w:sz w:val="20"/>
                <w:szCs w:val="20"/>
                <w:lang w:val="it-IT" w:eastAsia="it-IT"/>
              </w:rPr>
            </w:pPr>
            <w:r w:rsidRPr="006E6AAA">
              <w:rPr>
                <w:rFonts w:ascii="Arial" w:eastAsia="Times New Roman" w:hAnsi="Arial" w:cs="Arial"/>
                <w:b/>
                <w:bCs/>
                <w:color w:val="000000"/>
                <w:sz w:val="20"/>
                <w:szCs w:val="20"/>
                <w:lang w:val="it-IT" w:eastAsia="it-IT"/>
              </w:rPr>
              <w:t>Sous total Perdiem</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right"/>
              <w:rPr>
                <w:rFonts w:ascii="Arial" w:eastAsia="Times New Roman" w:hAnsi="Arial" w:cs="Arial"/>
                <w:b/>
                <w:bCs/>
                <w:color w:val="FFFFFF"/>
                <w:sz w:val="20"/>
                <w:szCs w:val="20"/>
                <w:lang w:val="it-IT" w:eastAsia="it-IT"/>
              </w:rPr>
            </w:pPr>
            <w:r w:rsidRPr="006E6AAA">
              <w:rPr>
                <w:rFonts w:ascii="Arial" w:eastAsia="Times New Roman" w:hAnsi="Arial" w:cs="Arial"/>
                <w:b/>
                <w:bCs/>
                <w:color w:val="FFFFFF"/>
                <w:sz w:val="20"/>
                <w:szCs w:val="20"/>
                <w:lang w:val="it-IT" w:eastAsia="it-IT"/>
              </w:rPr>
              <w:t>21,239</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color w:val="FFFFFF"/>
                <w:sz w:val="20"/>
                <w:szCs w:val="20"/>
                <w:lang w:val="it-IT" w:eastAsia="it-IT"/>
              </w:rPr>
            </w:pPr>
            <w:r w:rsidRPr="006E6AAA">
              <w:rPr>
                <w:rFonts w:ascii="Arial" w:eastAsia="Times New Roman" w:hAnsi="Arial" w:cs="Arial"/>
                <w:b/>
                <w:bCs/>
                <w:color w:val="FFFFFF"/>
                <w:sz w:val="20"/>
                <w:szCs w:val="20"/>
                <w:lang w:val="it-IT" w:eastAsia="it-IT"/>
              </w:rPr>
              <w:t xml:space="preserve">Transport </w:t>
            </w:r>
          </w:p>
        </w:tc>
        <w:tc>
          <w:tcPr>
            <w:tcW w:w="730" w:type="dxa"/>
            <w:gridSpan w:val="2"/>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it-IT" w:eastAsia="it-IT"/>
              </w:rPr>
            </w:pPr>
            <w:r w:rsidRPr="006E6AAA">
              <w:rPr>
                <w:rFonts w:ascii="Arial" w:eastAsia="Times New Roman" w:hAnsi="Arial" w:cs="Arial"/>
                <w:color w:val="FFFFFF"/>
                <w:sz w:val="20"/>
                <w:szCs w:val="20"/>
                <w:lang w:val="it-IT" w:eastAsia="it-IT"/>
              </w:rPr>
              <w:t> </w:t>
            </w:r>
          </w:p>
        </w:tc>
        <w:tc>
          <w:tcPr>
            <w:tcW w:w="796"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it-IT" w:eastAsia="it-IT"/>
              </w:rPr>
            </w:pPr>
            <w:r w:rsidRPr="006E6AAA">
              <w:rPr>
                <w:rFonts w:ascii="Arial" w:eastAsia="Times New Roman" w:hAnsi="Arial" w:cs="Arial"/>
                <w:color w:val="FFFFFF"/>
                <w:sz w:val="20"/>
                <w:szCs w:val="20"/>
                <w:lang w:val="it-IT" w:eastAsia="it-IT"/>
              </w:rPr>
              <w:t> </w:t>
            </w:r>
          </w:p>
        </w:tc>
        <w:tc>
          <w:tcPr>
            <w:tcW w:w="1044"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it-IT" w:eastAsia="it-IT"/>
              </w:rPr>
            </w:pPr>
            <w:r w:rsidRPr="006E6AAA">
              <w:rPr>
                <w:rFonts w:ascii="Arial" w:eastAsia="Times New Roman" w:hAnsi="Arial" w:cs="Arial"/>
                <w:color w:val="FFFFFF"/>
                <w:sz w:val="20"/>
                <w:szCs w:val="20"/>
                <w:lang w:val="it-IT"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sz w:val="20"/>
                <w:szCs w:val="20"/>
                <w:lang w:val="it-IT" w:eastAsia="it-IT"/>
              </w:rPr>
            </w:pPr>
            <w:r w:rsidRPr="006E6AAA">
              <w:rPr>
                <w:rFonts w:ascii="Arial" w:eastAsia="Times New Roman" w:hAnsi="Arial" w:cs="Arial"/>
                <w:sz w:val="20"/>
                <w:szCs w:val="20"/>
                <w:lang w:val="it-IT" w:eastAsia="it-IT"/>
              </w:rPr>
              <w:t> </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location véhicule pour le transport des détenus</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2</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4</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450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3,600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transport du greffier pour les descentes préparatoires á l’audience</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6</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40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240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Sous total transport</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right"/>
              <w:rPr>
                <w:rFonts w:ascii="Arial" w:eastAsia="Times New Roman" w:hAnsi="Arial" w:cs="Arial"/>
                <w:b/>
                <w:bCs/>
                <w:color w:val="FFFFFF"/>
                <w:sz w:val="20"/>
                <w:szCs w:val="20"/>
                <w:lang w:val="it-IT" w:eastAsia="it-IT"/>
              </w:rPr>
            </w:pPr>
            <w:r w:rsidRPr="006E6AAA">
              <w:rPr>
                <w:rFonts w:ascii="Arial" w:eastAsia="Times New Roman" w:hAnsi="Arial" w:cs="Arial"/>
                <w:b/>
                <w:bCs/>
                <w:color w:val="FFFFFF"/>
                <w:sz w:val="20"/>
                <w:szCs w:val="20"/>
                <w:lang w:val="it-IT" w:eastAsia="it-IT"/>
              </w:rPr>
              <w:t>3,840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color w:val="FFFFFF"/>
                <w:sz w:val="20"/>
                <w:szCs w:val="20"/>
                <w:lang w:val="fr-FR" w:eastAsia="it-IT"/>
              </w:rPr>
            </w:pPr>
            <w:r w:rsidRPr="006E6AAA">
              <w:rPr>
                <w:rFonts w:ascii="Arial" w:eastAsia="Times New Roman" w:hAnsi="Arial" w:cs="Arial"/>
                <w:b/>
                <w:bCs/>
                <w:color w:val="FFFFFF"/>
                <w:sz w:val="20"/>
                <w:szCs w:val="20"/>
                <w:lang w:val="fr-FR" w:eastAsia="it-IT"/>
              </w:rPr>
              <w:t>Fournitures et frais de justice</w:t>
            </w:r>
          </w:p>
        </w:tc>
        <w:tc>
          <w:tcPr>
            <w:tcW w:w="730" w:type="dxa"/>
            <w:gridSpan w:val="2"/>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fr-FR" w:eastAsia="it-IT"/>
              </w:rPr>
            </w:pPr>
            <w:r w:rsidRPr="006E6AAA">
              <w:rPr>
                <w:rFonts w:ascii="Arial" w:eastAsia="Times New Roman" w:hAnsi="Arial" w:cs="Arial"/>
                <w:color w:val="FFFFFF"/>
                <w:sz w:val="20"/>
                <w:szCs w:val="20"/>
                <w:lang w:val="fr-FR" w:eastAsia="it-IT"/>
              </w:rPr>
              <w:t> </w:t>
            </w:r>
          </w:p>
        </w:tc>
        <w:tc>
          <w:tcPr>
            <w:tcW w:w="796"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fr-FR" w:eastAsia="it-IT"/>
              </w:rPr>
            </w:pPr>
            <w:r w:rsidRPr="006E6AAA">
              <w:rPr>
                <w:rFonts w:ascii="Arial" w:eastAsia="Times New Roman" w:hAnsi="Arial" w:cs="Arial"/>
                <w:color w:val="FFFFFF"/>
                <w:sz w:val="20"/>
                <w:szCs w:val="20"/>
                <w:lang w:val="fr-FR" w:eastAsia="it-IT"/>
              </w:rPr>
              <w:t> </w:t>
            </w:r>
          </w:p>
        </w:tc>
        <w:tc>
          <w:tcPr>
            <w:tcW w:w="1044"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fr-FR" w:eastAsia="it-IT"/>
              </w:rPr>
            </w:pPr>
            <w:r w:rsidRPr="006E6AAA">
              <w:rPr>
                <w:rFonts w:ascii="Arial" w:eastAsia="Times New Roman" w:hAnsi="Arial" w:cs="Arial"/>
                <w:color w:val="FFFFFF"/>
                <w:sz w:val="20"/>
                <w:szCs w:val="20"/>
                <w:lang w:val="fr-FR"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sz w:val="20"/>
                <w:szCs w:val="20"/>
                <w:lang w:val="fr-FR" w:eastAsia="it-IT"/>
              </w:rPr>
            </w:pPr>
            <w:r w:rsidRPr="006E6AAA">
              <w:rPr>
                <w:rFonts w:ascii="Arial" w:eastAsia="Times New Roman" w:hAnsi="Arial" w:cs="Arial"/>
                <w:b/>
                <w:bCs/>
                <w:sz w:val="20"/>
                <w:szCs w:val="20"/>
                <w:lang w:val="fr-FR" w:eastAsia="it-IT"/>
              </w:rPr>
              <w:t> </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Sonorisation</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15</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50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750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Calicot</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2</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80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160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sz w:val="20"/>
                <w:szCs w:val="20"/>
                <w:lang w:val="it-IT" w:eastAsia="it-IT"/>
              </w:rPr>
            </w:pPr>
            <w:r w:rsidRPr="006E6AAA">
              <w:rPr>
                <w:rFonts w:ascii="Arial" w:eastAsia="Times New Roman" w:hAnsi="Arial" w:cs="Arial"/>
                <w:sz w:val="20"/>
                <w:szCs w:val="20"/>
                <w:lang w:val="it-IT" w:eastAsia="it-IT"/>
              </w:rPr>
              <w:t>fournitures de bureau</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500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frais de justice (consignation parties civiles)</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60</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 </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color w:val="000000"/>
                <w:sz w:val="20"/>
                <w:szCs w:val="20"/>
                <w:lang w:val="it-IT" w:eastAsia="it-IT"/>
              </w:rPr>
            </w:pPr>
            <w:r w:rsidRPr="006E6AAA">
              <w:rPr>
                <w:rFonts w:ascii="Arial" w:eastAsia="Times New Roman" w:hAnsi="Arial" w:cs="Arial"/>
                <w:color w:val="000000"/>
                <w:sz w:val="20"/>
                <w:szCs w:val="20"/>
                <w:lang w:val="it-IT" w:eastAsia="it-IT"/>
              </w:rPr>
              <w:t>10</w:t>
            </w:r>
          </w:p>
        </w:tc>
        <w:tc>
          <w:tcPr>
            <w:tcW w:w="979"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jc w:val="right"/>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600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b/>
                <w:bCs/>
                <w:color w:val="000000"/>
                <w:sz w:val="20"/>
                <w:szCs w:val="20"/>
                <w:lang w:val="fr-FR" w:eastAsia="it-IT"/>
              </w:rPr>
            </w:pPr>
            <w:r w:rsidRPr="006E6AAA">
              <w:rPr>
                <w:rFonts w:ascii="Arial" w:eastAsia="Times New Roman" w:hAnsi="Arial" w:cs="Arial"/>
                <w:b/>
                <w:bCs/>
                <w:color w:val="000000"/>
                <w:sz w:val="20"/>
                <w:szCs w:val="20"/>
                <w:lang w:val="fr-FR" w:eastAsia="it-IT"/>
              </w:rPr>
              <w:lastRenderedPageBreak/>
              <w:t>Sous total fournitures et frais de justice</w:t>
            </w:r>
          </w:p>
        </w:tc>
        <w:tc>
          <w:tcPr>
            <w:tcW w:w="730" w:type="dxa"/>
            <w:gridSpan w:val="2"/>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 </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 </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color w:val="000000"/>
                <w:sz w:val="20"/>
                <w:szCs w:val="20"/>
                <w:lang w:val="fr-FR" w:eastAsia="it-IT"/>
              </w:rPr>
            </w:pPr>
            <w:r w:rsidRPr="006E6AAA">
              <w:rPr>
                <w:rFonts w:ascii="Arial" w:eastAsia="Times New Roman" w:hAnsi="Arial" w:cs="Arial"/>
                <w:color w:val="000000"/>
                <w:sz w:val="20"/>
                <w:szCs w:val="20"/>
                <w:lang w:val="fr-FR"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right"/>
              <w:rPr>
                <w:rFonts w:ascii="Arial" w:eastAsia="Times New Roman" w:hAnsi="Arial" w:cs="Arial"/>
                <w:b/>
                <w:bCs/>
                <w:color w:val="FFFFFF"/>
                <w:sz w:val="20"/>
                <w:szCs w:val="20"/>
                <w:lang w:val="it-IT" w:eastAsia="it-IT"/>
              </w:rPr>
            </w:pPr>
            <w:r w:rsidRPr="006E6AAA">
              <w:rPr>
                <w:rFonts w:ascii="Arial" w:eastAsia="Times New Roman" w:hAnsi="Arial" w:cs="Arial"/>
                <w:b/>
                <w:bCs/>
                <w:color w:val="FFFFFF"/>
                <w:sz w:val="20"/>
                <w:szCs w:val="20"/>
                <w:lang w:val="it-IT" w:eastAsia="it-IT"/>
              </w:rPr>
              <w:t>2,010</w:t>
            </w:r>
          </w:p>
        </w:tc>
      </w:tr>
      <w:tr w:rsidR="006E6AAA" w:rsidRPr="006E6AAA" w:rsidTr="00C8613A">
        <w:trPr>
          <w:trHeight w:val="282"/>
        </w:trPr>
        <w:tc>
          <w:tcPr>
            <w:tcW w:w="6131" w:type="dxa"/>
            <w:tcBorders>
              <w:top w:val="nil"/>
              <w:left w:val="single" w:sz="4" w:space="0" w:color="auto"/>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color w:val="FFFFFF"/>
                <w:sz w:val="20"/>
                <w:szCs w:val="20"/>
                <w:lang w:val="fr-FR" w:eastAsia="it-IT"/>
              </w:rPr>
            </w:pPr>
            <w:r w:rsidRPr="006E6AAA">
              <w:rPr>
                <w:rFonts w:ascii="Arial" w:eastAsia="Times New Roman" w:hAnsi="Arial" w:cs="Arial"/>
                <w:b/>
                <w:bCs/>
                <w:color w:val="FFFFFF"/>
                <w:sz w:val="20"/>
                <w:szCs w:val="20"/>
                <w:lang w:val="fr-FR" w:eastAsia="it-IT"/>
              </w:rPr>
              <w:t>Contributions en nature/non comptabilisées</w:t>
            </w:r>
          </w:p>
        </w:tc>
        <w:tc>
          <w:tcPr>
            <w:tcW w:w="730" w:type="dxa"/>
            <w:gridSpan w:val="2"/>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fr-FR" w:eastAsia="it-IT"/>
              </w:rPr>
            </w:pPr>
            <w:r w:rsidRPr="006E6AAA">
              <w:rPr>
                <w:rFonts w:ascii="Arial" w:eastAsia="Times New Roman" w:hAnsi="Arial" w:cs="Arial"/>
                <w:color w:val="FFFFFF"/>
                <w:sz w:val="20"/>
                <w:szCs w:val="20"/>
                <w:lang w:val="fr-FR" w:eastAsia="it-IT"/>
              </w:rPr>
              <w:t> </w:t>
            </w:r>
          </w:p>
        </w:tc>
        <w:tc>
          <w:tcPr>
            <w:tcW w:w="796"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fr-FR" w:eastAsia="it-IT"/>
              </w:rPr>
            </w:pPr>
            <w:r w:rsidRPr="006E6AAA">
              <w:rPr>
                <w:rFonts w:ascii="Arial" w:eastAsia="Times New Roman" w:hAnsi="Arial" w:cs="Arial"/>
                <w:color w:val="FFFFFF"/>
                <w:sz w:val="20"/>
                <w:szCs w:val="20"/>
                <w:lang w:val="fr-FR" w:eastAsia="it-IT"/>
              </w:rPr>
              <w:t> </w:t>
            </w:r>
          </w:p>
        </w:tc>
        <w:tc>
          <w:tcPr>
            <w:tcW w:w="1044"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color w:val="FFFFFF"/>
                <w:sz w:val="20"/>
                <w:szCs w:val="20"/>
                <w:lang w:val="fr-FR" w:eastAsia="it-IT"/>
              </w:rPr>
            </w:pPr>
            <w:r w:rsidRPr="006E6AAA">
              <w:rPr>
                <w:rFonts w:ascii="Arial" w:eastAsia="Times New Roman" w:hAnsi="Arial" w:cs="Arial"/>
                <w:color w:val="FFFFFF"/>
                <w:sz w:val="20"/>
                <w:szCs w:val="20"/>
                <w:lang w:val="fr-FR"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rPr>
                <w:rFonts w:ascii="Arial" w:eastAsia="Times New Roman" w:hAnsi="Arial" w:cs="Arial"/>
                <w:b/>
                <w:bCs/>
                <w:sz w:val="20"/>
                <w:szCs w:val="20"/>
                <w:lang w:val="fr-FR" w:eastAsia="it-IT"/>
              </w:rPr>
            </w:pPr>
            <w:r w:rsidRPr="006E6AAA">
              <w:rPr>
                <w:rFonts w:ascii="Arial" w:eastAsia="Times New Roman" w:hAnsi="Arial" w:cs="Arial"/>
                <w:b/>
                <w:bCs/>
                <w:sz w:val="20"/>
                <w:szCs w:val="20"/>
                <w:lang w:val="fr-FR" w:eastAsia="it-IT"/>
              </w:rPr>
              <w:t> </w:t>
            </w:r>
          </w:p>
        </w:tc>
      </w:tr>
      <w:tr w:rsidR="006E6AAA" w:rsidRPr="006E6AAA" w:rsidTr="00C8613A">
        <w:trPr>
          <w:trHeight w:val="510"/>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 xml:space="preserve">Sécurité des lieux assurée par la MONUSCO. </w:t>
            </w:r>
            <w:r w:rsidRPr="006E6AAA">
              <w:rPr>
                <w:rFonts w:ascii="Arial" w:eastAsia="Times New Roman" w:hAnsi="Arial" w:cs="Arial"/>
                <w:i/>
                <w:sz w:val="20"/>
                <w:szCs w:val="20"/>
                <w:lang w:val="fr-FR" w:eastAsia="it-IT"/>
              </w:rPr>
              <w:t>Par exemple pour l'AF de la Court Militaire de Bukavu a Uvira un TOB (Base opérationnelle temporaire de la force militaire MONUSCO) a été déployé</w:t>
            </w:r>
          </w:p>
        </w:tc>
      </w:tr>
      <w:tr w:rsidR="006E6AAA" w:rsidRPr="006E6AAA" w:rsidTr="00C8613A">
        <w:trPr>
          <w:trHeight w:val="795"/>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 xml:space="preserve">Transport par avion assure par la MONUSCO. </w:t>
            </w:r>
            <w:r w:rsidRPr="006E6AAA">
              <w:rPr>
                <w:rFonts w:ascii="Arial" w:eastAsia="Times New Roman" w:hAnsi="Arial" w:cs="Arial"/>
                <w:i/>
                <w:sz w:val="20"/>
                <w:szCs w:val="20"/>
                <w:lang w:val="fr-FR" w:eastAsia="it-IT"/>
              </w:rPr>
              <w:t xml:space="preserve">Par exemple pour l'AF de la Court Militaire de Bukavu a Uvira, la MONUSCO a engagé 5 hélicoptères qui ont fait 11 sorties plus un avion gros porteur qui a fait  2 sorties; le cout est estime a  plus de 100.000 USD </w:t>
            </w:r>
          </w:p>
        </w:tc>
      </w:tr>
      <w:tr w:rsidR="006E6AAA" w:rsidRPr="006E6AAA" w:rsidTr="00C8613A">
        <w:trPr>
          <w:trHeight w:val="270"/>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 xml:space="preserve">Sensibilisations pour la population. </w:t>
            </w:r>
            <w:r w:rsidRPr="006E6AAA">
              <w:rPr>
                <w:rFonts w:ascii="Arial" w:eastAsia="Times New Roman" w:hAnsi="Arial" w:cs="Arial"/>
                <w:i/>
                <w:sz w:val="20"/>
                <w:szCs w:val="20"/>
                <w:lang w:val="fr-FR" w:eastAsia="it-IT"/>
              </w:rPr>
              <w:t>Ces dépenses ne sont pas couvertes par le budget des AF</w:t>
            </w:r>
          </w:p>
        </w:tc>
      </w:tr>
      <w:tr w:rsidR="006E6AAA" w:rsidRPr="006E6AAA" w:rsidTr="00C8613A">
        <w:trPr>
          <w:trHeight w:val="282"/>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Moniteurs judiciaires</w:t>
            </w:r>
            <w:r w:rsidRPr="006E6AAA">
              <w:rPr>
                <w:rFonts w:ascii="Arial" w:eastAsia="Times New Roman" w:hAnsi="Arial" w:cs="Arial"/>
                <w:i/>
                <w:sz w:val="20"/>
                <w:szCs w:val="20"/>
                <w:lang w:val="fr-FR" w:eastAsia="it-IT"/>
              </w:rPr>
              <w:t xml:space="preserve"> du PNUD, BCNUDH, ABA, ASF, MONUSCO/CAP…</w:t>
            </w:r>
          </w:p>
        </w:tc>
      </w:tr>
      <w:tr w:rsidR="006E6AAA" w:rsidRPr="006E6AAA" w:rsidTr="00C8613A">
        <w:trPr>
          <w:trHeight w:val="282"/>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Avocats de la victime</w:t>
            </w:r>
            <w:r w:rsidRPr="006E6AAA">
              <w:rPr>
                <w:rFonts w:ascii="Arial" w:eastAsia="Times New Roman" w:hAnsi="Arial" w:cs="Arial"/>
                <w:i/>
                <w:sz w:val="20"/>
                <w:szCs w:val="20"/>
                <w:lang w:val="fr-FR" w:eastAsia="it-IT"/>
              </w:rPr>
              <w:t>. Ces frais sont payés par les ONG à leurs avocats-consultants sous forme d'indemnités mensuelles</w:t>
            </w:r>
          </w:p>
        </w:tc>
      </w:tr>
      <w:tr w:rsidR="006E6AAA" w:rsidRPr="006E6AAA" w:rsidTr="00C8613A">
        <w:trPr>
          <w:trHeight w:val="282"/>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 xml:space="preserve">Enquêtes du Parquet. </w:t>
            </w:r>
            <w:r w:rsidRPr="006E6AAA">
              <w:rPr>
                <w:rFonts w:ascii="Arial" w:eastAsia="Times New Roman" w:hAnsi="Arial" w:cs="Arial"/>
                <w:i/>
                <w:sz w:val="20"/>
                <w:szCs w:val="20"/>
                <w:lang w:val="fr-FR" w:eastAsia="it-IT"/>
              </w:rPr>
              <w:t>Ces dépenses ne sont pas couvertes par le budget des AF</w:t>
            </w:r>
          </w:p>
        </w:tc>
      </w:tr>
      <w:tr w:rsidR="006E6AAA" w:rsidRPr="006E6AAA" w:rsidTr="00C8613A">
        <w:trPr>
          <w:trHeight w:val="555"/>
        </w:trPr>
        <w:tc>
          <w:tcPr>
            <w:tcW w:w="9680"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6E6AAA" w:rsidRPr="006E6AAA" w:rsidRDefault="006E6AAA" w:rsidP="006E6AAA">
            <w:pPr>
              <w:spacing w:after="0" w:line="240" w:lineRule="auto"/>
              <w:rPr>
                <w:rFonts w:ascii="Arial" w:eastAsia="Times New Roman" w:hAnsi="Arial" w:cs="Arial"/>
                <w:b/>
                <w:bCs/>
                <w:i/>
                <w:sz w:val="20"/>
                <w:szCs w:val="20"/>
                <w:lang w:val="fr-FR" w:eastAsia="it-IT"/>
              </w:rPr>
            </w:pPr>
            <w:r w:rsidRPr="006E6AAA">
              <w:rPr>
                <w:rFonts w:ascii="Arial" w:eastAsia="Times New Roman" w:hAnsi="Arial" w:cs="Arial"/>
                <w:b/>
                <w:bCs/>
                <w:i/>
                <w:sz w:val="20"/>
                <w:szCs w:val="20"/>
                <w:lang w:val="fr-FR" w:eastAsia="it-IT"/>
              </w:rPr>
              <w:t>Salle d'audience.</w:t>
            </w:r>
            <w:r w:rsidRPr="006E6AAA">
              <w:rPr>
                <w:rFonts w:ascii="Arial" w:eastAsia="Times New Roman" w:hAnsi="Arial" w:cs="Arial"/>
                <w:i/>
                <w:sz w:val="20"/>
                <w:szCs w:val="20"/>
                <w:lang w:val="fr-FR" w:eastAsia="it-IT"/>
              </w:rPr>
              <w:t xml:space="preserve"> En général les AF se font en plein air; des hangars sont construits la où siège le tribunal. Dans les localités où il y a une salle, généralement les juridictions l'obtiennent gratuitement</w:t>
            </w:r>
          </w:p>
        </w:tc>
      </w:tr>
      <w:tr w:rsidR="006E6AAA" w:rsidRPr="006E6AAA" w:rsidTr="00C8613A">
        <w:trPr>
          <w:trHeight w:val="282"/>
        </w:trPr>
        <w:tc>
          <w:tcPr>
            <w:tcW w:w="6196" w:type="dxa"/>
            <w:gridSpan w:val="2"/>
            <w:tcBorders>
              <w:top w:val="nil"/>
              <w:left w:val="single" w:sz="4" w:space="0" w:color="auto"/>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b/>
                <w:bCs/>
                <w:sz w:val="20"/>
                <w:szCs w:val="20"/>
                <w:lang w:val="it-IT" w:eastAsia="it-IT"/>
              </w:rPr>
            </w:pPr>
            <w:r w:rsidRPr="006E6AAA">
              <w:rPr>
                <w:rFonts w:ascii="Arial" w:eastAsia="Times New Roman" w:hAnsi="Arial" w:cs="Arial"/>
                <w:b/>
                <w:bCs/>
                <w:sz w:val="20"/>
                <w:szCs w:val="20"/>
                <w:lang w:val="it-IT" w:eastAsia="it-IT"/>
              </w:rPr>
              <w:t>TOTAL POUR L'AUDIENCE FORAINE</w:t>
            </w:r>
          </w:p>
        </w:tc>
        <w:tc>
          <w:tcPr>
            <w:tcW w:w="665"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sz w:val="20"/>
                <w:szCs w:val="20"/>
                <w:lang w:val="it-IT" w:eastAsia="it-IT"/>
              </w:rPr>
            </w:pPr>
            <w:r w:rsidRPr="006E6AAA">
              <w:rPr>
                <w:rFonts w:ascii="Arial" w:eastAsia="Times New Roman" w:hAnsi="Arial" w:cs="Arial"/>
                <w:sz w:val="20"/>
                <w:szCs w:val="20"/>
                <w:lang w:val="it-IT" w:eastAsia="it-IT"/>
              </w:rPr>
              <w:t> </w:t>
            </w:r>
          </w:p>
        </w:tc>
        <w:tc>
          <w:tcPr>
            <w:tcW w:w="796"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sz w:val="20"/>
                <w:szCs w:val="20"/>
                <w:lang w:val="it-IT" w:eastAsia="it-IT"/>
              </w:rPr>
            </w:pPr>
            <w:r w:rsidRPr="006E6AAA">
              <w:rPr>
                <w:rFonts w:ascii="Arial" w:eastAsia="Times New Roman" w:hAnsi="Arial" w:cs="Arial"/>
                <w:sz w:val="20"/>
                <w:szCs w:val="20"/>
                <w:lang w:val="it-IT" w:eastAsia="it-IT"/>
              </w:rPr>
              <w:t> </w:t>
            </w:r>
          </w:p>
        </w:tc>
        <w:tc>
          <w:tcPr>
            <w:tcW w:w="1044" w:type="dxa"/>
            <w:tcBorders>
              <w:top w:val="nil"/>
              <w:left w:val="nil"/>
              <w:bottom w:val="single" w:sz="4" w:space="0" w:color="auto"/>
              <w:right w:val="single" w:sz="4" w:space="0" w:color="auto"/>
            </w:tcBorders>
            <w:shd w:val="clear" w:color="auto" w:fill="auto"/>
            <w:noWrap/>
            <w:vAlign w:val="bottom"/>
          </w:tcPr>
          <w:p w:rsidR="006E6AAA" w:rsidRPr="006E6AAA" w:rsidRDefault="006E6AAA" w:rsidP="006E6AAA">
            <w:pPr>
              <w:spacing w:after="0" w:line="240" w:lineRule="auto"/>
              <w:rPr>
                <w:rFonts w:ascii="Arial" w:eastAsia="Times New Roman" w:hAnsi="Arial" w:cs="Arial"/>
                <w:sz w:val="20"/>
                <w:szCs w:val="20"/>
                <w:lang w:val="it-IT" w:eastAsia="it-IT"/>
              </w:rPr>
            </w:pPr>
            <w:r w:rsidRPr="006E6AAA">
              <w:rPr>
                <w:rFonts w:ascii="Arial" w:eastAsia="Times New Roman" w:hAnsi="Arial" w:cs="Arial"/>
                <w:sz w:val="20"/>
                <w:szCs w:val="20"/>
                <w:lang w:val="it-IT" w:eastAsia="it-IT"/>
              </w:rPr>
              <w:t> </w:t>
            </w:r>
          </w:p>
        </w:tc>
        <w:tc>
          <w:tcPr>
            <w:tcW w:w="979" w:type="dxa"/>
            <w:tcBorders>
              <w:top w:val="nil"/>
              <w:left w:val="nil"/>
              <w:bottom w:val="single" w:sz="4" w:space="0" w:color="auto"/>
              <w:right w:val="single" w:sz="4" w:space="0" w:color="auto"/>
            </w:tcBorders>
            <w:shd w:val="clear" w:color="auto" w:fill="808080"/>
            <w:noWrap/>
            <w:vAlign w:val="bottom"/>
          </w:tcPr>
          <w:p w:rsidR="006E6AAA" w:rsidRPr="006E6AAA" w:rsidRDefault="006E6AAA" w:rsidP="006E6AAA">
            <w:pPr>
              <w:spacing w:after="0" w:line="240" w:lineRule="auto"/>
              <w:jc w:val="right"/>
              <w:rPr>
                <w:rFonts w:ascii="Arial" w:eastAsia="Times New Roman" w:hAnsi="Arial" w:cs="Arial"/>
                <w:b/>
                <w:bCs/>
                <w:color w:val="FFFFFF"/>
                <w:sz w:val="20"/>
                <w:szCs w:val="20"/>
                <w:lang w:val="it-IT" w:eastAsia="it-IT"/>
              </w:rPr>
            </w:pPr>
            <w:r w:rsidRPr="006E6AAA">
              <w:rPr>
                <w:rFonts w:ascii="Arial" w:eastAsia="Times New Roman" w:hAnsi="Arial" w:cs="Arial"/>
                <w:b/>
                <w:bCs/>
                <w:color w:val="FFFFFF"/>
                <w:sz w:val="20"/>
                <w:szCs w:val="20"/>
                <w:lang w:val="it-IT" w:eastAsia="it-IT"/>
              </w:rPr>
              <w:t>27,089</w:t>
            </w:r>
          </w:p>
        </w:tc>
      </w:tr>
    </w:tbl>
    <w:p w:rsidR="006E6AAA" w:rsidRPr="006E6AAA" w:rsidRDefault="006E6AAA" w:rsidP="006E6AAA">
      <w:pPr>
        <w:spacing w:after="0" w:line="240" w:lineRule="auto"/>
        <w:rPr>
          <w:rFonts w:ascii="Times New Roman" w:eastAsia="Times New Roman" w:hAnsi="Times New Roman" w:cs="Times New Roman"/>
          <w:sz w:val="24"/>
          <w:szCs w:val="24"/>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Une question qui soulève quelques points de discussion est </w:t>
      </w:r>
      <w:r w:rsidRPr="006E6AAA">
        <w:rPr>
          <w:rFonts w:ascii="Calibri" w:eastAsia="Times New Roman" w:hAnsi="Calibri" w:cs="Times New Roman"/>
          <w:b/>
          <w:lang w:val="fr-FR" w:eastAsia="it-IT"/>
        </w:rPr>
        <w:t xml:space="preserve">l’harmonisation des </w:t>
      </w:r>
      <w:r w:rsidRPr="006E6AAA">
        <w:rPr>
          <w:rFonts w:ascii="Calibri" w:eastAsia="Times New Roman" w:hAnsi="Calibri" w:cs="Times New Roman"/>
          <w:b/>
          <w:i/>
          <w:lang w:val="fr-FR" w:eastAsia="it-IT"/>
        </w:rPr>
        <w:t>Perdiem</w:t>
      </w:r>
      <w:r w:rsidRPr="006E6AAA">
        <w:rPr>
          <w:rFonts w:ascii="Calibri" w:eastAsia="Times New Roman" w:hAnsi="Calibri" w:cs="Times New Roman"/>
          <w:lang w:val="fr-FR" w:eastAsia="it-IT"/>
        </w:rPr>
        <w:t xml:space="preserve"> pour l’équipe foraine. D’un coté on note une différence entre les montants des Perdiem octroyés par les partenaires internationaux : les membres de l’équipe foraine reçoivent 59 USD du PNUD, 48 USD de ABA et un montant indicatif de 45 USD de ASF. A noter que cette question est ressortie très clairement au Sud Kivu, mais ne semble pas poser un problème au Nord Kivu et en Ituri, ou l’harmonisation á 59 USD a été faite sans problème.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Certaines autorités judiciaires ont souhaité introduire une différence entre les </w:t>
      </w:r>
      <w:r w:rsidRPr="006E6AAA">
        <w:rPr>
          <w:rFonts w:ascii="Calibri" w:eastAsia="Times New Roman" w:hAnsi="Calibri" w:cs="Times New Roman"/>
          <w:i/>
          <w:lang w:val="fr-FR" w:eastAsia="it-IT"/>
        </w:rPr>
        <w:t xml:space="preserve">Perdiem </w:t>
      </w:r>
      <w:r w:rsidRPr="006E6AAA">
        <w:rPr>
          <w:rFonts w:ascii="Calibri" w:eastAsia="Times New Roman" w:hAnsi="Calibri" w:cs="Times New Roman"/>
          <w:lang w:val="fr-FR" w:eastAsia="it-IT"/>
        </w:rPr>
        <w:t>des différents membres de l’équipe : couramment le fait que le juge perçoive le même montant que le greffier (59 USD) semble poser un problème. Le PNUD insiste d’expliquer aux autorités judicaires que ce montant représente un Perdiem pour les frais de séjour, qui ne peuvent pas être liés au grade au sein des juridictions.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Afin d’éviter des discussions entre les différentes équipes foraines déployées, il serait recommandé que les partenaires internationaux se mettent d’accord pour un adopter le même </w:t>
      </w:r>
      <w:r w:rsidRPr="006E6AAA">
        <w:rPr>
          <w:rFonts w:ascii="Calibri" w:eastAsia="Times New Roman" w:hAnsi="Calibri" w:cs="Times New Roman"/>
          <w:i/>
          <w:lang w:val="fr-FR" w:eastAsia="it-IT"/>
        </w:rPr>
        <w:t>perdiem.</w:t>
      </w:r>
      <w:r w:rsidRPr="006E6AAA">
        <w:rPr>
          <w:rFonts w:ascii="Calibri" w:eastAsia="Times New Roman" w:hAnsi="Calibri" w:cs="Times New Roman"/>
          <w:lang w:val="fr-FR" w:eastAsia="it-IT"/>
        </w:rPr>
        <w:t xml:space="preserve">   ABA a souligné qu’il pourrait être difficile de mettre en place cette approche car les partenaires doivent respecter les tarifs qu’ils ont négociés avec le bailleur dans le budget du projet. Cet obstacle pourrait pourtant être surmonté par la signature du Protocole d’entente décrit au § 6.1</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Il serait par ailleurs recommandé d’assurer, afin de faciliter un éventuel transfert des activités aux juridictions, que le </w:t>
      </w:r>
      <w:r w:rsidRPr="006E6AAA">
        <w:rPr>
          <w:rFonts w:ascii="Calibri" w:eastAsia="Times New Roman" w:hAnsi="Calibri" w:cs="Times New Roman"/>
          <w:i/>
          <w:lang w:val="fr-FR" w:eastAsia="it-IT"/>
        </w:rPr>
        <w:t>perdiem</w:t>
      </w:r>
      <w:r w:rsidRPr="006E6AAA">
        <w:rPr>
          <w:rFonts w:ascii="Calibri" w:eastAsia="Times New Roman" w:hAnsi="Calibri" w:cs="Times New Roman"/>
          <w:lang w:val="fr-FR" w:eastAsia="it-IT"/>
        </w:rPr>
        <w:t xml:space="preserve"> octroyé par les partenaires internationaux soit en ligne avec les barèmes fixés par l’état congolais pour les fonctionnaires en mission dans le «</w:t>
      </w:r>
      <w:r w:rsidRPr="006E6AAA">
        <w:rPr>
          <w:rFonts w:ascii="Calibri" w:eastAsia="Times New Roman" w:hAnsi="Calibri" w:cs="Times New Roman"/>
          <w:i/>
          <w:lang w:val="fr-FR" w:eastAsia="it-IT"/>
        </w:rPr>
        <w:t>Statut des agents de carrière des services publics de l’état</w:t>
      </w:r>
      <w:r w:rsidRPr="006E6AAA">
        <w:rPr>
          <w:rFonts w:ascii="Calibri" w:eastAsia="Times New Roman" w:hAnsi="Calibri" w:cs="Times New Roman"/>
          <w:lang w:val="fr-FR" w:eastAsia="it-IT"/>
        </w:rPr>
        <w:t xml:space="preserve"> ».  </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Plusieurs personnes ont critiqué </w:t>
      </w:r>
      <w:r w:rsidRPr="006E6AAA">
        <w:rPr>
          <w:rFonts w:ascii="Calibri" w:eastAsia="Times New Roman" w:hAnsi="Calibri" w:cs="Times New Roman"/>
          <w:b/>
          <w:lang w:val="fr-FR" w:eastAsia="it-IT"/>
        </w:rPr>
        <w:t>les procédures administratives du PNUD</w:t>
      </w:r>
      <w:r w:rsidRPr="006E6AAA">
        <w:rPr>
          <w:rFonts w:ascii="Calibri" w:eastAsia="Times New Roman" w:hAnsi="Calibri" w:cs="Times New Roman"/>
          <w:lang w:val="fr-FR" w:eastAsia="it-IT"/>
        </w:rPr>
        <w:t xml:space="preserve"> pour leur lenteur et complexité. Le président de la Cour Militaire de Goma estime qu’auprès du PNUD «</w:t>
      </w:r>
      <w:r w:rsidRPr="006E6AAA">
        <w:rPr>
          <w:rFonts w:ascii="Calibri" w:eastAsia="Times New Roman" w:hAnsi="Calibri" w:cs="Times New Roman"/>
          <w:i/>
          <w:lang w:val="fr-FR" w:eastAsia="it-IT"/>
        </w:rPr>
        <w:t>il faut trop de temps pour démarrer la machine des AF </w:t>
      </w:r>
      <w:r w:rsidRPr="006E6AAA">
        <w:rPr>
          <w:rFonts w:ascii="Calibri" w:eastAsia="Times New Roman" w:hAnsi="Calibri" w:cs="Times New Roman"/>
          <w:lang w:val="fr-FR" w:eastAsia="it-IT"/>
        </w:rPr>
        <w:t xml:space="preserve">».  Normalement un minimum de 4 semaines s’écoule entre la soumission de la demande d’appui de la part d’une juridiction et la réponse du PNUD. La procédure est particulièrement lourde pour les bureaux de Bunia et Bukavu car les propositions doivent être préliminairement soumises au bureau PNUD de Goma. Le Bureau de Bukavu souhaite pouvoir disposer d’une avance </w:t>
      </w:r>
      <w:r w:rsidRPr="006E6AAA">
        <w:rPr>
          <w:rFonts w:ascii="Calibri" w:eastAsia="Times New Roman" w:hAnsi="Calibri" w:cs="Arial"/>
          <w:lang w:val="fr-FR" w:eastAsia="it-IT"/>
        </w:rPr>
        <w:t>trimestrielle</w:t>
      </w:r>
      <w:r w:rsidRPr="006E6AAA">
        <w:rPr>
          <w:rFonts w:ascii="Calibri" w:eastAsia="Times New Roman" w:hAnsi="Calibri" w:cs="Times New Roman"/>
          <w:lang w:val="fr-FR" w:eastAsia="it-IT"/>
        </w:rPr>
        <w:t xml:space="preserve"> pour gérer les AF de façon indépendante.</w:t>
      </w:r>
      <w:r w:rsidRPr="006E6AAA">
        <w:rPr>
          <w:rFonts w:ascii="Calibri" w:eastAsia="Times New Roman" w:hAnsi="Calibri" w:cs="Arial"/>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Président du Tribunal Militaire de Garnison de Bukavu recommande d’accélérer et de rendre plus flexibles les procédures pour octroyer les fonds de fonctionnement des AF afin de pouvoir respecter les délais légaux des procédures judiciaires.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Le Président rappelle que pour les infractions graves les délais sont très courts: seulement 4 mois, qui se réduisent à 3, vu le mois nécessaire pour la planification avec le PNUD. Il souhaiterait que les moyens financiers ne soient pas délivrés par le PNUD le jour même du départ en foraine et rappelle que, surtout pour les infractions flagrantes, il est impératif d’agir rapidement.</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xml:space="preserve">§ 7.2. </w:t>
      </w:r>
      <w:r w:rsidRPr="006E6AAA">
        <w:rPr>
          <w:rFonts w:ascii="Calibri" w:eastAsia="Times New Roman" w:hAnsi="Calibri" w:cs="Times New Roman"/>
          <w:b/>
          <w:lang w:val="fr-FR" w:eastAsia="it-IT"/>
        </w:rPr>
        <w:t>La coordination entre partenaires internationaux</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modalités d’appui aux AF en DRC représentent une excellente pratique en termes de coordination et complémentarité entre les différents partenaires internationaux, notamment  le PNUD, les sections Droits de l’homme, Etat de droit et CAP</w:t>
      </w:r>
      <w:r w:rsidRPr="006E6AAA">
        <w:rPr>
          <w:rFonts w:ascii="Calibri" w:eastAsia="Times New Roman" w:hAnsi="Calibri" w:cs="Times New Roman"/>
          <w:vertAlign w:val="superscript"/>
          <w:lang w:val="fr-FR" w:eastAsia="it-IT"/>
        </w:rPr>
        <w:footnoteReference w:id="268"/>
      </w:r>
      <w:r w:rsidRPr="006E6AAA">
        <w:rPr>
          <w:rFonts w:ascii="Calibri" w:eastAsia="Times New Roman" w:hAnsi="Calibri" w:cs="Times New Roman"/>
          <w:lang w:val="fr-FR" w:eastAsia="it-IT"/>
        </w:rPr>
        <w:t xml:space="preserve"> de la MONUSCO, Avocats sans Frontières, American Bar Association ainsi que des partenaires nationaux comme Association des femmes juristes, SOFEPADI. Cette approche permet de mieux valoriser l’avantage comparatif de chaque organisation et offre aux juridictions un cadre de référence transparent et partagé.</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Des </w:t>
      </w:r>
      <w:r w:rsidRPr="006E6AAA">
        <w:rPr>
          <w:rFonts w:ascii="Calibri" w:eastAsia="Times New Roman" w:hAnsi="Calibri" w:cs="Times New Roman"/>
          <w:b/>
          <w:i/>
          <w:lang w:val="fr-FR" w:eastAsia="it-IT"/>
        </w:rPr>
        <w:t>fora</w:t>
      </w:r>
      <w:r w:rsidRPr="006E6AAA">
        <w:rPr>
          <w:rFonts w:ascii="Calibri" w:eastAsia="Times New Roman" w:hAnsi="Calibri" w:cs="Times New Roman"/>
          <w:b/>
          <w:lang w:val="fr-FR" w:eastAsia="it-IT"/>
        </w:rPr>
        <w:t xml:space="preserve"> de coordination</w:t>
      </w:r>
      <w:r w:rsidRPr="006E6AAA">
        <w:rPr>
          <w:rFonts w:ascii="Calibri" w:eastAsia="Times New Roman" w:hAnsi="Calibri" w:cs="Times New Roman"/>
          <w:lang w:val="fr-FR" w:eastAsia="it-IT"/>
        </w:rPr>
        <w:t xml:space="preserve"> pour l’organisation des AF sont en place dans toutes les 3 zones d’intervention du PNUD (Nord Kivu, Sud Kivu, Ituri) et ont arrangé nombreuses réunions des partenaires depuis la phase des enquêtes du Parquet, comme illustré au § 5.1. L’objectif est non seulement de coordonner les aspects organisationnels et financiers mais aussi d’assurer une assistance technique de qualité grâce aux apports de chaque partenaire selon ses propres avantages comparatifs.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Il s’agit toutefois d’une coopération informelle, qui trouve ses limites dans le fait que chaque partenaire intervient sur la base de son propre mandat et stratégie d’intervention.</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Une collaboration mieux encadrée par un Protocole d’entente</w:t>
      </w:r>
      <w:r w:rsidRPr="006E6AAA">
        <w:rPr>
          <w:rFonts w:ascii="Calibri" w:eastAsia="Times New Roman" w:hAnsi="Calibri" w:cs="Times New Roman"/>
          <w:lang w:val="fr-FR" w:eastAsia="it-IT"/>
        </w:rPr>
        <w:t xml:space="preserve"> serait souhaitable pour améliorer la planification et le suivi des AF, en particulier pour ce qui concerne l’adoption d’outils de travail en commun (formulaires, bases de donnes, rapports de monitoring) ainsi que pour éventuellement assurer une meilleure visibilité de l’initiative auprès des bailleurs et au niveau international.</w:t>
      </w:r>
    </w:p>
    <w:p w:rsidR="006E6AAA" w:rsidRPr="006E6AAA" w:rsidRDefault="006E6AAA" w:rsidP="006E6AAA">
      <w:pPr>
        <w:tabs>
          <w:tab w:val="left" w:pos="540"/>
          <w:tab w:val="left" w:pos="8460"/>
        </w:tabs>
        <w:spacing w:after="0" w:line="280" w:lineRule="exact"/>
        <w:jc w:val="both"/>
        <w:rPr>
          <w:rFonts w:ascii="Calibri" w:eastAsia="Times New Roman" w:hAnsi="Calibri" w:cs="Arial"/>
          <w:color w:val="383838"/>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Une solution pour améliorer la gestion financière des AF, qui a été beaucoup discutée au cours des entretiens et qui a été accueillie favorablement par la plupart des partenaires internationaux et toutes les juridictions, est la </w:t>
      </w:r>
      <w:r w:rsidRPr="006E6AAA">
        <w:rPr>
          <w:rFonts w:ascii="Calibri" w:eastAsia="Times New Roman" w:hAnsi="Calibri" w:cs="Times New Roman"/>
          <w:b/>
          <w:lang w:val="fr-FR" w:eastAsia="it-IT"/>
        </w:rPr>
        <w:t xml:space="preserve">création d’un </w:t>
      </w:r>
      <w:r w:rsidRPr="006E6AAA">
        <w:rPr>
          <w:rFonts w:ascii="Calibri" w:eastAsia="Times New Roman" w:hAnsi="Calibri" w:cs="Times New Roman"/>
          <w:b/>
          <w:i/>
          <w:lang w:val="fr-FR" w:eastAsia="it-IT"/>
        </w:rPr>
        <w:t>basket fund</w:t>
      </w:r>
      <w:r w:rsidRPr="006E6AAA">
        <w:rPr>
          <w:rFonts w:ascii="Calibri" w:eastAsia="Times New Roman" w:hAnsi="Calibri" w:cs="Times New Roman"/>
          <w:lang w:val="fr-FR" w:eastAsia="it-IT"/>
        </w:rPr>
        <w:t xml:space="preserve"> (panier de fonds) pour la gestion en commun des fonds que la communauté internationale destine aux AF. Le chef de mission d’ABA recommande que le </w:t>
      </w:r>
      <w:r w:rsidRPr="006E6AAA">
        <w:rPr>
          <w:rFonts w:ascii="Calibri" w:eastAsia="Times New Roman" w:hAnsi="Calibri" w:cs="Times New Roman"/>
          <w:i/>
          <w:lang w:val="fr-FR" w:eastAsia="it-IT"/>
        </w:rPr>
        <w:t>basket fund</w:t>
      </w:r>
      <w:r w:rsidRPr="006E6AAA">
        <w:rPr>
          <w:rFonts w:ascii="Calibri" w:eastAsia="Times New Roman" w:hAnsi="Calibri" w:cs="Times New Roman"/>
          <w:lang w:val="fr-FR" w:eastAsia="it-IT"/>
        </w:rPr>
        <w:t xml:space="preserve"> soit installé au niveau de Kinshasa et pas au niveau des provinces.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modalités de gestion du </w:t>
      </w:r>
      <w:r w:rsidRPr="006E6AAA">
        <w:rPr>
          <w:rFonts w:ascii="Calibri" w:eastAsia="Times New Roman" w:hAnsi="Calibri" w:cs="Times New Roman"/>
          <w:i/>
          <w:lang w:val="fr-FR" w:eastAsia="it-IT"/>
        </w:rPr>
        <w:t>basket fund</w:t>
      </w:r>
      <w:r w:rsidRPr="006E6AAA">
        <w:rPr>
          <w:rFonts w:ascii="Calibri" w:eastAsia="Times New Roman" w:hAnsi="Calibri" w:cs="Times New Roman"/>
          <w:lang w:val="fr-FR" w:eastAsia="it-IT"/>
        </w:rPr>
        <w:t xml:space="preserve"> pourraient être disciplinées dans le cadre du Protocole d’entente entre les partenaires internationaux et les autorités judiciaires illustré au § 6.1.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 la question de savoir quelles autorités judicaires devraient représenter la partie nationale dans la gestion du </w:t>
      </w:r>
      <w:r w:rsidRPr="006E6AAA">
        <w:rPr>
          <w:rFonts w:ascii="Calibri" w:eastAsia="Times New Roman" w:hAnsi="Calibri" w:cs="Times New Roman"/>
          <w:i/>
          <w:lang w:val="fr-FR" w:eastAsia="it-IT"/>
        </w:rPr>
        <w:t>basket fund</w:t>
      </w:r>
      <w:r w:rsidRPr="006E6AAA">
        <w:rPr>
          <w:rFonts w:ascii="Calibri" w:eastAsia="Times New Roman" w:hAnsi="Calibri" w:cs="Times New Roman"/>
          <w:lang w:val="fr-FR" w:eastAsia="it-IT"/>
        </w:rPr>
        <w:t xml:space="preserve"> différentes options ont été avancées, en particulier: le Ministère Provincial de Justice, la Division du Ministère de la Justice dans les Provinces et le Ministère de la Justice au niveau central á Kinshasa.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Un des partenaires internationaux pourrait être identifié pour représenter la partie internationale.</w:t>
      </w:r>
    </w:p>
    <w:p w:rsidR="006E6AAA" w:rsidRPr="006E6AAA" w:rsidRDefault="006E6AAA" w:rsidP="006E6AAA">
      <w:pPr>
        <w:spacing w:after="0" w:line="280" w:lineRule="exact"/>
        <w:jc w:val="both"/>
        <w:rPr>
          <w:rFonts w:ascii="Calibri" w:eastAsia="Times New Roman" w:hAnsi="Calibri" w:cs="Times New Roman"/>
          <w:color w:val="FF000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HelveticaNeue-LightCond"/>
          <w:lang w:val="fr-FR" w:eastAsia="it-IT"/>
        </w:rPr>
        <w:t xml:space="preserve">Etant vu que la majorité des répondants a estimé que les juridictions ne seraient pas encore prêtes à gérer directement les fonds pour les AF, le </w:t>
      </w:r>
      <w:r w:rsidRPr="006E6AAA">
        <w:rPr>
          <w:rFonts w:ascii="Calibri" w:eastAsia="Times New Roman" w:hAnsi="Calibri" w:cs="HelveticaNeue-LightCond"/>
          <w:i/>
          <w:lang w:val="fr-FR" w:eastAsia="it-IT"/>
        </w:rPr>
        <w:t>basket fund</w:t>
      </w:r>
      <w:r w:rsidRPr="006E6AAA">
        <w:rPr>
          <w:rFonts w:ascii="Calibri" w:eastAsia="Times New Roman" w:hAnsi="Calibri" w:cs="HelveticaNeue-LightCond"/>
          <w:lang w:val="fr-FR" w:eastAsia="it-IT"/>
        </w:rPr>
        <w:t xml:space="preserve"> pourrait représenter un modèle intérimaire en préparation du transfert de la gestion financière aux juridictions.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La Représentante du Ministère de la Justice à Goma a tenu à souligner l’expérience positive du bureau du Ministère au Nord Kivu dans la gestion directe de fonds octroyés par UNICEF : un Protocole d’accord est signé chaque 2 ans, les fonds sont virés dans les comptes du Ministère, qui assure un reporting régulier après avoir mis en place les activités.</w:t>
      </w:r>
    </w:p>
    <w:p w:rsidR="006E6AAA" w:rsidRPr="006E6AAA" w:rsidRDefault="006E6AAA" w:rsidP="006E6AAA">
      <w:pPr>
        <w:autoSpaceDE w:val="0"/>
        <w:autoSpaceDN w:val="0"/>
        <w:adjustRightInd w:val="0"/>
        <w:spacing w:after="0" w:line="280" w:lineRule="exact"/>
        <w:jc w:val="both"/>
        <w:rPr>
          <w:rFonts w:ascii="HelveticaNeue-LightCond" w:eastAsia="Times New Roman" w:hAnsi="HelveticaNeue-LightCond" w:cs="HelveticaNeue-LightCond"/>
          <w:sz w:val="24"/>
          <w:szCs w:val="24"/>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Finalement une attention particulière devrait être réservée à la coordination avec le programme </w:t>
      </w:r>
      <w:r w:rsidRPr="006E6AAA">
        <w:rPr>
          <w:rFonts w:ascii="Calibri" w:eastAsia="Times New Roman" w:hAnsi="Calibri" w:cs="Times New Roman"/>
          <w:i/>
          <w:lang w:val="fr-FR" w:eastAsia="it-IT"/>
        </w:rPr>
        <w:t>Uhaki Safi</w:t>
      </w:r>
      <w:r w:rsidRPr="006E6AAA">
        <w:rPr>
          <w:rFonts w:ascii="Calibri" w:eastAsia="Times New Roman" w:hAnsi="Calibri" w:cs="Times New Roman"/>
          <w:lang w:val="fr-FR" w:eastAsia="it-IT"/>
        </w:rPr>
        <w:t xml:space="preserve"> (« Bonne Justice » en Swahili) lancé par l’Union Européenne en 2013 et exécuté par les ONG ASF et RCN. Il s’agit d’un programme qui inclus des activités en appui aux AF dans les provinces du Nord et du Sud Kivu et le territoire de l'Ituri, et qui succède au « </w:t>
      </w:r>
      <w:r w:rsidRPr="006E6AAA">
        <w:rPr>
          <w:rFonts w:ascii="Calibri" w:eastAsia="Times New Roman" w:hAnsi="Calibri" w:cs="Times New Roman"/>
          <w:i/>
          <w:lang w:val="fr-FR" w:eastAsia="it-IT"/>
        </w:rPr>
        <w:t>Programme de renforcement de la Justice à l'Est du Congo (REJUSCO)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7.3</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Contraintes et défis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facteurs qui affectent la performance des AF et les contraintes auxquelles sont confrontées les autorités judiciaires et les partenaires internationaux ont été illustrées en détail dans les paragraphes précédents, mais sont résumées ci-dessous pour faciliter la lecture.  </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numPr>
          <w:ilvl w:val="0"/>
          <w:numId w:val="6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Manque d’une vision stratégique et aspects controversés du modèle d’AF</w:t>
      </w:r>
      <w:r w:rsidRPr="006E6AAA">
        <w:rPr>
          <w:rFonts w:ascii="Calibri" w:eastAsia="Times New Roman" w:hAnsi="Calibri" w:cs="Times New Roman"/>
          <w:lang w:val="fr-FR" w:eastAsia="it-IT"/>
        </w:rPr>
        <w:t xml:space="preserve">  (appui prioritaire aux juridictions militaires; priorisation des dossiers de VBG; nature conjecturelle des AF) </w:t>
      </w:r>
    </w:p>
    <w:p w:rsidR="006E6AAA" w:rsidRPr="006E6AAA" w:rsidRDefault="006E6AAA" w:rsidP="006E6AAA">
      <w:pPr>
        <w:numPr>
          <w:ilvl w:val="0"/>
          <w:numId w:val="6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Faiblesses dans la planification et le suivi</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des AF</w:t>
      </w:r>
      <w:r w:rsidRPr="006E6AAA">
        <w:rPr>
          <w:rFonts w:ascii="Calibri" w:eastAsia="Times New Roman" w:hAnsi="Calibri" w:cs="Times New Roman"/>
          <w:lang w:val="fr-FR" w:eastAsia="it-IT"/>
        </w:rPr>
        <w:t xml:space="preserve"> (faiblesse du cadre stratégique d’intervention au niveau du PNUD et absence d’un cadre concerté au niveau de la communauté internationale, faiblesses du système de collecte des données statistiques, procédures administrative PNUD trop lourdes) </w:t>
      </w:r>
    </w:p>
    <w:p w:rsidR="006E6AAA" w:rsidRPr="006E6AAA" w:rsidRDefault="006E6AAA" w:rsidP="006E6AAA">
      <w:pPr>
        <w:numPr>
          <w:ilvl w:val="0"/>
          <w:numId w:val="6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Faible appropriation nationale et absence de stratégie de pérennisation </w:t>
      </w:r>
      <w:r w:rsidRPr="006E6AAA">
        <w:rPr>
          <w:rFonts w:ascii="Calibri" w:eastAsia="Times New Roman" w:hAnsi="Calibri" w:cs="Times New Roman"/>
          <w:lang w:val="fr-FR" w:eastAsia="it-IT"/>
        </w:rPr>
        <w:t>(absence d’une politique nationale pour les AF ; conditions d’appui aux AF définies sur la base des intérêts des bailleurs, aspects financiers et de reporting gérées par les partenaires internationaux, manque de contribution financière du gouvernent congolais)</w:t>
      </w:r>
    </w:p>
    <w:p w:rsidR="006E6AAA" w:rsidRPr="006E6AAA" w:rsidRDefault="006E6AAA" w:rsidP="006E6AAA">
      <w:pPr>
        <w:numPr>
          <w:ilvl w:val="0"/>
          <w:numId w:val="6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Faiblesses dans la procédure judiciaire </w:t>
      </w:r>
      <w:r w:rsidRPr="006E6AAA">
        <w:rPr>
          <w:rFonts w:ascii="Calibri" w:eastAsia="Times New Roman" w:hAnsi="Calibri" w:cs="Times New Roman"/>
          <w:lang w:val="fr-FR" w:eastAsia="it-IT"/>
        </w:rPr>
        <w:t>(temps limité pour la tenue des AF ; violation du principe de la parité des armes au vu de la meilleure qualité des services des avocats des parties civiles; difficultés á assurer la comparution des victimes et témoins au procès ; très faible taux d’exécution de jugements ; absence de mécanismes de réparation pour les victimes; faible protection des victimes et témoins après le procès; écart significatif entre le nombre de juges du siège et du parquet dans les juridictions civiles)</w:t>
      </w:r>
    </w:p>
    <w:p w:rsidR="006E6AAA" w:rsidRPr="006E6AAA" w:rsidRDefault="006E6AAA" w:rsidP="006E6AAA">
      <w:pPr>
        <w:numPr>
          <w:ilvl w:val="0"/>
          <w:numId w:val="6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Faiblesses du système pénitentiaire</w:t>
      </w:r>
      <w:r w:rsidRPr="006E6AAA">
        <w:rPr>
          <w:rFonts w:ascii="Calibri" w:eastAsia="Times New Roman" w:hAnsi="Calibri" w:cs="Times New Roman"/>
          <w:lang w:val="fr-FR" w:eastAsia="it-IT"/>
        </w:rPr>
        <w:t xml:space="preserve"> (fréquentes évasions; couts élevés pour le transfert des condamnées/prévenus des AF) </w:t>
      </w:r>
    </w:p>
    <w:p w:rsidR="006E6AAA" w:rsidRPr="006E6AAA" w:rsidRDefault="006E6AAA" w:rsidP="006E6AAA">
      <w:pPr>
        <w:numPr>
          <w:ilvl w:val="0"/>
          <w:numId w:val="6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Couts élevés pour l’organisation des AF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7.4.</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Bonnes pratiques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système des AF appuyé par les partenaires internationaux en RDC a développé les bonnes pratiques signalées ci-dessous.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6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Une approche intégrée qui appuie toutes les phases de la chaine pénale</w:t>
      </w:r>
      <w:r w:rsidRPr="006E6AAA">
        <w:rPr>
          <w:rFonts w:ascii="Calibri" w:eastAsia="Times New Roman" w:hAnsi="Calibri" w:cs="Times New Roman"/>
          <w:lang w:val="fr-FR" w:eastAsia="it-IT"/>
        </w:rPr>
        <w:t xml:space="preserve">. L’appui du PNUD ne se limite pas aux AF, mais est étendu aux activités préliminaires qui se déroulent avant l’AF, notamment les enquêtes du Parquet, les missions de la Greffe pour la signification des actes, le transfert des prévenus en détention préventive vers les lieux où se tiennent les audiences. Par </w:t>
      </w:r>
      <w:r w:rsidRPr="006E6AAA">
        <w:rPr>
          <w:rFonts w:ascii="Calibri" w:eastAsia="Times New Roman" w:hAnsi="Calibri" w:cs="Times New Roman"/>
          <w:lang w:val="fr-FR" w:eastAsia="it-IT"/>
        </w:rPr>
        <w:lastRenderedPageBreak/>
        <w:t>conséquence touts les dossiers traités en foraine sont en état, ce qui détermine un nombre extrêmement bas de renvoi des audiences.</w:t>
      </w:r>
    </w:p>
    <w:p w:rsidR="006E6AAA" w:rsidRPr="006E6AAA" w:rsidRDefault="006E6AAA" w:rsidP="006E6AAA">
      <w:pPr>
        <w:numPr>
          <w:ilvl w:val="0"/>
          <w:numId w:val="6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Un appui en excellente synergie/complémentarité de la part de la communauté internationale.</w:t>
      </w:r>
      <w:r w:rsidRPr="006E6AAA">
        <w:rPr>
          <w:rFonts w:ascii="Calibri" w:eastAsia="Times New Roman" w:hAnsi="Calibri" w:cs="Times New Roman"/>
          <w:lang w:val="fr-FR" w:eastAsia="it-IT"/>
        </w:rPr>
        <w:t xml:space="preserve"> Plusieurs partenaires internationaux du secteur de la justice contribuent, en termes d’assistance technique et financière et sur la base des respectifs avantages comparatifs, à l’organisation de chaque AF. La coordination est assurée par des « </w:t>
      </w:r>
      <w:r w:rsidRPr="006E6AAA">
        <w:rPr>
          <w:rFonts w:ascii="Calibri" w:eastAsia="Times New Roman" w:hAnsi="Calibri" w:cs="Times New Roman"/>
          <w:i/>
          <w:lang w:val="fr-FR" w:eastAsia="it-IT"/>
        </w:rPr>
        <w:t xml:space="preserve">fora </w:t>
      </w:r>
      <w:r w:rsidRPr="006E6AAA">
        <w:rPr>
          <w:rFonts w:ascii="Calibri" w:eastAsia="Times New Roman" w:hAnsi="Calibri" w:cs="Times New Roman"/>
          <w:lang w:val="fr-FR" w:eastAsia="it-IT"/>
        </w:rPr>
        <w:t xml:space="preserve">de coordination des AF » gérés par les partenaires internationaux avec la participation des autorités nationales. </w:t>
      </w:r>
    </w:p>
    <w:p w:rsidR="006E6AAA" w:rsidRPr="006E6AAA" w:rsidRDefault="006E6AAA" w:rsidP="006E6AAA">
      <w:pPr>
        <w:numPr>
          <w:ilvl w:val="0"/>
          <w:numId w:val="6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La complémentarité avec la Cour Pénale Internationale. </w:t>
      </w:r>
      <w:r w:rsidRPr="006E6AAA">
        <w:rPr>
          <w:rFonts w:ascii="Calibri" w:eastAsia="Times New Roman" w:hAnsi="Calibri" w:cs="Times New Roman"/>
          <w:lang w:val="fr-FR" w:eastAsia="it-IT"/>
        </w:rPr>
        <w:t>De 2011 a 2012 au moins 10 dossiers de crimes internationaux (crimes contre l’humanité et crimes de guerre) ont été traitées par les AF appuyées par le PNUD ; ce qui a représenté une importante opportunité pour renforcer les capacités des juridictions nationales dans la poursuite des crimes prévus par le Statut de Rome.</w:t>
      </w:r>
    </w:p>
    <w:p w:rsidR="006E6AAA" w:rsidRPr="006E6AAA" w:rsidRDefault="006E6AAA" w:rsidP="006E6AAA">
      <w:pPr>
        <w:numPr>
          <w:ilvl w:val="0"/>
          <w:numId w:val="6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L’inclusion des AF dans le système de monitoring judiciaire</w:t>
      </w:r>
      <w:r w:rsidRPr="006E6AAA">
        <w:rPr>
          <w:rFonts w:ascii="Calibri" w:eastAsia="Times New Roman" w:hAnsi="Calibri" w:cs="Times New Roman"/>
          <w:lang w:val="fr-FR" w:eastAsia="it-IT"/>
        </w:rPr>
        <w:t xml:space="preserve"> du PNUD. Sur 16 AF appuies par le PNUD en 2 ans, 12 AF ont été monitorées par des moniteurs judiciaires PNUD, ce qui a permis d’assurer un contrôle sur la conformité aux standards internationaux du procès équitable. </w:t>
      </w:r>
    </w:p>
    <w:p w:rsidR="006E6AAA" w:rsidRPr="006E6AAA" w:rsidRDefault="006E6AAA" w:rsidP="006E6AAA">
      <w:pPr>
        <w:tabs>
          <w:tab w:val="left" w:pos="540"/>
        </w:tabs>
        <w:spacing w:after="0" w:line="280" w:lineRule="exact"/>
        <w:jc w:val="both"/>
        <w:outlineLvl w:val="0"/>
        <w:rPr>
          <w:rFonts w:ascii="Calibri" w:eastAsia="Times New Roman" w:hAnsi="Calibri" w:cs="Times New Roman"/>
          <w:b/>
          <w:color w:val="000080"/>
          <w:lang w:val="fr-FR" w:eastAsia="it-IT"/>
        </w:rPr>
      </w:pPr>
      <w:bookmarkStart w:id="7" w:name="_Toc356240476"/>
    </w:p>
    <w:p w:rsidR="006E6AAA" w:rsidRPr="006E6AAA" w:rsidRDefault="006E6AAA" w:rsidP="006E6AAA">
      <w:pPr>
        <w:tabs>
          <w:tab w:val="left" w:pos="540"/>
        </w:tabs>
        <w:spacing w:after="0" w:line="280" w:lineRule="exact"/>
        <w:jc w:val="both"/>
        <w:outlineLvl w:val="0"/>
        <w:rPr>
          <w:rFonts w:ascii="Calibri" w:eastAsia="Times New Roman" w:hAnsi="Calibri" w:cs="Times New Roman"/>
          <w:b/>
          <w:color w:val="000080"/>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sz w:val="24"/>
          <w:szCs w:val="24"/>
          <w:lang w:val="fr-FR" w:eastAsia="it-IT"/>
        </w:rPr>
      </w:pPr>
      <w:r w:rsidRPr="006E6AAA">
        <w:rPr>
          <w:rFonts w:ascii="Calibri" w:eastAsia="Times New Roman" w:hAnsi="Calibri" w:cs="Times New Roman"/>
          <w:b/>
          <w:color w:val="000080"/>
          <w:lang w:val="fr-FR" w:eastAsia="it-IT"/>
        </w:rPr>
        <w:t>8. DURABILITE</w:t>
      </w:r>
      <w:bookmarkEnd w:id="7"/>
      <w:r w:rsidRPr="006E6AAA">
        <w:rPr>
          <w:rFonts w:ascii="Calibri" w:eastAsia="Times New Roman" w:hAnsi="Calibri" w:cs="Times New Roman"/>
          <w:b/>
          <w:smallCaps/>
          <w:color w:val="000080"/>
          <w:sz w:val="24"/>
          <w:szCs w:val="24"/>
          <w:lang w:val="fr-FR" w:eastAsia="it-IT"/>
        </w:rPr>
        <w:t xml:space="preserve"> </w:t>
      </w:r>
    </w:p>
    <w:p w:rsidR="006E6AAA" w:rsidRPr="006E6AAA" w:rsidRDefault="006E6AAA" w:rsidP="006E6AAA">
      <w:pPr>
        <w:autoSpaceDE w:val="0"/>
        <w:autoSpaceDN w:val="0"/>
        <w:adjustRightInd w:val="0"/>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pBdr>
          <w:bottom w:val="single" w:sz="12" w:space="1" w:color="000080"/>
        </w:pBdr>
        <w:autoSpaceDE w:val="0"/>
        <w:autoSpaceDN w:val="0"/>
        <w:adjustRightInd w:val="0"/>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xml:space="preserve">§ 8.1. </w:t>
      </w:r>
      <w:r w:rsidRPr="006E6AAA">
        <w:rPr>
          <w:rFonts w:ascii="Calibri" w:eastAsia="Times New Roman" w:hAnsi="Calibri" w:cs="Times New Roman"/>
          <w:b/>
          <w:lang w:val="fr-FR" w:eastAsia="it-IT"/>
        </w:rPr>
        <w:t>La pérennisation des résultats atteints</w:t>
      </w:r>
    </w:p>
    <w:p w:rsidR="006E6AAA" w:rsidRPr="006E6AAA" w:rsidRDefault="006E6AAA" w:rsidP="006E6AAA">
      <w:pPr>
        <w:autoSpaceDE w:val="0"/>
        <w:autoSpaceDN w:val="0"/>
        <w:adjustRightInd w:val="0"/>
        <w:spacing w:after="0" w:line="280" w:lineRule="exact"/>
        <w:jc w:val="both"/>
        <w:rPr>
          <w:rFonts w:ascii="Calibri" w:eastAsia="Times New Roman" w:hAnsi="Calibri" w:cs="ArialMT"/>
          <w:color w:val="000080"/>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r w:rsidRPr="006E6AAA">
        <w:rPr>
          <w:rFonts w:ascii="Calibri" w:eastAsia="Times New Roman" w:hAnsi="Calibri" w:cs="ArialMT"/>
          <w:lang w:val="fr-FR" w:eastAsia="it-IT"/>
        </w:rPr>
        <w:t xml:space="preserve">Un élément de durabilité des AF est représenté par le fait qu’elles ne sont pas une institution imposée par la communauté internationale ou transplantée depuis d’autres systèmes légaux, mais c’est une pratique enracinée dans le système judiciaire congolais depuis 1979.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ArialMT"/>
          <w:lang w:val="fr-FR" w:eastAsia="it-IT"/>
        </w:rPr>
      </w:pPr>
      <w:r w:rsidRPr="006E6AAA">
        <w:rPr>
          <w:rFonts w:ascii="Calibri" w:eastAsia="Times New Roman" w:hAnsi="Calibri" w:cs="ArialMT"/>
          <w:lang w:val="fr-FR" w:eastAsia="it-IT"/>
        </w:rPr>
        <w:t xml:space="preserve">Cette appropriation est démontrée par le fait que les juridictions organisent, dans un format plus réduit, des AF sans l’appui financier des partenaires internationaux : par exemple les TGI de Bunia et de Goma organisent des AF hebdomadaires dans les prisons. </w:t>
      </w: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r w:rsidRPr="006E6AAA">
        <w:rPr>
          <w:rFonts w:ascii="Calibri" w:eastAsia="Times New Roman" w:hAnsi="Calibri" w:cs="ArialMT"/>
          <w:lang w:val="fr-FR" w:eastAsia="it-IT"/>
        </w:rPr>
        <w:t>Une autre opportunité de pérennisation est représentée par les compétences que les autorités judiciaires ont acquis en organisant les AF : plusieurs chefs de juridictions ont rapporté de se « </w:t>
      </w:r>
      <w:r w:rsidRPr="006E6AAA">
        <w:rPr>
          <w:rFonts w:ascii="Calibri" w:eastAsia="Times New Roman" w:hAnsi="Calibri" w:cs="ArialMT"/>
          <w:i/>
          <w:lang w:val="fr-FR" w:eastAsia="it-IT"/>
        </w:rPr>
        <w:t>sentir en mesure d’organiser les AF par eux-mêmes, s’ ils en avaient les moyens </w:t>
      </w:r>
      <w:r w:rsidRPr="006E6AAA">
        <w:rPr>
          <w:rFonts w:ascii="Calibri" w:eastAsia="Times New Roman" w:hAnsi="Calibri" w:cs="ArialMT"/>
          <w:lang w:val="fr-FR" w:eastAsia="it-IT"/>
        </w:rPr>
        <w:t>».</w:t>
      </w:r>
      <w:r w:rsidRPr="006E6AAA">
        <w:rPr>
          <w:rFonts w:ascii="Calibri" w:eastAsia="Times New Roman" w:hAnsi="Calibri" w:cs="Times New Roman"/>
          <w:vertAlign w:val="superscript"/>
          <w:lang w:val="fr-FR" w:eastAsia="it-IT"/>
        </w:rPr>
        <w:footnoteReference w:id="269"/>
      </w: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r w:rsidRPr="006E6AAA">
        <w:rPr>
          <w:rFonts w:ascii="Calibri" w:eastAsia="Times New Roman" w:hAnsi="Calibri" w:cs="ArialMT"/>
          <w:lang w:val="fr-FR" w:eastAsia="it-IT"/>
        </w:rPr>
        <w:t xml:space="preserve">A noter par ailleurs que les AF commencent à développer une expertise dans la poursuite des crimes internationaux, qui pourrait éventuellement être mis au service des futures </w:t>
      </w:r>
      <w:r w:rsidRPr="006E6AAA">
        <w:rPr>
          <w:rFonts w:ascii="Calibri" w:eastAsia="Times New Roman" w:hAnsi="Calibri" w:cs="ArialMT"/>
          <w:i/>
          <w:lang w:val="fr-FR" w:eastAsia="it-IT"/>
        </w:rPr>
        <w:t>« Chambres spécialisées pour la répression des violations graves du droit international humanitaire </w:t>
      </w:r>
      <w:r w:rsidRPr="006E6AAA">
        <w:rPr>
          <w:rFonts w:ascii="Calibri" w:eastAsia="Times New Roman" w:hAnsi="Calibri" w:cs="ArialMT"/>
          <w:lang w:val="fr-FR" w:eastAsia="it-IT"/>
        </w:rPr>
        <w:t>»</w:t>
      </w:r>
      <w:r w:rsidRPr="006E6AAA">
        <w:rPr>
          <w:rFonts w:ascii="Calibri" w:eastAsia="Times New Roman" w:hAnsi="Calibri" w:cs="Times New Roman"/>
          <w:vertAlign w:val="superscript"/>
          <w:lang w:val="fr-FR" w:eastAsia="it-IT"/>
        </w:rPr>
        <w:footnoteReference w:id="270"/>
      </w:r>
      <w:r w:rsidRPr="006E6AAA">
        <w:rPr>
          <w:rFonts w:ascii="Calibri" w:eastAsia="Times New Roman" w:hAnsi="Calibri" w:cs="ArialMT"/>
          <w:lang w:val="fr-FR" w:eastAsia="it-IT"/>
        </w:rPr>
        <w:t>.</w:t>
      </w: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r w:rsidRPr="006E6AAA">
        <w:rPr>
          <w:rFonts w:ascii="Calibri" w:eastAsia="Times New Roman" w:hAnsi="Calibri" w:cs="ArialMT"/>
          <w:lang w:val="fr-FR" w:eastAsia="it-IT"/>
        </w:rPr>
        <w:t xml:space="preserve">Le manque des moyens financiers combiné avec l’absence d’une stratégie spécifique pour les AF au niveau national, conduit pourtant à la conclusion que les juridictions congolaises ne seront pas en mesure de continuer à organiser les AF dans le futur proche sans un appui de la communauté internationale. </w:t>
      </w:r>
    </w:p>
    <w:p w:rsidR="006E6AAA" w:rsidRPr="006E6AAA" w:rsidRDefault="006E6AAA" w:rsidP="006E6AAA">
      <w:pPr>
        <w:autoSpaceDE w:val="0"/>
        <w:autoSpaceDN w:val="0"/>
        <w:adjustRightInd w:val="0"/>
        <w:spacing w:after="0" w:line="280" w:lineRule="exact"/>
        <w:jc w:val="both"/>
        <w:rPr>
          <w:rFonts w:ascii="Calibri" w:eastAsia="Times New Roman" w:hAnsi="Calibri" w:cs="Arial"/>
          <w:lang w:val="fr-FR" w:eastAsia="it-IT"/>
        </w:rPr>
      </w:pPr>
      <w:r w:rsidRPr="006E6AAA">
        <w:rPr>
          <w:rFonts w:ascii="Calibri" w:eastAsia="Times New Roman" w:hAnsi="Calibri" w:cs="ArialMT"/>
          <w:lang w:val="fr-FR" w:eastAsia="it-IT"/>
        </w:rPr>
        <w:t>Par ailleurs, m</w:t>
      </w:r>
      <w:r w:rsidRPr="006E6AAA">
        <w:rPr>
          <w:rFonts w:ascii="Calibri" w:eastAsia="Times New Roman" w:hAnsi="Calibri" w:cs="Arial"/>
          <w:lang w:val="fr-FR" w:eastAsia="it-IT"/>
        </w:rPr>
        <w:t xml:space="preserve">algré les juridictions aient acquis une compétence reconnue sur le plan technique, certains aspects clefs dans l’organisation des AF, comme le reporting et la gestion financière sont encore gérés entièrement par les partenaires internationaux. </w:t>
      </w:r>
    </w:p>
    <w:p w:rsidR="006E6AAA" w:rsidRPr="006E6AAA" w:rsidRDefault="006E6AAA" w:rsidP="006E6AAA">
      <w:pPr>
        <w:autoSpaceDE w:val="0"/>
        <w:autoSpaceDN w:val="0"/>
        <w:adjustRightInd w:val="0"/>
        <w:spacing w:after="0" w:line="280" w:lineRule="exact"/>
        <w:jc w:val="both"/>
        <w:rPr>
          <w:rFonts w:ascii="Times New Roman" w:eastAsia="Times New Roman" w:hAnsi="Times New Roman" w:cs="Times New Roman"/>
          <w:sz w:val="23"/>
          <w:szCs w:val="23"/>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 la lumière des ces observations, il serait recommandé de dédier une attention particulière à assurer que les interventions s’inscrivent plus dans la durée.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L’éventuel Protocole d’entente avec les autorités judiciaires devrait inclure une stratégie de transfert des activités aux partenaires locaux.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activités suivantes pourraient être poursuivies pour promouvoir davantage la pérennisation des AF :  </w:t>
      </w:r>
    </w:p>
    <w:p w:rsidR="006E6AAA" w:rsidRPr="006E6AAA" w:rsidRDefault="006E6AAA" w:rsidP="006E6AAA">
      <w:pPr>
        <w:numPr>
          <w:ilvl w:val="0"/>
          <w:numId w:val="7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Mener des actions de plaidoyer</w:t>
      </w:r>
      <w:r w:rsidRPr="006E6AAA">
        <w:rPr>
          <w:rFonts w:ascii="Calibri" w:eastAsia="Times New Roman" w:hAnsi="Calibri" w:cs="Times New Roman"/>
          <w:lang w:val="fr-FR" w:eastAsia="it-IT"/>
        </w:rPr>
        <w:t xml:space="preserve"> auprès du Ministère de la Justice pour adopter une stratégie nationale pour les AF, implanter de juridictions permanentes additionnelles et encourager la progressive contribution financière du gouvernement á l’organisation des AF. </w:t>
      </w:r>
    </w:p>
    <w:p w:rsidR="006E6AAA" w:rsidRPr="006E6AAA" w:rsidRDefault="006E6AAA" w:rsidP="006E6AAA">
      <w:pPr>
        <w:numPr>
          <w:ilvl w:val="0"/>
          <w:numId w:val="7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Graduellement </w:t>
      </w:r>
      <w:r w:rsidRPr="006E6AAA">
        <w:rPr>
          <w:rFonts w:ascii="Calibri" w:eastAsia="Times New Roman" w:hAnsi="Calibri" w:cs="Times New Roman"/>
          <w:b/>
          <w:lang w:val="fr-FR" w:eastAsia="it-IT"/>
        </w:rPr>
        <w:t xml:space="preserve">transférer la gestion financière des AF aux autorités judiciaires congolaises, </w:t>
      </w:r>
      <w:r w:rsidRPr="006E6AAA">
        <w:rPr>
          <w:rFonts w:ascii="Calibri" w:eastAsia="Times New Roman" w:hAnsi="Calibri" w:cs="Times New Roman"/>
          <w:lang w:val="fr-FR" w:eastAsia="it-IT"/>
        </w:rPr>
        <w:t xml:space="preserve">éventuellement en commençant par mettre en place le </w:t>
      </w:r>
      <w:r w:rsidRPr="006E6AAA">
        <w:rPr>
          <w:rFonts w:ascii="Calibri" w:eastAsia="Times New Roman" w:hAnsi="Calibri" w:cs="Times New Roman"/>
          <w:i/>
          <w:lang w:val="fr-FR" w:eastAsia="it-IT"/>
        </w:rPr>
        <w:t>basket fund</w:t>
      </w:r>
      <w:r w:rsidRPr="006E6AAA">
        <w:rPr>
          <w:rFonts w:ascii="Calibri" w:eastAsia="Times New Roman" w:hAnsi="Calibri" w:cs="Times New Roman"/>
          <w:lang w:val="fr-FR" w:eastAsia="it-IT"/>
        </w:rPr>
        <w:t xml:space="preserve"> illustré au § 7.1.</w:t>
      </w:r>
    </w:p>
    <w:p w:rsidR="006E6AAA" w:rsidRPr="006E6AAA" w:rsidRDefault="006E6AAA" w:rsidP="006E6AAA">
      <w:pPr>
        <w:numPr>
          <w:ilvl w:val="0"/>
          <w:numId w:val="7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Diffuser une culture du suivi</w:t>
      </w:r>
      <w:r w:rsidRPr="006E6AAA">
        <w:rPr>
          <w:rFonts w:ascii="Calibri" w:eastAsia="Times New Roman" w:hAnsi="Calibri" w:cs="Times New Roman"/>
          <w:lang w:val="fr-FR" w:eastAsia="it-IT"/>
        </w:rPr>
        <w:t xml:space="preserve"> de projet en assurant une participation des juridictions aux activités de suivi des AF en particulier pour ce qui concerne la collecte et l’analyse des données statistiques.</w:t>
      </w:r>
    </w:p>
    <w:p w:rsidR="006E6AAA" w:rsidRPr="006E6AAA" w:rsidRDefault="006E6AAA" w:rsidP="006E6AAA">
      <w:pPr>
        <w:numPr>
          <w:ilvl w:val="0"/>
          <w:numId w:val="7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Arial"/>
          <w:b/>
          <w:lang w:val="fr-FR" w:eastAsia="it-IT"/>
        </w:rPr>
        <w:t xml:space="preserve">Faciliter la consolidation des acquis </w:t>
      </w:r>
      <w:r w:rsidRPr="006E6AAA">
        <w:rPr>
          <w:rFonts w:ascii="Calibri" w:eastAsia="Times New Roman" w:hAnsi="Calibri" w:cs="Arial"/>
          <w:lang w:val="fr-FR" w:eastAsia="it-IT"/>
        </w:rPr>
        <w:t>des AF.  Les outils et la méthodologie pour organiser les AF développés par les partenaires internationaux pourraient être récoltés dans une publication illustrant les bonnes pratiques, les histoires à succès et l’analyse des jugements afin d’offrir un point de repère dans le  débat pour le développement d’une stratégie nationale pour les AF ainsi que pour la replicabilité des AF dans d’autres provinces de la RDC ou d’autres Bureaux Pays PNUD.</w:t>
      </w: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tabs>
          <w:tab w:val="left" w:pos="540"/>
        </w:tabs>
        <w:spacing w:after="0" w:line="280" w:lineRule="exact"/>
        <w:jc w:val="both"/>
        <w:outlineLvl w:val="0"/>
        <w:rPr>
          <w:rFonts w:ascii="Calibri" w:eastAsia="Times New Roman" w:hAnsi="Calibri" w:cs="Times New 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Times New Roman"/>
          <w:b/>
          <w:color w:val="000080"/>
          <w:lang w:val="fr-FR" w:eastAsia="it-IT"/>
        </w:rPr>
        <w:t>9. IMPACT</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pBdr>
          <w:bottom w:val="single" w:sz="12" w:space="1" w:color="000080"/>
        </w:pBdr>
        <w:tabs>
          <w:tab w:val="left" w:pos="54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color w:val="000080"/>
          <w:lang w:val="fr-FR" w:eastAsia="it-IT"/>
        </w:rPr>
        <w:t>§ 9.1.</w:t>
      </w:r>
      <w:r w:rsidRPr="006E6AAA">
        <w:rPr>
          <w:rFonts w:ascii="Calibri" w:eastAsia="Times New Roman" w:hAnsi="Calibri" w:cs="Times New Roman"/>
          <w:b/>
          <w:lang w:val="fr-FR" w:eastAsia="it-IT"/>
        </w:rPr>
        <w:t xml:space="preserve"> Les changements produits par les AF</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i/>
          <w:lang w:val="fr-FR" w:eastAsia="it-IT"/>
        </w:rPr>
      </w:pPr>
      <w:r w:rsidRPr="006E6AAA">
        <w:rPr>
          <w:rFonts w:ascii="Times New Roman" w:eastAsia="Times New Roman" w:hAnsi="Times New Roman" w:cs="Times New Roman"/>
          <w:i/>
          <w:color w:val="000080"/>
          <w:lang w:val="fr-FR" w:eastAsia="it-IT"/>
        </w:rPr>
        <w:t>►</w:t>
      </w:r>
      <w:r w:rsidRPr="006E6AAA">
        <w:rPr>
          <w:rFonts w:ascii="Calibri" w:eastAsia="Times New Roman" w:hAnsi="Calibri" w:cs="Times New Roman"/>
          <w:b/>
          <w:i/>
          <w:color w:val="000080"/>
          <w:lang w:val="fr-FR" w:eastAsia="it-IT"/>
        </w:rPr>
        <w:t>Changements pour les bénéficiaires</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b/>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 xml:space="preserve">Vu que pendent la mission d’évaluation il n’a pas été possible de rencontrer les usagers des AF ni d’observer une AF, les points qui suivent se limitent à rappeler quelques éléments qui ont été mentionnés par les personnes interrogées afin de souligner les </w:t>
      </w:r>
      <w:r w:rsidRPr="006E6AAA">
        <w:rPr>
          <w:rFonts w:ascii="Calibri" w:eastAsia="Times New Roman" w:hAnsi="Calibri" w:cs="Arial"/>
          <w:lang w:val="fr-FR" w:eastAsia="it-IT"/>
        </w:rPr>
        <w:t xml:space="preserve">changements que les AF auraient produit pour la population. </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87"/>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partenaires internationaux et les autorités judiciaires ont à plusieurs reprises mentionné </w:t>
      </w:r>
      <w:r w:rsidRPr="006E6AAA">
        <w:rPr>
          <w:rFonts w:ascii="Calibri" w:eastAsia="Times New Roman" w:hAnsi="Calibri" w:cs="Times New Roman"/>
          <w:b/>
          <w:lang w:val="fr-FR" w:eastAsia="it-IT"/>
        </w:rPr>
        <w:t>les aspects pédagogiques des AF</w:t>
      </w:r>
      <w:r w:rsidRPr="006E6AAA">
        <w:rPr>
          <w:rFonts w:ascii="Calibri" w:eastAsia="Times New Roman" w:hAnsi="Calibri" w:cs="Times New Roman"/>
          <w:lang w:val="fr-FR" w:eastAsia="it-IT"/>
        </w:rPr>
        <w:t xml:space="preserve">, dans la mesure où elles représentent une opportunité pour expliquer le droit à la population.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Quelque réserve pourrait toutefois être avancée sur l’impact pédagogique des AF, car les statistiques indiquent un nombre très réduit de sessions de sensibilisation pour la population, avant et après les AF. Des réseaux de parajuristes ou d’autres mécanismes communautaires pour accompagner les populations dans leur parcours de compréhension du droit ne sont pas en place dans le cadre des AF appuyées par le PNUD. Les annonces passées par les radios communautaires se limitent à annoncer l’arrivée des AF. Le nombre élevé de personnes qui assistent aux AF n’est pas suffisamment indicatif de l’effet pédagogique des AF : vu le niveau de connaissance du droit de la population dans les territoires éloignées des sessions de sensibilisation spécifiques sur les AF seraient nécessaires. </w:t>
      </w:r>
    </w:p>
    <w:p w:rsidR="006E6AAA" w:rsidRPr="006E6AAA" w:rsidRDefault="006E6AAA" w:rsidP="006E6AAA">
      <w:pPr>
        <w:numPr>
          <w:ilvl w:val="0"/>
          <w:numId w:val="87"/>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Dans certaines zones touchées par le conflit en cours, </w:t>
      </w:r>
      <w:r w:rsidRPr="006E6AAA">
        <w:rPr>
          <w:rFonts w:ascii="Calibri" w:eastAsia="Times New Roman" w:hAnsi="Calibri" w:cs="Times New Roman"/>
          <w:b/>
          <w:lang w:val="fr-FR" w:eastAsia="it-IT"/>
        </w:rPr>
        <w:t xml:space="preserve">des services de justice formelle pour la population ont été disponibles pour la première fois. </w:t>
      </w:r>
      <w:r w:rsidRPr="006E6AAA">
        <w:rPr>
          <w:rFonts w:ascii="Calibri" w:eastAsia="Times New Roman" w:hAnsi="Calibri" w:cs="Times New Roman"/>
          <w:lang w:val="fr-FR" w:eastAsia="it-IT"/>
        </w:rPr>
        <w:t>Comme précisé par des analyses PNUD á Bunia a précisé que « </w:t>
      </w:r>
      <w:r w:rsidRPr="006E6AAA">
        <w:rPr>
          <w:rFonts w:ascii="Calibri" w:eastAsia="Times New Roman" w:hAnsi="Calibri" w:cs="Times New Roman"/>
          <w:i/>
          <w:lang w:val="fr-FR" w:eastAsia="it-IT"/>
        </w:rPr>
        <w:t>à Mambasa c’était la première fois que les gens voyaient un tribunal</w:t>
      </w:r>
      <w:r w:rsidRPr="006E6AAA">
        <w:rPr>
          <w:rFonts w:ascii="Calibri" w:eastAsia="Times New Roman" w:hAnsi="Calibri" w:cs="Times New Roman"/>
          <w:lang w:val="fr-FR" w:eastAsia="it-IT"/>
        </w:rPr>
        <w:t> ».</w:t>
      </w:r>
    </w:p>
    <w:p w:rsidR="006E6AAA" w:rsidRPr="006E6AAA" w:rsidRDefault="006E6AAA" w:rsidP="006E6AAA">
      <w:pPr>
        <w:numPr>
          <w:ilvl w:val="0"/>
          <w:numId w:val="87"/>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Un impact positif sur la population a aussi été exprimé en termes de favoriser </w:t>
      </w:r>
      <w:r w:rsidRPr="006E6AAA">
        <w:rPr>
          <w:rFonts w:ascii="Calibri" w:eastAsia="Times New Roman" w:hAnsi="Calibri" w:cs="Times New Roman"/>
          <w:b/>
          <w:lang w:val="fr-FR" w:eastAsia="it-IT"/>
        </w:rPr>
        <w:t>le retour progressif de la confiance dans la justice</w:t>
      </w:r>
      <w:r w:rsidRPr="006E6AAA">
        <w:rPr>
          <w:rFonts w:ascii="Calibri" w:eastAsia="Times New Roman" w:hAnsi="Calibri" w:cs="Times New Roman"/>
          <w:lang w:val="fr-FR" w:eastAsia="it-IT"/>
        </w:rPr>
        <w:t xml:space="preserve"> et le rapprochement de la justice aux justiciables.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directrice de SOFEPADI estime au contraire que les AF ont peu d’impact en termes de confiance dans la justice vu qu’il arrive souvent que les peines ne sont pas purgées en prison car </w:t>
      </w:r>
      <w:r w:rsidRPr="006E6AAA">
        <w:rPr>
          <w:rFonts w:ascii="Calibri" w:eastAsia="Times New Roman" w:hAnsi="Calibri" w:cs="Times New Roman"/>
          <w:i/>
          <w:lang w:val="fr-FR" w:eastAsia="it-IT"/>
        </w:rPr>
        <w:t>« les condamnés sont là quelques mois et après ils se retrouvent dehors, parfois après s’être évadés</w:t>
      </w:r>
      <w:r w:rsidRPr="006E6AAA">
        <w:rPr>
          <w:rFonts w:ascii="Calibri" w:eastAsia="Times New Roman" w:hAnsi="Calibri" w:cs="Times New Roman"/>
          <w:lang w:val="fr-FR" w:eastAsia="it-IT"/>
        </w:rPr>
        <w:t>».</w:t>
      </w:r>
    </w:p>
    <w:p w:rsidR="006E6AAA" w:rsidRPr="006E6AAA" w:rsidRDefault="006E6AAA" w:rsidP="006E6AAA">
      <w:pPr>
        <w:numPr>
          <w:ilvl w:val="0"/>
          <w:numId w:val="8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lastRenderedPageBreak/>
        <w:t xml:space="preserve">Plusieurs personnes interrogées ont souligné que les AF ont un effet dissuasif et </w:t>
      </w:r>
      <w:r w:rsidRPr="006E6AAA">
        <w:rPr>
          <w:rFonts w:ascii="Calibri" w:eastAsia="Times New Roman" w:hAnsi="Calibri" w:cs="Times New Roman"/>
          <w:b/>
          <w:lang w:val="fr-FR" w:eastAsia="it-IT"/>
        </w:rPr>
        <w:t>créent plus de sécurité dans les communautés</w:t>
      </w:r>
      <w:r w:rsidRPr="006E6AAA">
        <w:rPr>
          <w:rFonts w:ascii="Calibri" w:eastAsia="Times New Roman" w:hAnsi="Calibri" w:cs="Times New Roman"/>
          <w:lang w:val="fr-FR" w:eastAsia="it-IT"/>
        </w:rPr>
        <w:t xml:space="preserve"> en réduisant le taux de criminalité.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commentaires sur la perception de la justice dispensée par les tribunaux militaires varient : certains représentants des ONG reconnaissent que cela peut être traumatisant pour une femme victime de viol de voir un juge habillé comme celui qui l’a violée ; au contraire le Commandant de l’Unité de Police spéciale pour les femmes de Goma estime que «</w:t>
      </w:r>
      <w:r w:rsidRPr="006E6AAA">
        <w:rPr>
          <w:rFonts w:ascii="Calibri" w:eastAsia="Times New Roman" w:hAnsi="Calibri" w:cs="Times New Roman"/>
          <w:i/>
          <w:lang w:val="fr-FR" w:eastAsia="it-IT"/>
        </w:rPr>
        <w:t>une femme violée par un homme en uniforme voit qu’il y a une justice, son bourreau est poursuivi par des militaires. L’image des militares est restauree</w:t>
      </w:r>
      <w:r w:rsidRPr="006E6AAA">
        <w:rPr>
          <w:rFonts w:ascii="Calibri" w:eastAsia="Times New Roman" w:hAnsi="Calibri" w:cs="Times New Roman"/>
          <w:lang w:val="fr-FR" w:eastAsia="it-IT"/>
        </w:rPr>
        <w:t xml:space="preserve">”. </w:t>
      </w:r>
    </w:p>
    <w:p w:rsidR="006E6AAA" w:rsidRPr="006E6AAA" w:rsidRDefault="006E6AAA" w:rsidP="006E6AAA">
      <w:pPr>
        <w:tabs>
          <w:tab w:val="left" w:pos="540"/>
          <w:tab w:val="left" w:pos="8460"/>
        </w:tabs>
        <w:spacing w:after="0" w:line="280" w:lineRule="exact"/>
        <w:jc w:val="both"/>
        <w:rPr>
          <w:rFonts w:ascii="NewBaskerville-Roman" w:eastAsia="Times New Roman" w:hAnsi="NewBaskerville-Roman" w:cs="NewBaskerville-Roman"/>
          <w:lang w:val="fr-FR" w:eastAsia="it-IT"/>
        </w:rPr>
      </w:pPr>
    </w:p>
    <w:p w:rsidR="006E6AAA" w:rsidRPr="006E6AAA" w:rsidRDefault="006E6AAA" w:rsidP="006E6AAA">
      <w:pPr>
        <w:tabs>
          <w:tab w:val="left" w:pos="540"/>
          <w:tab w:val="left" w:pos="8460"/>
        </w:tabs>
        <w:spacing w:after="0" w:line="280" w:lineRule="exact"/>
        <w:jc w:val="both"/>
        <w:rPr>
          <w:rFonts w:ascii="Calibri" w:eastAsia="Times New Roman" w:hAnsi="Calibri" w:cs="Times New Roman"/>
          <w:i/>
          <w:lang w:val="fr-FR" w:eastAsia="it-IT"/>
        </w:rPr>
      </w:pPr>
      <w:r w:rsidRPr="006E6AAA">
        <w:rPr>
          <w:rFonts w:ascii="Times New Roman" w:eastAsia="Times New Roman" w:hAnsi="Times New Roman" w:cs="Times New Roman"/>
          <w:color w:val="000080"/>
          <w:lang w:val="fr-FR" w:eastAsia="it-IT"/>
        </w:rPr>
        <w:t>►</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i/>
          <w:color w:val="000080"/>
          <w:lang w:val="fr-FR" w:eastAsia="it-IT"/>
        </w:rPr>
        <w:t>Changements pour les acteurs de la justice</w:t>
      </w:r>
    </w:p>
    <w:p w:rsidR="006E6AAA" w:rsidRPr="006E6AAA" w:rsidRDefault="006E6AAA" w:rsidP="006E6AAA">
      <w:pPr>
        <w:tabs>
          <w:tab w:val="left" w:pos="540"/>
          <w:tab w:val="left" w:pos="8460"/>
        </w:tabs>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8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w:t>
      </w:r>
      <w:r w:rsidRPr="006E6AAA">
        <w:rPr>
          <w:rFonts w:ascii="Calibri" w:eastAsia="Times New Roman" w:hAnsi="Calibri" w:cs="Times New Roman"/>
          <w:b/>
          <w:lang w:val="fr-FR" w:eastAsia="it-IT"/>
        </w:rPr>
        <w:t>renforcement des capacités des acteurs de la justice</w:t>
      </w:r>
      <w:r w:rsidRPr="006E6AAA">
        <w:rPr>
          <w:rFonts w:ascii="Calibri" w:eastAsia="Times New Roman" w:hAnsi="Calibri" w:cs="Times New Roman"/>
          <w:lang w:val="fr-FR" w:eastAsia="it-IT"/>
        </w:rPr>
        <w:t xml:space="preserve"> est un changement évident souvent mentionné au cours des entretiens. Par exemple le chef de l’Unité de Police pour la protection des femmes et des enfants à Goma rapporte que « </w:t>
      </w:r>
      <w:r w:rsidRPr="006E6AAA">
        <w:rPr>
          <w:rFonts w:ascii="Calibri" w:eastAsia="Times New Roman" w:hAnsi="Calibri" w:cs="Times New Roman"/>
          <w:i/>
          <w:lang w:val="fr-FR" w:eastAsia="it-IT"/>
        </w:rPr>
        <w:t>grâce aux AF ils ont appris à s’améliorer, car ils apprennent á bien construire leurs dossier, et bien présenter leurs preuves afin qu’ils soient accueillis par le Parquet</w:t>
      </w:r>
      <w:r w:rsidRPr="006E6AAA">
        <w:rPr>
          <w:rFonts w:ascii="Calibri" w:eastAsia="Times New Roman" w:hAnsi="Calibri" w:cs="Times New Roman"/>
          <w:lang w:val="fr-FR" w:eastAsia="it-IT"/>
        </w:rPr>
        <w:t xml:space="preserve">».  </w:t>
      </w:r>
    </w:p>
    <w:p w:rsidR="006E6AAA" w:rsidRPr="006E6AAA" w:rsidRDefault="006E6AAA" w:rsidP="006E6AAA">
      <w:pPr>
        <w:spacing w:after="0" w:line="280" w:lineRule="exact"/>
        <w:ind w:left="288"/>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Président du TMG de Bukavu souligne que les AF ont permis aux juges militaires </w:t>
      </w:r>
      <w:r w:rsidRPr="006E6AAA">
        <w:rPr>
          <w:rFonts w:ascii="Calibri" w:eastAsia="Times New Roman" w:hAnsi="Calibri" w:cs="Times New Roman"/>
          <w:i/>
          <w:lang w:val="fr-FR" w:eastAsia="it-IT"/>
        </w:rPr>
        <w:t>d’acquérir une expérience en matière de crimes internationaux, qui est une matière nouvelle vu qu’elle n’a pas été apprise á la faculté de droit</w:t>
      </w:r>
      <w:r w:rsidRPr="006E6AAA">
        <w:rPr>
          <w:rFonts w:ascii="Calibri" w:eastAsia="Times New Roman" w:hAnsi="Calibri" w:cs="Times New Roman"/>
          <w:lang w:val="fr-FR" w:eastAsia="it-IT"/>
        </w:rPr>
        <w:t> » et</w:t>
      </w:r>
      <w:r w:rsidRPr="006E6AAA">
        <w:rPr>
          <w:rFonts w:ascii="NewBaskerville-Roman" w:eastAsia="Times New Roman" w:hAnsi="NewBaskerville-Roman" w:cs="NewBaskerville-Roman"/>
          <w:lang w:val="fr-FR" w:eastAsia="it-IT"/>
        </w:rPr>
        <w:t xml:space="preserve"> </w:t>
      </w:r>
      <w:r w:rsidRPr="006E6AAA">
        <w:rPr>
          <w:rFonts w:ascii="Calibri" w:eastAsia="Times New Roman" w:hAnsi="Calibri" w:cs="Times New Roman"/>
          <w:lang w:val="fr-FR" w:eastAsia="it-IT"/>
        </w:rPr>
        <w:t xml:space="preserve">d’augmenter le nombre des  dossiers traités par les juridictions militaires. Le président a tenu à souligner l’importance de la participation des partenaires internationaux aux AF car ils ont la possibilité de mieux comprendre les difficultés rencontrées sur le terrain. </w:t>
      </w:r>
    </w:p>
    <w:p w:rsidR="006E6AAA" w:rsidRPr="006E6AAA" w:rsidRDefault="006E6AAA" w:rsidP="006E6AAA">
      <w:pPr>
        <w:numPr>
          <w:ilvl w:val="0"/>
          <w:numId w:val="8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Les AF </w:t>
      </w:r>
      <w:r w:rsidRPr="006E6AAA">
        <w:rPr>
          <w:rFonts w:ascii="Calibri" w:eastAsia="Times New Roman" w:hAnsi="Calibri" w:cs="Times New Roman"/>
          <w:b/>
          <w:lang w:val="fr-FR" w:eastAsia="it-IT"/>
        </w:rPr>
        <w:t>facilitent la recherche des preuves</w:t>
      </w:r>
      <w:r w:rsidRPr="006E6AAA">
        <w:rPr>
          <w:rFonts w:ascii="Calibri" w:eastAsia="Times New Roman" w:hAnsi="Calibri" w:cs="Times New Roman"/>
          <w:lang w:val="fr-FR" w:eastAsia="it-IT"/>
        </w:rPr>
        <w:t xml:space="preserve"> car les témoins sont atteints plus facilement.</w:t>
      </w:r>
    </w:p>
    <w:p w:rsidR="006E6AAA" w:rsidRPr="006E6AAA" w:rsidRDefault="006E6AAA" w:rsidP="006E6AAA">
      <w:pPr>
        <w:numPr>
          <w:ilvl w:val="0"/>
          <w:numId w:val="88"/>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w:t>
      </w:r>
      <w:r w:rsidRPr="006E6AAA">
        <w:rPr>
          <w:rFonts w:ascii="Calibri" w:eastAsia="Times New Roman" w:hAnsi="Calibri" w:cs="Times New Roman"/>
          <w:b/>
          <w:lang w:val="fr-FR" w:eastAsia="it-IT"/>
        </w:rPr>
        <w:t>risque de</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corruption est réduit</w:t>
      </w:r>
      <w:r w:rsidRPr="006E6AAA">
        <w:rPr>
          <w:rFonts w:ascii="Calibri" w:eastAsia="Times New Roman" w:hAnsi="Calibri" w:cs="Times New Roman"/>
          <w:lang w:val="fr-FR" w:eastAsia="it-IT"/>
        </w:rPr>
        <w:t xml:space="preserve"> car les magistrats ne travaillent pas dans leur milieu habituel.</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p>
    <w:p w:rsidR="006E6AAA" w:rsidRPr="006E6AAA" w:rsidRDefault="006E6AAA" w:rsidP="006E6AAA">
      <w:pPr>
        <w:spacing w:after="0" w:line="280" w:lineRule="exact"/>
        <w:jc w:val="both"/>
        <w:rPr>
          <w:rFonts w:ascii="Calibri" w:eastAsia="Times New Roman" w:hAnsi="Calibri" w:cs="Times New Roman"/>
          <w:b/>
          <w:color w:val="000080"/>
          <w:lang w:val="fr-FR" w:eastAsia="it-IT"/>
        </w:rPr>
      </w:pPr>
      <w:r w:rsidRPr="006E6AAA">
        <w:rPr>
          <w:rFonts w:ascii="Calibri" w:eastAsia="Times New Roman" w:hAnsi="Calibri" w:cs="Times New Roman"/>
          <w:b/>
          <w:color w:val="000080"/>
          <w:lang w:val="fr-FR" w:eastAsia="it-IT"/>
        </w:rPr>
        <w:br w:type="page"/>
      </w:r>
    </w:p>
    <w:p w:rsidR="006E6AAA" w:rsidRPr="006E6AAA" w:rsidRDefault="006E6AAA" w:rsidP="006E6AAA">
      <w:pPr>
        <w:shd w:val="clear" w:color="auto" w:fill="4C4C4C"/>
        <w:spacing w:after="0" w:line="280" w:lineRule="exact"/>
        <w:jc w:val="both"/>
        <w:rPr>
          <w:rFonts w:ascii="Calibri" w:eastAsia="Times New Roman" w:hAnsi="Calibri" w:cs="Times New Roman"/>
          <w:b/>
          <w:color w:val="FFFFFF"/>
          <w:lang w:val="fr-FR" w:eastAsia="it-IT"/>
        </w:rPr>
      </w:pPr>
      <w:r w:rsidRPr="006E6AAA">
        <w:rPr>
          <w:rFonts w:ascii="Calibri" w:eastAsia="Times New Roman" w:hAnsi="Calibri" w:cs="Times New Roman"/>
          <w:b/>
          <w:color w:val="FFFFFF"/>
          <w:shd w:val="clear" w:color="auto" w:fill="4C4C4C"/>
          <w:lang w:val="fr-FR" w:eastAsia="it-IT"/>
        </w:rPr>
        <w:lastRenderedPageBreak/>
        <w:t>PARTIE III: CONCLUSIONS ET RECCOMANDATIONS</w:t>
      </w:r>
    </w:p>
    <w:p w:rsidR="006E6AAA" w:rsidRPr="006E6AAA" w:rsidRDefault="006E6AAA" w:rsidP="006E6AAA">
      <w:pPr>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spacing w:after="0" w:line="280" w:lineRule="exact"/>
        <w:jc w:val="both"/>
        <w:rPr>
          <w:rFonts w:ascii="Calibri" w:eastAsia="Times New Roman" w:hAnsi="Calibri" w:cs="Times New Roman"/>
          <w:b/>
          <w:color w:val="000080"/>
          <w:lang w:val="fr-FR" w:eastAsia="it-IT"/>
        </w:rPr>
      </w:pPr>
    </w:p>
    <w:p w:rsidR="006E6AAA" w:rsidRPr="006E6AAA" w:rsidRDefault="006E6AAA" w:rsidP="006E6AAA">
      <w:pPr>
        <w:pBdr>
          <w:bottom w:val="single" w:sz="12" w:space="1" w:color="000080"/>
        </w:pBdr>
        <w:spacing w:after="0" w:line="280" w:lineRule="exact"/>
        <w:jc w:val="both"/>
        <w:rPr>
          <w:rFonts w:ascii="Calibri" w:eastAsia="Times New Roman" w:hAnsi="Calibri" w:cs="Times New Roman"/>
          <w:b/>
          <w:color w:val="000080"/>
          <w:lang w:val="fr-FR" w:eastAsia="it-IT"/>
        </w:rPr>
      </w:pPr>
      <w:r w:rsidRPr="006E6AAA">
        <w:rPr>
          <w:rFonts w:ascii="Calibri" w:eastAsia="Times New Roman" w:hAnsi="Calibri" w:cs="Times New Roman"/>
          <w:b/>
          <w:color w:val="000080"/>
          <w:lang w:val="fr-FR" w:eastAsia="it-IT"/>
        </w:rPr>
        <w:t xml:space="preserve">§ 10. </w:t>
      </w:r>
      <w:r w:rsidRPr="006E6AAA">
        <w:rPr>
          <w:rFonts w:ascii="Calibri" w:eastAsia="Times New Roman" w:hAnsi="Calibri" w:cs="Times New Roman"/>
          <w:b/>
          <w:lang w:val="fr-FR" w:eastAsia="it-IT"/>
        </w:rPr>
        <w:t>Conclusions</w:t>
      </w:r>
    </w:p>
    <w:p w:rsidR="006E6AAA" w:rsidRPr="006E6AAA" w:rsidRDefault="006E6AAA" w:rsidP="006E6AAA">
      <w:pPr>
        <w:spacing w:after="0" w:line="280" w:lineRule="exact"/>
        <w:jc w:val="both"/>
        <w:rPr>
          <w:rFonts w:ascii="Calibri" w:eastAsia="Times New Roman" w:hAnsi="Calibri" w:cs="Times New Roman"/>
          <w:b/>
          <w:smallCaps/>
          <w:color w:val="000080"/>
          <w:lang w:val="fr-FR" w:eastAsia="it-IT"/>
        </w:rPr>
      </w:pPr>
      <w:r w:rsidRPr="006E6AAA">
        <w:rPr>
          <w:rFonts w:ascii="Calibri" w:eastAsia="Times New Roman" w:hAnsi="Calibri" w:cs="Times New Roman"/>
          <w:b/>
          <w:smallCaps/>
          <w:color w:val="000080"/>
          <w:lang w:val="fr-FR" w:eastAsia="it-IT"/>
        </w:rPr>
        <w:t xml:space="preserve"> </w:t>
      </w:r>
    </w:p>
    <w:p w:rsidR="006E6AAA" w:rsidRPr="006E6AAA" w:rsidRDefault="006E6AAA" w:rsidP="006E6AAA">
      <w:pPr>
        <w:spacing w:after="0" w:line="280" w:lineRule="exact"/>
        <w:jc w:val="both"/>
        <w:rPr>
          <w:rFonts w:ascii="Calibri" w:eastAsia="Times New Roman" w:hAnsi="Calibri" w:cs="Calibri"/>
          <w:lang w:val="fr-FR" w:eastAsia="it-IT"/>
        </w:rPr>
      </w:pPr>
    </w:p>
    <w:p w:rsidR="006E6AAA" w:rsidRPr="006E6AAA" w:rsidRDefault="006E6AAA" w:rsidP="006E6AAA">
      <w:pPr>
        <w:spacing w:after="0" w:line="280" w:lineRule="exact"/>
        <w:jc w:val="both"/>
        <w:rPr>
          <w:rFonts w:ascii="Calibri" w:eastAsia="Times New Roman" w:hAnsi="Calibri" w:cs="Calibri"/>
          <w:lang w:val="fr-FR" w:eastAsia="it-IT"/>
        </w:rPr>
      </w:pPr>
      <w:r w:rsidRPr="006E6AAA">
        <w:rPr>
          <w:rFonts w:ascii="Calibri" w:eastAsia="Times New Roman" w:hAnsi="Calibri" w:cs="Calibri"/>
          <w:lang w:val="fr-FR" w:eastAsia="it-IT"/>
        </w:rPr>
        <w:t xml:space="preserve">Le degré de réalisation des résultats est satisfaisant dans son ensemble et tenant compte des difficultés du contexte d’intervention dans l’Est de la RDC.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Calibri"/>
          <w:lang w:val="fr-FR" w:eastAsia="it-IT"/>
        </w:rPr>
        <w:t xml:space="preserve">Le modèle d’AF mis en place avec l’appui du PNUD est exemplaire pour son </w:t>
      </w:r>
      <w:r w:rsidRPr="006E6AAA">
        <w:rPr>
          <w:rFonts w:ascii="Calibri" w:eastAsia="Times New Roman" w:hAnsi="Calibri" w:cs="Times New Roman"/>
          <w:lang w:val="fr-FR" w:eastAsia="it-IT"/>
        </w:rPr>
        <w:t xml:space="preserve">approche intégrée, qui appuie toutes les phases de la chaine pénale et pour la participation en synergie et complémentarité de différents partenaires internationaux. Il s’agit d’un modèle qui n’est pas développé dans le cadre d’une stratégique d’intervention, ni au niveau des partenaires internationaux ni au niveau national, mais représente un apport conjoncturel pour régler des affaires judiciaires ponctuelles qui émergent du conflit en cours, parfois qualifiées comme crimes internationaux.  </w:t>
      </w:r>
    </w:p>
    <w:p w:rsidR="006E6AAA" w:rsidRPr="006E6AAA" w:rsidRDefault="006E6AAA" w:rsidP="006E6AAA">
      <w:pPr>
        <w:spacing w:after="0" w:line="280" w:lineRule="exact"/>
        <w:jc w:val="both"/>
        <w:rPr>
          <w:rFonts w:ascii="Calibri" w:eastAsia="Times New Roman" w:hAnsi="Calibri" w:cs="Calibri"/>
          <w:lang w:val="fr-FR" w:eastAsia="it-IT"/>
        </w:rPr>
      </w:pPr>
      <w:r w:rsidRPr="006E6AAA">
        <w:rPr>
          <w:rFonts w:ascii="Calibri" w:eastAsia="Times New Roman" w:hAnsi="Calibri" w:cs="Times New Roman"/>
          <w:lang w:val="fr-FR" w:eastAsia="it-IT"/>
        </w:rPr>
        <w:t xml:space="preserve">Le modèle congolais présente des aspects controversés, notamment l’appui prioritaire aux dossiers de violences basées sur le genre et aux juridictions militaires (en partie justifié par le fait qu’au début du projet les violences sexuelles étaient commises en priorité par les militaires dans les zones du conflit)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remarques ci-dessous consolident les observations recueillies au cours des entretiens et présentent des conclusions générales pour chaque critère d’évaluation.</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autoSpaceDE w:val="0"/>
        <w:autoSpaceDN w:val="0"/>
        <w:adjustRightInd w:val="0"/>
        <w:spacing w:after="0" w:line="280" w:lineRule="exact"/>
        <w:jc w:val="both"/>
        <w:outlineLvl w:val="0"/>
        <w:rPr>
          <w:rFonts w:ascii="Calibri" w:eastAsia="Times New Roman" w:hAnsi="Calibri" w:cs="Arial"/>
          <w:b/>
          <w:lang w:val="fr-FR" w:eastAsia="it-IT"/>
        </w:rPr>
      </w:pPr>
      <w:r w:rsidRPr="006E6AAA">
        <w:rPr>
          <w:rFonts w:ascii="Calibri" w:eastAsia="Times New Roman" w:hAnsi="Calibri" w:cs="Arial"/>
          <w:b/>
          <w:lang w:val="fr-FR" w:eastAsia="it-IT"/>
        </w:rPr>
        <w:t>Pertinence</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 xml:space="preserve">Les AF sont une priorité reconnue dans la législation congolaise et dans les stratégies nationales du secteur de la justice, toutefois les modalités de leur mise en œuvre pourraient être mieux encadrées,  éventuellement par un Protocole d’entente entre les partenaires internationaux et les autorités judiciaires.  </w:t>
      </w:r>
      <w:r w:rsidRPr="006E6AAA">
        <w:rPr>
          <w:rFonts w:ascii="Calibri" w:eastAsia="Times New Roman" w:hAnsi="Calibri" w:cs="Arial"/>
          <w:lang w:val="fr-FR" w:eastAsia="it-IT"/>
        </w:rPr>
        <w:t xml:space="preserve">Le manque d’orientation de la part des autorités centrales combiné avec l’absence d’une planification stratégique au niveau provincial s’est traduit dans la pratique avec l’organisation d’AF qui répondent à un besoin ponctuel et représentent un modèle fortement influencé par les priorités des bailleurs de fond. </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r w:rsidRPr="006E6AAA">
        <w:rPr>
          <w:rFonts w:ascii="Calibri" w:eastAsia="Times New Roman" w:hAnsi="Calibri" w:cs="Arial"/>
          <w:lang w:val="fr-FR" w:eastAsia="it-IT"/>
        </w:rPr>
        <w:t xml:space="preserve">Les AF ont étés une mesure efficace pour atteindre les zones reculées où les juridictions permanentes étaient absentes et lutter contre l’impunité des crimes internationaux commis dans ces territoires. </w:t>
      </w:r>
    </w:p>
    <w:p w:rsidR="006E6AAA" w:rsidRPr="006E6AAA" w:rsidRDefault="006E6AAA" w:rsidP="006E6AAA">
      <w:pPr>
        <w:tabs>
          <w:tab w:val="left" w:pos="540"/>
          <w:tab w:val="left" w:pos="720"/>
          <w:tab w:val="left" w:pos="8460"/>
        </w:tabs>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lang w:val="fr-FR" w:eastAsia="it-IT"/>
        </w:rPr>
        <w:t xml:space="preserve">Les AF ont été très pertinentes par rapport aux politiques nationales de lutte contre les VBG, notamment dans les cas de VBG commises par les militaires,  vu la priorité accordée par les AF a cette catégorie de dossiers. Une réflexion serait toutefois nécessaire sur l’opportunité de commencer à élargir le champ d’intervention des AF à toutes les infractions : non seulement parce que les auteurs de viol sont de plus en plus des civils, mais aussi dans le but d’assurer aux victimes non-VBG les mêmes opportunités d’accéder à la justice que les victimes VBG. Le PNUD a pris en compte ces aspects en réduisant le nombre minimal de dossiers VBG requis pour appuyer une AF.  </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autoSpaceDE w:val="0"/>
        <w:autoSpaceDN w:val="0"/>
        <w:adjustRightInd w:val="0"/>
        <w:spacing w:after="0" w:line="280" w:lineRule="exact"/>
        <w:jc w:val="both"/>
        <w:outlineLvl w:val="0"/>
        <w:rPr>
          <w:rFonts w:ascii="Calibri" w:eastAsia="Times New Roman" w:hAnsi="Calibri" w:cs="Arial"/>
          <w:b/>
          <w:lang w:val="fr-FR" w:eastAsia="it-IT"/>
        </w:rPr>
      </w:pPr>
      <w:bookmarkStart w:id="8" w:name="_Toc356240479"/>
      <w:r w:rsidRPr="006E6AAA">
        <w:rPr>
          <w:rFonts w:ascii="Calibri" w:eastAsia="Times New Roman" w:hAnsi="Calibri" w:cs="Arial"/>
          <w:b/>
          <w:lang w:val="fr-FR" w:eastAsia="it-IT"/>
        </w:rPr>
        <w:t>Efficacité</w:t>
      </w:r>
      <w:bookmarkEnd w:id="8"/>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 planification de l’initiative pourrait bénéficier d’un cadre des ressources plus spécifique, éventuellement avec des indicateurs, cibles et aspects financiers harmonisées entre tous les partenaires internationaux qui appuient les AF. Le suivi des AF dans le cadre du projet « monitoring judiciaire » est une excellente initiative qui a permis d’avoir un aperçu impartial des résultats atteints par les AF ; des faiblesses ont pourtant été relevées au niveau du système de collecte des données relatives aux AF observées.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Arial"/>
          <w:lang w:val="fr-FR" w:eastAsia="it-IT"/>
        </w:rPr>
        <w:t xml:space="preserve">Des résultats satisfaisants ont été réalisés, mais en absence d’indicateurs spécifiques il est difficile d’en préciser la mesure par rapport aux cibles. </w:t>
      </w:r>
      <w:r w:rsidRPr="006E6AAA">
        <w:rPr>
          <w:rFonts w:ascii="Calibri" w:eastAsia="Times New Roman" w:hAnsi="Calibri" w:cs="Times New Roman"/>
          <w:lang w:val="fr-FR" w:eastAsia="it-IT"/>
        </w:rPr>
        <w:t xml:space="preserve">Au courant du 2011 et 2012, un total de 16 audiences foraines ont été organisées avec l’appui du PNUD pour 198 jours en foraine et une contribution de </w:t>
      </w:r>
      <w:r w:rsidRPr="006E6AAA">
        <w:rPr>
          <w:rFonts w:ascii="Calibri" w:eastAsia="Times New Roman" w:hAnsi="Calibri" w:cs="Times New Roman"/>
          <w:lang w:val="fr-FR" w:eastAsia="it-IT"/>
        </w:rPr>
        <w:lastRenderedPageBreak/>
        <w:t>155.000 USD. 97 avocats et 72 magistrats/juges assesseurs ont participé aux AF. 202 dossiers ont été enrôlés, dont 60% de VBG et 206 jugements ont été prononcés.</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La pratique judiciaire des AF apparait en général en bonne voie vers la conformité avec les standards internationaux, sauf pour les aspects suivants qui devraient être renforcés : 1) la parité des armes entre les parties au procès 2) la protection des victimes et des témoins 3) certains aspects de la procédure militaire, comme le régime de la détention préventive 4) l’exécution des jugements 4) la durée et l’excessive célérité des AF.</w:t>
      </w:r>
    </w:p>
    <w:p w:rsidR="006E6AAA" w:rsidRPr="006E6AAA" w:rsidRDefault="006E6AAA" w:rsidP="006E6AAA">
      <w:pPr>
        <w:autoSpaceDE w:val="0"/>
        <w:autoSpaceDN w:val="0"/>
        <w:adjustRightInd w:val="0"/>
        <w:spacing w:after="0" w:line="280" w:lineRule="exact"/>
        <w:jc w:val="both"/>
        <w:outlineLvl w:val="0"/>
        <w:rPr>
          <w:rFonts w:ascii="Calibri" w:eastAsia="Times New Roman" w:hAnsi="Calibri" w:cs="Arial"/>
          <w:b/>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b/>
          <w:lang w:val="fr-FR" w:eastAsia="it-IT"/>
        </w:rPr>
      </w:pPr>
      <w:r w:rsidRPr="006E6AAA">
        <w:rPr>
          <w:rFonts w:ascii="Calibri" w:eastAsia="Times New Roman" w:hAnsi="Calibri" w:cs="Calibri"/>
          <w:b/>
          <w:lang w:val="fr-FR" w:eastAsia="it-IT"/>
        </w:rPr>
        <w:t xml:space="preserve">Efficience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Le cout des AF analysées varie entre 8.000 et 25.000 USD en fonction du nombre de dossiers, de victimes et d’autres éléments; ils sont entièrement soutenus par les partenaires internationaux. Les budgets s’élèvent significativement si l’on inclue les activités préliminaires et les services de transport aérien et de sécurité fournis par la MONUSCO, au point qu’ils semblent difficilement soutenables par le gouvernement congolais. Les procédures financières du PNUD ont été jugées trop complexes et la gestion financière administrée uniquement par les partenaires internationaux affaiblis l’appropriation nationale.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L’appui aux AF s’est développé en excellente synergie et en toute complémentarité entre les partenaires internationaux qui contribuent, en termes d’assistance technique et financière et sur la base des respectifs avantages comparatifs, à l’organisation de chaque AF. Cette coordination pourrait bénéficier d’un cadre de travail formel, comme un Protocole d’entente, afin d’améliorer la planification, le suivi et l’harmonisation de certains aspects des interventions. </w:t>
      </w:r>
    </w:p>
    <w:p w:rsidR="006E6AAA" w:rsidRPr="006E6AAA" w:rsidRDefault="006E6AAA" w:rsidP="006E6AAA">
      <w:pPr>
        <w:spacing w:after="0" w:line="280" w:lineRule="exact"/>
        <w:jc w:val="both"/>
        <w:rPr>
          <w:rFonts w:ascii="Calibri" w:eastAsia="Times New Roman" w:hAnsi="Calibri" w:cs="Calibri"/>
          <w:lang w:val="fr-FR" w:eastAsia="it-IT"/>
        </w:rPr>
      </w:pPr>
    </w:p>
    <w:p w:rsidR="006E6AAA" w:rsidRPr="006E6AAA" w:rsidRDefault="006E6AAA" w:rsidP="006E6AAA">
      <w:p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Durabilité</w:t>
      </w: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r w:rsidRPr="006E6AAA">
        <w:rPr>
          <w:rFonts w:ascii="Calibri" w:eastAsia="Times New Roman" w:hAnsi="Calibri" w:cs="Times New Roman"/>
          <w:lang w:val="fr-FR" w:eastAsia="it-IT"/>
        </w:rPr>
        <w:t xml:space="preserve">Certains éléments de durabilité des AF sont évidents: non seulement cette </w:t>
      </w:r>
      <w:r w:rsidRPr="006E6AAA">
        <w:rPr>
          <w:rFonts w:ascii="Calibri" w:eastAsia="Times New Roman" w:hAnsi="Calibri" w:cs="ArialMT"/>
          <w:lang w:val="fr-FR" w:eastAsia="it-IT"/>
        </w:rPr>
        <w:t>pratique existe dans le système judiciaire congolais depuis 1979, mais aussi les autorités judiciaires ont démontré d’avoir acquis des bonnes compétences dans l’organisation des AF au cours des années de collaboration avec le PNUD. Le manque de moyens financiers pour soutenir les couts élevés des AF combinée avec l’absence d’une stratégie nationale pour les AF, conduit toutefois à la conclusion que les juridictions congolaises ne seront pas en mesure de continuer à organiser les AF dans le futur proche sans un appui de la communauté internationale. Dans quelques rares occasions les juridictions ont organisé des AF sans appui financier extérieur, en particulier le TGI de Bunia</w:t>
      </w:r>
      <w:r w:rsidRPr="006E6AAA">
        <w:rPr>
          <w:rFonts w:ascii="Calibri" w:eastAsia="Times New Roman" w:hAnsi="Calibri" w:cs="ArialMT"/>
          <w:color w:val="FF0000"/>
          <w:lang w:val="fr-FR" w:eastAsia="it-IT"/>
        </w:rPr>
        <w:t xml:space="preserve">. </w:t>
      </w:r>
      <w:r w:rsidRPr="006E6AAA">
        <w:rPr>
          <w:rFonts w:ascii="Calibri" w:eastAsia="Times New Roman" w:hAnsi="Calibri" w:cs="ArialMT"/>
          <w:lang w:val="fr-FR" w:eastAsia="it-IT"/>
        </w:rPr>
        <w:t xml:space="preserve">  </w:t>
      </w:r>
    </w:p>
    <w:p w:rsidR="006E6AAA" w:rsidRPr="006E6AAA" w:rsidRDefault="006E6AAA" w:rsidP="006E6AAA">
      <w:pPr>
        <w:spacing w:after="0" w:line="280" w:lineRule="exact"/>
        <w:jc w:val="both"/>
        <w:rPr>
          <w:rFonts w:ascii="Times New Roman" w:eastAsia="Times New Roman" w:hAnsi="Times New Roman" w:cs="Times New Roman"/>
          <w:sz w:val="24"/>
          <w:szCs w:val="24"/>
          <w:lang w:val="fr-FR" w:eastAsia="it-IT"/>
        </w:rPr>
      </w:pPr>
      <w:r w:rsidRPr="006E6AAA">
        <w:rPr>
          <w:rFonts w:ascii="Calibri" w:eastAsia="Times New Roman" w:hAnsi="Calibri" w:cs="Times New Roman"/>
          <w:lang w:val="fr-FR" w:eastAsia="it-IT"/>
        </w:rPr>
        <w:t>Malgré les AF soient menées entièrement par les autorités judiciaires nationales et avec un bon niveau de compétence technique, l’appropriation nationale de l’initiative reste faible, notamment dans la planification, le suivi et la gestion financière.</w:t>
      </w:r>
    </w:p>
    <w:p w:rsidR="006E6AAA" w:rsidRPr="006E6AAA" w:rsidRDefault="006E6AAA" w:rsidP="006E6AAA">
      <w:pPr>
        <w:autoSpaceDE w:val="0"/>
        <w:autoSpaceDN w:val="0"/>
        <w:adjustRightInd w:val="0"/>
        <w:spacing w:after="0" w:line="280" w:lineRule="exact"/>
        <w:jc w:val="both"/>
        <w:rPr>
          <w:rFonts w:ascii="Calibri" w:eastAsia="Times New Roman" w:hAnsi="Calibri" w:cs="ArialMT"/>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spacing w:after="0" w:line="280" w:lineRule="exact"/>
        <w:jc w:val="both"/>
        <w:rPr>
          <w:rFonts w:ascii="Calibri" w:eastAsia="Times New Roman" w:hAnsi="Calibri" w:cs="Times New Roman"/>
          <w:b/>
          <w:lang w:val="fr-FR" w:eastAsia="it-IT"/>
        </w:rPr>
      </w:pPr>
      <w:r w:rsidRPr="006E6AAA">
        <w:rPr>
          <w:rFonts w:ascii="Calibri" w:eastAsia="Times New Roman" w:hAnsi="Calibri" w:cs="Times New Roman"/>
          <w:b/>
          <w:lang w:val="fr-FR" w:eastAsia="it-IT"/>
        </w:rPr>
        <w:t>Impact</w:t>
      </w: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Times New Roman"/>
          <w:lang w:val="fr-FR" w:eastAsia="it-IT"/>
        </w:rPr>
        <w:t xml:space="preserve">Les AF ont un effet dissuasif sur les criminels et créent plus de sécurité dans les communautés en réduisant le taux de criminalité. Elles ont favorisé le retour progressif de la confiance de la population dans la justice et le rapprochement de la justice aux justiciables. En observant les procès, la population a pu mieux comprendre le fonctionnement du système judiciaire; la fonction pédagogique des AF pourrait toutefois être renforcée en augmentant et rendent plus systématiques les sensibilisations pour la population visant à expliquer le rôle et les objectifs des AF. Dans certaines zones visitées par les AF c’était la première fois que la population entrait en contact avec le système de justice formelle. </w:t>
      </w:r>
    </w:p>
    <w:p w:rsidR="006E6AAA" w:rsidRPr="006E6AAA" w:rsidRDefault="006E6AAA" w:rsidP="006E6AAA">
      <w:pPr>
        <w:spacing w:after="0" w:line="280" w:lineRule="exact"/>
        <w:jc w:val="both"/>
        <w:rPr>
          <w:rFonts w:ascii="Calibri" w:eastAsia="Times New Roman" w:hAnsi="Calibri" w:cs="Times New Roman"/>
          <w:lang w:val="fr-FR" w:eastAsia="it-IT"/>
        </w:rPr>
      </w:pPr>
      <w:r w:rsidRPr="006E6AAA">
        <w:rPr>
          <w:rFonts w:ascii="Calibri" w:eastAsia="Times New Roman" w:hAnsi="Calibri" w:cs="Arial"/>
          <w:lang w:val="fr-FR" w:eastAsia="it-IT"/>
        </w:rPr>
        <w:t xml:space="preserve">Les AF ont eu un impact positif sur la promotion et l’application </w:t>
      </w:r>
      <w:r w:rsidRPr="006E6AAA">
        <w:rPr>
          <w:rFonts w:ascii="Calibri" w:eastAsia="Times New Roman" w:hAnsi="Calibri" w:cs="Times New Roman"/>
          <w:lang w:val="fr-FR" w:eastAsia="it-IT"/>
        </w:rPr>
        <w:t xml:space="preserve">du droit pénal international en complémentarité avec la CPI. Les AF ont renforcé la capacité des autorités nationales de poursuivre et juger des crimes internationaux. Un nombre croissant de dossiers de crimes de guerre et crimes contre l’humanité est traité par les AF : au moins 8  de ces dossiers ont été jugés au cours des AF appuyées par le PNUD dans l’est de RDC.  Les importants défis de cette nouvelle branche du droit congolais dérivent </w:t>
      </w:r>
      <w:r w:rsidRPr="006E6AAA">
        <w:rPr>
          <w:rFonts w:ascii="Calibri" w:eastAsia="Times New Roman" w:hAnsi="Calibri" w:cs="Times New Roman"/>
          <w:lang w:val="fr-FR" w:eastAsia="it-IT"/>
        </w:rPr>
        <w:lastRenderedPageBreak/>
        <w:t xml:space="preserve">principalement de l’absence d’un cadre juridique de référence : le retards dans l’adoption d’une loi de mise en œuvre du Statut de Rome pose aux juridictions la question du choix du droit applicable (Statut de Rome ou législation congolaise) et laisse ouvert le débat sur la compétence exclusive des juridictions miliaires ou civiles pour les crimes internationaux. </w:t>
      </w: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autoSpaceDE w:val="0"/>
        <w:autoSpaceDN w:val="0"/>
        <w:adjustRightInd w:val="0"/>
        <w:spacing w:after="0" w:line="280" w:lineRule="exact"/>
        <w:jc w:val="both"/>
        <w:rPr>
          <w:rFonts w:ascii="Calibri" w:eastAsia="Times New Roman" w:hAnsi="Calibri" w:cs="Calibri"/>
          <w:lang w:val="fr-FR" w:eastAsia="it-IT"/>
        </w:rPr>
      </w:pPr>
    </w:p>
    <w:p w:rsidR="006E6AAA" w:rsidRPr="006E6AAA" w:rsidRDefault="006E6AAA" w:rsidP="006E6AAA">
      <w:pPr>
        <w:pBdr>
          <w:bottom w:val="single" w:sz="12" w:space="1" w:color="000080"/>
        </w:pBdr>
        <w:autoSpaceDE w:val="0"/>
        <w:autoSpaceDN w:val="0"/>
        <w:adjustRightInd w:val="0"/>
        <w:spacing w:after="0" w:line="280" w:lineRule="exact"/>
        <w:jc w:val="both"/>
        <w:rPr>
          <w:rFonts w:ascii="Calibri" w:eastAsia="Times New Roman" w:hAnsi="Calibri" w:cs="Calibri"/>
          <w:b/>
          <w:lang w:val="fr-FR" w:eastAsia="it-IT"/>
        </w:rPr>
      </w:pPr>
      <w:r w:rsidRPr="006E6AAA">
        <w:rPr>
          <w:rFonts w:ascii="Calibri" w:eastAsia="Times New Roman" w:hAnsi="Calibri" w:cs="Calibri"/>
          <w:b/>
          <w:color w:val="000080"/>
          <w:lang w:val="fr-FR" w:eastAsia="it-IT"/>
        </w:rPr>
        <w:t>§ 11.</w:t>
      </w:r>
      <w:r w:rsidRPr="006E6AAA">
        <w:rPr>
          <w:rFonts w:ascii="Calibri" w:eastAsia="Times New Roman" w:hAnsi="Calibri" w:cs="Calibri"/>
          <w:b/>
          <w:lang w:val="fr-FR" w:eastAsia="it-IT"/>
        </w:rPr>
        <w:t xml:space="preserve"> Recommandations </w:t>
      </w:r>
    </w:p>
    <w:p w:rsidR="006E6AAA" w:rsidRPr="006E6AAA" w:rsidRDefault="006E6AAA" w:rsidP="006E6AAA">
      <w:pPr>
        <w:spacing w:after="0" w:line="240" w:lineRule="auto"/>
        <w:rPr>
          <w:rFonts w:ascii="Times New Roman" w:eastAsia="Times New Roman" w:hAnsi="Times New Roman" w:cs="Times New Roman"/>
          <w:sz w:val="24"/>
          <w:szCs w:val="24"/>
          <w:lang w:val="fr-FR" w:eastAsia="it-IT"/>
        </w:rPr>
      </w:pPr>
    </w:p>
    <w:p w:rsidR="006E6AAA" w:rsidRPr="006E6AAA" w:rsidRDefault="006E6AAA" w:rsidP="006E6AAA">
      <w:p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Les points qui suivent se proposent de résumer les recommandations illustrées dans le corps du rapport afin d’améliorer la mise en œuvre des AF. Elles concernent principalement les aspects stratégiques et de gestion des AF et en mesure mineure les aspects strictement juridiques, qui sont en bonne voie vers les standards internationaux du procès équitable.</w:t>
      </w:r>
    </w:p>
    <w:p w:rsidR="006E6AAA" w:rsidRPr="006E6AAA" w:rsidRDefault="006E6AAA" w:rsidP="006E6AAA">
      <w:pPr>
        <w:spacing w:after="0" w:line="240" w:lineRule="auto"/>
        <w:jc w:val="both"/>
        <w:rPr>
          <w:rFonts w:ascii="Calibri" w:eastAsia="Times New Roman" w:hAnsi="Calibri" w:cs="Times New Roman"/>
          <w:lang w:val="fr-FR" w:eastAsia="it-IT"/>
        </w:rPr>
      </w:pP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1. Appuyer davantage les juridictions civiles </w:t>
      </w:r>
    </w:p>
    <w:p w:rsidR="006E6AAA" w:rsidRPr="006E6AAA" w:rsidRDefault="006E6AAA" w:rsidP="006E6AAA">
      <w:pPr>
        <w:spacing w:after="0" w:line="240" w:lineRule="auto"/>
        <w:jc w:val="both"/>
        <w:rPr>
          <w:rFonts w:ascii="Calibri" w:eastAsia="Times New Roman" w:hAnsi="Calibri" w:cs="Times New Roman"/>
          <w:i/>
          <w:lang w:val="fr-FR" w:eastAsia="it-IT"/>
        </w:rPr>
      </w:pPr>
    </w:p>
    <w:p w:rsidR="006E6AAA" w:rsidRPr="006E6AAA" w:rsidRDefault="006E6AAA" w:rsidP="006E6AAA">
      <w:pPr>
        <w:numPr>
          <w:ilvl w:val="0"/>
          <w:numId w:val="78"/>
        </w:numPr>
        <w:spacing w:after="0" w:line="280" w:lineRule="exact"/>
        <w:jc w:val="both"/>
        <w:rPr>
          <w:rFonts w:ascii="Calibri" w:eastAsia="Times New Roman" w:hAnsi="Calibri" w:cs="Times New Roman"/>
          <w:lang w:val="fr-FR" w:eastAsia="it-IT"/>
        </w:rPr>
      </w:pPr>
      <w:r w:rsidRPr="006E6AAA">
        <w:rPr>
          <w:rFonts w:ascii="Calibri" w:eastAsia="Times New Roman" w:hAnsi="Calibri" w:cs="Whitney-Book"/>
          <w:lang w:val="fr-FR" w:eastAsia="it-IT"/>
        </w:rPr>
        <w:t>C</w:t>
      </w:r>
      <w:r w:rsidRPr="006E6AAA">
        <w:rPr>
          <w:rFonts w:ascii="Calibri" w:eastAsia="Times New Roman" w:hAnsi="Calibri" w:cs="Times New Roman"/>
          <w:lang w:val="fr-FR" w:eastAsia="it-IT"/>
        </w:rPr>
        <w:t>onsidéré que la compétence pour les crimes internationaux a été reconnue aux juridictions civiles á partir d’Avril 2013, et que le taux de violences sexuelles commis par les militaires est entrain de diminuer, il serait opportun d’appuyer d’avantage les juridictions civiles dans l’organisation des AF et graduellement réduire le soutien aux militaires.</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2. Elargir les AF á toutes les infractions </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numPr>
          <w:ilvl w:val="0"/>
          <w:numId w:val="77"/>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Considéré l’éventualité d’une discrimination á l’égard de victimes d’infractions non-VBG dans leur droit d’accès à la justice, il serait recommandé de discuter avec les bailleurs la possibilité de réduire davantage ou éventuellement abolir le critère relatif au pourcentage minimal de dossiers VBG requis pour organiser une AF. </w:t>
      </w:r>
    </w:p>
    <w:p w:rsidR="006E6AAA" w:rsidRPr="006E6AAA" w:rsidRDefault="006E6AAA" w:rsidP="006E6AAA">
      <w:pPr>
        <w:numPr>
          <w:ilvl w:val="0"/>
          <w:numId w:val="77"/>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En parallèle il faudrait relancer l’image des AF par une stratégie de communication visant á changer la perception des AF comme des instruments de lutte contre les VBG. </w:t>
      </w:r>
    </w:p>
    <w:p w:rsidR="006E6AAA" w:rsidRPr="006E6AAA" w:rsidRDefault="006E6AAA" w:rsidP="006E6AAA">
      <w:pPr>
        <w:spacing w:after="0" w:line="240" w:lineRule="auto"/>
        <w:jc w:val="both"/>
        <w:rPr>
          <w:rFonts w:ascii="Times New Roman" w:eastAsia="Times New Roman" w:hAnsi="Times New Roman" w:cs="Times New Roman"/>
          <w:sz w:val="24"/>
          <w:szCs w:val="24"/>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3. Adopter une stratégie d’intervention et une planification des AF</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numPr>
          <w:ilvl w:val="0"/>
          <w:numId w:val="7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Identifier un modèle d’intervention. </w:t>
      </w:r>
    </w:p>
    <w:p w:rsidR="006E6AAA" w:rsidRPr="006E6AAA" w:rsidRDefault="006E6AAA" w:rsidP="006E6AAA">
      <w:pPr>
        <w:spacing w:after="0" w:line="280" w:lineRule="exact"/>
        <w:ind w:left="432"/>
        <w:jc w:val="both"/>
        <w:rPr>
          <w:rFonts w:ascii="Calibri" w:eastAsia="Times New Roman" w:hAnsi="Calibri" w:cs="Times New Roman"/>
          <w:lang w:val="fr-FR" w:eastAsia="it-IT"/>
        </w:rPr>
      </w:pPr>
      <w:r w:rsidRPr="006E6AAA">
        <w:rPr>
          <w:rFonts w:ascii="Calibri" w:eastAsia="Times New Roman" w:hAnsi="Calibri" w:cs="Times New Roman"/>
          <w:b/>
          <w:lang w:val="fr-FR" w:eastAsia="it-IT"/>
        </w:rPr>
        <w:t>Un système d’AF mixte</w:t>
      </w:r>
      <w:r w:rsidRPr="006E6AAA">
        <w:rPr>
          <w:rFonts w:ascii="Calibri" w:eastAsia="Times New Roman" w:hAnsi="Calibri" w:cs="Times New Roman"/>
          <w:lang w:val="fr-FR" w:eastAsia="it-IT"/>
        </w:rPr>
        <w:t>, intégrant « le modèle continu » et « le modèle ponctuel/</w:t>
      </w:r>
      <w:r w:rsidRPr="006E6AAA">
        <w:rPr>
          <w:rFonts w:ascii="Calibri" w:eastAsia="Times New Roman" w:hAnsi="Calibri" w:cs="Times New Roman"/>
          <w:i/>
          <w:lang w:val="fr-FR" w:eastAsia="it-IT"/>
        </w:rPr>
        <w:t>ad hoc</w:t>
      </w:r>
      <w:r w:rsidRPr="006E6AAA">
        <w:rPr>
          <w:rFonts w:ascii="Calibri" w:eastAsia="Times New Roman" w:hAnsi="Calibri" w:cs="Times New Roman"/>
          <w:lang w:val="fr-FR" w:eastAsia="it-IT"/>
        </w:rPr>
        <w:t>» d’intervention pourrait être envisagée.</w:t>
      </w:r>
      <w:r w:rsidRPr="006E6AAA">
        <w:rPr>
          <w:rFonts w:ascii="Calibri" w:eastAsia="Times New Roman" w:hAnsi="Calibri" w:cs="Times New Roman"/>
          <w:vertAlign w:val="superscript"/>
          <w:lang w:val="fr-FR" w:eastAsia="it-IT"/>
        </w:rPr>
        <w:footnoteReference w:id="271"/>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 xml:space="preserve"> </w:t>
      </w:r>
      <w:r w:rsidRPr="006E6AAA">
        <w:rPr>
          <w:rFonts w:ascii="Calibri" w:eastAsia="Times New Roman" w:hAnsi="Calibri" w:cs="Times New Roman"/>
          <w:lang w:val="fr-FR" w:eastAsia="it-IT"/>
        </w:rPr>
        <w:t xml:space="preserve">Des AF mises en ouvre selon « le modèle continu » pourraient être appuyées dans les territoires où le contexte et la cartographie judiciaire le permettent, avec l’objectif principal de promouvoir </w:t>
      </w:r>
      <w:r w:rsidRPr="006E6AAA">
        <w:rPr>
          <w:rFonts w:ascii="Calibri" w:eastAsia="Times New Roman" w:hAnsi="Calibri" w:cs="Times New Roman"/>
          <w:b/>
          <w:lang w:val="fr-FR" w:eastAsia="it-IT"/>
        </w:rPr>
        <w:t>l’accès à la justice</w:t>
      </w:r>
      <w:r w:rsidRPr="006E6AAA">
        <w:rPr>
          <w:rFonts w:ascii="Calibri" w:eastAsia="Times New Roman" w:hAnsi="Calibri" w:cs="Times New Roman"/>
          <w:lang w:val="fr-FR" w:eastAsia="it-IT"/>
        </w:rPr>
        <w:t xml:space="preserve"> pour les groupes vulnérables et en assurant la prise en charge de tout dossier civil ou pénal. En même temps le PNUD pourrait continuer à appuyer un nombre plus limité d’AF selon le</w:t>
      </w:r>
      <w:r w:rsidRPr="006E6AAA">
        <w:rPr>
          <w:rFonts w:ascii="Calibri" w:eastAsia="Times New Roman" w:hAnsi="Calibri" w:cs="Times New Roman"/>
          <w:b/>
          <w:lang w:val="fr-FR" w:eastAsia="it-IT"/>
        </w:rPr>
        <w:t xml:space="preserve"> « </w:t>
      </w:r>
      <w:r w:rsidRPr="006E6AAA">
        <w:rPr>
          <w:rFonts w:ascii="Calibri" w:eastAsia="Times New Roman" w:hAnsi="Calibri" w:cs="Times New Roman"/>
          <w:lang w:val="fr-FR" w:eastAsia="it-IT"/>
        </w:rPr>
        <w:t>modèle ponctuel/</w:t>
      </w:r>
      <w:r w:rsidRPr="006E6AAA">
        <w:rPr>
          <w:rFonts w:ascii="Calibri" w:eastAsia="Times New Roman" w:hAnsi="Calibri" w:cs="Times New Roman"/>
          <w:i/>
          <w:lang w:val="fr-FR" w:eastAsia="it-IT"/>
        </w:rPr>
        <w:t>ad hoc »</w:t>
      </w:r>
      <w:r w:rsidRPr="006E6AAA">
        <w:rPr>
          <w:rFonts w:ascii="Calibri" w:eastAsia="Times New Roman" w:hAnsi="Calibri" w:cs="Times New Roman"/>
          <w:lang w:val="fr-FR" w:eastAsia="it-IT"/>
        </w:rPr>
        <w:t xml:space="preserve"> dans les zones reculées où les autorités judiciaires sont absentes et le conflit est en cours, avec l’objectif de lutter contre l’impunité</w:t>
      </w:r>
      <w:r w:rsidRPr="006E6AAA">
        <w:rPr>
          <w:rFonts w:ascii="Calibri" w:eastAsia="Times New Roman" w:hAnsi="Calibri" w:cs="Times New Roman"/>
          <w:b/>
          <w:lang w:val="fr-FR" w:eastAsia="it-IT"/>
        </w:rPr>
        <w:t xml:space="preserve"> pour les crimes internationaux</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lang w:val="fr-FR" w:eastAsia="it-IT"/>
        </w:rPr>
        <w:t>en complémentarité avec la CPI</w:t>
      </w:r>
      <w:r w:rsidRPr="006E6AAA">
        <w:rPr>
          <w:rFonts w:ascii="Calibri" w:eastAsia="Times New Roman" w:hAnsi="Calibri" w:cs="Times New Roman"/>
          <w:lang w:val="fr-FR" w:eastAsia="it-IT"/>
        </w:rPr>
        <w:t xml:space="preserve"> et en assurant une priorité aux dossiers qui relèvent du Statut de Rome.</w:t>
      </w:r>
    </w:p>
    <w:p w:rsidR="006E6AAA" w:rsidRPr="006E6AAA" w:rsidRDefault="006E6AAA" w:rsidP="006E6AAA">
      <w:pPr>
        <w:numPr>
          <w:ilvl w:val="0"/>
          <w:numId w:val="7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Opérationnaliser la stratégie sous-mentionnée par la rédaction d’un Protocole d’entente annuel entre les partenaires internationaux qui appuient les AF et les autorités judiciaires (un accord de principe avec le Ministère de la Justice au niveau national et un accord opérationnel au niveau des provinces). </w:t>
      </w:r>
    </w:p>
    <w:p w:rsidR="006E6AAA" w:rsidRPr="006E6AAA" w:rsidRDefault="006E6AAA" w:rsidP="006E6AAA">
      <w:pPr>
        <w:numPr>
          <w:ilvl w:val="0"/>
          <w:numId w:val="76"/>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Plaidoyer pour l’implantation des juridictions permanentes dans les zones d’intervention. </w:t>
      </w:r>
    </w:p>
    <w:p w:rsidR="006E6AAA" w:rsidRPr="006E6AAA" w:rsidRDefault="006E6AAA" w:rsidP="006E6AAA">
      <w:pPr>
        <w:tabs>
          <w:tab w:val="left" w:pos="8370"/>
        </w:tabs>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ab/>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spacing w:after="0" w:line="280" w:lineRule="exact"/>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lastRenderedPageBreak/>
        <w:t>4. Promouvoir la durabilité et l’appropriation nationale</w:t>
      </w:r>
    </w:p>
    <w:p w:rsidR="006E6AAA" w:rsidRPr="006E6AAA" w:rsidRDefault="006E6AAA" w:rsidP="006E6AAA">
      <w:pPr>
        <w:spacing w:after="0" w:line="280" w:lineRule="exact"/>
        <w:jc w:val="both"/>
        <w:rPr>
          <w:rFonts w:ascii="Calibri" w:eastAsia="Times New Roman" w:hAnsi="Calibri" w:cs="Times New Roman"/>
          <w:i/>
          <w:lang w:val="fr-FR" w:eastAsia="it-IT"/>
        </w:rPr>
      </w:pPr>
    </w:p>
    <w:p w:rsidR="006E6AAA" w:rsidRPr="006E6AAA" w:rsidRDefault="006E6AAA" w:rsidP="006E6AAA">
      <w:pPr>
        <w:numPr>
          <w:ilvl w:val="0"/>
          <w:numId w:val="79"/>
        </w:numPr>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Prévoir une stratégie de transfert des compétences aux juridictions congolaises et renforcer l’appropriation nationale en vue de ce transfert, en assurant une participation plus active des juridictions dans les activités de suivi, de gestion financière et de planification. </w:t>
      </w:r>
    </w:p>
    <w:p w:rsidR="006E6AAA" w:rsidRPr="006E6AAA" w:rsidRDefault="006E6AAA" w:rsidP="006E6AAA">
      <w:pPr>
        <w:spacing w:after="0" w:line="280" w:lineRule="exact"/>
        <w:ind w:left="432"/>
        <w:jc w:val="both"/>
        <w:rPr>
          <w:rFonts w:ascii="Calibri" w:eastAsia="Times New Roman" w:hAnsi="Calibri" w:cs="Times New Roman"/>
          <w:lang w:val="fr-FR" w:eastAsia="it-IT"/>
        </w:rPr>
      </w:pPr>
      <w:r w:rsidRPr="006E6AAA">
        <w:rPr>
          <w:rFonts w:ascii="Calibri" w:eastAsia="Times New Roman" w:hAnsi="Calibri" w:cs="Times New Roman"/>
          <w:lang w:val="fr-FR" w:eastAsia="it-IT"/>
        </w:rPr>
        <w:t>Une réflexion pourrait être menée dans le cadre de la stratégie mentionnée à la recommandation n.3, afin d’identifier quel serait le modèle d’AF à pérenniser dans un contexte comme la RDC. En principe les efforts de pérennisation semblent plus pertinents par rapport aux AF mises an place selon le « modèle continu », vu les coûts élevées et la nature temporaire des AF organisées selon le « modèle ponctuel/</w:t>
      </w:r>
      <w:r w:rsidRPr="006E6AAA">
        <w:rPr>
          <w:rFonts w:ascii="Calibri" w:eastAsia="Times New Roman" w:hAnsi="Calibri" w:cs="Times New Roman"/>
          <w:i/>
          <w:lang w:val="fr-FR" w:eastAsia="it-IT"/>
        </w:rPr>
        <w:t>ad hoc</w:t>
      </w:r>
      <w:r w:rsidRPr="006E6AAA">
        <w:rPr>
          <w:rFonts w:ascii="Calibri" w:eastAsia="Times New Roman" w:hAnsi="Calibri" w:cs="Times New Roman"/>
          <w:lang w:val="fr-FR" w:eastAsia="it-IT"/>
        </w:rPr>
        <w:t xml:space="preserve"> ».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5. Graduellement transférer la gestion financière aux autorités judiciaires congolaises</w:t>
      </w:r>
    </w:p>
    <w:p w:rsidR="006E6AAA" w:rsidRPr="006E6AAA" w:rsidRDefault="006E6AAA" w:rsidP="006E6AAA">
      <w:pPr>
        <w:spacing w:after="0" w:line="240" w:lineRule="auto"/>
        <w:jc w:val="both"/>
        <w:rPr>
          <w:rFonts w:ascii="Calibri" w:eastAsia="Times New Roman" w:hAnsi="Calibri" w:cs="Times New Roman"/>
          <w:i/>
          <w:lang w:val="fr-FR" w:eastAsia="it-IT"/>
        </w:rPr>
      </w:pPr>
      <w:r w:rsidRPr="006E6AAA">
        <w:rPr>
          <w:rFonts w:ascii="Calibri" w:eastAsia="Times New Roman" w:hAnsi="Calibri" w:cs="Times New Roman"/>
          <w:i/>
          <w:lang w:val="fr-FR" w:eastAsia="it-IT"/>
        </w:rPr>
        <w:t xml:space="preserve"> </w:t>
      </w:r>
    </w:p>
    <w:p w:rsidR="006E6AAA" w:rsidRPr="006E6AAA" w:rsidRDefault="006E6AAA" w:rsidP="006E6AAA">
      <w:pPr>
        <w:numPr>
          <w:ilvl w:val="0"/>
          <w:numId w:val="81"/>
        </w:num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Mener une réflexion sur l’opportunité de créer un </w:t>
      </w:r>
      <w:r w:rsidRPr="006E6AAA">
        <w:rPr>
          <w:rFonts w:ascii="Calibri" w:eastAsia="Times New Roman" w:hAnsi="Calibri" w:cs="Times New Roman"/>
          <w:i/>
          <w:lang w:val="fr-FR" w:eastAsia="it-IT"/>
        </w:rPr>
        <w:t>basket fund</w:t>
      </w:r>
      <w:r w:rsidRPr="006E6AAA">
        <w:rPr>
          <w:rFonts w:ascii="Calibri" w:eastAsia="Times New Roman" w:hAnsi="Calibri" w:cs="Times New Roman"/>
          <w:lang w:val="fr-FR" w:eastAsia="it-IT"/>
        </w:rPr>
        <w:t xml:space="preserve"> (panier de fonds) pour la gestion en commun des fonds que la communauté internationale destine aux AF, en tant que mesure </w:t>
      </w:r>
      <w:r w:rsidRPr="006E6AAA">
        <w:rPr>
          <w:rFonts w:ascii="Calibri" w:eastAsia="Times New Roman" w:hAnsi="Calibri" w:cs="HelveticaNeue-LightCond"/>
          <w:lang w:val="fr-FR" w:eastAsia="it-IT"/>
        </w:rPr>
        <w:t>intérimaire en préparation du transfert de la gestion financière aux juridictions.</w:t>
      </w:r>
    </w:p>
    <w:p w:rsidR="006E6AAA" w:rsidRPr="006E6AAA" w:rsidRDefault="006E6AAA" w:rsidP="006E6AAA">
      <w:pPr>
        <w:numPr>
          <w:ilvl w:val="0"/>
          <w:numId w:val="81"/>
        </w:num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Encourager les partenaires internationaux à harmoniser les </w:t>
      </w:r>
      <w:r w:rsidRPr="006E6AAA">
        <w:rPr>
          <w:rFonts w:ascii="Calibri" w:eastAsia="Times New Roman" w:hAnsi="Calibri" w:cs="Times New Roman"/>
          <w:i/>
          <w:lang w:val="fr-FR" w:eastAsia="it-IT"/>
        </w:rPr>
        <w:t>perdiem</w:t>
      </w:r>
      <w:r w:rsidRPr="006E6AAA">
        <w:rPr>
          <w:rFonts w:ascii="Calibri" w:eastAsia="Times New Roman" w:hAnsi="Calibri" w:cs="Times New Roman"/>
          <w:lang w:val="fr-FR" w:eastAsia="it-IT"/>
        </w:rPr>
        <w:t xml:space="preserve"> octroyés aux équipes en foraine et  s’assurer qu’ils soient en ligne avec les barèmes fixés par l’état congolais.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spacing w:after="0" w:line="280" w:lineRule="exact"/>
        <w:jc w:val="both"/>
        <w:rPr>
          <w:rFonts w:ascii="Calibri" w:eastAsia="Times New Roman" w:hAnsi="Calibri" w:cs="Arial"/>
          <w:lang w:val="fr-FR" w:eastAsia="it-IT"/>
        </w:rPr>
      </w:pPr>
      <w:r w:rsidRPr="006E6AAA">
        <w:rPr>
          <w:rFonts w:ascii="Calibri" w:eastAsia="Times New Roman" w:hAnsi="Calibri" w:cs="Times New Roman"/>
          <w:i/>
          <w:lang w:val="fr-FR" w:eastAsia="it-IT"/>
        </w:rPr>
        <w:t xml:space="preserve">6. Améliorer le suivi </w:t>
      </w:r>
      <w:r w:rsidRPr="006E6AAA">
        <w:rPr>
          <w:rFonts w:ascii="Calibri" w:eastAsia="Times New Roman" w:hAnsi="Calibri" w:cs="Arial"/>
          <w:i/>
          <w:lang w:val="fr-FR" w:eastAsia="it-IT"/>
        </w:rPr>
        <w:t>et promouvoir la consolidation des acquis des AF</w:t>
      </w:r>
      <w:r w:rsidRPr="006E6AAA">
        <w:rPr>
          <w:rFonts w:ascii="Calibri" w:eastAsia="Times New Roman" w:hAnsi="Calibri" w:cs="Arial"/>
          <w:lang w:val="fr-FR" w:eastAsia="it-IT"/>
        </w:rPr>
        <w:t xml:space="preserve"> </w:t>
      </w:r>
    </w:p>
    <w:p w:rsidR="006E6AAA" w:rsidRPr="006E6AAA" w:rsidRDefault="006E6AAA" w:rsidP="006E6AAA">
      <w:pPr>
        <w:spacing w:after="0" w:line="280" w:lineRule="exact"/>
        <w:jc w:val="both"/>
        <w:rPr>
          <w:rFonts w:ascii="Calibri" w:eastAsia="Times New Roman" w:hAnsi="Calibri" w:cs="Times New Roman"/>
          <w:lang w:val="fr-FR" w:eastAsia="it-IT"/>
        </w:rPr>
      </w:pPr>
    </w:p>
    <w:p w:rsidR="006E6AAA" w:rsidRPr="006E6AAA" w:rsidRDefault="006E6AAA" w:rsidP="006E6AAA">
      <w:pPr>
        <w:numPr>
          <w:ilvl w:val="0"/>
          <w:numId w:val="80"/>
        </w:num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Adopter un format standard pour les rapports de monitoring des AF ; </w:t>
      </w:r>
    </w:p>
    <w:p w:rsidR="006E6AAA" w:rsidRPr="006E6AAA" w:rsidRDefault="006E6AAA" w:rsidP="006E6AAA">
      <w:pPr>
        <w:numPr>
          <w:ilvl w:val="0"/>
          <w:numId w:val="80"/>
        </w:numPr>
        <w:spacing w:after="0" w:line="240" w:lineRule="auto"/>
        <w:jc w:val="both"/>
        <w:rPr>
          <w:rFonts w:ascii="Calibri" w:eastAsia="Times New Roman" w:hAnsi="Calibri" w:cs="Helvetica"/>
          <w:lang w:val="fr-FR" w:eastAsia="it-IT"/>
        </w:rPr>
      </w:pPr>
      <w:r w:rsidRPr="006E6AAA">
        <w:rPr>
          <w:rFonts w:ascii="Calibri" w:eastAsia="Times New Roman" w:hAnsi="Calibri" w:cs="Helvetica"/>
          <w:lang w:val="fr-FR" w:eastAsia="it-IT"/>
        </w:rPr>
        <w:t>Mettre en place une base de donnés sur Excel pour faciliter l’analyse des résultats atteints ;</w:t>
      </w:r>
    </w:p>
    <w:p w:rsidR="006E6AAA" w:rsidRPr="006E6AAA" w:rsidRDefault="006E6AAA" w:rsidP="006E6AAA">
      <w:pPr>
        <w:numPr>
          <w:ilvl w:val="0"/>
          <w:numId w:val="80"/>
        </w:numPr>
        <w:autoSpaceDE w:val="0"/>
        <w:autoSpaceDN w:val="0"/>
        <w:adjustRightInd w:val="0"/>
        <w:spacing w:after="0" w:line="280" w:lineRule="exact"/>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Assurer la participation des juridictions aux activités de suivi des AF ; </w:t>
      </w:r>
    </w:p>
    <w:p w:rsidR="006E6AAA" w:rsidRPr="006E6AAA" w:rsidRDefault="006E6AAA" w:rsidP="006E6AAA">
      <w:pPr>
        <w:numPr>
          <w:ilvl w:val="0"/>
          <w:numId w:val="80"/>
        </w:numPr>
        <w:spacing w:after="0" w:line="240" w:lineRule="auto"/>
        <w:jc w:val="both"/>
        <w:rPr>
          <w:rFonts w:ascii="Calibri" w:eastAsia="Times New Roman" w:hAnsi="Calibri" w:cs="Arial"/>
          <w:lang w:val="fr-FR" w:eastAsia="it-IT"/>
        </w:rPr>
      </w:pPr>
      <w:r w:rsidRPr="006E6AAA">
        <w:rPr>
          <w:rFonts w:ascii="Calibri" w:eastAsia="Times New Roman" w:hAnsi="Calibri" w:cs="Arial"/>
          <w:lang w:val="fr-FR" w:eastAsia="it-IT"/>
        </w:rPr>
        <w:t>Rédiger périodiquement pour la diffusion extérieure un bulletin sur les résultats atteints par les AF avec l’illustration d’histoires à succès et dossiers emblématiques.</w:t>
      </w:r>
    </w:p>
    <w:p w:rsidR="006E6AAA" w:rsidRPr="006E6AAA" w:rsidRDefault="006E6AAA" w:rsidP="006E6AAA">
      <w:pPr>
        <w:spacing w:after="0" w:line="240" w:lineRule="auto"/>
        <w:jc w:val="both"/>
        <w:rPr>
          <w:rFonts w:ascii="Calibri" w:eastAsia="Times New Roman" w:hAnsi="Calibri" w:cs="Arial"/>
          <w:lang w:val="fr-FR" w:eastAsia="it-IT"/>
        </w:rPr>
      </w:pPr>
    </w:p>
    <w:p w:rsidR="006E6AAA" w:rsidRPr="006E6AAA" w:rsidRDefault="006E6AAA" w:rsidP="006E6AAA">
      <w:pPr>
        <w:spacing w:after="0" w:line="240" w:lineRule="auto"/>
        <w:jc w:val="both"/>
        <w:rPr>
          <w:rFonts w:ascii="Calibri" w:eastAsia="Times New Roman" w:hAnsi="Calibri" w:cs="Arial"/>
          <w:i/>
          <w:lang w:val="fr-FR" w:eastAsia="it-IT"/>
        </w:rPr>
      </w:pPr>
      <w:r w:rsidRPr="006E6AAA">
        <w:rPr>
          <w:rFonts w:ascii="Calibri" w:eastAsia="Times New Roman" w:hAnsi="Calibri" w:cs="Arial"/>
          <w:i/>
          <w:lang w:val="fr-FR" w:eastAsia="it-IT"/>
        </w:rPr>
        <w:t>7. Recommandations concernant les aspects juridiques</w:t>
      </w:r>
    </w:p>
    <w:p w:rsidR="006E6AAA" w:rsidRPr="006E6AAA" w:rsidRDefault="006E6AAA" w:rsidP="006E6AAA">
      <w:pPr>
        <w:spacing w:after="0" w:line="240" w:lineRule="auto"/>
        <w:jc w:val="both"/>
        <w:rPr>
          <w:rFonts w:ascii="Calibri" w:eastAsia="Times New Roman" w:hAnsi="Calibri" w:cs="Arial"/>
          <w:i/>
          <w:lang w:val="fr-FR" w:eastAsia="it-IT"/>
        </w:rPr>
      </w:pPr>
    </w:p>
    <w:p w:rsidR="006E6AAA" w:rsidRPr="006E6AAA" w:rsidRDefault="006E6AAA" w:rsidP="006E6AAA">
      <w:pPr>
        <w:numPr>
          <w:ilvl w:val="0"/>
          <w:numId w:val="82"/>
        </w:num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Assurer le principe de la parité des armes au procès en appuyant davantage les avocats des prévenus</w:t>
      </w:r>
    </w:p>
    <w:p w:rsidR="006E6AAA" w:rsidRPr="006E6AAA" w:rsidRDefault="006E6AAA" w:rsidP="006E6AAA">
      <w:pPr>
        <w:numPr>
          <w:ilvl w:val="0"/>
          <w:numId w:val="82"/>
        </w:num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Renforcer les mesures de protection des victimes et des témoins  </w:t>
      </w:r>
    </w:p>
    <w:p w:rsidR="006E6AAA" w:rsidRPr="006E6AAA" w:rsidRDefault="006E6AAA" w:rsidP="006E6AAA">
      <w:pPr>
        <w:numPr>
          <w:ilvl w:val="0"/>
          <w:numId w:val="82"/>
        </w:numPr>
        <w:spacing w:after="0" w:line="240" w:lineRule="auto"/>
        <w:jc w:val="both"/>
        <w:rPr>
          <w:rFonts w:ascii="Calibri" w:eastAsia="Times New Roman" w:hAnsi="Calibri" w:cs="Times New Roman"/>
          <w:lang w:val="fr-FR" w:eastAsia="it-IT"/>
        </w:rPr>
      </w:pPr>
      <w:r w:rsidRPr="006E6AAA">
        <w:rPr>
          <w:rFonts w:ascii="Calibri" w:eastAsia="Times New Roman" w:hAnsi="Calibri" w:cs="Times New Roman"/>
          <w:lang w:val="fr-FR" w:eastAsia="it-IT"/>
        </w:rPr>
        <w:t>Renforcer l’exécution des jugements, surtout en matière de condamnation civile</w:t>
      </w:r>
      <w:r w:rsidRPr="006E6AAA">
        <w:rPr>
          <w:rFonts w:ascii="Arial" w:eastAsia="Times New Roman" w:hAnsi="Arial" w:cs="Arial"/>
          <w:color w:val="000000"/>
          <w:sz w:val="19"/>
          <w:szCs w:val="19"/>
          <w:lang w:val="fr-FR" w:eastAsia="it-IT"/>
        </w:rPr>
        <w:t xml:space="preserve"> </w:t>
      </w:r>
      <w:r w:rsidRPr="006E6AAA">
        <w:rPr>
          <w:rFonts w:ascii="Calibri" w:eastAsia="Times New Roman" w:hAnsi="Calibri" w:cs="Times New Roman"/>
          <w:lang w:val="fr-FR" w:eastAsia="it-IT"/>
        </w:rPr>
        <w:t>(versement de dommages-intérêts);</w:t>
      </w:r>
    </w:p>
    <w:p w:rsidR="006E6AAA" w:rsidRPr="006E6AAA" w:rsidRDefault="006E6AAA" w:rsidP="006E6AAA">
      <w:pPr>
        <w:numPr>
          <w:ilvl w:val="0"/>
          <w:numId w:val="82"/>
        </w:numPr>
        <w:spacing w:after="0" w:line="240" w:lineRule="auto"/>
        <w:jc w:val="both"/>
        <w:rPr>
          <w:rFonts w:ascii="Times New Roman" w:eastAsia="Times New Roman" w:hAnsi="Times New Roman" w:cs="Times New Roman"/>
          <w:sz w:val="24"/>
          <w:szCs w:val="24"/>
          <w:lang w:val="fr-FR" w:eastAsia="it-IT"/>
        </w:rPr>
      </w:pPr>
      <w:r w:rsidRPr="006E6AAA">
        <w:rPr>
          <w:rFonts w:ascii="Calibri" w:eastAsia="Times New Roman" w:hAnsi="Calibri" w:cs="Times New Roman"/>
          <w:lang w:val="fr-FR" w:eastAsia="it-IT"/>
        </w:rPr>
        <w:t>Mener en parallèle avec l’appui aux Parquets des actions visant les magistrats du siège;</w:t>
      </w:r>
    </w:p>
    <w:p w:rsidR="006E6AAA" w:rsidRPr="006E6AAA" w:rsidRDefault="006E6AAA" w:rsidP="006E6AAA">
      <w:pPr>
        <w:numPr>
          <w:ilvl w:val="0"/>
          <w:numId w:val="82"/>
        </w:numPr>
        <w:spacing w:after="0" w:line="240" w:lineRule="auto"/>
        <w:jc w:val="both"/>
        <w:rPr>
          <w:rFonts w:ascii="Calibri" w:eastAsia="Times New Roman" w:hAnsi="Calibri" w:cs="ScalaPro-Regular"/>
          <w:lang w:val="fr-FR" w:eastAsia="it-IT"/>
        </w:rPr>
      </w:pPr>
      <w:r w:rsidRPr="006E6AAA">
        <w:rPr>
          <w:rFonts w:ascii="Calibri" w:eastAsia="Times New Roman" w:hAnsi="Calibri" w:cs="ScalaPro-Regular"/>
          <w:lang w:val="fr-FR" w:eastAsia="it-IT"/>
        </w:rPr>
        <w:t xml:space="preserve">Plaidoyer pour une politique nationale de poursuite des crimes internationaux et pour l’adoption d’une loi </w:t>
      </w:r>
      <w:r w:rsidRPr="006E6AAA">
        <w:rPr>
          <w:rFonts w:ascii="Calibri" w:eastAsia="Times New Roman" w:hAnsi="Calibri" w:cs="Times New Roman"/>
          <w:lang w:val="fr-FR" w:eastAsia="it-IT"/>
        </w:rPr>
        <w:t>pour la mise en œuvre du Statut de Rome.</w:t>
      </w:r>
    </w:p>
    <w:p w:rsidR="006E6AAA" w:rsidRPr="006E6AAA" w:rsidRDefault="006E6AAA" w:rsidP="006E6AAA">
      <w:pPr>
        <w:spacing w:after="0" w:line="240" w:lineRule="auto"/>
        <w:jc w:val="both"/>
        <w:rPr>
          <w:rFonts w:ascii="Calibri" w:eastAsia="Times New Roman" w:hAnsi="Calibri" w:cs="Times New Roman"/>
          <w:b/>
          <w:color w:val="000080"/>
          <w:sz w:val="24"/>
          <w:szCs w:val="24"/>
          <w:lang w:val="fr-FR" w:eastAsia="it-IT"/>
        </w:rPr>
      </w:pPr>
      <w:r w:rsidRPr="006E6AAA">
        <w:rPr>
          <w:rFonts w:ascii="AmnestyTradeGothic" w:eastAsia="Times New Roman" w:hAnsi="AmnestyTradeGothic" w:cs="AmnestyTradeGothic"/>
          <w:sz w:val="18"/>
          <w:szCs w:val="18"/>
          <w:lang w:val="fr-FR" w:eastAsia="it-IT"/>
        </w:rPr>
        <w:br w:type="page"/>
      </w:r>
      <w:r w:rsidRPr="006E6AAA">
        <w:rPr>
          <w:rFonts w:ascii="Calibri" w:eastAsia="Times New Roman" w:hAnsi="Calibri" w:cs="Times New Roman"/>
          <w:b/>
          <w:color w:val="000080"/>
          <w:sz w:val="24"/>
          <w:szCs w:val="24"/>
          <w:lang w:val="fr-FR" w:eastAsia="it-IT"/>
        </w:rPr>
        <w:lastRenderedPageBreak/>
        <w:t>ANNEXE n.1</w:t>
      </w:r>
    </w:p>
    <w:p w:rsidR="006E6AAA" w:rsidRPr="006E6AAA" w:rsidRDefault="006E6AAA" w:rsidP="006E6AAA">
      <w:pPr>
        <w:spacing w:after="0" w:line="240" w:lineRule="auto"/>
        <w:jc w:val="both"/>
        <w:rPr>
          <w:rFonts w:ascii="Calibri" w:eastAsia="Times New Roman" w:hAnsi="Calibri" w:cs="Times New Roman"/>
          <w:i/>
          <w:sz w:val="20"/>
          <w:szCs w:val="20"/>
          <w:lang w:val="fr-FR" w:eastAsia="it-IT"/>
        </w:rPr>
      </w:pPr>
      <w:r w:rsidRPr="006E6AAA">
        <w:rPr>
          <w:rFonts w:ascii="Calibri" w:eastAsia="Times New Roman" w:hAnsi="Calibri" w:cs="Times New Roman"/>
          <w:i/>
          <w:sz w:val="20"/>
          <w:szCs w:val="20"/>
          <w:lang w:val="fr-FR" w:eastAsia="it-IT"/>
        </w:rPr>
        <w:t>Les documents consultés sont disponibles sur le fichier partagé crée pour la présente évaluation sur Dropbox.</w:t>
      </w:r>
    </w:p>
    <w:p w:rsidR="006E6AAA" w:rsidRPr="006E6AAA" w:rsidRDefault="006E6AAA" w:rsidP="006E6AAA">
      <w:pPr>
        <w:spacing w:after="0" w:line="240" w:lineRule="auto"/>
        <w:rPr>
          <w:rFonts w:ascii="Calibri" w:eastAsia="Times New Roman" w:hAnsi="Calibri" w:cs="Times New Roman"/>
          <w:i/>
          <w:lang w:val="fr-FR" w:eastAsia="it-IT"/>
        </w:rPr>
      </w:pPr>
      <w:hyperlink r:id="rId42" w:history="1">
        <w:r w:rsidRPr="006E6AAA">
          <w:rPr>
            <w:rFonts w:ascii="Calibri" w:eastAsia="Times New Roman" w:hAnsi="Calibri" w:cs="Times New Roman"/>
            <w:i/>
            <w:color w:val="0000FF"/>
            <w:u w:val="single"/>
            <w:lang w:val="fr-FR" w:eastAsia="it-IT"/>
          </w:rPr>
          <w:t>https://www.dropbox.com/sh/kn177z4dddfvgyp/AbtqXNN4Ai</w:t>
        </w:r>
      </w:hyperlink>
    </w:p>
    <w:p w:rsidR="006E6AAA" w:rsidRPr="006E6AAA" w:rsidRDefault="006E6AAA" w:rsidP="006E6AAA">
      <w:pPr>
        <w:spacing w:after="0" w:line="240" w:lineRule="auto"/>
        <w:rPr>
          <w:rFonts w:ascii="Calibri" w:eastAsia="Times New Roman" w:hAnsi="Calibri" w:cs="Times New Roman"/>
          <w:i/>
          <w:lang w:val="fr-FR" w:eastAsia="it-IT"/>
        </w:rPr>
      </w:pPr>
    </w:p>
    <w:p w:rsidR="006E6AAA" w:rsidRPr="006E6AAA" w:rsidRDefault="006E6AAA" w:rsidP="006E6AAA">
      <w:pPr>
        <w:spacing w:after="0" w:line="240" w:lineRule="auto"/>
        <w:rPr>
          <w:rFonts w:ascii="Calibri" w:eastAsia="Times New Roman" w:hAnsi="Calibri" w:cs="Times New Roman"/>
          <w:b/>
          <w:i/>
          <w:color w:val="000080"/>
          <w:sz w:val="24"/>
          <w:szCs w:val="24"/>
          <w:lang w:val="fr-FR" w:eastAsia="it-IT"/>
        </w:rPr>
      </w:pPr>
      <w:r w:rsidRPr="006E6AAA">
        <w:rPr>
          <w:rFonts w:ascii="Calibri" w:eastAsia="Times New Roman" w:hAnsi="Calibri" w:cs="Times New Roman"/>
          <w:b/>
          <w:i/>
          <w:color w:val="000080"/>
          <w:sz w:val="24"/>
          <w:szCs w:val="24"/>
          <w:lang w:val="fr-FR" w:eastAsia="it-IT"/>
        </w:rPr>
        <w:t xml:space="preserve">Documents consultés </w:t>
      </w:r>
    </w:p>
    <w:p w:rsidR="006E6AAA" w:rsidRPr="006E6AAA" w:rsidRDefault="006E6AAA" w:rsidP="006E6AAA">
      <w:pPr>
        <w:spacing w:after="0" w:line="240" w:lineRule="auto"/>
        <w:rPr>
          <w:rFonts w:ascii="Calibri" w:eastAsia="Times New Roman" w:hAnsi="Calibri" w:cs="Times New Roman"/>
          <w:i/>
          <w:lang w:val="fr-FR" w:eastAsia="it-IT"/>
        </w:rPr>
      </w:pPr>
    </w:p>
    <w:p w:rsidR="006E6AAA" w:rsidRPr="006E6AAA" w:rsidRDefault="006E6AAA" w:rsidP="006E6AAA">
      <w:pPr>
        <w:spacing w:after="0" w:line="240" w:lineRule="auto"/>
        <w:rPr>
          <w:rFonts w:ascii="Calibri" w:eastAsia="Times New Roman" w:hAnsi="Calibri" w:cs="Times New Roman"/>
          <w:i/>
          <w:sz w:val="24"/>
          <w:szCs w:val="24"/>
          <w:u w:val="single"/>
          <w:lang w:val="fr-FR" w:eastAsia="it-IT"/>
        </w:rPr>
      </w:pPr>
      <w:r w:rsidRPr="006E6AAA">
        <w:rPr>
          <w:rFonts w:ascii="Calibri" w:eastAsia="Times New Roman" w:hAnsi="Calibri" w:cs="Times New Roman"/>
          <w:i/>
          <w:sz w:val="24"/>
          <w:szCs w:val="24"/>
          <w:u w:val="single"/>
          <w:lang w:val="fr-FR" w:eastAsia="it-IT"/>
        </w:rPr>
        <w:t>A) Doctrine</w:t>
      </w:r>
    </w:p>
    <w:p w:rsidR="006E6AAA" w:rsidRPr="006E6AAA" w:rsidRDefault="006E6AAA" w:rsidP="006E6AAA">
      <w:pPr>
        <w:spacing w:after="0" w:line="240" w:lineRule="auto"/>
        <w:rPr>
          <w:rFonts w:ascii="Calibri" w:eastAsia="Times New Roman" w:hAnsi="Calibri" w:cs="Times New Roman"/>
          <w:i/>
          <w:sz w:val="28"/>
          <w:szCs w:val="28"/>
          <w:u w:val="single"/>
          <w:lang w:val="fr-FR" w:eastAsia="it-IT"/>
        </w:rPr>
      </w:pP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AfriMAP et Open Society Initiative for Southern Africa</w:t>
      </w:r>
      <w:r w:rsidRPr="006E6AAA">
        <w:rPr>
          <w:rFonts w:ascii="Calibri" w:eastAsia="Times New Roman" w:hAnsi="Calibri" w:cs="Times New Roman"/>
          <w:lang w:val="fr-FR" w:eastAsia="it-IT"/>
        </w:rPr>
        <w:t>, « </w:t>
      </w:r>
      <w:r w:rsidRPr="006E6AAA">
        <w:rPr>
          <w:rFonts w:ascii="Calibri" w:eastAsia="Times New Roman" w:hAnsi="Calibri" w:cs="Times New Roman"/>
          <w:i/>
          <w:lang w:val="fr-FR" w:eastAsia="it-IT"/>
        </w:rPr>
        <w:t>La justice militaire et le respect des droits de l’homme – L’urgence du parachèvement de la réforme</w:t>
      </w:r>
      <w:r w:rsidRPr="006E6AAA">
        <w:rPr>
          <w:rFonts w:ascii="Calibri" w:eastAsia="Times New Roman" w:hAnsi="Calibri" w:cs="Times New Roman"/>
          <w:lang w:val="fr-FR" w:eastAsia="it-IT"/>
        </w:rPr>
        <w:t> », 2009</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eastAsia="it-IT"/>
        </w:rPr>
      </w:pPr>
      <w:r w:rsidRPr="006E6AAA">
        <w:rPr>
          <w:rFonts w:ascii="Calibri" w:eastAsia="Times New Roman" w:hAnsi="Calibri" w:cs="Times New Roman"/>
          <w:b/>
          <w:lang w:eastAsia="it-IT"/>
        </w:rPr>
        <w:t>American Bar Association/Rule of Law Initiative</w:t>
      </w:r>
      <w:r w:rsidRPr="006E6AAA">
        <w:rPr>
          <w:rFonts w:ascii="Calibri" w:eastAsia="Times New Roman" w:hAnsi="Calibri" w:cs="Times New Roman"/>
          <w:lang w:eastAsia="it-IT"/>
        </w:rPr>
        <w:t>, “</w:t>
      </w:r>
      <w:r w:rsidRPr="006E6AAA">
        <w:rPr>
          <w:rFonts w:ascii="Calibri" w:eastAsia="Times New Roman" w:hAnsi="Calibri" w:cs="Times New Roman"/>
          <w:i/>
          <w:lang w:eastAsia="it-IT"/>
        </w:rPr>
        <w:t xml:space="preserve">Mobile Courts in the Democratic </w:t>
      </w:r>
      <w:smartTag w:uri="urn:schemas-microsoft-com:office:smarttags" w:element="place">
        <w:smartTag w:uri="urn:schemas-microsoft-com:office:smarttags" w:element="PlaceType">
          <w:r w:rsidRPr="006E6AAA">
            <w:rPr>
              <w:rFonts w:ascii="Calibri" w:eastAsia="Times New Roman" w:hAnsi="Calibri" w:cs="Times New Roman"/>
              <w:i/>
              <w:lang w:eastAsia="it-IT"/>
            </w:rPr>
            <w:t>Republic</w:t>
          </w:r>
        </w:smartTag>
        <w:r w:rsidRPr="006E6AAA">
          <w:rPr>
            <w:rFonts w:ascii="Calibri" w:eastAsia="Times New Roman" w:hAnsi="Calibri" w:cs="Times New Roman"/>
            <w:i/>
            <w:lang w:eastAsia="it-IT"/>
          </w:rPr>
          <w:t xml:space="preserve"> of </w:t>
        </w:r>
        <w:smartTag w:uri="urn:schemas-microsoft-com:office:smarttags" w:element="PlaceName">
          <w:r w:rsidRPr="006E6AAA">
            <w:rPr>
              <w:rFonts w:ascii="Calibri" w:eastAsia="Times New Roman" w:hAnsi="Calibri" w:cs="Times New Roman"/>
              <w:i/>
              <w:lang w:eastAsia="it-IT"/>
            </w:rPr>
            <w:t>Congo</w:t>
          </w:r>
        </w:smartTag>
      </w:smartTag>
      <w:r w:rsidRPr="006E6AAA">
        <w:rPr>
          <w:rFonts w:ascii="Calibri" w:eastAsia="Times New Roman" w:hAnsi="Calibri" w:cs="Times New Roman"/>
          <w:i/>
          <w:lang w:eastAsia="it-IT"/>
        </w:rPr>
        <w:t>: Complementarity in Action?</w:t>
      </w:r>
      <w:r w:rsidRPr="006E6AAA">
        <w:rPr>
          <w:rFonts w:ascii="Calibri" w:eastAsia="Times New Roman" w:hAnsi="Calibri" w:cs="Times New Roman"/>
          <w:lang w:eastAsia="it-IT"/>
        </w:rPr>
        <w:t xml:space="preserve">” </w:t>
      </w:r>
    </w:p>
    <w:p w:rsidR="006E6AAA" w:rsidRPr="006E6AAA" w:rsidRDefault="006E6AAA" w:rsidP="006E6AAA">
      <w:pPr>
        <w:numPr>
          <w:ilvl w:val="0"/>
          <w:numId w:val="72"/>
        </w:numPr>
        <w:spacing w:after="0" w:line="240" w:lineRule="auto"/>
        <w:jc w:val="both"/>
        <w:rPr>
          <w:rFonts w:ascii="Calibri" w:eastAsia="Times New Roman" w:hAnsi="Calibri" w:cs="Times New Roman"/>
          <w:lang w:eastAsia="it-IT"/>
        </w:rPr>
      </w:pPr>
      <w:r w:rsidRPr="006E6AAA">
        <w:rPr>
          <w:rFonts w:ascii="Calibri" w:eastAsia="Times New Roman" w:hAnsi="Calibri" w:cs="Times New Roman"/>
          <w:b/>
          <w:lang w:eastAsia="it-IT"/>
        </w:rPr>
        <w:t>American Bar Association/Rule of Law Initiative</w:t>
      </w:r>
      <w:r w:rsidRPr="006E6AAA">
        <w:rPr>
          <w:rFonts w:ascii="Calibri" w:eastAsia="Times New Roman" w:hAnsi="Calibri" w:cs="Times New Roman"/>
          <w:lang w:eastAsia="it-IT"/>
        </w:rPr>
        <w:t xml:space="preserve">, </w:t>
      </w:r>
      <w:r w:rsidRPr="006E6AAA">
        <w:rPr>
          <w:rFonts w:ascii="Calibri" w:eastAsia="Times New Roman" w:hAnsi="Calibri" w:cs="Times New Roman"/>
          <w:i/>
          <w:lang w:eastAsia="it-IT"/>
        </w:rPr>
        <w:t>« </w:t>
      </w:r>
      <w:smartTag w:uri="urn:schemas-microsoft-com:office:smarttags" w:element="place">
        <w:r w:rsidRPr="006E6AAA">
          <w:rPr>
            <w:rFonts w:ascii="Calibri" w:eastAsia="Times New Roman" w:hAnsi="Calibri" w:cs="Times New Roman"/>
            <w:i/>
            <w:lang w:eastAsia="it-IT"/>
          </w:rPr>
          <w:t>Mobile</w:t>
        </w:r>
      </w:smartTag>
      <w:r w:rsidRPr="006E6AAA">
        <w:rPr>
          <w:rFonts w:ascii="Calibri" w:eastAsia="Times New Roman" w:hAnsi="Calibri" w:cs="Times New Roman"/>
          <w:i/>
          <w:lang w:eastAsia="it-IT"/>
        </w:rPr>
        <w:t xml:space="preserve"> courts in the DRC : lessons from development for international criminal justice</w:t>
      </w:r>
      <w:r w:rsidRPr="006E6AAA">
        <w:rPr>
          <w:rFonts w:ascii="Calibri" w:eastAsia="Times New Roman" w:hAnsi="Calibri" w:cs="Times New Roman"/>
          <w:lang w:eastAsia="it-IT"/>
        </w:rPr>
        <w:t> », 2011.</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eastAsia="it-IT"/>
        </w:rPr>
      </w:pPr>
      <w:r w:rsidRPr="006E6AAA">
        <w:rPr>
          <w:rFonts w:ascii="Calibri" w:eastAsia="Times New Roman" w:hAnsi="Calibri" w:cs="Times New Roman"/>
          <w:b/>
          <w:lang w:eastAsia="it-IT"/>
        </w:rPr>
        <w:t>Amnesty International</w:t>
      </w:r>
      <w:r w:rsidRPr="006E6AAA">
        <w:rPr>
          <w:rFonts w:ascii="Calibri" w:eastAsia="Times New Roman" w:hAnsi="Calibri" w:cs="Times New Roman"/>
          <w:lang w:eastAsia="it-IT"/>
        </w:rPr>
        <w:t>, « </w:t>
      </w:r>
      <w:r w:rsidRPr="006E6AAA">
        <w:rPr>
          <w:rFonts w:ascii="Calibri" w:eastAsia="Times New Roman" w:hAnsi="Calibri" w:cs="Times New Roman"/>
          <w:i/>
          <w:lang w:eastAsia="it-IT"/>
        </w:rPr>
        <w:t xml:space="preserve">The time for justice is now: New strategy needed in the </w:t>
      </w:r>
      <w:smartTag w:uri="urn:schemas-microsoft-com:office:smarttags" w:element="place">
        <w:smartTag w:uri="urn:schemas-microsoft-com:office:smarttags" w:element="country-region">
          <w:r w:rsidRPr="006E6AAA">
            <w:rPr>
              <w:rFonts w:ascii="Calibri" w:eastAsia="Times New Roman" w:hAnsi="Calibri" w:cs="Times New Roman"/>
              <w:i/>
              <w:lang w:eastAsia="it-IT"/>
            </w:rPr>
            <w:t>Democratic Republic of the Congo</w:t>
          </w:r>
        </w:smartTag>
      </w:smartTag>
      <w:r w:rsidRPr="006E6AAA">
        <w:rPr>
          <w:rFonts w:ascii="Calibri" w:eastAsia="Times New Roman" w:hAnsi="Calibri" w:cs="Times New Roman"/>
          <w:lang w:eastAsia="it-IT"/>
        </w:rPr>
        <w:t>”, 2011</w:t>
      </w:r>
    </w:p>
    <w:p w:rsidR="006E6AAA" w:rsidRPr="006E6AAA" w:rsidRDefault="006E6AAA" w:rsidP="006E6AAA">
      <w:pPr>
        <w:numPr>
          <w:ilvl w:val="0"/>
          <w:numId w:val="72"/>
        </w:numPr>
        <w:spacing w:after="0" w:line="240" w:lineRule="auto"/>
        <w:jc w:val="both"/>
        <w:rPr>
          <w:rFonts w:ascii="Calibri" w:eastAsia="Times New Roman" w:hAnsi="Calibri" w:cs="Whitney-Bold"/>
          <w:lang w:val="fr-FR" w:eastAsia="it-IT"/>
        </w:rPr>
      </w:pPr>
      <w:r w:rsidRPr="006E6AAA">
        <w:rPr>
          <w:rFonts w:ascii="Calibri" w:eastAsia="Times New Roman" w:hAnsi="Calibri" w:cs="Whitney-Bold"/>
          <w:b/>
          <w:lang w:val="fr-FR" w:eastAsia="it-IT"/>
        </w:rPr>
        <w:t>Avocats sans Frontières</w:t>
      </w:r>
      <w:r w:rsidRPr="006E6AAA">
        <w:rPr>
          <w:rFonts w:ascii="Calibri" w:eastAsia="Times New Roman" w:hAnsi="Calibri" w:cs="Whitney-Bold"/>
          <w:lang w:val="fr-FR" w:eastAsia="it-IT"/>
        </w:rPr>
        <w:t>,</w:t>
      </w:r>
      <w:r w:rsidRPr="006E6AAA">
        <w:rPr>
          <w:rFonts w:ascii="Calibri" w:eastAsia="Times New Roman" w:hAnsi="Calibri" w:cs="Whitney-Bold"/>
          <w:i/>
          <w:lang w:val="fr-FR" w:eastAsia="it-IT"/>
        </w:rPr>
        <w:t xml:space="preserve"> “Rapport d’évaluation externe des projets support aux audiences foraines et boutiques de droit dans les provinces de l’Equateur et du Maniema en République Démocratique du Congo », </w:t>
      </w:r>
      <w:r w:rsidRPr="006E6AAA">
        <w:rPr>
          <w:rFonts w:ascii="Calibri" w:eastAsia="Times New Roman" w:hAnsi="Calibri" w:cs="Whitney-Bold"/>
          <w:lang w:val="fr-FR" w:eastAsia="it-IT"/>
        </w:rPr>
        <w:t>2008</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Avocats sans Frontières</w:t>
      </w:r>
      <w:r w:rsidRPr="006E6AAA">
        <w:rPr>
          <w:rFonts w:ascii="Calibri" w:eastAsia="Times New Roman" w:hAnsi="Calibri" w:cs="Times New Roman"/>
          <w:lang w:val="fr-FR" w:eastAsia="it-IT"/>
        </w:rPr>
        <w:t>, « </w:t>
      </w:r>
      <w:r w:rsidRPr="006E6AAA">
        <w:rPr>
          <w:rFonts w:ascii="Calibri" w:eastAsia="Times New Roman" w:hAnsi="Calibri" w:cs="Times New Roman"/>
          <w:i/>
          <w:lang w:val="fr-FR" w:eastAsia="it-IT"/>
        </w:rPr>
        <w:t>Etat des lieux de la détention provisoire en République Démocratique du Congo</w:t>
      </w:r>
      <w:r w:rsidRPr="006E6AAA">
        <w:rPr>
          <w:rFonts w:ascii="Calibri" w:eastAsia="Times New Roman" w:hAnsi="Calibri" w:cs="Times New Roman"/>
          <w:lang w:val="fr-FR" w:eastAsia="it-IT"/>
        </w:rPr>
        <w:t> », 2008</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rPr>
      </w:pPr>
      <w:r w:rsidRPr="006E6AAA">
        <w:rPr>
          <w:rFonts w:ascii="Calibri" w:eastAsia="Times New Roman" w:hAnsi="Calibri" w:cs="Times New Roman"/>
          <w:b/>
          <w:lang w:val="fr-FR"/>
        </w:rPr>
        <w:t>Avocats sans Frontières</w:t>
      </w:r>
      <w:r w:rsidRPr="006E6AAA">
        <w:rPr>
          <w:rFonts w:ascii="Calibri" w:eastAsia="Times New Roman" w:hAnsi="Calibri" w:cs="Times New Roman"/>
          <w:lang w:val="fr-FR"/>
        </w:rPr>
        <w:t>, « </w:t>
      </w:r>
      <w:r w:rsidRPr="006E6AAA">
        <w:rPr>
          <w:rFonts w:ascii="Calibri" w:eastAsia="Times New Roman" w:hAnsi="Calibri" w:cs="Times New Roman"/>
          <w:i/>
          <w:lang w:val="fr-FR"/>
        </w:rPr>
        <w:t>Une justice équitable en RDC : Les audiences foraines une expérience pilote réussie</w:t>
      </w:r>
      <w:r w:rsidRPr="006E6AAA">
        <w:rPr>
          <w:rFonts w:ascii="Calibri" w:eastAsia="Times New Roman" w:hAnsi="Calibri" w:cs="Times New Roman"/>
          <w:lang w:val="fr-FR"/>
        </w:rPr>
        <w:t> », 2006 </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Avocats sans Frontières</w:t>
      </w:r>
      <w:r w:rsidRPr="006E6AAA">
        <w:rPr>
          <w:rFonts w:ascii="Calibri" w:eastAsia="Times New Roman" w:hAnsi="Calibri" w:cs="Times New Roman"/>
          <w:lang w:val="fr-FR" w:eastAsia="it-IT"/>
        </w:rPr>
        <w:t>, «</w:t>
      </w:r>
      <w:r w:rsidRPr="006E6AAA">
        <w:rPr>
          <w:rFonts w:ascii="Calibri" w:eastAsia="Times New Roman" w:hAnsi="Calibri" w:cs="Times New Roman"/>
          <w:i/>
          <w:lang w:val="fr-FR" w:eastAsia="it-IT"/>
        </w:rPr>
        <w:t>Etude de jurisprudence : l’application du statut de Rome de la cour pénale internationale par les juridictions de la république démocratique du Congo </w:t>
      </w:r>
      <w:r w:rsidRPr="006E6AAA">
        <w:rPr>
          <w:rFonts w:ascii="Calibri" w:eastAsia="Times New Roman" w:hAnsi="Calibri" w:cs="Times New Roman"/>
          <w:lang w:val="fr-FR" w:eastAsia="it-IT"/>
        </w:rPr>
        <w:t>», 2009</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rPr>
      </w:pPr>
      <w:r w:rsidRPr="006E6AAA">
        <w:rPr>
          <w:rFonts w:ascii="Calibri" w:eastAsia="Times New Roman" w:hAnsi="Calibri" w:cs="Times New Roman"/>
          <w:b/>
          <w:lang w:val="fr-FR"/>
        </w:rPr>
        <w:t>Club des amis du droit du Congo</w:t>
      </w:r>
      <w:r w:rsidRPr="006E6AAA">
        <w:rPr>
          <w:rFonts w:ascii="Calibri" w:eastAsia="Times New Roman" w:hAnsi="Calibri" w:cs="Times New Roman"/>
          <w:lang w:val="fr-FR"/>
        </w:rPr>
        <w:t xml:space="preserve"> « </w:t>
      </w:r>
      <w:r w:rsidRPr="006E6AAA">
        <w:rPr>
          <w:rFonts w:ascii="Calibri" w:eastAsia="Times New Roman" w:hAnsi="Calibri" w:cs="Times New Roman"/>
          <w:i/>
          <w:lang w:val="fr-FR"/>
        </w:rPr>
        <w:t>La répression des crimes internationaux par les juridictions congolaises</w:t>
      </w:r>
      <w:r w:rsidRPr="006E6AAA">
        <w:rPr>
          <w:rFonts w:ascii="Calibri" w:eastAsia="Times New Roman" w:hAnsi="Calibri" w:cs="Times New Roman"/>
          <w:lang w:val="fr-FR"/>
        </w:rPr>
        <w:t> », 2011</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Fédération internationale des ligues des droits de l’homme</w:t>
      </w:r>
      <w:r w:rsidRPr="006E6AAA">
        <w:rPr>
          <w:rFonts w:ascii="Calibri" w:eastAsia="Times New Roman" w:hAnsi="Calibri" w:cs="Times New Roman"/>
          <w:lang w:val="fr-FR" w:eastAsia="it-IT"/>
        </w:rPr>
        <w:t>, « </w:t>
      </w:r>
      <w:r w:rsidRPr="006E6AAA">
        <w:rPr>
          <w:rFonts w:ascii="Calibri" w:eastAsia="Times New Roman" w:hAnsi="Calibri" w:cs="Times New Roman"/>
          <w:i/>
          <w:lang w:val="fr-FR" w:eastAsia="it-IT"/>
        </w:rPr>
        <w:t>Crimes sexuels en République démocratique du Congo (RDC): Briser l'impunité</w:t>
      </w:r>
      <w:r w:rsidRPr="006E6AAA">
        <w:rPr>
          <w:rFonts w:ascii="Calibri" w:eastAsia="Times New Roman" w:hAnsi="Calibri" w:cs="Times New Roman"/>
          <w:lang w:val="fr-FR" w:eastAsia="it-IT"/>
        </w:rPr>
        <w:t> », 2008</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HelveticaNeue"/>
          <w:lang w:val="fr-FR" w:eastAsia="it-IT"/>
        </w:rPr>
      </w:pPr>
      <w:r w:rsidRPr="006E6AAA">
        <w:rPr>
          <w:rFonts w:ascii="Calibri" w:eastAsia="Times New Roman" w:hAnsi="Calibri" w:cs="HelveticaNeue"/>
          <w:b/>
          <w:lang w:val="fr-FR" w:eastAsia="it-IT"/>
        </w:rPr>
        <w:t>Global Rights</w:t>
      </w:r>
      <w:r w:rsidRPr="006E6AAA">
        <w:rPr>
          <w:rFonts w:ascii="Calibri" w:eastAsia="Times New Roman" w:hAnsi="Calibri" w:cs="HelveticaNeue"/>
          <w:lang w:val="fr-FR" w:eastAsia="it-IT"/>
        </w:rPr>
        <w:t>,</w:t>
      </w:r>
      <w:r w:rsidRPr="006E6AAA">
        <w:rPr>
          <w:rFonts w:ascii="Calibri" w:eastAsia="Times New Roman" w:hAnsi="Calibri" w:cs="Frutiger-Bold"/>
          <w:bCs/>
          <w:i/>
          <w:lang w:val="fr-FR" w:eastAsia="it-IT"/>
        </w:rPr>
        <w:t xml:space="preserve"> « Le Monitoring</w:t>
      </w:r>
      <w:r w:rsidRPr="006E6AAA">
        <w:rPr>
          <w:rFonts w:ascii="Calibri" w:eastAsia="Times New Roman" w:hAnsi="Calibri" w:cs="HelveticaNeue"/>
          <w:i/>
          <w:lang w:val="fr-FR" w:eastAsia="it-IT"/>
        </w:rPr>
        <w:t xml:space="preserve"> du Système Judiciaire Un manuel pratique à l’usage des moniteurs de la société civile congolaise</w:t>
      </w:r>
      <w:r w:rsidRPr="006E6AAA">
        <w:rPr>
          <w:rFonts w:ascii="Calibri" w:eastAsia="Times New Roman" w:hAnsi="Calibri" w:cs="HelveticaNeue"/>
          <w:lang w:val="fr-FR" w:eastAsia="it-IT"/>
        </w:rPr>
        <w:t> », 2008</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Frutiger-Bold"/>
          <w:bCs/>
          <w:i/>
          <w:lang w:val="fr-FR" w:eastAsia="it-IT"/>
        </w:rPr>
      </w:pPr>
      <w:r w:rsidRPr="006E6AAA">
        <w:rPr>
          <w:rFonts w:ascii="Calibri" w:eastAsia="Times New Roman" w:hAnsi="Calibri" w:cs="Frutiger-Bold"/>
          <w:b/>
          <w:bCs/>
          <w:lang w:eastAsia="it-IT"/>
        </w:rPr>
        <w:t>Human Rights center University of California, Berkely and ICTJ</w:t>
      </w:r>
      <w:r w:rsidRPr="006E6AAA">
        <w:rPr>
          <w:rFonts w:ascii="Calibri" w:eastAsia="Times New Roman" w:hAnsi="Calibri" w:cs="Frutiger-Bold"/>
          <w:bCs/>
          <w:i/>
          <w:lang w:eastAsia="it-IT"/>
        </w:rPr>
        <w:t xml:space="preserve">, « Vivre dans la peur. </w:t>
      </w:r>
      <w:r w:rsidRPr="006E6AAA">
        <w:rPr>
          <w:rFonts w:ascii="Calibri" w:eastAsia="Times New Roman" w:hAnsi="Calibri" w:cs="Frutiger-Bold"/>
          <w:bCs/>
          <w:i/>
          <w:lang w:val="fr-FR" w:eastAsia="it-IT"/>
        </w:rPr>
        <w:t xml:space="preserve">Une  étude réalisée au sein de la population sur la paix, la justice et la reconstruction sociale dans l’Est de la République démocratique du Congo », 2008, </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MetaBold-Roman"/>
          <w:bCs/>
          <w:lang w:val="fr-FR" w:eastAsia="it-IT"/>
        </w:rPr>
      </w:pPr>
      <w:r w:rsidRPr="006E6AAA">
        <w:rPr>
          <w:rFonts w:ascii="Calibri" w:eastAsia="Times New Roman" w:hAnsi="Calibri" w:cs="MetaNormal-Roman"/>
          <w:b/>
          <w:lang w:val="fr-FR" w:eastAsia="it-IT"/>
        </w:rPr>
        <w:t>Human Rights Watch</w:t>
      </w:r>
      <w:r w:rsidRPr="006E6AAA">
        <w:rPr>
          <w:rFonts w:ascii="Calibri" w:eastAsia="Times New Roman" w:hAnsi="Calibri" w:cs="MetaNormal-Roman"/>
          <w:lang w:val="fr-FR" w:eastAsia="it-IT"/>
        </w:rPr>
        <w:t>,</w:t>
      </w:r>
      <w:r w:rsidRPr="006E6AAA">
        <w:rPr>
          <w:rFonts w:ascii="Calibri" w:eastAsia="Times New Roman" w:hAnsi="Calibri" w:cs="MetaBold-Roman"/>
          <w:bCs/>
          <w:lang w:val="fr-FR" w:eastAsia="it-IT"/>
        </w:rPr>
        <w:t xml:space="preserve"> « </w:t>
      </w:r>
      <w:r w:rsidRPr="006E6AAA">
        <w:rPr>
          <w:rFonts w:ascii="Calibri" w:eastAsia="Times New Roman" w:hAnsi="Calibri" w:cs="MetaBold-Roman"/>
          <w:bCs/>
          <w:i/>
          <w:lang w:val="fr-FR" w:eastAsia="it-IT"/>
        </w:rPr>
        <w:t xml:space="preserve">Les soldats violent, les commandants ferment les yeux </w:t>
      </w:r>
      <w:r w:rsidRPr="006E6AAA">
        <w:rPr>
          <w:rFonts w:ascii="Calibri" w:eastAsia="Times New Roman" w:hAnsi="Calibri" w:cs="MetaMedium-Roman"/>
          <w:i/>
          <w:lang w:val="fr-FR" w:eastAsia="it-IT"/>
        </w:rPr>
        <w:t>Violences sexuelles et réforme militaire en</w:t>
      </w:r>
      <w:r w:rsidRPr="006E6AAA">
        <w:rPr>
          <w:rFonts w:ascii="Calibri" w:eastAsia="Times New Roman" w:hAnsi="Calibri" w:cs="MetaBold-Roman"/>
          <w:bCs/>
          <w:i/>
          <w:lang w:val="fr-FR" w:eastAsia="it-IT"/>
        </w:rPr>
        <w:t xml:space="preserve"> </w:t>
      </w:r>
      <w:r w:rsidRPr="006E6AAA">
        <w:rPr>
          <w:rFonts w:ascii="Calibri" w:eastAsia="Times New Roman" w:hAnsi="Calibri" w:cs="MetaMedium-Roman"/>
          <w:i/>
          <w:lang w:val="fr-FR" w:eastAsia="it-IT"/>
        </w:rPr>
        <w:t>République démocratique du Congo </w:t>
      </w:r>
      <w:r w:rsidRPr="006E6AAA">
        <w:rPr>
          <w:rFonts w:ascii="Calibri" w:eastAsia="Times New Roman" w:hAnsi="Calibri" w:cs="MetaMedium-Roman"/>
          <w:lang w:val="fr-FR" w:eastAsia="it-IT"/>
        </w:rPr>
        <w:t xml:space="preserve">», </w:t>
      </w:r>
      <w:r w:rsidRPr="006E6AAA">
        <w:rPr>
          <w:rFonts w:ascii="Calibri" w:eastAsia="Times New Roman" w:hAnsi="Calibri" w:cs="MetaNormal-Roman"/>
          <w:lang w:val="fr-FR" w:eastAsia="it-IT"/>
        </w:rPr>
        <w:t xml:space="preserve">2009 </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MetaBold-Roman"/>
          <w:bCs/>
          <w:lang w:eastAsia="it-IT"/>
        </w:rPr>
      </w:pPr>
      <w:r w:rsidRPr="006E6AAA">
        <w:rPr>
          <w:rFonts w:ascii="Calibri" w:eastAsia="Times New Roman" w:hAnsi="Calibri" w:cs="Verdana-Bold"/>
          <w:b/>
          <w:bCs/>
          <w:lang w:eastAsia="it-IT"/>
        </w:rPr>
        <w:t>IFPRODUCTIONS</w:t>
      </w:r>
      <w:r w:rsidRPr="006E6AAA">
        <w:rPr>
          <w:rFonts w:ascii="Calibri" w:eastAsia="Times New Roman" w:hAnsi="Calibri" w:cs="ScalaSans-Regular"/>
          <w:lang w:eastAsia="it-IT"/>
        </w:rPr>
        <w:t>, Documentary “</w:t>
      </w:r>
      <w:r w:rsidRPr="006E6AAA">
        <w:rPr>
          <w:rFonts w:ascii="Calibri" w:eastAsia="Times New Roman" w:hAnsi="Calibri" w:cs="ScalaSans-Regular"/>
          <w:i/>
          <w:lang w:eastAsia="it-IT"/>
        </w:rPr>
        <w:t>Justice for sale</w:t>
      </w:r>
      <w:r w:rsidRPr="006E6AAA">
        <w:rPr>
          <w:rFonts w:ascii="Calibri" w:eastAsia="Times New Roman" w:hAnsi="Calibri" w:cs="ScalaSans-Regular"/>
          <w:lang w:eastAsia="it-IT"/>
        </w:rPr>
        <w:t>” by</w:t>
      </w:r>
      <w:r w:rsidRPr="006E6AAA">
        <w:rPr>
          <w:rFonts w:ascii="Calibri" w:eastAsia="Times New Roman" w:hAnsi="Calibri" w:cs="Verdana-Bold"/>
          <w:bCs/>
          <w:lang w:eastAsia="it-IT"/>
        </w:rPr>
        <w:t xml:space="preserve"> Ilse and Femke van Velzen, 2011.</w:t>
      </w:r>
      <w:r w:rsidRPr="006E6AAA">
        <w:rPr>
          <w:rFonts w:ascii="Verdana-Bold" w:eastAsia="Times New Roman" w:hAnsi="Verdana-Bold" w:cs="Verdana-Bold"/>
          <w:b/>
          <w:bCs/>
          <w:lang w:eastAsia="it-IT"/>
        </w:rPr>
        <w:t xml:space="preserve"> </w:t>
      </w:r>
      <w:r w:rsidRPr="006E6AAA">
        <w:rPr>
          <w:rFonts w:ascii="Calibri" w:eastAsia="Times New Roman" w:hAnsi="Calibri" w:cs="ScalaSans-Regular"/>
          <w:lang w:eastAsia="it-IT"/>
        </w:rPr>
        <w:t xml:space="preserve"> </w:t>
      </w:r>
      <w:hyperlink r:id="rId43" w:history="1">
        <w:r w:rsidRPr="006E6AAA">
          <w:rPr>
            <w:rFonts w:ascii="Calibri" w:eastAsia="Times New Roman" w:hAnsi="Calibri" w:cs="ScalaSans-Regular"/>
            <w:color w:val="0000FF"/>
            <w:u w:val="single"/>
            <w:lang w:eastAsia="it-IT"/>
          </w:rPr>
          <w:t>www.justiceforsale.nl</w:t>
        </w:r>
      </w:hyperlink>
    </w:p>
    <w:p w:rsidR="006E6AAA" w:rsidRPr="006E6AAA" w:rsidRDefault="006E6AAA" w:rsidP="006E6AAA">
      <w:pPr>
        <w:numPr>
          <w:ilvl w:val="0"/>
          <w:numId w:val="72"/>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International Alert</w:t>
      </w:r>
      <w:r w:rsidRPr="006E6AAA">
        <w:rPr>
          <w:rFonts w:ascii="Calibri" w:eastAsia="Times New Roman" w:hAnsi="Calibri" w:cs="Times New Roman"/>
          <w:lang w:val="fr-FR" w:eastAsia="it-IT"/>
        </w:rPr>
        <w:t>, « </w:t>
      </w:r>
      <w:r w:rsidRPr="006E6AAA">
        <w:rPr>
          <w:rFonts w:ascii="Calibri" w:eastAsia="Times New Roman" w:hAnsi="Calibri" w:cs="Times New Roman"/>
          <w:i/>
          <w:lang w:val="fr-FR" w:eastAsia="it-IT"/>
        </w:rPr>
        <w:t>La guerre n’est pas encore finie. Perceptions communautaires des violences sexuelles et leurs fondements à l’est de la RDC </w:t>
      </w:r>
      <w:r w:rsidRPr="006E6AAA">
        <w:rPr>
          <w:rFonts w:ascii="Calibri" w:eastAsia="Times New Roman" w:hAnsi="Calibri" w:cs="Times New Roman"/>
          <w:lang w:val="fr-FR" w:eastAsia="it-IT"/>
        </w:rPr>
        <w:t>», Novembre 2010</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Frutiger-Bold"/>
          <w:bCs/>
          <w:lang w:val="fr-FR" w:eastAsia="it-IT"/>
        </w:rPr>
      </w:pPr>
      <w:r w:rsidRPr="006E6AAA">
        <w:rPr>
          <w:rFonts w:ascii="Calibri" w:eastAsia="Times New Roman" w:hAnsi="Calibri" w:cs="Frutiger-Bold"/>
          <w:b/>
          <w:bCs/>
          <w:lang w:val="fr-FR" w:eastAsia="it-IT"/>
        </w:rPr>
        <w:t>International Justice</w:t>
      </w:r>
      <w:r w:rsidRPr="006E6AAA">
        <w:rPr>
          <w:rFonts w:ascii="Calibri" w:eastAsia="Times New Roman" w:hAnsi="Calibri" w:cs="Frutiger-Bold"/>
          <w:bCs/>
          <w:lang w:val="fr-FR" w:eastAsia="it-IT"/>
        </w:rPr>
        <w:t>,</w:t>
      </w:r>
      <w:r w:rsidRPr="006E6AAA">
        <w:rPr>
          <w:rFonts w:ascii="Calibri" w:eastAsia="Times New Roman" w:hAnsi="Calibri" w:cs="Frutiger-Bold"/>
          <w:bCs/>
          <w:i/>
          <w:lang w:val="fr-FR" w:eastAsia="it-IT"/>
        </w:rPr>
        <w:t xml:space="preserve"> « Les tribunaux itinérants dans l’est du Congo »,</w:t>
      </w:r>
      <w:r w:rsidRPr="006E6AAA">
        <w:rPr>
          <w:rFonts w:ascii="Calibri" w:eastAsia="Times New Roman" w:hAnsi="Calibri" w:cs="Frutiger-Bold"/>
          <w:bCs/>
          <w:lang w:val="fr-FR" w:eastAsia="it-IT"/>
        </w:rPr>
        <w:t xml:space="preserve"> 2013</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Frutiger-Black"/>
          <w:lang w:eastAsia="it-IT"/>
        </w:rPr>
      </w:pPr>
      <w:r w:rsidRPr="006E6AAA">
        <w:rPr>
          <w:rFonts w:ascii="Calibri" w:eastAsia="Times New Roman" w:hAnsi="Calibri" w:cs="Frutiger-Roman"/>
          <w:b/>
          <w:lang w:eastAsia="it-IT"/>
        </w:rPr>
        <w:t>International Legal Assistance Consortium</w:t>
      </w:r>
      <w:r w:rsidRPr="006E6AAA">
        <w:rPr>
          <w:rFonts w:ascii="Calibri" w:eastAsia="Times New Roman" w:hAnsi="Calibri" w:cs="Frutiger-Black"/>
          <w:b/>
          <w:lang w:eastAsia="it-IT"/>
        </w:rPr>
        <w:t xml:space="preserve"> </w:t>
      </w:r>
      <w:r w:rsidRPr="006E6AAA">
        <w:rPr>
          <w:rFonts w:ascii="Calibri" w:eastAsia="Times New Roman" w:hAnsi="Calibri" w:cs="Frutiger-Roman"/>
          <w:b/>
          <w:lang w:eastAsia="it-IT"/>
        </w:rPr>
        <w:t>and International Bar Association Human Rights</w:t>
      </w:r>
      <w:r w:rsidRPr="006E6AAA">
        <w:rPr>
          <w:rFonts w:ascii="Calibri" w:eastAsia="Times New Roman" w:hAnsi="Calibri" w:cs="Frutiger-Black"/>
          <w:b/>
          <w:lang w:eastAsia="it-IT"/>
        </w:rPr>
        <w:t xml:space="preserve"> </w:t>
      </w:r>
      <w:r w:rsidRPr="006E6AAA">
        <w:rPr>
          <w:rFonts w:ascii="Calibri" w:eastAsia="Times New Roman" w:hAnsi="Calibri" w:cs="Frutiger-Roman"/>
          <w:b/>
          <w:lang w:eastAsia="it-IT"/>
        </w:rPr>
        <w:t>Institute</w:t>
      </w:r>
      <w:r w:rsidRPr="006E6AAA">
        <w:rPr>
          <w:rFonts w:ascii="Calibri" w:eastAsia="Times New Roman" w:hAnsi="Calibri" w:cs="Frutiger-Roman"/>
          <w:lang w:eastAsia="it-IT"/>
        </w:rPr>
        <w:t>,</w:t>
      </w:r>
      <w:r w:rsidRPr="006E6AAA">
        <w:rPr>
          <w:rFonts w:ascii="Calibri" w:eastAsia="Times New Roman" w:hAnsi="Calibri" w:cs="Frutiger-Black"/>
          <w:lang w:eastAsia="it-IT"/>
        </w:rPr>
        <w:t xml:space="preserve"> “</w:t>
      </w:r>
      <w:r w:rsidRPr="006E6AAA">
        <w:rPr>
          <w:rFonts w:ascii="Calibri" w:eastAsia="Times New Roman" w:hAnsi="Calibri" w:cs="Frutiger-Black"/>
          <w:i/>
          <w:lang w:eastAsia="it-IT"/>
        </w:rPr>
        <w:t xml:space="preserve">Rebuilding courts and trust: </w:t>
      </w:r>
      <w:r w:rsidRPr="006E6AAA">
        <w:rPr>
          <w:rFonts w:ascii="Calibri" w:eastAsia="Times New Roman" w:hAnsi="Calibri" w:cs="Frutiger-Bold"/>
          <w:bCs/>
          <w:i/>
          <w:lang w:eastAsia="it-IT"/>
        </w:rPr>
        <w:t>An assessment of the needs of the justice</w:t>
      </w:r>
      <w:r w:rsidRPr="006E6AAA">
        <w:rPr>
          <w:rFonts w:ascii="Calibri" w:eastAsia="Times New Roman" w:hAnsi="Calibri" w:cs="Frutiger-Black"/>
          <w:i/>
          <w:lang w:eastAsia="it-IT"/>
        </w:rPr>
        <w:t xml:space="preserve"> </w:t>
      </w:r>
      <w:r w:rsidRPr="006E6AAA">
        <w:rPr>
          <w:rFonts w:ascii="Calibri" w:eastAsia="Times New Roman" w:hAnsi="Calibri" w:cs="Frutiger-Bold"/>
          <w:bCs/>
          <w:i/>
          <w:lang w:eastAsia="it-IT"/>
        </w:rPr>
        <w:t xml:space="preserve">system in the Democratic </w:t>
      </w:r>
      <w:smartTag w:uri="urn:schemas-microsoft-com:office:smarttags" w:element="place">
        <w:smartTag w:uri="urn:schemas-microsoft-com:office:smarttags" w:element="PlaceType">
          <w:r w:rsidRPr="006E6AAA">
            <w:rPr>
              <w:rFonts w:ascii="Calibri" w:eastAsia="Times New Roman" w:hAnsi="Calibri" w:cs="Frutiger-Bold"/>
              <w:bCs/>
              <w:i/>
              <w:lang w:eastAsia="it-IT"/>
            </w:rPr>
            <w:t>Republic</w:t>
          </w:r>
        </w:smartTag>
        <w:r w:rsidRPr="006E6AAA">
          <w:rPr>
            <w:rFonts w:ascii="Calibri" w:eastAsia="Times New Roman" w:hAnsi="Calibri" w:cs="Frutiger-Bold"/>
            <w:bCs/>
            <w:i/>
            <w:lang w:eastAsia="it-IT"/>
          </w:rPr>
          <w:t xml:space="preserve"> of </w:t>
        </w:r>
        <w:smartTag w:uri="urn:schemas-microsoft-com:office:smarttags" w:element="PlaceName">
          <w:r w:rsidRPr="006E6AAA">
            <w:rPr>
              <w:rFonts w:ascii="Calibri" w:eastAsia="Times New Roman" w:hAnsi="Calibri" w:cs="Frutiger-Bold"/>
              <w:bCs/>
              <w:i/>
              <w:lang w:eastAsia="it-IT"/>
            </w:rPr>
            <w:t>Congo</w:t>
          </w:r>
        </w:smartTag>
      </w:smartTag>
      <w:r w:rsidRPr="006E6AAA">
        <w:rPr>
          <w:rFonts w:ascii="Calibri" w:eastAsia="Times New Roman" w:hAnsi="Calibri" w:cs="Frutiger-Bold"/>
          <w:bCs/>
          <w:lang w:eastAsia="it-IT"/>
        </w:rPr>
        <w:t>”</w:t>
      </w:r>
      <w:r w:rsidRPr="006E6AAA">
        <w:rPr>
          <w:rFonts w:ascii="Calibri" w:eastAsia="Times New Roman" w:hAnsi="Calibri" w:cs="Frutiger-Black"/>
          <w:lang w:eastAsia="it-IT"/>
        </w:rPr>
        <w:t xml:space="preserve">, August 2009, </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MONUSCO</w:t>
      </w:r>
      <w:r w:rsidRPr="006E6AAA">
        <w:rPr>
          <w:rFonts w:ascii="Calibri" w:eastAsia="Times New Roman" w:hAnsi="Calibri" w:cs="Times New Roman"/>
          <w:lang w:val="fr-FR" w:eastAsia="it-IT"/>
        </w:rPr>
        <w:t>, « </w:t>
      </w:r>
      <w:r w:rsidRPr="006E6AAA">
        <w:rPr>
          <w:rFonts w:ascii="Calibri" w:eastAsia="Times New Roman" w:hAnsi="Calibri" w:cs="Times New Roman"/>
          <w:i/>
          <w:lang w:val="fr-FR" w:eastAsia="it-IT"/>
        </w:rPr>
        <w:t>Rapport sur la détention dans les prisons et cachots de la RDC</w:t>
      </w:r>
      <w:r w:rsidRPr="006E6AAA">
        <w:rPr>
          <w:rFonts w:ascii="Calibri" w:eastAsia="Times New Roman" w:hAnsi="Calibri" w:cs="Times New Roman"/>
          <w:lang w:val="fr-FR" w:eastAsia="it-IT"/>
        </w:rPr>
        <w:t> », 2004</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Frutiger-Black"/>
          <w:lang w:val="fr-FR" w:eastAsia="it-IT"/>
        </w:rPr>
      </w:pPr>
      <w:r w:rsidRPr="006E6AAA">
        <w:rPr>
          <w:rFonts w:ascii="Calibri" w:eastAsia="Times New Roman" w:hAnsi="Calibri" w:cs="Corbel"/>
          <w:b/>
          <w:lang w:val="fr-FR" w:eastAsia="it-IT"/>
        </w:rPr>
        <w:t>Office of the UN High Commissioner for Human Rights</w:t>
      </w:r>
      <w:r w:rsidRPr="006E6AAA">
        <w:rPr>
          <w:rFonts w:ascii="Calibri" w:eastAsia="Times New Roman" w:hAnsi="Calibri" w:cs="Frutiger-Black"/>
          <w:lang w:val="fr-FR" w:eastAsia="it-IT"/>
        </w:rPr>
        <w:t xml:space="preserve"> , « </w:t>
      </w:r>
      <w:r w:rsidRPr="006E6AAA">
        <w:rPr>
          <w:rFonts w:ascii="Calibri" w:eastAsia="Times New Roman" w:hAnsi="Calibri" w:cs="Frutiger-Black"/>
          <w:i/>
          <w:lang w:val="fr-FR" w:eastAsia="it-IT"/>
        </w:rPr>
        <w:t>Rapport du Panel à la Haut Commissaire aux Droits de l'Homme sur les moyens de recours et de réparation pour les victimes de violences sexuelles en République Démocratique du Congo</w:t>
      </w:r>
      <w:r w:rsidRPr="006E6AAA">
        <w:rPr>
          <w:rFonts w:ascii="Calibri" w:eastAsia="Times New Roman" w:hAnsi="Calibri" w:cs="Frutiger-Black"/>
          <w:lang w:val="fr-FR" w:eastAsia="it-IT"/>
        </w:rPr>
        <w:t> », 2011</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NewRomanPSMT"/>
          <w:lang w:val="fr-FR" w:eastAsia="it-IT"/>
        </w:rPr>
      </w:pPr>
      <w:r w:rsidRPr="006E6AAA">
        <w:rPr>
          <w:rFonts w:ascii="Calibri" w:eastAsia="Times New Roman" w:hAnsi="Calibri" w:cs="Times New Roman"/>
          <w:b/>
          <w:lang w:val="fr-FR" w:eastAsia="it-IT"/>
        </w:rPr>
        <w:t>Office of the UN High Commissioner for Human Rights</w:t>
      </w:r>
      <w:r w:rsidRPr="006E6AAA">
        <w:rPr>
          <w:rFonts w:ascii="Calibri" w:eastAsia="Times New Roman" w:hAnsi="Calibri" w:cs="Arial"/>
          <w:color w:val="000000"/>
          <w:sz w:val="11"/>
          <w:szCs w:val="11"/>
          <w:lang w:val="fr-FR" w:eastAsia="it-IT"/>
        </w:rPr>
        <w:t xml:space="preserve">, </w:t>
      </w:r>
      <w:r w:rsidRPr="006E6AAA">
        <w:rPr>
          <w:rFonts w:ascii="Calibri" w:eastAsia="Times New Roman" w:hAnsi="Calibri" w:cs="TimesNewRomanPSMT"/>
          <w:lang w:val="fr-FR" w:eastAsia="it-IT"/>
        </w:rPr>
        <w:t>« </w:t>
      </w:r>
      <w:r w:rsidRPr="006E6AAA">
        <w:rPr>
          <w:rFonts w:ascii="Calibri" w:eastAsia="Times New Roman" w:hAnsi="Calibri" w:cs="TimesNewRomanPSMT"/>
          <w:i/>
          <w:lang w:val="fr-FR" w:eastAsia="it-IT"/>
        </w:rPr>
        <w:t>Rapport du Projet Mapping concernant les violations les plus graves des droits de l’homme et du droit international humanitaire commises entre mars 1993 et juin 2003 sur le territoire de la République démocratique du Congo</w:t>
      </w:r>
      <w:r w:rsidRPr="006E6AAA">
        <w:rPr>
          <w:rFonts w:ascii="Calibri" w:eastAsia="Times New Roman" w:hAnsi="Calibri" w:cs="TimesNewRomanPSMT"/>
          <w:lang w:val="fr-FR" w:eastAsia="it-IT"/>
        </w:rPr>
        <w:t> », Août 2010</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NewRoman"/>
          <w:sz w:val="21"/>
          <w:szCs w:val="21"/>
          <w:lang w:eastAsia="it-IT"/>
        </w:rPr>
      </w:pPr>
      <w:r w:rsidRPr="006E6AAA">
        <w:rPr>
          <w:rFonts w:ascii="Calibri" w:eastAsia="Times New Roman" w:hAnsi="Calibri" w:cs="TimesNewRoman"/>
          <w:b/>
          <w:sz w:val="21"/>
          <w:szCs w:val="21"/>
          <w:lang w:eastAsia="it-IT"/>
        </w:rPr>
        <w:lastRenderedPageBreak/>
        <w:t>Open Society Foundations</w:t>
      </w:r>
      <w:r w:rsidRPr="006E6AAA">
        <w:rPr>
          <w:rFonts w:ascii="Calibri" w:eastAsia="Times New Roman" w:hAnsi="Calibri" w:cs="Times New Roman"/>
          <w:lang w:eastAsia="it-IT"/>
        </w:rPr>
        <w:t>, « </w:t>
      </w:r>
      <w:r w:rsidRPr="006E6AAA">
        <w:rPr>
          <w:rFonts w:ascii="Calibri" w:eastAsia="Times New Roman" w:hAnsi="Calibri" w:cs="Times New Roman"/>
          <w:i/>
          <w:lang w:eastAsia="it-IT"/>
        </w:rPr>
        <w:t xml:space="preserve">Putting Complementarity into Practice: Domestic Justice for International Crimesin DRC, </w:t>
      </w:r>
      <w:smartTag w:uri="urn:schemas-microsoft-com:office:smarttags" w:element="country-region">
        <w:r w:rsidRPr="006E6AAA">
          <w:rPr>
            <w:rFonts w:ascii="Calibri" w:eastAsia="Times New Roman" w:hAnsi="Calibri" w:cs="Times New Roman"/>
            <w:i/>
            <w:lang w:eastAsia="it-IT"/>
          </w:rPr>
          <w:t>Uganda</w:t>
        </w:r>
      </w:smartTag>
      <w:r w:rsidRPr="006E6AAA">
        <w:rPr>
          <w:rFonts w:ascii="Calibri" w:eastAsia="Times New Roman" w:hAnsi="Calibri" w:cs="Times New Roman"/>
          <w:i/>
          <w:lang w:eastAsia="it-IT"/>
        </w:rPr>
        <w:t xml:space="preserve">, and </w:t>
      </w:r>
      <w:smartTag w:uri="urn:schemas-microsoft-com:office:smarttags" w:element="place">
        <w:smartTag w:uri="urn:schemas-microsoft-com:office:smarttags" w:element="country-region">
          <w:r w:rsidRPr="006E6AAA">
            <w:rPr>
              <w:rFonts w:ascii="Calibri" w:eastAsia="Times New Roman" w:hAnsi="Calibri" w:cs="Times New Roman"/>
              <w:i/>
              <w:lang w:eastAsia="it-IT"/>
            </w:rPr>
            <w:t>Kenya</w:t>
          </w:r>
        </w:smartTag>
      </w:smartTag>
      <w:r w:rsidRPr="006E6AAA">
        <w:rPr>
          <w:rFonts w:ascii="Calibri" w:eastAsia="Times New Roman" w:hAnsi="Calibri" w:cs="Times New Roman"/>
          <w:lang w:eastAsia="it-IT"/>
        </w:rPr>
        <w:t xml:space="preserve">”, </w:t>
      </w:r>
      <w:r w:rsidRPr="006E6AAA">
        <w:rPr>
          <w:rFonts w:ascii="Calibri" w:eastAsia="Times New Roman" w:hAnsi="Calibri" w:cs="TimesNewRoman"/>
          <w:sz w:val="21"/>
          <w:szCs w:val="21"/>
          <w:lang w:eastAsia="it-IT"/>
        </w:rPr>
        <w:t xml:space="preserve">2011 </w:t>
      </w:r>
    </w:p>
    <w:p w:rsidR="006E6AAA" w:rsidRPr="006E6AAA" w:rsidRDefault="006E6AAA" w:rsidP="006E6AAA">
      <w:pPr>
        <w:numPr>
          <w:ilvl w:val="0"/>
          <w:numId w:val="72"/>
        </w:numPr>
        <w:spacing w:after="0" w:line="240" w:lineRule="auto"/>
        <w:jc w:val="both"/>
        <w:rPr>
          <w:rFonts w:ascii="Calibri" w:eastAsia="Times New Roman" w:hAnsi="Calibri" w:cs="Times New Roman"/>
          <w:lang w:eastAsia="it-IT"/>
        </w:rPr>
      </w:pPr>
      <w:r w:rsidRPr="006E6AAA">
        <w:rPr>
          <w:rFonts w:ascii="Calibri" w:eastAsia="Times New Roman" w:hAnsi="Calibri" w:cs="Whitney-Light"/>
          <w:b/>
          <w:lang w:eastAsia="it-IT"/>
        </w:rPr>
        <w:t>Open Society Initiative for Southern Africa</w:t>
      </w:r>
      <w:r w:rsidRPr="006E6AAA">
        <w:rPr>
          <w:rFonts w:ascii="Calibri" w:eastAsia="Times New Roman" w:hAnsi="Calibri" w:cs="Whitney-Bold"/>
          <w:i/>
          <w:lang w:eastAsia="it-IT"/>
        </w:rPr>
        <w:t xml:space="preserve">, Helping to combat impunity for sexual crimes in DRC: </w:t>
      </w:r>
      <w:r w:rsidRPr="006E6AAA">
        <w:rPr>
          <w:rFonts w:ascii="Calibri" w:eastAsia="Times New Roman" w:hAnsi="Calibri" w:cs="Whitney-Light"/>
          <w:i/>
          <w:lang w:eastAsia="it-IT"/>
        </w:rPr>
        <w:t>An evaluation of the mobile</w:t>
      </w:r>
      <w:r w:rsidRPr="006E6AAA">
        <w:rPr>
          <w:rFonts w:ascii="Calibri" w:eastAsia="Times New Roman" w:hAnsi="Calibri" w:cs="Whitney-Bold"/>
          <w:b/>
          <w:i/>
          <w:lang w:eastAsia="it-IT"/>
        </w:rPr>
        <w:t xml:space="preserve"> </w:t>
      </w:r>
      <w:r w:rsidRPr="006E6AAA">
        <w:rPr>
          <w:rFonts w:ascii="Calibri" w:eastAsia="Times New Roman" w:hAnsi="Calibri" w:cs="Whitney-Light"/>
          <w:i/>
          <w:lang w:eastAsia="it-IT"/>
        </w:rPr>
        <w:t>gender justice courts</w:t>
      </w:r>
      <w:r w:rsidRPr="006E6AAA">
        <w:rPr>
          <w:rFonts w:ascii="Calibri" w:eastAsia="Times New Roman" w:hAnsi="Calibri" w:cs="Whitney-Light"/>
          <w:lang w:eastAsia="it-IT"/>
        </w:rPr>
        <w:t>”, 2012;</w:t>
      </w:r>
      <w:r w:rsidRPr="006E6AAA">
        <w:rPr>
          <w:rFonts w:ascii="Calibri" w:eastAsia="Times New Roman" w:hAnsi="Calibri" w:cs="Times New Roman"/>
          <w:lang w:eastAsia="it-IT"/>
        </w:rPr>
        <w:t xml:space="preserve">; </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PNUD</w:t>
      </w:r>
      <w:r w:rsidRPr="006E6AAA">
        <w:rPr>
          <w:rFonts w:ascii="Calibri" w:eastAsia="Times New Roman" w:hAnsi="Calibri" w:cs="Times New Roman"/>
          <w:lang w:val="fr-FR" w:eastAsia="it-IT"/>
        </w:rPr>
        <w:t>, « </w:t>
      </w:r>
      <w:r w:rsidRPr="006E6AAA">
        <w:rPr>
          <w:rFonts w:ascii="Calibri" w:eastAsia="Times New Roman" w:hAnsi="Calibri" w:cs="Times New Roman"/>
          <w:i/>
          <w:lang w:val="fr-FR" w:eastAsia="it-IT"/>
        </w:rPr>
        <w:t>Monitoring judiciaire 2010-2011. Rapport sur les données relatives à la réponse judiciaire aux cas de violences sexuelles à l’Est de la République démocratique du Congo</w:t>
      </w:r>
      <w:r w:rsidRPr="006E6AAA">
        <w:rPr>
          <w:rFonts w:ascii="Calibri" w:eastAsia="Times New Roman" w:hAnsi="Calibri" w:cs="Times New Roman"/>
          <w:lang w:val="fr-FR" w:eastAsia="it-IT"/>
        </w:rPr>
        <w:t> », 2010</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eastAsia="it-IT"/>
        </w:rPr>
      </w:pPr>
      <w:r w:rsidRPr="006E6AAA">
        <w:rPr>
          <w:rFonts w:ascii="Calibri" w:eastAsia="Times New Roman" w:hAnsi="Calibri" w:cs="Times New Roman"/>
          <w:b/>
          <w:lang w:eastAsia="it-IT"/>
        </w:rPr>
        <w:t xml:space="preserve">PNUD </w:t>
      </w:r>
      <w:r w:rsidRPr="006E6AAA">
        <w:rPr>
          <w:rFonts w:ascii="Calibri" w:eastAsia="Times New Roman" w:hAnsi="Calibri" w:cs="Times New Roman"/>
          <w:lang w:eastAsia="it-IT"/>
        </w:rPr>
        <w:t>«</w:t>
      </w:r>
      <w:r w:rsidRPr="006E6AAA">
        <w:rPr>
          <w:rFonts w:ascii="Calibri" w:eastAsia="Times New Roman" w:hAnsi="Calibri" w:cs="Times New Roman"/>
          <w:i/>
          <w:lang w:eastAsia="it-IT"/>
        </w:rPr>
        <w:t>Discussion paper: Complementarity and Transitional Justice: Synthesis of Key Emerging Issues for Development</w:t>
      </w:r>
      <w:r w:rsidRPr="006E6AAA">
        <w:rPr>
          <w:rFonts w:ascii="Calibri" w:eastAsia="Times New Roman" w:hAnsi="Calibri" w:cs="Times New Roman"/>
          <w:lang w:eastAsia="it-IT"/>
        </w:rPr>
        <w:t>”, 2012</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bCs/>
          <w:lang w:val="fr-FR" w:eastAsia="it-IT"/>
        </w:rPr>
        <w:t>RCN Justice &amp; Démocratie</w:t>
      </w:r>
      <w:r w:rsidRPr="006E6AAA">
        <w:rPr>
          <w:rFonts w:ascii="Calibri" w:eastAsia="Times New Roman" w:hAnsi="Calibri" w:cs="Times New Roman"/>
          <w:lang w:val="fr-FR" w:eastAsia="it-IT"/>
        </w:rPr>
        <w:t xml:space="preserve"> “La justice de proximité au Bas-Congo”, 2009</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b/>
          <w:bCs/>
          <w:lang w:val="fr-FR" w:eastAsia="it-IT"/>
        </w:rPr>
        <w:t>Global Rights, « </w:t>
      </w:r>
      <w:r w:rsidRPr="006E6AAA">
        <w:rPr>
          <w:rFonts w:ascii="Calibri" w:eastAsia="Times New Roman" w:hAnsi="Calibri" w:cs="Times New Roman"/>
          <w:bCs/>
          <w:i/>
          <w:lang w:val="fr-FR" w:eastAsia="it-IT"/>
        </w:rPr>
        <w:t>Rapport d’enquête sur quatre problèmes majeurs de la justice : vers un état de non droit en RDC ? Le cas de la province du Sud Kivu</w:t>
      </w:r>
      <w:r w:rsidRPr="006E6AAA">
        <w:rPr>
          <w:rFonts w:ascii="Calibri" w:eastAsia="Times New Roman" w:hAnsi="Calibri" w:cs="Times New Roman"/>
          <w:bCs/>
          <w:lang w:val="fr-FR" w:eastAsia="it-IT"/>
        </w:rPr>
        <w:t> », 2009</w:t>
      </w:r>
    </w:p>
    <w:p w:rsidR="006E6AAA" w:rsidRPr="006E6AAA" w:rsidRDefault="006E6AAA" w:rsidP="006E6AAA">
      <w:pPr>
        <w:numPr>
          <w:ilvl w:val="0"/>
          <w:numId w:val="72"/>
        </w:numPr>
        <w:autoSpaceDE w:val="0"/>
        <w:autoSpaceDN w:val="0"/>
        <w:adjustRightInd w:val="0"/>
        <w:spacing w:after="0" w:line="240" w:lineRule="auto"/>
        <w:rPr>
          <w:rFonts w:ascii="Calibri" w:eastAsia="Times New Roman" w:hAnsi="Calibri" w:cs="Times New Roman"/>
          <w:lang w:eastAsia="it-IT"/>
        </w:rPr>
      </w:pPr>
      <w:smartTag w:uri="urn:schemas-microsoft-com:office:smarttags" w:element="place">
        <w:smartTag w:uri="urn:schemas-microsoft-com:office:smarttags" w:element="PlaceName">
          <w:r w:rsidRPr="006E6AAA">
            <w:rPr>
              <w:rFonts w:ascii="Calibri" w:eastAsia="Times New Roman" w:hAnsi="Calibri" w:cs="Times New Roman"/>
              <w:b/>
              <w:lang w:eastAsia="it-IT"/>
            </w:rPr>
            <w:t>Wageningen</w:t>
          </w:r>
        </w:smartTag>
        <w:r w:rsidRPr="006E6AAA">
          <w:rPr>
            <w:rFonts w:ascii="Calibri" w:eastAsia="Times New Roman" w:hAnsi="Calibri" w:cs="Times New Roman"/>
            <w:b/>
            <w:lang w:eastAsia="it-IT"/>
          </w:rPr>
          <w:t xml:space="preserve"> </w:t>
        </w:r>
        <w:smartTag w:uri="urn:schemas-microsoft-com:office:smarttags" w:element="PlaceType">
          <w:r w:rsidRPr="006E6AAA">
            <w:rPr>
              <w:rFonts w:ascii="Calibri" w:eastAsia="Times New Roman" w:hAnsi="Calibri" w:cs="Times New Roman"/>
              <w:b/>
              <w:lang w:eastAsia="it-IT"/>
            </w:rPr>
            <w:t>University</w:t>
          </w:r>
        </w:smartTag>
      </w:smartTag>
      <w:r w:rsidRPr="006E6AAA">
        <w:rPr>
          <w:rFonts w:ascii="Calibri" w:eastAsia="Times New Roman" w:hAnsi="Calibri" w:cs="Times New Roman"/>
          <w:lang w:eastAsia="it-IT"/>
        </w:rPr>
        <w:t>, « </w:t>
      </w:r>
      <w:r w:rsidRPr="006E6AAA">
        <w:rPr>
          <w:rFonts w:ascii="Calibri" w:eastAsia="Times New Roman" w:hAnsi="Calibri" w:cs="Times New Roman"/>
          <w:i/>
          <w:lang w:eastAsia="it-IT"/>
        </w:rPr>
        <w:t xml:space="preserve">Fond de commerce? Sexual violence assistance in the Democratic </w:t>
      </w:r>
      <w:smartTag w:uri="urn:schemas-microsoft-com:office:smarttags" w:element="place">
        <w:smartTag w:uri="urn:schemas-microsoft-com:office:smarttags" w:element="PlaceType">
          <w:r w:rsidRPr="006E6AAA">
            <w:rPr>
              <w:rFonts w:ascii="Calibri" w:eastAsia="Times New Roman" w:hAnsi="Calibri" w:cs="Times New Roman"/>
              <w:i/>
              <w:lang w:eastAsia="it-IT"/>
            </w:rPr>
            <w:t>Republic</w:t>
          </w:r>
        </w:smartTag>
        <w:r w:rsidRPr="006E6AAA">
          <w:rPr>
            <w:rFonts w:ascii="Calibri" w:eastAsia="Times New Roman" w:hAnsi="Calibri" w:cs="Times New Roman"/>
            <w:i/>
            <w:lang w:eastAsia="it-IT"/>
          </w:rPr>
          <w:t xml:space="preserve"> of </w:t>
        </w:r>
        <w:smartTag w:uri="urn:schemas-microsoft-com:office:smarttags" w:element="PlaceName">
          <w:r w:rsidRPr="006E6AAA">
            <w:rPr>
              <w:rFonts w:ascii="Calibri" w:eastAsia="Times New Roman" w:hAnsi="Calibri" w:cs="Times New Roman"/>
              <w:i/>
              <w:lang w:eastAsia="it-IT"/>
            </w:rPr>
            <w:t>Congo</w:t>
          </w:r>
        </w:smartTag>
      </w:smartTag>
      <w:r w:rsidRPr="006E6AAA">
        <w:rPr>
          <w:rFonts w:ascii="Calibri" w:eastAsia="Times New Roman" w:hAnsi="Calibri" w:cs="Times New Roman"/>
          <w:lang w:eastAsia="it-IT"/>
        </w:rPr>
        <w:t>”, 2012</w:t>
      </w:r>
    </w:p>
    <w:p w:rsidR="006E6AAA" w:rsidRPr="006E6AAA" w:rsidRDefault="006E6AAA" w:rsidP="006E6AAA">
      <w:pPr>
        <w:autoSpaceDE w:val="0"/>
        <w:autoSpaceDN w:val="0"/>
        <w:adjustRightInd w:val="0"/>
        <w:spacing w:after="0" w:line="240" w:lineRule="auto"/>
        <w:rPr>
          <w:rFonts w:ascii="Calibri" w:eastAsia="Times New Roman" w:hAnsi="Calibri" w:cs="Times New Roman"/>
          <w:lang w:eastAsia="it-IT"/>
        </w:rPr>
      </w:pPr>
    </w:p>
    <w:p w:rsidR="006E6AAA" w:rsidRPr="006E6AAA" w:rsidRDefault="006E6AAA" w:rsidP="006E6AAA">
      <w:pPr>
        <w:autoSpaceDE w:val="0"/>
        <w:autoSpaceDN w:val="0"/>
        <w:adjustRightInd w:val="0"/>
        <w:spacing w:after="0" w:line="240" w:lineRule="auto"/>
        <w:rPr>
          <w:rFonts w:ascii="Calibri" w:eastAsia="Times New Roman" w:hAnsi="Calibri" w:cs="Times New Roman"/>
          <w:i/>
          <w:sz w:val="24"/>
          <w:szCs w:val="24"/>
          <w:u w:val="single"/>
          <w:lang w:val="fr-FR" w:eastAsia="it-IT"/>
        </w:rPr>
      </w:pPr>
      <w:r w:rsidRPr="006E6AAA">
        <w:rPr>
          <w:rFonts w:ascii="Calibri" w:eastAsia="Times New Roman" w:hAnsi="Calibri" w:cs="Times New Roman"/>
          <w:i/>
          <w:sz w:val="24"/>
          <w:szCs w:val="24"/>
          <w:u w:val="single"/>
          <w:lang w:val="fr-FR" w:eastAsia="it-IT"/>
        </w:rPr>
        <w:t>B) Législation</w:t>
      </w:r>
    </w:p>
    <w:p w:rsidR="006E6AAA" w:rsidRPr="006E6AAA" w:rsidRDefault="006E6AAA" w:rsidP="006E6AAA">
      <w:pPr>
        <w:autoSpaceDE w:val="0"/>
        <w:autoSpaceDN w:val="0"/>
        <w:adjustRightInd w:val="0"/>
        <w:spacing w:after="0" w:line="240" w:lineRule="auto"/>
        <w:rPr>
          <w:rFonts w:ascii="Calibri" w:eastAsia="Times New Roman" w:hAnsi="Calibri" w:cs="Times New Roman"/>
          <w:i/>
          <w:sz w:val="28"/>
          <w:szCs w:val="28"/>
          <w:u w:val="single"/>
          <w:lang w:val="fr-FR" w:eastAsia="it-IT"/>
        </w:rPr>
      </w:pP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Avant-projet de Loi relative aux Chambres spécialisées pour la répression des violations graves du droit international humanitaire</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LOI N°023/2002 DU 18 NOVEMBRE 2002 PORTANT CODE JUDICIAIRE MILITAIRE</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LOI N° 024/2002 DU 18 novembre 2002 PORTANT  CODE PENAL MILITAIRE</w:t>
      </w:r>
    </w:p>
    <w:p w:rsidR="006E6AAA" w:rsidRPr="006E6AAA" w:rsidRDefault="006E6AAA" w:rsidP="006E6AAA">
      <w:pPr>
        <w:autoSpaceDE w:val="0"/>
        <w:autoSpaceDN w:val="0"/>
        <w:adjustRightInd w:val="0"/>
        <w:spacing w:after="0" w:line="240" w:lineRule="auto"/>
        <w:rPr>
          <w:rFonts w:ascii="Calibri" w:eastAsia="Times New Roman" w:hAnsi="Calibri" w:cs="Times New Roman"/>
          <w:lang w:val="fr-FR" w:eastAsia="it-IT"/>
        </w:rPr>
      </w:pPr>
    </w:p>
    <w:p w:rsidR="006E6AAA" w:rsidRPr="006E6AAA" w:rsidRDefault="006E6AAA" w:rsidP="006E6AAA">
      <w:pPr>
        <w:autoSpaceDE w:val="0"/>
        <w:autoSpaceDN w:val="0"/>
        <w:adjustRightInd w:val="0"/>
        <w:spacing w:after="0" w:line="240" w:lineRule="auto"/>
        <w:rPr>
          <w:rFonts w:ascii="Calibri" w:eastAsia="Times New Roman" w:hAnsi="Calibri" w:cs="Times New Roman"/>
          <w:i/>
          <w:sz w:val="24"/>
          <w:szCs w:val="24"/>
          <w:u w:val="single"/>
          <w:lang w:val="fr-FR" w:eastAsia="it-IT"/>
        </w:rPr>
      </w:pPr>
      <w:r w:rsidRPr="006E6AAA">
        <w:rPr>
          <w:rFonts w:ascii="Calibri" w:eastAsia="Times New Roman" w:hAnsi="Calibri" w:cs="Times New Roman"/>
          <w:i/>
          <w:sz w:val="24"/>
          <w:szCs w:val="24"/>
          <w:u w:val="single"/>
          <w:lang w:val="fr-FR" w:eastAsia="it-IT"/>
        </w:rPr>
        <w:t>C) Documents PNUD et Ministère de la Justice</w:t>
      </w:r>
    </w:p>
    <w:p w:rsidR="006E6AAA" w:rsidRPr="006E6AAA" w:rsidRDefault="006E6AAA" w:rsidP="006E6AAA">
      <w:pPr>
        <w:autoSpaceDE w:val="0"/>
        <w:autoSpaceDN w:val="0"/>
        <w:adjustRightInd w:val="0"/>
        <w:spacing w:after="0" w:line="240" w:lineRule="auto"/>
        <w:rPr>
          <w:rFonts w:ascii="Calibri" w:eastAsia="Times New Roman" w:hAnsi="Calibri" w:cs="Times New Roman"/>
          <w:i/>
          <w:sz w:val="28"/>
          <w:szCs w:val="28"/>
          <w:u w:val="single"/>
          <w:lang w:val="fr-FR" w:eastAsia="it-IT"/>
        </w:rPr>
      </w:pP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PLAN D’ACTIONS POUR LA REFORME DE LA JUSTICE, Ministère de la Justice, 2007</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du TMG de Bunia á Mamabasa (Ituri, 2012)</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du TMG de Bunia á Komanda (Ituri, 2012)</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du TGI de Bunia á Mahagi (Ituri, 2011)</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du TMG de Bunia á Opasse (Ituri 2011)</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de la CM du Nord Kivu á a Butembo (Nord Kivu, 2012)</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du TMG de Bukavu á Walungu (Sud Kivu, 2011)</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monitoring judiciaire de l’AF du TMG de Bukavu á Kalehe (Sud Kivu, 2011)</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Rapport de la Court D’appel de Bukavu pour l’AF á Kamitunga(Sud Kivu, 2012)</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Document de projet 1888</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Document de projet SIDA</w:t>
      </w:r>
    </w:p>
    <w:p w:rsidR="006E6AAA" w:rsidRPr="006E6AAA" w:rsidRDefault="006E6AAA" w:rsidP="006E6AAA">
      <w:pPr>
        <w:numPr>
          <w:ilvl w:val="0"/>
          <w:numId w:val="74"/>
        </w:numPr>
        <w:autoSpaceDE w:val="0"/>
        <w:autoSpaceDN w:val="0"/>
        <w:adjustRightInd w:val="0"/>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TDR pour les AF</w:t>
      </w:r>
    </w:p>
    <w:p w:rsidR="006E6AAA" w:rsidRPr="006E6AAA" w:rsidRDefault="006E6AAA" w:rsidP="006E6AAA">
      <w:pPr>
        <w:autoSpaceDE w:val="0"/>
        <w:autoSpaceDN w:val="0"/>
        <w:adjustRightInd w:val="0"/>
        <w:spacing w:after="0" w:line="240" w:lineRule="auto"/>
        <w:rPr>
          <w:rFonts w:ascii="Calibri" w:eastAsia="Times New Roman" w:hAnsi="Calibri" w:cs="Times New Roman"/>
          <w:lang w:eastAsia="it-IT"/>
        </w:rPr>
      </w:pPr>
      <w:r w:rsidRPr="006E6AAA">
        <w:rPr>
          <w:rFonts w:ascii="Calibri" w:eastAsia="Times New Roman" w:hAnsi="Calibri" w:cs="Times New Roman"/>
          <w:lang w:eastAsia="it-IT"/>
        </w:rPr>
        <w:br w:type="page"/>
      </w:r>
      <w:r w:rsidRPr="006E6AAA">
        <w:rPr>
          <w:rFonts w:ascii="Calibri" w:eastAsia="Times New Roman" w:hAnsi="Calibri" w:cs="Times New Roman"/>
          <w:b/>
          <w:color w:val="000080"/>
          <w:sz w:val="24"/>
          <w:szCs w:val="24"/>
          <w:lang w:val="en-GB" w:eastAsia="it-IT"/>
        </w:rPr>
        <w:lastRenderedPageBreak/>
        <w:t>ANNEXE n.2</w:t>
      </w:r>
    </w:p>
    <w:p w:rsidR="006E6AAA" w:rsidRPr="006E6AAA" w:rsidRDefault="006E6AAA" w:rsidP="006E6AAA">
      <w:pPr>
        <w:spacing w:after="0" w:line="240" w:lineRule="auto"/>
        <w:rPr>
          <w:rFonts w:ascii="Calibri" w:eastAsia="Times New Roman" w:hAnsi="Calibri" w:cs="Times New Roman"/>
          <w:b/>
          <w:color w:val="000080"/>
          <w:sz w:val="24"/>
          <w:szCs w:val="24"/>
          <w:lang w:val="en-GB" w:eastAsia="it-IT"/>
        </w:rPr>
      </w:pPr>
      <w:r w:rsidRPr="006E6AAA">
        <w:rPr>
          <w:rFonts w:ascii="Calibri" w:eastAsia="Times New Roman" w:hAnsi="Calibri" w:cs="Times New Roman"/>
          <w:b/>
          <w:i/>
          <w:color w:val="000080"/>
          <w:sz w:val="24"/>
          <w:szCs w:val="24"/>
          <w:lang w:eastAsia="it-IT"/>
        </w:rPr>
        <w:t>Personnes rencontrees (</w:t>
      </w:r>
      <w:r w:rsidRPr="006E6AAA">
        <w:rPr>
          <w:rFonts w:ascii="Calibri" w:eastAsia="Times New Roman" w:hAnsi="Calibri" w:cs="Times New Roman"/>
          <w:lang w:val="en-GB" w:eastAsia="it-IT"/>
        </w:rPr>
        <w:t>du</w:t>
      </w:r>
      <w:r w:rsidRPr="006E6AAA">
        <w:rPr>
          <w:rFonts w:ascii="Calibri" w:eastAsia="Times New Roman" w:hAnsi="Calibri" w:cs="Times New Roman"/>
          <w:b/>
          <w:i/>
          <w:color w:val="000080"/>
          <w:sz w:val="24"/>
          <w:szCs w:val="24"/>
          <w:lang w:eastAsia="it-IT"/>
        </w:rPr>
        <w:t xml:space="preserve"> </w:t>
      </w:r>
      <w:r w:rsidRPr="006E6AAA">
        <w:rPr>
          <w:rFonts w:ascii="Calibri" w:eastAsia="Times New Roman" w:hAnsi="Calibri" w:cs="Times New Roman"/>
          <w:lang w:val="en-GB" w:eastAsia="it-IT"/>
        </w:rPr>
        <w:t>18/03/13 au 27/03/13)</w:t>
      </w:r>
    </w:p>
    <w:p w:rsidR="006E6AAA" w:rsidRPr="006E6AAA" w:rsidRDefault="006E6AAA" w:rsidP="006E6AAA">
      <w:pPr>
        <w:spacing w:after="0" w:line="240" w:lineRule="auto"/>
        <w:jc w:val="center"/>
        <w:rPr>
          <w:rFonts w:ascii="Calibri" w:eastAsia="Times New Roman" w:hAnsi="Calibri" w:cs="Times New Roman"/>
          <w:lang w:val="en-GB" w:eastAsia="it-IT"/>
        </w:rPr>
      </w:pPr>
    </w:p>
    <w:p w:rsidR="006E6AAA" w:rsidRPr="006E6AAA" w:rsidRDefault="006E6AAA" w:rsidP="006E6AAA">
      <w:pPr>
        <w:spacing w:after="0" w:line="240" w:lineRule="auto"/>
        <w:rPr>
          <w:rFonts w:ascii="Calibri" w:eastAsia="Times New Roman" w:hAnsi="Calibri" w:cs="Times New Roman"/>
          <w:lang w:eastAsia="it-IT"/>
        </w:rPr>
      </w:pP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Adolfe Mukelenga</w:t>
      </w:r>
      <w:r w:rsidRPr="006E6AAA">
        <w:rPr>
          <w:rFonts w:ascii="Calibri" w:eastAsia="Times New Roman" w:hAnsi="Calibri" w:cs="Times New Roman"/>
          <w:lang w:val="fr-FR" w:eastAsia="it-IT"/>
        </w:rPr>
        <w:t>, Responsable du corps des défenseurs judiciaires près le TGI du Nord-Kivu</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Adolphe Kayumba</w:t>
      </w:r>
      <w:r w:rsidRPr="006E6AAA">
        <w:rPr>
          <w:rFonts w:ascii="Calibri" w:eastAsia="Times New Roman" w:hAnsi="Calibri" w:cs="Times New Roman"/>
          <w:lang w:val="fr-FR" w:eastAsia="it-IT"/>
        </w:rPr>
        <w:t xml:space="preserve">, moniteur judiciaire, Bureau PNUD Bukavu </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Bernard Amisi</w:t>
      </w:r>
      <w:r w:rsidRPr="006E6AAA">
        <w:rPr>
          <w:rFonts w:ascii="Calibri" w:eastAsia="Times New Roman" w:hAnsi="Calibri" w:cs="Times New Roman"/>
          <w:lang w:val="fr-FR" w:eastAsia="it-IT"/>
        </w:rPr>
        <w:t>, moniteur judiciaire, Bureau PNUD Bukavu</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Camille Kambala,</w:t>
      </w:r>
      <w:r w:rsidRPr="006E6AAA">
        <w:rPr>
          <w:rFonts w:ascii="Calibri" w:eastAsia="Times New Roman" w:hAnsi="Calibri" w:cs="Times New Roman"/>
          <w:lang w:val="fr-FR" w:eastAsia="it-IT"/>
        </w:rPr>
        <w:t xml:space="preserve"> magistrat enquêteur des crimes graves, TMG, Bukavu</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u w:val="single"/>
          <w:lang w:val="fr-FR" w:eastAsia="it-IT"/>
        </w:rPr>
        <w:t>Comite d’appui aux AF de Bunia</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i/>
          <w:lang w:val="fr-FR" w:eastAsia="it-IT"/>
        </w:rPr>
        <w:t>Colonel KALALA</w:t>
      </w:r>
      <w:r w:rsidRPr="006E6AAA">
        <w:rPr>
          <w:rFonts w:ascii="Calibri" w:eastAsia="Times New Roman" w:hAnsi="Calibri" w:cs="Times New Roman"/>
          <w:i/>
          <w:lang w:val="fr-FR" w:eastAsia="it-IT"/>
        </w:rPr>
        <w:t>, 1</w:t>
      </w:r>
      <w:r w:rsidRPr="006E6AAA">
        <w:rPr>
          <w:rFonts w:ascii="Calibri" w:eastAsia="Times New Roman" w:hAnsi="Calibri" w:cs="Times New Roman"/>
          <w:i/>
          <w:vertAlign w:val="superscript"/>
          <w:lang w:val="fr-FR" w:eastAsia="it-IT"/>
        </w:rPr>
        <w:t>er</w:t>
      </w:r>
      <w:r w:rsidRPr="006E6AAA">
        <w:rPr>
          <w:rFonts w:ascii="Calibri" w:eastAsia="Times New Roman" w:hAnsi="Calibri" w:cs="Times New Roman"/>
          <w:i/>
          <w:lang w:val="fr-FR" w:eastAsia="it-IT"/>
        </w:rPr>
        <w:t xml:space="preserve"> Président Cour militaire de la Province Orientale, </w:t>
      </w:r>
      <w:r w:rsidRPr="006E6AAA">
        <w:rPr>
          <w:rFonts w:ascii="Calibri" w:eastAsia="Times New Roman" w:hAnsi="Calibri" w:cs="Times New Roman"/>
          <w:b/>
          <w:i/>
          <w:lang w:val="fr-FR" w:eastAsia="it-IT"/>
        </w:rPr>
        <w:t>Major Kabeya</w:t>
      </w:r>
      <w:r w:rsidRPr="006E6AAA">
        <w:rPr>
          <w:rFonts w:ascii="Calibri" w:eastAsia="Times New Roman" w:hAnsi="Calibri" w:cs="Times New Roman"/>
          <w:i/>
          <w:lang w:val="fr-FR" w:eastAsia="it-IT"/>
        </w:rPr>
        <w:t xml:space="preserve">, Président du Tribunal militaire de garnison de Bunia, </w:t>
      </w:r>
      <w:r w:rsidRPr="006E6AAA">
        <w:rPr>
          <w:rFonts w:ascii="Calibri" w:eastAsia="Times New Roman" w:hAnsi="Calibri" w:cs="Times New Roman"/>
          <w:b/>
          <w:i/>
          <w:lang w:val="fr-FR" w:eastAsia="it-IT"/>
        </w:rPr>
        <w:t>Papy NYANGUILE</w:t>
      </w:r>
      <w:r w:rsidRPr="006E6AAA">
        <w:rPr>
          <w:rFonts w:ascii="Calibri" w:eastAsia="Times New Roman" w:hAnsi="Calibri" w:cs="Times New Roman"/>
          <w:i/>
          <w:lang w:val="fr-FR" w:eastAsia="it-IT"/>
        </w:rPr>
        <w:t xml:space="preserve"> du BCNUDH ; Me </w:t>
      </w:r>
      <w:r w:rsidRPr="006E6AAA">
        <w:rPr>
          <w:rFonts w:ascii="Calibri" w:eastAsia="Times New Roman" w:hAnsi="Calibri" w:cs="Times New Roman"/>
          <w:b/>
          <w:i/>
          <w:lang w:val="fr-FR" w:eastAsia="it-IT"/>
        </w:rPr>
        <w:t>Désiré BALUME</w:t>
      </w:r>
      <w:r w:rsidRPr="006E6AAA">
        <w:rPr>
          <w:rFonts w:ascii="Calibri" w:eastAsia="Times New Roman" w:hAnsi="Calibri" w:cs="Times New Roman"/>
          <w:i/>
          <w:lang w:val="fr-FR" w:eastAsia="it-IT"/>
        </w:rPr>
        <w:t xml:space="preserve"> de la Section d’Appui à la Justice/Monusco, Me </w:t>
      </w:r>
      <w:r w:rsidRPr="006E6AAA">
        <w:rPr>
          <w:rFonts w:ascii="Calibri" w:eastAsia="Times New Roman" w:hAnsi="Calibri" w:cs="Times New Roman"/>
          <w:b/>
          <w:i/>
          <w:lang w:val="fr-FR" w:eastAsia="it-IT"/>
        </w:rPr>
        <w:t>MAGENE Ngoli</w:t>
      </w:r>
      <w:r w:rsidRPr="006E6AAA">
        <w:rPr>
          <w:rFonts w:ascii="Calibri" w:eastAsia="Times New Roman" w:hAnsi="Calibri" w:cs="Times New Roman"/>
          <w:i/>
          <w:lang w:val="fr-FR" w:eastAsia="it-IT"/>
        </w:rPr>
        <w:t>, Doyen de la section locale de Bunia pour le Barreau de Kisangani</w:t>
      </w:r>
      <w:r w:rsidRPr="006E6AAA">
        <w:rPr>
          <w:rFonts w:ascii="Calibri" w:eastAsia="Times New Roman" w:hAnsi="Calibri" w:cs="Times New Roman"/>
          <w:lang w:val="fr-FR" w:eastAsia="it-IT"/>
        </w:rPr>
        <w:t>).</w:t>
      </w:r>
    </w:p>
    <w:p w:rsidR="006E6AAA" w:rsidRPr="006E6AAA" w:rsidRDefault="006E6AAA" w:rsidP="006E6AAA">
      <w:pPr>
        <w:numPr>
          <w:ilvl w:val="0"/>
          <w:numId w:val="83"/>
        </w:numPr>
        <w:spacing w:after="0" w:line="300" w:lineRule="exact"/>
        <w:rPr>
          <w:rFonts w:ascii="Calibri" w:eastAsia="Times New Roman" w:hAnsi="Calibri" w:cs="Times New Roman"/>
          <w:lang w:val="fr-FR" w:eastAsia="it-IT"/>
        </w:rPr>
      </w:pPr>
      <w:r w:rsidRPr="006E6AAA">
        <w:rPr>
          <w:rFonts w:ascii="Calibri" w:eastAsia="Times New Roman" w:hAnsi="Calibri" w:cs="Times New Roman"/>
          <w:b/>
          <w:lang w:val="fr-FR" w:eastAsia="it-IT"/>
        </w:rPr>
        <w:t>Cornelia, Schneider</w:t>
      </w:r>
      <w:r w:rsidRPr="006E6AAA">
        <w:rPr>
          <w:rFonts w:ascii="Calibri" w:eastAsia="Times New Roman" w:hAnsi="Calibri" w:cs="Times New Roman"/>
          <w:lang w:val="fr-FR" w:eastAsia="it-IT"/>
        </w:rPr>
        <w:t>, Chef de Projet Accès à la Justice PNUD</w:t>
      </w:r>
    </w:p>
    <w:p w:rsidR="006E6AAA" w:rsidRPr="006E6AAA" w:rsidRDefault="006E6AAA" w:rsidP="006E6AAA">
      <w:pPr>
        <w:numPr>
          <w:ilvl w:val="0"/>
          <w:numId w:val="83"/>
        </w:numPr>
        <w:spacing w:after="0" w:line="300" w:lineRule="exact"/>
        <w:rPr>
          <w:rFonts w:ascii="Calibri" w:eastAsia="Times New Roman" w:hAnsi="Calibri" w:cs="Times New Roman"/>
          <w:lang w:val="fr-FR" w:eastAsia="it-IT"/>
        </w:rPr>
      </w:pPr>
      <w:r w:rsidRPr="006E6AAA">
        <w:rPr>
          <w:rFonts w:ascii="Calibri" w:eastAsia="Times New Roman" w:hAnsi="Calibri" w:cs="Times New Roman"/>
          <w:u w:val="single"/>
          <w:lang w:val="fr-FR" w:eastAsia="it-IT"/>
        </w:rPr>
        <w:t>Cour d’Appel de Bukavu</w:t>
      </w:r>
      <w:r w:rsidRPr="006E6AAA">
        <w:rPr>
          <w:rFonts w:ascii="Calibri" w:eastAsia="Times New Roman" w:hAnsi="Calibri" w:cs="Times New Roman"/>
          <w:lang w:val="fr-FR" w:eastAsia="it-IT"/>
        </w:rPr>
        <w:t>  (</w:t>
      </w:r>
      <w:r w:rsidRPr="006E6AAA">
        <w:rPr>
          <w:rFonts w:ascii="Calibri" w:eastAsia="Times New Roman" w:hAnsi="Calibri" w:cs="Times New Roman"/>
          <w:b/>
          <w:i/>
          <w:lang w:val="fr-FR" w:eastAsia="it-IT"/>
        </w:rPr>
        <w:t>Aboubacar Lubenga</w:t>
      </w:r>
      <w:r w:rsidRPr="006E6AAA">
        <w:rPr>
          <w:rFonts w:ascii="Calibri" w:eastAsia="Times New Roman" w:hAnsi="Calibri" w:cs="Times New Roman"/>
          <w:i/>
          <w:lang w:val="fr-FR" w:eastAsia="it-IT"/>
        </w:rPr>
        <w:t xml:space="preserve">, premier président de la Cour d’Appel de Bukavu ; le </w:t>
      </w:r>
      <w:r w:rsidRPr="006E6AAA">
        <w:rPr>
          <w:rFonts w:ascii="Calibri" w:eastAsia="Times New Roman" w:hAnsi="Calibri" w:cs="Times New Roman"/>
          <w:b/>
          <w:i/>
          <w:lang w:val="fr-FR" w:eastAsia="it-IT"/>
        </w:rPr>
        <w:t>Président Shamavu</w:t>
      </w:r>
      <w:r w:rsidRPr="006E6AAA">
        <w:rPr>
          <w:rFonts w:ascii="Calibri" w:eastAsia="Times New Roman" w:hAnsi="Calibri" w:cs="Times New Roman"/>
          <w:i/>
          <w:lang w:val="fr-FR" w:eastAsia="it-IT"/>
        </w:rPr>
        <w:t xml:space="preserve"> et les conseillers </w:t>
      </w:r>
      <w:r w:rsidRPr="006E6AAA">
        <w:rPr>
          <w:rFonts w:ascii="Calibri" w:eastAsia="Times New Roman" w:hAnsi="Calibri" w:cs="Times New Roman"/>
          <w:b/>
          <w:i/>
          <w:lang w:val="fr-FR" w:eastAsia="it-IT"/>
        </w:rPr>
        <w:t>Tchibola et Mule)</w:t>
      </w:r>
    </w:p>
    <w:p w:rsidR="006E6AAA" w:rsidRPr="006E6AAA" w:rsidRDefault="006E6AAA" w:rsidP="006E6AAA">
      <w:pPr>
        <w:numPr>
          <w:ilvl w:val="0"/>
          <w:numId w:val="83"/>
        </w:numPr>
        <w:spacing w:after="0" w:line="300" w:lineRule="exact"/>
        <w:rPr>
          <w:rFonts w:ascii="Calibri" w:eastAsia="Times New Roman" w:hAnsi="Calibri" w:cs="Times New Roman"/>
          <w:b/>
          <w:lang w:val="fr-FR" w:eastAsia="it-IT"/>
        </w:rPr>
      </w:pPr>
      <w:r w:rsidRPr="006E6AAA">
        <w:rPr>
          <w:rFonts w:ascii="Calibri" w:eastAsia="Times New Roman" w:hAnsi="Calibri" w:cs="Times New Roman"/>
          <w:b/>
          <w:lang w:val="fr-FR" w:eastAsia="it-IT"/>
        </w:rPr>
        <w:t xml:space="preserve">Cyprien Gangnon, </w:t>
      </w:r>
      <w:r w:rsidRPr="006E6AAA">
        <w:rPr>
          <w:rFonts w:ascii="Calibri" w:eastAsia="Times New Roman" w:hAnsi="Calibri" w:cs="Times New Roman"/>
          <w:lang w:val="fr-FR" w:eastAsia="it-IT"/>
        </w:rPr>
        <w:t>Chef de bureau PNUD Bunia,</w:t>
      </w:r>
      <w:r w:rsidRPr="006E6AAA">
        <w:rPr>
          <w:rFonts w:ascii="Calibri" w:eastAsia="Times New Roman" w:hAnsi="Calibri" w:cs="Times New Roman"/>
          <w:b/>
          <w:lang w:val="fr-FR" w:eastAsia="it-IT"/>
        </w:rPr>
        <w:t xml:space="preserve"> </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David Bodeli,</w:t>
      </w:r>
      <w:r w:rsidRPr="006E6AAA">
        <w:rPr>
          <w:rFonts w:ascii="Calibri" w:eastAsia="Times New Roman" w:hAnsi="Calibri" w:cs="Times New Roman"/>
          <w:lang w:val="fr-FR" w:eastAsia="it-IT"/>
        </w:rPr>
        <w:t xml:space="preserve"> Commandant, Police spéciale pour la protection de la femme et de l’enfant,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Guillaume </w:t>
      </w:r>
      <w:r w:rsidRPr="006E6AAA">
        <w:rPr>
          <w:rFonts w:ascii="Calibri" w:eastAsia="Times New Roman" w:hAnsi="Calibri" w:cs="Times New Roman"/>
          <w:lang w:val="fr-FR" w:eastAsia="it-IT"/>
        </w:rPr>
        <w:t>Auditeur judiciaire, Auditorat de Garnison de Goma.</w:t>
      </w:r>
    </w:p>
    <w:p w:rsidR="006E6AAA" w:rsidRPr="006E6AAA" w:rsidRDefault="006E6AAA" w:rsidP="006E6AAA">
      <w:pPr>
        <w:numPr>
          <w:ilvl w:val="0"/>
          <w:numId w:val="83"/>
        </w:numPr>
        <w:spacing w:after="0" w:line="240" w:lineRule="auto"/>
        <w:rPr>
          <w:rFonts w:ascii="Calibri" w:eastAsia="Times New Roman" w:hAnsi="Calibri" w:cs="Times New Roman"/>
          <w:lang w:eastAsia="it-IT"/>
        </w:rPr>
      </w:pPr>
      <w:r w:rsidRPr="006E6AAA">
        <w:rPr>
          <w:rFonts w:ascii="Calibri" w:eastAsia="Times New Roman" w:hAnsi="Calibri" w:cs="Times New Roman"/>
          <w:b/>
          <w:lang w:eastAsia="it-IT"/>
        </w:rPr>
        <w:t>Guy Makongo</w:t>
      </w:r>
      <w:r w:rsidRPr="006E6AAA">
        <w:rPr>
          <w:rFonts w:ascii="Calibri" w:eastAsia="Times New Roman" w:hAnsi="Calibri" w:cs="Times New Roman"/>
          <w:lang w:eastAsia="it-IT"/>
        </w:rPr>
        <w:t>, Country Director, American Bar Association Rule of Law Initiative, Goma</w:t>
      </w:r>
    </w:p>
    <w:p w:rsidR="006E6AAA" w:rsidRPr="006E6AAA" w:rsidRDefault="006E6AAA" w:rsidP="006E6AAA">
      <w:pPr>
        <w:numPr>
          <w:ilvl w:val="0"/>
          <w:numId w:val="83"/>
        </w:numPr>
        <w:spacing w:after="0" w:line="240" w:lineRule="auto"/>
        <w:rPr>
          <w:rFonts w:ascii="Times New Roman" w:eastAsia="Times New Roman" w:hAnsi="Times New Roman" w:cs="Times New Roman"/>
          <w:sz w:val="24"/>
          <w:szCs w:val="24"/>
          <w:lang w:val="fr-FR" w:eastAsia="it-IT"/>
        </w:rPr>
      </w:pPr>
      <w:r w:rsidRPr="006E6AAA">
        <w:rPr>
          <w:rFonts w:ascii="Calibri" w:eastAsia="Times New Roman" w:hAnsi="Calibri" w:cs="Times New Roman"/>
          <w:b/>
          <w:lang w:val="fr-FR" w:eastAsia="it-IT"/>
        </w:rPr>
        <w:t>Henri Mashagiro,</w:t>
      </w:r>
      <w:r w:rsidRPr="006E6AAA">
        <w:rPr>
          <w:rFonts w:ascii="Calibri" w:eastAsia="Times New Roman" w:hAnsi="Calibri" w:cs="Times New Roman"/>
          <w:lang w:val="fr-FR" w:eastAsia="it-IT"/>
        </w:rPr>
        <w:t xml:space="preserve"> spécialiste de projet, PNUD</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Herve Mbanda,</w:t>
      </w:r>
      <w:r w:rsidRPr="006E6AAA">
        <w:rPr>
          <w:rFonts w:ascii="Calibri" w:eastAsia="Times New Roman" w:hAnsi="Calibri" w:cs="Times New Roman"/>
          <w:lang w:val="fr-FR" w:eastAsia="it-IT"/>
        </w:rPr>
        <w:t xml:space="preserve"> Président du tribunal pour enfants de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Ingenge MISHUMBI</w:t>
      </w:r>
      <w:r w:rsidRPr="006E6AAA">
        <w:rPr>
          <w:rFonts w:ascii="Calibri" w:eastAsia="Times New Roman" w:hAnsi="Calibri" w:cs="Times New Roman"/>
          <w:lang w:val="fr-FR" w:eastAsia="it-IT"/>
        </w:rPr>
        <w:t>, Président a.i. du tribunal de grande instance de Bunia</w:t>
      </w:r>
    </w:p>
    <w:p w:rsidR="006E6AAA" w:rsidRPr="006E6AAA" w:rsidRDefault="006E6AAA" w:rsidP="006E6AAA">
      <w:pPr>
        <w:numPr>
          <w:ilvl w:val="0"/>
          <w:numId w:val="83"/>
        </w:numPr>
        <w:spacing w:after="0" w:line="240" w:lineRule="auto"/>
        <w:rPr>
          <w:rFonts w:ascii="Calibri" w:eastAsia="Times New Roman" w:hAnsi="Calibri" w:cs="Times New Roman"/>
          <w:b/>
          <w:lang w:val="it-IT" w:eastAsia="it-IT"/>
        </w:rPr>
      </w:pPr>
      <w:r w:rsidRPr="006E6AAA">
        <w:rPr>
          <w:rFonts w:ascii="Calibri" w:eastAsia="Times New Roman" w:hAnsi="Calibri" w:cs="Times New Roman"/>
          <w:b/>
          <w:lang w:val="it-IT" w:eastAsia="it-IT"/>
        </w:rPr>
        <w:t>Isaac Mushokoro</w:t>
      </w:r>
      <w:r w:rsidRPr="006E6AAA">
        <w:rPr>
          <w:rFonts w:ascii="Calibri" w:eastAsia="Times New Roman" w:hAnsi="Calibri" w:cs="Times New Roman"/>
          <w:lang w:val="it-IT" w:eastAsia="it-IT"/>
        </w:rPr>
        <w:t>, Moniteur judiciare PNUD, Goma</w:t>
      </w:r>
    </w:p>
    <w:p w:rsidR="006E6AAA" w:rsidRPr="006E6AAA" w:rsidRDefault="006E6AAA" w:rsidP="006E6AAA">
      <w:pPr>
        <w:numPr>
          <w:ilvl w:val="0"/>
          <w:numId w:val="83"/>
        </w:numPr>
        <w:spacing w:after="0" w:line="300" w:lineRule="exact"/>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Jean Mutabesha, </w:t>
      </w:r>
      <w:r w:rsidRPr="006E6AAA">
        <w:rPr>
          <w:rFonts w:ascii="Calibri" w:eastAsia="Times New Roman" w:hAnsi="Calibri" w:cs="Times New Roman"/>
          <w:lang w:val="fr-FR" w:eastAsia="it-IT"/>
        </w:rPr>
        <w:t>Associé Juriste, PNUD Bunia</w:t>
      </w:r>
    </w:p>
    <w:p w:rsidR="006E6AAA" w:rsidRPr="006E6AAA" w:rsidRDefault="006E6AAA" w:rsidP="006E6AAA">
      <w:pPr>
        <w:numPr>
          <w:ilvl w:val="0"/>
          <w:numId w:val="83"/>
        </w:numPr>
        <w:spacing w:after="0" w:line="240" w:lineRule="auto"/>
        <w:rPr>
          <w:rFonts w:ascii="Calibri" w:eastAsia="Times New Roman" w:hAnsi="Calibri" w:cs="Times New Roman"/>
          <w:b/>
          <w:lang w:eastAsia="it-IT"/>
        </w:rPr>
      </w:pPr>
      <w:r w:rsidRPr="006E6AAA">
        <w:rPr>
          <w:rFonts w:ascii="Calibri" w:eastAsia="Times New Roman" w:hAnsi="Calibri" w:cs="Times New Roman"/>
          <w:b/>
          <w:lang w:val="en-GB" w:eastAsia="it-IT"/>
        </w:rPr>
        <w:t>Jennifer Tsai</w:t>
      </w:r>
      <w:r w:rsidRPr="006E6AAA">
        <w:rPr>
          <w:rFonts w:ascii="Calibri" w:eastAsia="Times New Roman" w:hAnsi="Calibri" w:cs="Times New Roman"/>
          <w:lang w:val="en-GB" w:eastAsia="it-IT"/>
        </w:rPr>
        <w:t>, Access to justice advisor, ABA-ROLI,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Joseph Bahogwerhe</w:t>
      </w:r>
      <w:r w:rsidRPr="006E6AAA">
        <w:rPr>
          <w:rFonts w:ascii="Calibri" w:eastAsia="Times New Roman" w:hAnsi="Calibri" w:cs="Times New Roman"/>
          <w:lang w:val="fr-FR" w:eastAsia="it-IT"/>
        </w:rPr>
        <w:t xml:space="preserve"> moniteur judiciaire, Bureau PNUD Bukavu</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Kasha</w:t>
      </w:r>
      <w:r w:rsidRPr="006E6AAA">
        <w:rPr>
          <w:rFonts w:ascii="Calibri" w:eastAsia="Times New Roman" w:hAnsi="Calibri" w:cs="Times New Roman"/>
          <w:lang w:val="fr-FR" w:eastAsia="it-IT"/>
        </w:rPr>
        <w:t xml:space="preserve">, substitut Auditeur, Auditorat Militaire de Garnison de Bukavu ; </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Kasuza Mwenge</w:t>
      </w:r>
      <w:r w:rsidRPr="006E6AAA">
        <w:rPr>
          <w:rFonts w:ascii="Calibri" w:eastAsia="Times New Roman" w:hAnsi="Calibri" w:cs="Times New Roman"/>
          <w:lang w:val="fr-FR" w:eastAsia="it-IT"/>
        </w:rPr>
        <w:t>, Responsable du bureau des consultations juridiques gratuites au sein du Barreau de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 xml:space="preserve">Louise Mutalegwa, </w:t>
      </w:r>
      <w:r w:rsidRPr="006E6AAA">
        <w:rPr>
          <w:rFonts w:ascii="Calibri" w:eastAsia="Times New Roman" w:hAnsi="Calibri" w:cs="Times New Roman"/>
          <w:lang w:val="fr-FR" w:eastAsia="it-IT"/>
        </w:rPr>
        <w:t xml:space="preserve"> Monitrice Juriste, PNUD Bunia     </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Louise TAJIKI</w:t>
      </w:r>
      <w:r w:rsidRPr="006E6AAA">
        <w:rPr>
          <w:rFonts w:ascii="Calibri" w:eastAsia="Times New Roman" w:hAnsi="Calibri" w:cs="Times New Roman"/>
          <w:lang w:val="fr-FR" w:eastAsia="it-IT"/>
        </w:rPr>
        <w:t>, Coordinatrice de SOFEPADi, Bunia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Lydia Masika</w:t>
      </w:r>
      <w:r w:rsidRPr="006E6AAA">
        <w:rPr>
          <w:rFonts w:ascii="Calibri" w:eastAsia="Times New Roman" w:hAnsi="Calibri" w:cs="Times New Roman"/>
          <w:lang w:val="fr-FR" w:eastAsia="it-IT"/>
        </w:rPr>
        <w:t>, Chef de Division du Ministère de la Justice a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Major Kabeya</w:t>
      </w:r>
      <w:r w:rsidRPr="006E6AAA">
        <w:rPr>
          <w:rFonts w:ascii="Calibri" w:eastAsia="Times New Roman" w:hAnsi="Calibri" w:cs="Times New Roman"/>
          <w:lang w:val="fr-FR" w:eastAsia="it-IT"/>
        </w:rPr>
        <w:t>, Président du Tribunal Militaire de Garnison de Bunia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Marcellin Chishambo</w:t>
      </w:r>
      <w:r w:rsidRPr="006E6AAA">
        <w:rPr>
          <w:rFonts w:ascii="Calibri" w:eastAsia="Times New Roman" w:hAnsi="Calibri" w:cs="Times New Roman"/>
          <w:lang w:val="fr-FR" w:eastAsia="it-IT"/>
        </w:rPr>
        <w:t>, gouverneru du Sud Kivu (dans le cadre de la réunion avec l’équipe PNUD pour la formulation du programme PNUD 2013-2018)</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Marie Louise Issanda</w:t>
      </w:r>
      <w:r w:rsidRPr="006E6AAA">
        <w:rPr>
          <w:rFonts w:ascii="Calibri" w:eastAsia="Times New Roman" w:hAnsi="Calibri" w:cs="Times New Roman"/>
          <w:lang w:val="fr-FR" w:eastAsia="it-IT"/>
        </w:rPr>
        <w:t xml:space="preserve"> (associée juriste), Bureau PNUD Bukavu</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 xml:space="preserve">Membres du Cadre de Concertation Nord Kivu </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Musingi Abonabo,</w:t>
      </w:r>
      <w:r w:rsidRPr="006E6AAA">
        <w:rPr>
          <w:rFonts w:ascii="Calibri" w:eastAsia="Times New Roman" w:hAnsi="Calibri" w:cs="Times New Roman"/>
          <w:lang w:val="fr-FR" w:eastAsia="it-IT"/>
        </w:rPr>
        <w:t xml:space="preserve"> Directeur de la Prison centrale de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Parfait Ngona</w:t>
      </w:r>
      <w:r w:rsidRPr="006E6AAA">
        <w:rPr>
          <w:rFonts w:ascii="Calibri" w:eastAsia="Times New Roman" w:hAnsi="Calibri" w:cs="Times New Roman"/>
          <w:lang w:val="fr-FR" w:eastAsia="it-IT"/>
        </w:rPr>
        <w:t>, Président du Tribunal de Grande Instance de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Rémy Kilimpimpi</w:t>
      </w:r>
      <w:r w:rsidRPr="006E6AAA">
        <w:rPr>
          <w:rFonts w:ascii="Calibri" w:eastAsia="Times New Roman" w:hAnsi="Calibri" w:cs="Times New Roman"/>
          <w:lang w:val="fr-FR" w:eastAsia="it-IT"/>
        </w:rPr>
        <w:t>, Premier Président de la Cour Militaire de Goma</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lang w:val="fr-FR" w:eastAsia="it-IT"/>
        </w:rPr>
        <w:t>Representats des ONG Dynamique femmes juristes, ABA-ROLI et Synergie pour l’assistance judiciaire</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Serge Pibwe</w:t>
      </w:r>
      <w:r w:rsidRPr="006E6AAA">
        <w:rPr>
          <w:rFonts w:ascii="Calibri" w:eastAsia="Times New Roman" w:hAnsi="Calibri" w:cs="Times New Roman"/>
          <w:lang w:val="fr-FR" w:eastAsia="it-IT"/>
        </w:rPr>
        <w:t xml:space="preserve">, President du Tribunal militaire de Garnison de Bukavu ; </w:t>
      </w:r>
    </w:p>
    <w:p w:rsidR="006E6AAA" w:rsidRPr="006E6AAA" w:rsidRDefault="006E6AAA" w:rsidP="006E6AAA">
      <w:pPr>
        <w:numPr>
          <w:ilvl w:val="0"/>
          <w:numId w:val="83"/>
        </w:numPr>
        <w:spacing w:after="0" w:line="300" w:lineRule="exact"/>
        <w:rPr>
          <w:rFonts w:ascii="Calibri" w:eastAsia="Times New Roman" w:hAnsi="Calibri" w:cs="Times New Roman"/>
          <w:i/>
          <w:lang w:val="fr-FR" w:eastAsia="it-IT"/>
        </w:rPr>
      </w:pPr>
      <w:r w:rsidRPr="006E6AAA">
        <w:rPr>
          <w:rFonts w:ascii="Calibri" w:eastAsia="Times New Roman" w:hAnsi="Calibri" w:cs="Times New Roman"/>
          <w:u w:val="single"/>
          <w:lang w:val="fr-FR" w:eastAsia="it-IT"/>
        </w:rPr>
        <w:t>Task Force Justice pour le Sud Kivu</w:t>
      </w:r>
      <w:r w:rsidRPr="006E6AAA">
        <w:rPr>
          <w:rFonts w:ascii="Calibri" w:eastAsia="Times New Roman" w:hAnsi="Calibri" w:cs="Times New Roman"/>
          <w:lang w:val="fr-FR" w:eastAsia="it-IT"/>
        </w:rPr>
        <w:t xml:space="preserve"> (</w:t>
      </w:r>
      <w:r w:rsidRPr="006E6AAA">
        <w:rPr>
          <w:rFonts w:ascii="Calibri" w:eastAsia="Times New Roman" w:hAnsi="Calibri" w:cs="Times New Roman"/>
          <w:b/>
          <w:i/>
          <w:lang w:val="fr-FR" w:eastAsia="it-IT"/>
        </w:rPr>
        <w:t>Aurora Chapelier</w:t>
      </w:r>
      <w:r w:rsidRPr="006E6AAA">
        <w:rPr>
          <w:rFonts w:ascii="Calibri" w:eastAsia="Times New Roman" w:hAnsi="Calibri" w:cs="Times New Roman"/>
          <w:i/>
          <w:lang w:val="fr-FR" w:eastAsia="it-IT"/>
        </w:rPr>
        <w:t xml:space="preserve"> et </w:t>
      </w:r>
      <w:r w:rsidRPr="006E6AAA">
        <w:rPr>
          <w:rFonts w:ascii="Calibri" w:eastAsia="Times New Roman" w:hAnsi="Calibri" w:cs="Times New Roman"/>
          <w:b/>
          <w:i/>
          <w:lang w:val="fr-FR" w:eastAsia="it-IT"/>
        </w:rPr>
        <w:t>Jolie</w:t>
      </w:r>
      <w:r w:rsidRPr="006E6AAA">
        <w:rPr>
          <w:rFonts w:ascii="Calibri" w:eastAsia="Times New Roman" w:hAnsi="Calibri" w:cs="Times New Roman"/>
          <w:i/>
          <w:lang w:val="fr-FR" w:eastAsia="it-IT"/>
        </w:rPr>
        <w:t xml:space="preserve"> pour ASF, </w:t>
      </w:r>
      <w:r w:rsidRPr="006E6AAA">
        <w:rPr>
          <w:rFonts w:ascii="Calibri" w:eastAsia="Times New Roman" w:hAnsi="Calibri" w:cs="Times New Roman"/>
          <w:b/>
          <w:i/>
          <w:lang w:val="fr-FR" w:eastAsia="it-IT"/>
        </w:rPr>
        <w:t>Olivier Mbasha</w:t>
      </w:r>
      <w:r w:rsidRPr="006E6AAA">
        <w:rPr>
          <w:rFonts w:ascii="Calibri" w:eastAsia="Times New Roman" w:hAnsi="Calibri" w:cs="Times New Roman"/>
          <w:i/>
          <w:lang w:val="fr-FR" w:eastAsia="it-IT"/>
        </w:rPr>
        <w:t xml:space="preserve"> et </w:t>
      </w:r>
      <w:r w:rsidRPr="006E6AAA">
        <w:rPr>
          <w:rFonts w:ascii="Calibri" w:eastAsia="Times New Roman" w:hAnsi="Calibri" w:cs="Times New Roman"/>
          <w:b/>
          <w:i/>
          <w:lang w:val="fr-FR" w:eastAsia="it-IT"/>
        </w:rPr>
        <w:t>Faustin Wessa</w:t>
      </w:r>
      <w:r w:rsidRPr="006E6AAA">
        <w:rPr>
          <w:rFonts w:ascii="Calibri" w:eastAsia="Times New Roman" w:hAnsi="Calibri" w:cs="Times New Roman"/>
          <w:i/>
          <w:lang w:val="fr-FR" w:eastAsia="it-IT"/>
        </w:rPr>
        <w:t xml:space="preserve"> pour ABA, le </w:t>
      </w:r>
      <w:r w:rsidRPr="006E6AAA">
        <w:rPr>
          <w:rFonts w:ascii="Calibri" w:eastAsia="Times New Roman" w:hAnsi="Calibri" w:cs="Times New Roman"/>
          <w:b/>
          <w:i/>
          <w:lang w:val="fr-FR" w:eastAsia="it-IT"/>
        </w:rPr>
        <w:t>colonel Mamy Rasoanaivo</w:t>
      </w:r>
      <w:r w:rsidRPr="006E6AAA">
        <w:rPr>
          <w:rFonts w:ascii="Calibri" w:eastAsia="Times New Roman" w:hAnsi="Calibri" w:cs="Times New Roman"/>
          <w:i/>
          <w:lang w:val="fr-FR" w:eastAsia="it-IT"/>
        </w:rPr>
        <w:t xml:space="preserve"> pour la MONUSCO/CAP et </w:t>
      </w:r>
      <w:r w:rsidRPr="006E6AAA">
        <w:rPr>
          <w:rFonts w:ascii="Calibri" w:eastAsia="Times New Roman" w:hAnsi="Calibri" w:cs="Times New Roman"/>
          <w:b/>
          <w:i/>
          <w:lang w:val="fr-FR" w:eastAsia="it-IT"/>
        </w:rPr>
        <w:t>Richard Kassa</w:t>
      </w:r>
      <w:r w:rsidRPr="006E6AAA">
        <w:rPr>
          <w:rFonts w:ascii="Calibri" w:eastAsia="Times New Roman" w:hAnsi="Calibri" w:cs="Times New Roman"/>
          <w:i/>
          <w:lang w:val="fr-FR" w:eastAsia="it-IT"/>
        </w:rPr>
        <w:t xml:space="preserve"> pour la section d’appui a la justice MONUSCO)</w:t>
      </w:r>
    </w:p>
    <w:p w:rsidR="006E6AAA" w:rsidRPr="006E6AAA" w:rsidRDefault="006E6AAA" w:rsidP="006E6AAA">
      <w:pPr>
        <w:numPr>
          <w:ilvl w:val="0"/>
          <w:numId w:val="83"/>
        </w:numPr>
        <w:spacing w:after="0" w:line="240" w:lineRule="auto"/>
        <w:rPr>
          <w:rFonts w:ascii="Calibri" w:eastAsia="Times New Roman" w:hAnsi="Calibri" w:cs="Times New Roman"/>
          <w:lang w:val="fr-FR" w:eastAsia="it-IT"/>
        </w:rPr>
      </w:pPr>
      <w:r w:rsidRPr="006E6AAA">
        <w:rPr>
          <w:rFonts w:ascii="Calibri" w:eastAsia="Times New Roman" w:hAnsi="Calibri" w:cs="Times New Roman"/>
          <w:b/>
          <w:lang w:val="fr-FR" w:eastAsia="it-IT"/>
        </w:rPr>
        <w:t>Thierry Kambere</w:t>
      </w:r>
      <w:r w:rsidRPr="006E6AAA">
        <w:rPr>
          <w:rFonts w:ascii="Calibri" w:eastAsia="Times New Roman" w:hAnsi="Calibri" w:cs="Times New Roman"/>
          <w:lang w:val="fr-FR" w:eastAsia="it-IT"/>
        </w:rPr>
        <w:t>, spécialiste de projet, Bureau PNUD Bukavu</w:t>
      </w:r>
    </w:p>
    <w:p w:rsidR="006E6AAA" w:rsidRPr="006E6AAA" w:rsidRDefault="006E6AAA" w:rsidP="006E6AAA">
      <w:pPr>
        <w:spacing w:after="0" w:line="240" w:lineRule="auto"/>
        <w:rPr>
          <w:rFonts w:ascii="Calibri" w:eastAsia="Times New Roman" w:hAnsi="Calibri" w:cs="Times New Roman"/>
          <w:lang w:val="fr-FR" w:eastAsia="it-IT"/>
        </w:rPr>
        <w:sectPr w:rsidR="006E6AAA" w:rsidRPr="006E6AAA" w:rsidSect="00291BDE">
          <w:headerReference w:type="even" r:id="rId44"/>
          <w:headerReference w:type="default" r:id="rId45"/>
          <w:footerReference w:type="even" r:id="rId46"/>
          <w:footerReference w:type="default" r:id="rId47"/>
          <w:headerReference w:type="first" r:id="rId48"/>
          <w:pgSz w:w="11906" w:h="16838"/>
          <w:pgMar w:top="1411" w:right="1296" w:bottom="1440" w:left="1296" w:header="720" w:footer="720" w:gutter="0"/>
          <w:pgNumType w:start="1"/>
          <w:cols w:space="720"/>
          <w:titlePg/>
          <w:docGrid w:linePitch="360"/>
        </w:sectPr>
      </w:pPr>
    </w:p>
    <w:p w:rsidR="006E6AAA" w:rsidRPr="006E6AAA" w:rsidRDefault="006E6AAA" w:rsidP="006E6AAA">
      <w:pPr>
        <w:autoSpaceDE w:val="0"/>
        <w:autoSpaceDN w:val="0"/>
        <w:adjustRightInd w:val="0"/>
        <w:spacing w:after="0" w:line="240" w:lineRule="auto"/>
        <w:rPr>
          <w:rFonts w:ascii="Calibri" w:eastAsia="Times New Roman" w:hAnsi="Calibri" w:cs="Times New Roman"/>
          <w:lang w:eastAsia="it-IT"/>
        </w:rPr>
      </w:pPr>
      <w:r w:rsidRPr="006E6AAA">
        <w:rPr>
          <w:rFonts w:ascii="Calibri" w:eastAsia="Times New Roman" w:hAnsi="Calibri" w:cs="Times New Roman"/>
          <w:b/>
          <w:color w:val="000080"/>
          <w:sz w:val="24"/>
          <w:szCs w:val="24"/>
          <w:lang w:val="en-GB" w:eastAsia="it-IT"/>
        </w:rPr>
        <w:lastRenderedPageBreak/>
        <w:t>ANNEXE n.3</w:t>
      </w:r>
    </w:p>
    <w:p w:rsidR="006E6AAA" w:rsidRPr="006E6AAA" w:rsidRDefault="006E6AAA" w:rsidP="006E6AAA">
      <w:pPr>
        <w:spacing w:after="0" w:line="240" w:lineRule="auto"/>
        <w:rPr>
          <w:rFonts w:ascii="Times New Roman" w:eastAsia="Times New Roman" w:hAnsi="Times New Roman" w:cs="Times New Roman"/>
          <w:lang w:val="en-GB" w:eastAsia="it-IT"/>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1134"/>
        <w:gridCol w:w="1275"/>
        <w:gridCol w:w="504"/>
        <w:gridCol w:w="720"/>
        <w:gridCol w:w="720"/>
        <w:gridCol w:w="900"/>
        <w:gridCol w:w="900"/>
        <w:gridCol w:w="720"/>
        <w:gridCol w:w="900"/>
        <w:gridCol w:w="900"/>
        <w:gridCol w:w="900"/>
        <w:gridCol w:w="2880"/>
      </w:tblGrid>
      <w:tr w:rsidR="006E6AAA" w:rsidRPr="006E6AAA" w:rsidTr="00C8613A">
        <w:tc>
          <w:tcPr>
            <w:tcW w:w="14688" w:type="dxa"/>
            <w:gridSpan w:val="14"/>
            <w:tcBorders>
              <w:bottom w:val="single" w:sz="4" w:space="0" w:color="auto"/>
            </w:tcBorders>
            <w:shd w:val="clear" w:color="auto" w:fill="595959"/>
          </w:tcPr>
          <w:p w:rsidR="006E6AAA" w:rsidRPr="006E6AAA" w:rsidRDefault="006E6AAA" w:rsidP="006E6AAA">
            <w:pPr>
              <w:spacing w:after="0" w:line="240" w:lineRule="auto"/>
              <w:jc w:val="center"/>
              <w:rPr>
                <w:rFonts w:ascii="Calibri" w:eastAsia="Times New Roman" w:hAnsi="Calibri" w:cs="Times New Roman"/>
                <w:b/>
                <w:color w:val="FFFFFF"/>
                <w:sz w:val="24"/>
                <w:szCs w:val="24"/>
                <w:u w:val="double"/>
                <w:lang w:val="fr-FR" w:eastAsia="it-IT"/>
              </w:rPr>
            </w:pPr>
            <w:r w:rsidRPr="006E6AAA">
              <w:rPr>
                <w:rFonts w:ascii="Calibri" w:eastAsia="Times New Roman" w:hAnsi="Calibri" w:cs="Times New Roman"/>
                <w:b/>
                <w:color w:val="FFFFFF"/>
                <w:sz w:val="24"/>
                <w:szCs w:val="24"/>
                <w:u w:val="double"/>
                <w:lang w:val="fr-FR" w:eastAsia="it-IT"/>
              </w:rPr>
              <w:t xml:space="preserve">Audiences foraines appuyées par le PNUD du 01/2011 au 12/2012 dans l’est de la RDC </w:t>
            </w:r>
          </w:p>
          <w:p w:rsidR="006E6AAA" w:rsidRPr="006E6AAA" w:rsidRDefault="006E6AAA" w:rsidP="006E6AAA">
            <w:pPr>
              <w:spacing w:after="0" w:line="240" w:lineRule="auto"/>
              <w:rPr>
                <w:rFonts w:ascii="Calibri" w:eastAsia="Times New Roman" w:hAnsi="Calibri" w:cs="Times New Roman"/>
                <w:b/>
                <w:color w:val="FFFFFF"/>
                <w:lang w:val="fr-FR" w:eastAsia="it-IT"/>
              </w:rPr>
            </w:pPr>
            <w:r w:rsidRPr="006E6AAA">
              <w:rPr>
                <w:rFonts w:ascii="Calibri" w:eastAsia="Times New Roman" w:hAnsi="Calibri" w:cs="Times New Roman"/>
                <w:b/>
                <w:color w:val="FFFFFF"/>
                <w:lang w:val="fr-FR" w:eastAsia="it-IT"/>
              </w:rPr>
              <w:t xml:space="preserve"> </w:t>
            </w:r>
          </w:p>
        </w:tc>
      </w:tr>
      <w:tr w:rsidR="006E6AAA" w:rsidRPr="006E6AAA" w:rsidTr="00C8613A">
        <w:tc>
          <w:tcPr>
            <w:tcW w:w="468" w:type="dxa"/>
            <w:vMerge w:val="restart"/>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767" w:type="dxa"/>
            <w:vMerge w:val="restart"/>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Juridiction</w:t>
            </w:r>
          </w:p>
        </w:tc>
        <w:tc>
          <w:tcPr>
            <w:tcW w:w="1134" w:type="dxa"/>
            <w:vMerge w:val="restart"/>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Lieu</w:t>
            </w:r>
          </w:p>
        </w:tc>
        <w:tc>
          <w:tcPr>
            <w:tcW w:w="1275" w:type="dxa"/>
            <w:vMerge w:val="restart"/>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Dates</w:t>
            </w:r>
          </w:p>
        </w:tc>
        <w:tc>
          <w:tcPr>
            <w:tcW w:w="504" w:type="dxa"/>
            <w:vMerge w:val="restart"/>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n.  jours</w:t>
            </w:r>
          </w:p>
        </w:tc>
        <w:tc>
          <w:tcPr>
            <w:tcW w:w="1440" w:type="dxa"/>
            <w:gridSpan w:val="2"/>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n. Dossiers</w:t>
            </w:r>
          </w:p>
        </w:tc>
        <w:tc>
          <w:tcPr>
            <w:tcW w:w="2520" w:type="dxa"/>
            <w:gridSpan w:val="3"/>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n. Décisions rendues</w:t>
            </w:r>
          </w:p>
        </w:tc>
        <w:tc>
          <w:tcPr>
            <w:tcW w:w="1800" w:type="dxa"/>
            <w:gridSpan w:val="2"/>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Contributions financières USD</w:t>
            </w:r>
          </w:p>
        </w:tc>
        <w:tc>
          <w:tcPr>
            <w:tcW w:w="900" w:type="dxa"/>
            <w:vMerge w:val="restart"/>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Cout total</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b/>
                <w:sz w:val="20"/>
                <w:szCs w:val="20"/>
                <w:lang w:val="fr-FR" w:eastAsia="it-IT"/>
              </w:rPr>
              <w:t>USD</w:t>
            </w:r>
          </w:p>
        </w:tc>
        <w:tc>
          <w:tcPr>
            <w:tcW w:w="2880" w:type="dxa"/>
            <w:vMerge w:val="restart"/>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p>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Activités préliminaires et informations additionnelles</w:t>
            </w:r>
          </w:p>
        </w:tc>
      </w:tr>
      <w:tr w:rsidR="006E6AAA" w:rsidRPr="006E6AAA" w:rsidTr="00C8613A">
        <w:tc>
          <w:tcPr>
            <w:tcW w:w="468" w:type="dxa"/>
            <w:vMerge/>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767" w:type="dxa"/>
            <w:vMerge/>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134" w:type="dxa"/>
            <w:vMerge/>
            <w:tcBorders>
              <w:bottom w:val="single" w:sz="4" w:space="0" w:color="auto"/>
            </w:tcBorders>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275" w:type="dxa"/>
            <w:vMerge/>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504" w:type="dxa"/>
            <w:vMerge/>
            <w:tcBorders>
              <w:bottom w:val="single" w:sz="4" w:space="0" w:color="auto"/>
            </w:tcBorders>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VBG</w:t>
            </w:r>
          </w:p>
        </w:tc>
        <w:tc>
          <w:tcPr>
            <w:tcW w:w="720" w:type="dxa"/>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autre</w:t>
            </w:r>
          </w:p>
        </w:tc>
        <w:tc>
          <w:tcPr>
            <w:tcW w:w="900" w:type="dxa"/>
            <w:tcBorders>
              <w:bottom w:val="single" w:sz="4" w:space="0" w:color="auto"/>
            </w:tcBorders>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Condamnations</w:t>
            </w:r>
          </w:p>
        </w:tc>
        <w:tc>
          <w:tcPr>
            <w:tcW w:w="900" w:type="dxa"/>
            <w:tcBorders>
              <w:bottom w:val="single" w:sz="4" w:space="0" w:color="auto"/>
            </w:tcBorders>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Acquittements</w:t>
            </w:r>
          </w:p>
        </w:tc>
        <w:tc>
          <w:tcPr>
            <w:tcW w:w="720" w:type="dxa"/>
            <w:tcBorders>
              <w:bottom w:val="single" w:sz="4" w:space="0" w:color="auto"/>
            </w:tcBorders>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autre</w:t>
            </w:r>
          </w:p>
        </w:tc>
        <w:tc>
          <w:tcPr>
            <w:tcW w:w="900" w:type="dxa"/>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PNUD</w:t>
            </w:r>
          </w:p>
        </w:tc>
        <w:tc>
          <w:tcPr>
            <w:tcW w:w="900" w:type="dxa"/>
            <w:tcBorders>
              <w:bottom w:val="single" w:sz="4" w:space="0" w:color="auto"/>
            </w:tcBorders>
            <w:shd w:val="clear" w:color="auto" w:fill="B3B3B3"/>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autres</w:t>
            </w:r>
          </w:p>
        </w:tc>
        <w:tc>
          <w:tcPr>
            <w:tcW w:w="900" w:type="dxa"/>
            <w:vMerge/>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2880" w:type="dxa"/>
            <w:vMerge/>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r w:rsidR="006E6AAA" w:rsidRPr="006E6AAA" w:rsidTr="00C8613A">
        <w:tc>
          <w:tcPr>
            <w:tcW w:w="4644" w:type="dxa"/>
            <w:gridSpan w:val="4"/>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 xml:space="preserve">         → District de l’ITURI </w:t>
            </w:r>
          </w:p>
        </w:tc>
        <w:tc>
          <w:tcPr>
            <w:tcW w:w="504"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288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de Grande Instance de l’Ituri</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Mahagi</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22/03 au 05/04/2011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13</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18</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10.000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10.000</w:t>
            </w:r>
          </w:p>
        </w:tc>
        <w:tc>
          <w:tcPr>
            <w:tcW w:w="2880" w:type="dxa"/>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de Grande Instance de l’Ituri</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Mahagi</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15/09 au 28/09/2011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9</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9</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9.000 </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9000 </w:t>
            </w:r>
          </w:p>
        </w:tc>
        <w:tc>
          <w:tcPr>
            <w:tcW w:w="2880" w:type="dxa"/>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Militaire de Garnison de l’Ituri</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Opasse</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18/04au 26/04 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6</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8.000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8.000</w:t>
            </w:r>
          </w:p>
        </w:tc>
        <w:tc>
          <w:tcPr>
            <w:tcW w:w="2880" w:type="dxa"/>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Militaire de Garnison de Bunia</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Komanda</w:t>
            </w:r>
          </w:p>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du 28/08 au 08/09/2012 </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12</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13</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7.968</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18"/>
                <w:szCs w:val="18"/>
                <w:u w:val="single"/>
                <w:lang w:val="fr-FR" w:eastAsia="it-IT"/>
              </w:rPr>
              <w:t>BCNUDH</w:t>
            </w:r>
            <w:r w:rsidRPr="006E6AAA">
              <w:rPr>
                <w:rFonts w:ascii="Calibri" w:eastAsia="Times New Roman" w:hAnsi="Calibri" w:cs="Times New Roman"/>
                <w:sz w:val="20"/>
                <w:szCs w:val="20"/>
                <w:lang w:val="fr-FR" w:eastAsia="it-IT"/>
              </w:rPr>
              <w:t>4.071</w:t>
            </w:r>
          </w:p>
          <w:p w:rsidR="006E6AAA" w:rsidRPr="006E6AAA" w:rsidRDefault="006E6AAA" w:rsidP="006E6AAA">
            <w:pPr>
              <w:spacing w:after="0" w:line="240" w:lineRule="auto"/>
              <w:rPr>
                <w:rFonts w:ascii="Calibri" w:eastAsia="Times New Roman" w:hAnsi="Calibri" w:cs="Times New Roman"/>
                <w:sz w:val="20"/>
                <w:szCs w:val="20"/>
                <w:u w:val="single"/>
                <w:lang w:val="fr-FR" w:eastAsia="it-IT"/>
              </w:rPr>
            </w:pPr>
            <w:r w:rsidRPr="006E6AAA">
              <w:rPr>
                <w:rFonts w:ascii="Calibri" w:eastAsia="Times New Roman" w:hAnsi="Calibri" w:cs="Times New Roman"/>
                <w:sz w:val="20"/>
                <w:szCs w:val="20"/>
                <w:u w:val="single"/>
                <w:lang w:val="fr-FR" w:eastAsia="it-IT"/>
              </w:rPr>
              <w:t>ASF*</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11.985</w:t>
            </w:r>
          </w:p>
        </w:tc>
        <w:tc>
          <w:tcPr>
            <w:tcW w:w="2880" w:type="dxa"/>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:2</w:t>
            </w:r>
          </w:p>
        </w:tc>
      </w:tr>
      <w:tr w:rsidR="006E6AAA" w:rsidRPr="006E6AAA" w:rsidTr="00C8613A">
        <w:tc>
          <w:tcPr>
            <w:tcW w:w="468"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1767"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Tribunal Militaire de Garnison de Bunia </w:t>
            </w:r>
          </w:p>
        </w:tc>
        <w:tc>
          <w:tcPr>
            <w:tcW w:w="1134"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Mambasa</w:t>
            </w:r>
          </w:p>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275"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Du 15/11  au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28 /11 2012 </w:t>
            </w:r>
          </w:p>
        </w:tc>
        <w:tc>
          <w:tcPr>
            <w:tcW w:w="504"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w:t>
            </w:r>
          </w:p>
        </w:tc>
        <w:tc>
          <w:tcPr>
            <w:tcW w:w="72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72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6</w:t>
            </w: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72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90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24.909</w:t>
            </w:r>
          </w:p>
        </w:tc>
        <w:tc>
          <w:tcPr>
            <w:tcW w:w="90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w:t>
            </w: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24.909</w:t>
            </w:r>
          </w:p>
        </w:tc>
        <w:tc>
          <w:tcPr>
            <w:tcW w:w="2880" w:type="dxa"/>
            <w:tcBorders>
              <w:bottom w:val="single" w:sz="4" w:space="0" w:color="auto"/>
            </w:tcBorders>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Dossiers crimes int.naux. : 2</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:2</w:t>
            </w:r>
          </w:p>
        </w:tc>
      </w:tr>
      <w:tr w:rsidR="006E6AAA" w:rsidRPr="006E6AAA" w:rsidTr="00C8613A">
        <w:tc>
          <w:tcPr>
            <w:tcW w:w="4644" w:type="dxa"/>
            <w:gridSpan w:val="4"/>
            <w:shd w:val="clear" w:color="auto" w:fill="C0C0C0"/>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        Total pour le district de l’Ituri</w:t>
            </w:r>
          </w:p>
        </w:tc>
        <w:tc>
          <w:tcPr>
            <w:tcW w:w="504"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60</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38</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19</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49</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4</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9</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59.877</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63.894</w:t>
            </w:r>
          </w:p>
        </w:tc>
        <w:tc>
          <w:tcPr>
            <w:tcW w:w="288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r w:rsidR="006E6AAA" w:rsidRPr="006E6AAA" w:rsidTr="00C8613A">
        <w:tc>
          <w:tcPr>
            <w:tcW w:w="4644" w:type="dxa"/>
            <w:gridSpan w:val="4"/>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 xml:space="preserve">                → Province du SUD KIVU</w:t>
            </w:r>
          </w:p>
        </w:tc>
        <w:tc>
          <w:tcPr>
            <w:tcW w:w="504"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288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Cour Militaire du Sud Kivu </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Cité d’Uvira </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1/11 au</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10/11 011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7.820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Dossiers crimes int.naux.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n/d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:0</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Cour Militaire du Sud Kivu </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Ihusi)</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24/10 au 29/10 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7.910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Dossiers crimes int.naux. : 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n/d</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 partiellement</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Tribunal Militaire de Garnison de Bukavu </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Ihusi </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08/08 au 16/08 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9</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12.322</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Dossiers crimes int.naux. : 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n/d</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 partiellement</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Militaire de Garnison de Bukavu</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Walungu centre </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13/03 au 26/03 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14</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13</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5.142</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n/d</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 partiellement</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Cour Militaire du Sud Kivu</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Ihusi </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28/02  au 9/03 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13.824</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Dossiers crimes int.naux. : 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n/d</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 partiellement</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6</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Cour Militaire du Sud Kivu</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Baraka </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10/02  au 21/02 2011</w:t>
            </w:r>
          </w:p>
        </w:tc>
        <w:tc>
          <w:tcPr>
            <w:tcW w:w="504"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11</w:t>
            </w:r>
          </w:p>
        </w:tc>
        <w:tc>
          <w:tcPr>
            <w:tcW w:w="72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72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p>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w:t>
            </w: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72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8.509</w:t>
            </w:r>
          </w:p>
        </w:tc>
        <w:tc>
          <w:tcPr>
            <w:tcW w:w="900" w:type="dxa"/>
            <w:tcBorders>
              <w:bottom w:val="single" w:sz="4" w:space="0" w:color="auto"/>
            </w:tcBorders>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900"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Dossiers crimes int.naux. : 1  (Fizi trial) ; </w:t>
            </w:r>
            <w:r w:rsidRPr="006E6AAA">
              <w:rPr>
                <w:rFonts w:ascii="Calibri" w:eastAsia="Times New Roman" w:hAnsi="Calibri" w:cs="Times New Roman"/>
                <w:sz w:val="20"/>
                <w:szCs w:val="20"/>
                <w:lang w:val="fr-FR" w:eastAsia="it-IT"/>
              </w:rPr>
              <w:t>Moniteur PNUD :0</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Parquet/Greffe : N/d</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Tribunal Militaire de Garnison de Bukavu </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Walungu centre</w:t>
            </w:r>
          </w:p>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2012</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08/10 au 15/10 2012</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90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720" w:type="dxa"/>
            <w:tcBorders>
              <w:bottom w:val="single" w:sz="4" w:space="0" w:color="auto"/>
            </w:tcBorders>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7.008</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u w:val="single"/>
                <w:lang w:val="fr-FR" w:eastAsia="it-IT"/>
              </w:rPr>
            </w:pPr>
            <w:r w:rsidRPr="006E6AAA">
              <w:rPr>
                <w:rFonts w:ascii="Calibri" w:eastAsia="Times New Roman" w:hAnsi="Calibri" w:cs="Times New Roman"/>
                <w:sz w:val="20"/>
                <w:szCs w:val="20"/>
                <w:u w:val="single"/>
                <w:lang w:val="fr-FR" w:eastAsia="it-IT"/>
              </w:rPr>
              <w:t>ABA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3.000</w:t>
            </w:r>
          </w:p>
          <w:p w:rsidR="006E6AAA" w:rsidRPr="006E6AAA" w:rsidRDefault="006E6AAA" w:rsidP="006E6AAA">
            <w:pPr>
              <w:spacing w:after="0" w:line="240" w:lineRule="auto"/>
              <w:rPr>
                <w:rFonts w:ascii="Calibri" w:eastAsia="Times New Roman" w:hAnsi="Calibri" w:cs="Times New Roman"/>
                <w:sz w:val="20"/>
                <w:szCs w:val="20"/>
                <w:u w:val="single"/>
                <w:lang w:val="fr-FR" w:eastAsia="it-IT"/>
              </w:rPr>
            </w:pPr>
            <w:r w:rsidRPr="006E6AAA">
              <w:rPr>
                <w:rFonts w:ascii="Calibri" w:eastAsia="Times New Roman" w:hAnsi="Calibri" w:cs="Times New Roman"/>
                <w:sz w:val="20"/>
                <w:szCs w:val="20"/>
                <w:u w:val="single"/>
                <w:lang w:val="fr-FR" w:eastAsia="it-IT"/>
              </w:rPr>
              <w:t>ASF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4.174</w:t>
            </w:r>
          </w:p>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14.182*</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Dossiers crimes int.naux. : 4</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:1</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Cour d’Appel du Sud Kivu</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Kamituga </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2012</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23/04 au 06/05 2012</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11</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18</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19</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7 </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5.296</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u w:val="single"/>
                <w:lang w:val="fr-FR" w:eastAsia="it-IT"/>
              </w:rPr>
            </w:pPr>
            <w:r w:rsidRPr="006E6AAA">
              <w:rPr>
                <w:rFonts w:ascii="Calibri" w:eastAsia="Times New Roman" w:hAnsi="Calibri" w:cs="Times New Roman"/>
                <w:sz w:val="20"/>
                <w:szCs w:val="20"/>
                <w:u w:val="single"/>
                <w:lang w:val="fr-FR" w:eastAsia="it-IT"/>
              </w:rPr>
              <w:t>DPK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4.681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u w:val="single"/>
                <w:lang w:val="fr-FR" w:eastAsia="it-IT"/>
              </w:rPr>
              <w:t>ABA </w:t>
            </w:r>
            <w:r w:rsidRPr="006E6AAA">
              <w:rPr>
                <w:rFonts w:ascii="Calibri" w:eastAsia="Times New Roman" w:hAnsi="Calibri" w:cs="Times New Roman"/>
                <w:sz w:val="20"/>
                <w:szCs w:val="20"/>
                <w:lang w:val="fr-FR" w:eastAsia="it-IT"/>
              </w:rPr>
              <w:t xml:space="preserve">: </w:t>
            </w:r>
            <w:r w:rsidRPr="006E6AAA">
              <w:rPr>
                <w:rFonts w:ascii="Calibri" w:eastAsia="Times New Roman" w:hAnsi="Calibri" w:cs="Times New Roman"/>
                <w:sz w:val="20"/>
                <w:szCs w:val="20"/>
                <w:lang w:val="fr-FR" w:eastAsia="it-IT"/>
              </w:rPr>
              <w:lastRenderedPageBreak/>
              <w:t xml:space="preserve">9.626 </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lastRenderedPageBreak/>
              <w:t>19.603</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du Parquet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Greffe : 1 + 1 Huissier</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:0</w:t>
            </w:r>
          </w:p>
        </w:tc>
      </w:tr>
      <w:tr w:rsidR="006E6AAA" w:rsidRPr="006E6AAA" w:rsidTr="00C8613A">
        <w:tc>
          <w:tcPr>
            <w:tcW w:w="468" w:type="dxa"/>
            <w:shd w:val="clear" w:color="auto" w:fill="E0E0E0"/>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1767" w:type="dxa"/>
            <w:shd w:val="clear" w:color="auto" w:fill="E0E0E0"/>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 xml:space="preserve">TOTAL </w:t>
            </w:r>
          </w:p>
        </w:tc>
        <w:tc>
          <w:tcPr>
            <w:tcW w:w="1134" w:type="dxa"/>
            <w:shd w:val="clear" w:color="auto" w:fill="E0E0E0"/>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1275" w:type="dxa"/>
            <w:shd w:val="clear" w:color="auto" w:fill="E0E0E0"/>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504"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92</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46</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29</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65</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6</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11</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62.540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sz w:val="20"/>
                <w:szCs w:val="20"/>
                <w:lang w:val="fr-FR" w:eastAsia="it-IT"/>
              </w:rPr>
              <w:t>n/d</w:t>
            </w:r>
          </w:p>
        </w:tc>
        <w:tc>
          <w:tcPr>
            <w:tcW w:w="2880" w:type="dxa"/>
            <w:shd w:val="clear" w:color="auto" w:fill="E0E0E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n/d</w:t>
            </w:r>
          </w:p>
        </w:tc>
      </w:tr>
      <w:tr w:rsidR="006E6AAA" w:rsidRPr="006E6AAA" w:rsidTr="00C8613A">
        <w:tc>
          <w:tcPr>
            <w:tcW w:w="4644" w:type="dxa"/>
            <w:gridSpan w:val="4"/>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 xml:space="preserve">                → Province du NORD KIVU</w:t>
            </w:r>
          </w:p>
        </w:tc>
        <w:tc>
          <w:tcPr>
            <w:tcW w:w="504"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72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90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2880" w:type="dxa"/>
            <w:tcBorders>
              <w:bottom w:val="single" w:sz="4" w:space="0" w:color="auto"/>
            </w:tcBorders>
            <w:shd w:val="clear" w:color="auto" w:fill="003366"/>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de Grande Instance de Goma</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Rutshuru</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03/02 au 17/02/2011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22</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6</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17</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7</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10.000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ABA 5.000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15.000</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2</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0</w:t>
            </w:r>
          </w:p>
        </w:tc>
      </w:tr>
      <w:tr w:rsidR="006E6AAA" w:rsidRPr="006E6AAA" w:rsidTr="00C8613A">
        <w:tc>
          <w:tcPr>
            <w:tcW w:w="468"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w:t>
            </w:r>
          </w:p>
        </w:tc>
        <w:tc>
          <w:tcPr>
            <w:tcW w:w="1767"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Tribunal Militaire de Garnison de Goma</w:t>
            </w:r>
          </w:p>
        </w:tc>
        <w:tc>
          <w:tcPr>
            <w:tcW w:w="1134"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Rutshuru</w:t>
            </w:r>
          </w:p>
        </w:tc>
        <w:tc>
          <w:tcPr>
            <w:tcW w:w="1275" w:type="dxa"/>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2011</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10/02 au 17/02/2011</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9</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11</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8.000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ABA 4.000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12.000</w:t>
            </w:r>
          </w:p>
        </w:tc>
        <w:tc>
          <w:tcPr>
            <w:tcW w:w="288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2</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0</w:t>
            </w:r>
          </w:p>
        </w:tc>
      </w:tr>
      <w:tr w:rsidR="006E6AAA" w:rsidRPr="006E6AAA" w:rsidTr="00C8613A">
        <w:tc>
          <w:tcPr>
            <w:tcW w:w="468"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3</w:t>
            </w:r>
          </w:p>
        </w:tc>
        <w:tc>
          <w:tcPr>
            <w:tcW w:w="1767"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Cour militaire du Nord-Kivu</w:t>
            </w:r>
          </w:p>
          <w:p w:rsidR="006E6AAA" w:rsidRPr="006E6AAA" w:rsidRDefault="006E6AAA" w:rsidP="006E6AAA">
            <w:pPr>
              <w:spacing w:after="0" w:line="240" w:lineRule="auto"/>
              <w:rPr>
                <w:rFonts w:ascii="Calibri" w:eastAsia="Times New Roman" w:hAnsi="Calibri" w:cs="Times New Roman"/>
                <w:sz w:val="20"/>
                <w:szCs w:val="20"/>
                <w:lang w:val="fr-FR" w:eastAsia="it-IT"/>
              </w:rPr>
            </w:pPr>
          </w:p>
        </w:tc>
        <w:tc>
          <w:tcPr>
            <w:tcW w:w="1134"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Butembo</w:t>
            </w:r>
          </w:p>
        </w:tc>
        <w:tc>
          <w:tcPr>
            <w:tcW w:w="1275"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2012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Du 04/06 au 26/062012</w:t>
            </w:r>
          </w:p>
        </w:tc>
        <w:tc>
          <w:tcPr>
            <w:tcW w:w="504"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23</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18</w:t>
            </w:r>
          </w:p>
        </w:tc>
        <w:tc>
          <w:tcPr>
            <w:tcW w:w="72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14</w:t>
            </w:r>
          </w:p>
        </w:tc>
        <w:tc>
          <w:tcPr>
            <w:tcW w:w="90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4</w:t>
            </w:r>
          </w:p>
        </w:tc>
        <w:tc>
          <w:tcPr>
            <w:tcW w:w="720" w:type="dxa"/>
            <w:shd w:val="clear" w:color="auto" w:fill="E6E6E6"/>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15.000</w:t>
            </w:r>
          </w:p>
        </w:tc>
        <w:tc>
          <w:tcPr>
            <w:tcW w:w="90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ABA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10.000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25.000 </w:t>
            </w:r>
          </w:p>
        </w:tc>
        <w:tc>
          <w:tcPr>
            <w:tcW w:w="2880" w:type="dxa"/>
            <w:tcBorders>
              <w:bottom w:val="single" w:sz="4" w:space="0" w:color="auto"/>
            </w:tcBorders>
            <w:shd w:val="clear" w:color="auto" w:fill="auto"/>
          </w:tcPr>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Mission du Parquet : 4</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 xml:space="preserve">Mission de la Greffe : 1 </w:t>
            </w:r>
          </w:p>
          <w:p w:rsidR="006E6AAA" w:rsidRPr="006E6AAA" w:rsidRDefault="006E6AAA" w:rsidP="006E6AAA">
            <w:pPr>
              <w:spacing w:after="0" w:line="240" w:lineRule="auto"/>
              <w:rPr>
                <w:rFonts w:ascii="Calibri" w:eastAsia="Times New Roman" w:hAnsi="Calibri" w:cs="Times New Roman"/>
                <w:sz w:val="20"/>
                <w:szCs w:val="20"/>
                <w:lang w:val="fr-FR" w:eastAsia="it-IT"/>
              </w:rPr>
            </w:pPr>
            <w:r w:rsidRPr="006E6AAA">
              <w:rPr>
                <w:rFonts w:ascii="Calibri" w:eastAsia="Times New Roman" w:hAnsi="Calibri" w:cs="Times New Roman"/>
                <w:sz w:val="20"/>
                <w:szCs w:val="20"/>
                <w:lang w:val="fr-FR" w:eastAsia="it-IT"/>
              </w:rPr>
              <w:t>Moniteur PNUD : 1</w:t>
            </w:r>
          </w:p>
        </w:tc>
      </w:tr>
      <w:tr w:rsidR="006E6AAA" w:rsidRPr="006E6AAA" w:rsidTr="00C8613A">
        <w:tc>
          <w:tcPr>
            <w:tcW w:w="4644" w:type="dxa"/>
            <w:gridSpan w:val="4"/>
            <w:shd w:val="clear" w:color="auto" w:fill="C0C0C0"/>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        Total pour la Province du Nord Kivu</w:t>
            </w:r>
          </w:p>
        </w:tc>
        <w:tc>
          <w:tcPr>
            <w:tcW w:w="504"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46</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44</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30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42</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14</w:t>
            </w: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33.000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19.000</w:t>
            </w: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r w:rsidRPr="006E6AAA">
              <w:rPr>
                <w:rFonts w:ascii="Calibri" w:eastAsia="Times New Roman" w:hAnsi="Calibri" w:cs="Times New Roman"/>
                <w:b/>
                <w:sz w:val="20"/>
                <w:szCs w:val="20"/>
                <w:lang w:val="fr-FR" w:eastAsia="it-IT"/>
              </w:rPr>
              <w:t>52.000</w:t>
            </w:r>
          </w:p>
        </w:tc>
        <w:tc>
          <w:tcPr>
            <w:tcW w:w="288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r w:rsidR="006E6AAA" w:rsidRPr="006E6AAA" w:rsidTr="00C8613A">
        <w:tc>
          <w:tcPr>
            <w:tcW w:w="4644" w:type="dxa"/>
            <w:gridSpan w:val="4"/>
            <w:shd w:val="clear" w:color="auto" w:fill="C0C0C0"/>
          </w:tcPr>
          <w:p w:rsidR="006E6AAA" w:rsidRPr="006E6AAA" w:rsidRDefault="006E6AAA" w:rsidP="006E6AAA">
            <w:pPr>
              <w:spacing w:after="0" w:line="240" w:lineRule="auto"/>
              <w:rPr>
                <w:rFonts w:ascii="Calibri" w:eastAsia="Times New Roman" w:hAnsi="Calibri" w:cs="Times New Roman"/>
                <w:b/>
                <w:i/>
                <w:sz w:val="20"/>
                <w:szCs w:val="20"/>
                <w:lang w:val="fr-FR" w:eastAsia="it-IT"/>
              </w:rPr>
            </w:pPr>
            <w:r w:rsidRPr="006E6AAA">
              <w:rPr>
                <w:rFonts w:ascii="Calibri" w:eastAsia="Times New Roman" w:hAnsi="Calibri" w:cs="Times New Roman"/>
                <w:b/>
                <w:i/>
                <w:sz w:val="20"/>
                <w:szCs w:val="20"/>
                <w:lang w:val="fr-FR" w:eastAsia="it-IT"/>
              </w:rPr>
              <w:t xml:space="preserve">        Grand total</w:t>
            </w:r>
          </w:p>
        </w:tc>
        <w:tc>
          <w:tcPr>
            <w:tcW w:w="504"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72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900" w:type="dxa"/>
            <w:shd w:val="clear" w:color="auto" w:fill="auto"/>
          </w:tcPr>
          <w:p w:rsidR="006E6AAA" w:rsidRPr="006E6AAA" w:rsidRDefault="006E6AAA" w:rsidP="006E6AAA">
            <w:pPr>
              <w:spacing w:after="0" w:line="240" w:lineRule="auto"/>
              <w:rPr>
                <w:rFonts w:ascii="Calibri" w:eastAsia="Times New Roman" w:hAnsi="Calibri" w:cs="Times New Roman"/>
                <w:b/>
                <w:sz w:val="20"/>
                <w:szCs w:val="20"/>
                <w:lang w:val="fr-FR" w:eastAsia="it-IT"/>
              </w:rPr>
            </w:pPr>
          </w:p>
        </w:tc>
        <w:tc>
          <w:tcPr>
            <w:tcW w:w="2880" w:type="dxa"/>
            <w:shd w:val="clear" w:color="auto" w:fill="C0C0C0"/>
          </w:tcPr>
          <w:p w:rsidR="006E6AAA" w:rsidRPr="006E6AAA" w:rsidRDefault="006E6AAA" w:rsidP="006E6AAA">
            <w:pPr>
              <w:spacing w:after="0" w:line="240" w:lineRule="auto"/>
              <w:rPr>
                <w:rFonts w:ascii="Calibri" w:eastAsia="Times New Roman" w:hAnsi="Calibri" w:cs="Times New Roman"/>
                <w:sz w:val="20"/>
                <w:szCs w:val="20"/>
                <w:lang w:val="fr-FR" w:eastAsia="it-IT"/>
              </w:rPr>
            </w:pPr>
          </w:p>
        </w:tc>
      </w:tr>
    </w:tbl>
    <w:p w:rsidR="006E6AAA" w:rsidRPr="006E6AAA" w:rsidRDefault="006E6AAA" w:rsidP="006E6AAA">
      <w:pPr>
        <w:spacing w:after="0" w:line="240" w:lineRule="auto"/>
        <w:ind w:left="360"/>
        <w:rPr>
          <w:rFonts w:ascii="Calibri" w:eastAsia="Times New Roman" w:hAnsi="Calibri" w:cs="Times New Roman"/>
          <w:b/>
          <w:sz w:val="24"/>
          <w:szCs w:val="24"/>
          <w:lang w:val="fr-FR" w:eastAsia="it-IT"/>
        </w:rPr>
      </w:pPr>
    </w:p>
    <w:p w:rsidR="006E6AAA" w:rsidRPr="006E6AAA" w:rsidRDefault="006E6AAA" w:rsidP="006E6AAA">
      <w:pPr>
        <w:spacing w:after="0" w:line="240" w:lineRule="auto"/>
        <w:rPr>
          <w:rFonts w:ascii="Calibri" w:eastAsia="Times New Roman" w:hAnsi="Calibri" w:cs="Times New Roman"/>
          <w:sz w:val="24"/>
          <w:szCs w:val="24"/>
          <w:lang w:val="fr-FR" w:eastAsia="it-IT"/>
        </w:rPr>
      </w:pPr>
      <w:r w:rsidRPr="006E6AAA">
        <w:rPr>
          <w:rFonts w:ascii="Calibri" w:eastAsia="Times New Roman" w:hAnsi="Calibri" w:cs="Times New Roman"/>
          <w:sz w:val="24"/>
          <w:szCs w:val="24"/>
          <w:lang w:val="fr-FR" w:eastAsia="it-IT"/>
        </w:rPr>
        <w:t>* indemnités avocats-consultants</w:t>
      </w:r>
    </w:p>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p w:rsidR="006E6AAA" w:rsidRDefault="006E6AAA"/>
    <w:sectPr w:rsidR="006E6AAA" w:rsidSect="007C7AD6">
      <w:pgSz w:w="11906" w:h="16838"/>
      <w:pgMar w:top="1440" w:right="1296" w:bottom="1138"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AAA" w:rsidRDefault="006E6AAA" w:rsidP="006E6AAA">
      <w:pPr>
        <w:spacing w:after="0" w:line="240" w:lineRule="auto"/>
      </w:pPr>
      <w:r>
        <w:separator/>
      </w:r>
    </w:p>
  </w:endnote>
  <w:endnote w:type="continuationSeparator" w:id="0">
    <w:p w:rsidR="006E6AAA" w:rsidRDefault="006E6AAA" w:rsidP="006E6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JBFLLP+ArialNarrow">
    <w:altName w:val="Arial Narrow"/>
    <w:panose1 w:val="00000000000000000000"/>
    <w:charset w:val="00"/>
    <w:family w:val="swiss"/>
    <w:notTrueType/>
    <w:pitch w:val="default"/>
    <w:sig w:usb0="00000003" w:usb1="00000000" w:usb2="00000000" w:usb3="00000000" w:csb0="00000001" w:csb1="00000000"/>
  </w:font>
  <w:font w:name="Quadraat">
    <w:altName w:val="Quadraat"/>
    <w:panose1 w:val="00000000000000000000"/>
    <w:charset w:val="00"/>
    <w:family w:val="roman"/>
    <w:notTrueType/>
    <w:pitch w:val="default"/>
    <w:sig w:usb0="00000003" w:usb1="00000000" w:usb2="00000000" w:usb3="00000000" w:csb0="00000001" w:csb1="00000000"/>
  </w:font>
  <w:font w:name="ACaslon-Bold">
    <w:panose1 w:val="00000000000000000000"/>
    <w:charset w:val="00"/>
    <w:family w:val="roman"/>
    <w:notTrueType/>
    <w:pitch w:val="default"/>
    <w:sig w:usb0="00000003" w:usb1="00000000" w:usb2="00000000" w:usb3="00000000" w:csb0="00000001" w:csb1="00000000"/>
  </w:font>
  <w:font w:name="Whitney-Bold">
    <w:panose1 w:val="00000000000000000000"/>
    <w:charset w:val="00"/>
    <w:family w:val="swiss"/>
    <w:notTrueType/>
    <w:pitch w:val="default"/>
    <w:sig w:usb0="00000003" w:usb1="00000000" w:usb2="00000000" w:usb3="00000000" w:csb0="00000001" w:csb1="00000000"/>
  </w:font>
  <w:font w:name="Whitney-Light">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3" w:usb1="08070000" w:usb2="00000010" w:usb3="00000000" w:csb0="00020001"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Kalinga">
    <w:panose1 w:val="020B0502040204020203"/>
    <w:charset w:val="00"/>
    <w:family w:val="swiss"/>
    <w:pitch w:val="variable"/>
    <w:sig w:usb0="00080003" w:usb1="00000000" w:usb2="00000000" w:usb3="00000000" w:csb0="00000001" w:csb1="00000000"/>
  </w:font>
  <w:font w:name="KPDDDN+TimesNewRoman">
    <w:altName w:val="Times New Roman"/>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auto"/>
    <w:notTrueType/>
    <w:pitch w:val="default"/>
    <w:sig w:usb0="00000003" w:usb1="00000000" w:usb2="00000000" w:usb3="00000000" w:csb0="00000001" w:csb1="00000000"/>
  </w:font>
  <w:font w:name="BellGothic-Ligh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KlavikaLight-Plain">
    <w:altName w:val="MS Mincho"/>
    <w:panose1 w:val="00000000000000000000"/>
    <w:charset w:val="80"/>
    <w:family w:val="auto"/>
    <w:notTrueType/>
    <w:pitch w:val="default"/>
    <w:sig w:usb0="00000000" w:usb1="08070000" w:usb2="00000010" w:usb3="00000000" w:csb0="00020000" w:csb1="00000000"/>
  </w:font>
  <w:font w:name="ArialNarrow-Italic">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TTE2561D58t00">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3"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etaPro-Norm">
    <w:panose1 w:val="00000000000000000000"/>
    <w:charset w:val="00"/>
    <w:family w:val="swiss"/>
    <w:notTrueType/>
    <w:pitch w:val="default"/>
    <w:sig w:usb0="00000003" w:usb1="00000000" w:usb2="00000000" w:usb3="00000000" w:csb0="00000001" w:csb1="00000000"/>
  </w:font>
  <w:font w:name="HelveticaNeueLTCom-Bd">
    <w:panose1 w:val="00000000000000000000"/>
    <w:charset w:val="00"/>
    <w:family w:val="swiss"/>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MetaNormal-Roman">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roman"/>
    <w:notTrueType/>
    <w:pitch w:val="default"/>
    <w:sig w:usb0="00000003" w:usb1="00000000" w:usb2="00000000" w:usb3="00000000" w:csb0="00000001" w:csb1="00000000"/>
  </w:font>
  <w:font w:name="Cochi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swiss"/>
    <w:notTrueType/>
    <w:pitch w:val="default"/>
    <w:sig w:usb0="00000003" w:usb1="00000000" w:usb2="00000000" w:usb3="00000000" w:csb0="00000001" w:csb1="00000000"/>
  </w:font>
  <w:font w:name="BaskervilleBT-Italic">
    <w:panose1 w:val="00000000000000000000"/>
    <w:charset w:val="00"/>
    <w:family w:val="roman"/>
    <w:notTrueType/>
    <w:pitch w:val="default"/>
    <w:sig w:usb0="00000003" w:usb1="00000000" w:usb2="00000000" w:usb3="00000000" w:csb0="00000001" w:csb1="00000000"/>
  </w:font>
  <w:font w:name="HelveticaNeueLTStd-Hv">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HelveticaNeueLTCom-M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cala">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MiloLF-Regular">
    <w:altName w:val="MiloLF-Regula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calaPro-Regular">
    <w:panose1 w:val="00000000000000000000"/>
    <w:charset w:val="00"/>
    <w:family w:val="roman"/>
    <w:notTrueType/>
    <w:pitch w:val="default"/>
    <w:sig w:usb0="00000003" w:usb1="00000000" w:usb2="00000000" w:usb3="00000000" w:csb0="00000001" w:csb1="00000000"/>
  </w:font>
  <w:font w:name="ScalaSans-Regular">
    <w:panose1 w:val="00000000000000000000"/>
    <w:charset w:val="00"/>
    <w:family w:val="swiss"/>
    <w:notTrueType/>
    <w:pitch w:val="default"/>
    <w:sig w:usb0="00000003" w:usb1="00000000" w:usb2="00000000" w:usb3="00000000" w:csb0="00000001" w:csb1="00000000"/>
  </w:font>
  <w:font w:name="Whitney-Book">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AmnestyTradeGothic">
    <w:panose1 w:val="00000000000000000000"/>
    <w:charset w:val="00"/>
    <w:family w:val="swiss"/>
    <w:notTrueType/>
    <w:pitch w:val="default"/>
    <w:sig w:usb0="00000003"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 w:name="AmnestyTradeGothic-Cn18">
    <w:panose1 w:val="00000000000000000000"/>
    <w:charset w:val="00"/>
    <w:family w:val="swiss"/>
    <w:notTrueType/>
    <w:pitch w:val="default"/>
    <w:sig w:usb0="00000003" w:usb1="00000000" w:usb2="00000000" w:usb3="00000000" w:csb0="00000001" w:csb1="00000000"/>
  </w:font>
  <w:font w:name="HelveticaNeue-LightCond">
    <w:panose1 w:val="00000000000000000000"/>
    <w:charset w:val="00"/>
    <w:family w:val="swiss"/>
    <w:notTrueType/>
    <w:pitch w:val="default"/>
    <w:sig w:usb0="00000003" w:usb1="00000000" w:usb2="00000000" w:usb3="00000000" w:csb0="00000001" w:csb1="00000000"/>
  </w:font>
  <w:font w:name="NewBaskerville-Roman">
    <w:panose1 w:val="00000000000000000000"/>
    <w:charset w:val="00"/>
    <w:family w:val="roman"/>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MetaBold-Roman">
    <w:panose1 w:val="00000000000000000000"/>
    <w:charset w:val="00"/>
    <w:family w:val="swiss"/>
    <w:notTrueType/>
    <w:pitch w:val="default"/>
    <w:sig w:usb0="00000003" w:usb1="00000000" w:usb2="00000000" w:usb3="00000000" w:csb0="00000001" w:csb1="00000000"/>
  </w:font>
  <w:font w:name="MetaMedium-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4B" w:rsidRDefault="00C1164B" w:rsidP="00DD5F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164B" w:rsidRDefault="00C1164B" w:rsidP="00285B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4B" w:rsidRDefault="00C1164B" w:rsidP="00DD5F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C1164B" w:rsidRDefault="00C1164B" w:rsidP="00285BB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4B" w:rsidRDefault="00C116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rsidP="001509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6AAA" w:rsidRDefault="006E6AAA" w:rsidP="003E652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Pr="0053263E" w:rsidRDefault="006E6AAA" w:rsidP="00150986">
    <w:pPr>
      <w:pStyle w:val="Footer"/>
      <w:framePr w:wrap="around" w:vAnchor="text" w:hAnchor="margin" w:xAlign="right" w:y="1"/>
      <w:rPr>
        <w:rStyle w:val="PageNumber"/>
        <w:rFonts w:ascii="Calibri" w:hAnsi="Calibri"/>
        <w:color w:val="000080"/>
        <w:sz w:val="20"/>
      </w:rPr>
    </w:pPr>
    <w:r w:rsidRPr="0053263E">
      <w:rPr>
        <w:rStyle w:val="PageNumber"/>
        <w:rFonts w:ascii="Calibri" w:hAnsi="Calibri"/>
        <w:color w:val="000080"/>
        <w:sz w:val="20"/>
      </w:rPr>
      <w:fldChar w:fldCharType="begin"/>
    </w:r>
    <w:r w:rsidRPr="0053263E">
      <w:rPr>
        <w:rStyle w:val="PageNumber"/>
        <w:rFonts w:ascii="Calibri" w:hAnsi="Calibri"/>
        <w:color w:val="000080"/>
        <w:sz w:val="20"/>
      </w:rPr>
      <w:instrText xml:space="preserve">PAGE  </w:instrText>
    </w:r>
    <w:r w:rsidRPr="0053263E">
      <w:rPr>
        <w:rStyle w:val="PageNumber"/>
        <w:rFonts w:ascii="Calibri" w:hAnsi="Calibri"/>
        <w:color w:val="000080"/>
        <w:sz w:val="20"/>
      </w:rPr>
      <w:fldChar w:fldCharType="separate"/>
    </w:r>
    <w:r w:rsidR="00C1164B">
      <w:rPr>
        <w:rStyle w:val="PageNumber"/>
        <w:rFonts w:ascii="Calibri" w:hAnsi="Calibri"/>
        <w:noProof/>
        <w:color w:val="000080"/>
        <w:sz w:val="20"/>
      </w:rPr>
      <w:t>29</w:t>
    </w:r>
    <w:r w:rsidRPr="0053263E">
      <w:rPr>
        <w:rStyle w:val="PageNumber"/>
        <w:rFonts w:ascii="Calibri" w:hAnsi="Calibri"/>
        <w:color w:val="000080"/>
        <w:sz w:val="20"/>
      </w:rPr>
      <w:fldChar w:fldCharType="end"/>
    </w:r>
  </w:p>
  <w:p w:rsidR="006E6AAA" w:rsidRDefault="006E6AAA" w:rsidP="003E652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Pr="00F33B9A" w:rsidRDefault="006E6AAA" w:rsidP="00F33B9A">
    <w:pPr>
      <w:pStyle w:val="Footer"/>
      <w:jc w:val="right"/>
      <w:rPr>
        <w:rFonts w:ascii="Calibri" w:hAnsi="Calibri"/>
        <w:b/>
        <w:color w:val="000080"/>
        <w:sz w:val="18"/>
        <w:szCs w:val="18"/>
      </w:rPr>
    </w:pPr>
    <w:r w:rsidRPr="00F33B9A">
      <w:rPr>
        <w:rStyle w:val="PageNumber"/>
        <w:rFonts w:ascii="Calibri" w:hAnsi="Calibri"/>
        <w:b/>
        <w:color w:val="000080"/>
        <w:sz w:val="18"/>
        <w:szCs w:val="18"/>
      </w:rPr>
      <w:fldChar w:fldCharType="begin"/>
    </w:r>
    <w:r w:rsidRPr="00F33B9A">
      <w:rPr>
        <w:rStyle w:val="PageNumber"/>
        <w:rFonts w:ascii="Calibri" w:hAnsi="Calibri"/>
        <w:b/>
        <w:color w:val="000080"/>
        <w:sz w:val="18"/>
        <w:szCs w:val="18"/>
      </w:rPr>
      <w:instrText xml:space="preserve"> PAGE </w:instrText>
    </w:r>
    <w:r w:rsidRPr="00F33B9A">
      <w:rPr>
        <w:rStyle w:val="PageNumber"/>
        <w:rFonts w:ascii="Calibri" w:hAnsi="Calibri"/>
        <w:b/>
        <w:color w:val="000080"/>
        <w:sz w:val="18"/>
        <w:szCs w:val="18"/>
      </w:rPr>
      <w:fldChar w:fldCharType="separate"/>
    </w:r>
    <w:r w:rsidR="00C1164B">
      <w:rPr>
        <w:rStyle w:val="PageNumber"/>
        <w:rFonts w:ascii="Calibri" w:hAnsi="Calibri"/>
        <w:b/>
        <w:noProof/>
        <w:color w:val="000080"/>
        <w:sz w:val="18"/>
        <w:szCs w:val="18"/>
      </w:rPr>
      <w:t>36</w:t>
    </w:r>
    <w:r w:rsidRPr="00F33B9A">
      <w:rPr>
        <w:rStyle w:val="PageNumber"/>
        <w:rFonts w:ascii="Calibri" w:hAnsi="Calibri"/>
        <w:b/>
        <w:color w:val="000080"/>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rsidP="00CA39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6AAA" w:rsidRDefault="006E6AAA" w:rsidP="00566404">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rsidP="00566404">
    <w:pPr>
      <w:pStyle w:val="Footer"/>
      <w:framePr w:wrap="around" w:vAnchor="text" w:hAnchor="page" w:x="10315" w:y="-21"/>
      <w:rPr>
        <w:rStyle w:val="PageNumber"/>
      </w:rPr>
    </w:pPr>
    <w:r>
      <w:rPr>
        <w:rStyle w:val="PageNumber"/>
      </w:rPr>
      <w:t xml:space="preserve"> </w:t>
    </w:r>
  </w:p>
  <w:p w:rsidR="006E6AAA" w:rsidRPr="00566404" w:rsidRDefault="006E6AAA" w:rsidP="00566404">
    <w:pPr>
      <w:pStyle w:val="Footer"/>
      <w:ind w:right="360"/>
      <w:jc w:val="right"/>
      <w:rPr>
        <w:rFonts w:ascii="Calibri" w:hAnsi="Calibri"/>
        <w:b/>
        <w:color w:val="000080"/>
        <w:sz w:val="20"/>
      </w:rPr>
    </w:pPr>
    <w:r w:rsidRPr="00566404">
      <w:rPr>
        <w:rStyle w:val="PageNumber"/>
        <w:rFonts w:ascii="Calibri" w:hAnsi="Calibri"/>
        <w:b/>
        <w:color w:val="000080"/>
        <w:sz w:val="20"/>
      </w:rPr>
      <w:fldChar w:fldCharType="begin"/>
    </w:r>
    <w:r w:rsidRPr="00566404">
      <w:rPr>
        <w:rStyle w:val="PageNumber"/>
        <w:rFonts w:ascii="Calibri" w:hAnsi="Calibri"/>
        <w:b/>
        <w:color w:val="000080"/>
        <w:sz w:val="20"/>
      </w:rPr>
      <w:instrText xml:space="preserve"> PAGE </w:instrText>
    </w:r>
    <w:r w:rsidRPr="00566404">
      <w:rPr>
        <w:rStyle w:val="PageNumber"/>
        <w:rFonts w:ascii="Calibri" w:hAnsi="Calibri"/>
        <w:b/>
        <w:color w:val="000080"/>
        <w:sz w:val="20"/>
      </w:rPr>
      <w:fldChar w:fldCharType="separate"/>
    </w:r>
    <w:r w:rsidR="00C1164B">
      <w:rPr>
        <w:rStyle w:val="PageNumber"/>
        <w:rFonts w:ascii="Calibri" w:hAnsi="Calibri"/>
        <w:b/>
        <w:noProof/>
        <w:color w:val="000080"/>
        <w:sz w:val="20"/>
      </w:rPr>
      <w:t>64</w:t>
    </w:r>
    <w:r w:rsidRPr="00566404">
      <w:rPr>
        <w:rStyle w:val="PageNumber"/>
        <w:rFonts w:ascii="Calibri" w:hAnsi="Calibri"/>
        <w:b/>
        <w:color w:val="000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AAA" w:rsidRDefault="006E6AAA" w:rsidP="006E6AAA">
      <w:pPr>
        <w:spacing w:after="0" w:line="240" w:lineRule="auto"/>
      </w:pPr>
      <w:r>
        <w:separator/>
      </w:r>
    </w:p>
  </w:footnote>
  <w:footnote w:type="continuationSeparator" w:id="0">
    <w:p w:rsidR="006E6AAA" w:rsidRDefault="006E6AAA" w:rsidP="006E6AAA">
      <w:pPr>
        <w:spacing w:after="0" w:line="240" w:lineRule="auto"/>
      </w:pPr>
      <w:r>
        <w:continuationSeparator/>
      </w:r>
    </w:p>
  </w:footnote>
  <w:footnote w:id="1">
    <w:p w:rsidR="00C1164B" w:rsidRPr="00792220" w:rsidRDefault="00C1164B" w:rsidP="00C1164B">
      <w:pPr>
        <w:jc w:val="both"/>
        <w:rPr>
          <w:rFonts w:ascii="Calibri" w:hAnsi="Calibri"/>
          <w:sz w:val="18"/>
          <w:szCs w:val="18"/>
          <w:lang w:val="fr-BE"/>
        </w:rPr>
      </w:pPr>
      <w:r w:rsidRPr="00BB2642">
        <w:rPr>
          <w:rStyle w:val="FootnoteReference"/>
          <w:sz w:val="18"/>
          <w:szCs w:val="18"/>
        </w:rPr>
        <w:footnoteRef/>
      </w:r>
      <w:r w:rsidRPr="00BB2642">
        <w:t xml:space="preserve"> </w:t>
      </w:r>
      <w:r w:rsidRPr="00792220">
        <w:rPr>
          <w:rFonts w:ascii="Calibri" w:hAnsi="Calibri" w:cs="Whitney-Bold"/>
          <w:sz w:val="18"/>
          <w:szCs w:val="18"/>
        </w:rPr>
        <w:t>“</w:t>
      </w:r>
      <w:r w:rsidRPr="00792220">
        <w:rPr>
          <w:rFonts w:ascii="Calibri" w:hAnsi="Calibri" w:cs="Whitney-Bold"/>
          <w:i/>
          <w:sz w:val="18"/>
          <w:szCs w:val="18"/>
        </w:rPr>
        <w:t>Helping to combat impunity for sexual crimes in DRC:</w:t>
      </w:r>
      <w:r w:rsidRPr="00792220">
        <w:rPr>
          <w:rFonts w:ascii="Calibri" w:hAnsi="Calibri" w:cs="Whitney-Bold"/>
          <w:i/>
          <w:color w:val="D2D3D5"/>
          <w:sz w:val="18"/>
          <w:szCs w:val="18"/>
        </w:rPr>
        <w:t xml:space="preserve"> </w:t>
      </w:r>
      <w:r w:rsidRPr="00792220">
        <w:rPr>
          <w:rFonts w:ascii="Calibri" w:hAnsi="Calibri" w:cs="Whitney-Light"/>
          <w:i/>
          <w:sz w:val="18"/>
          <w:szCs w:val="18"/>
        </w:rPr>
        <w:t>An evaluation of the mobile</w:t>
      </w:r>
      <w:r w:rsidRPr="00792220">
        <w:rPr>
          <w:rFonts w:ascii="Calibri" w:hAnsi="Calibri" w:cs="Whitney-Bold"/>
          <w:b/>
          <w:i/>
          <w:color w:val="D2D3D5"/>
          <w:sz w:val="18"/>
          <w:szCs w:val="18"/>
        </w:rPr>
        <w:t xml:space="preserve"> </w:t>
      </w:r>
      <w:r w:rsidRPr="00792220">
        <w:rPr>
          <w:rFonts w:ascii="Calibri" w:hAnsi="Calibri" w:cs="Whitney-Light"/>
          <w:i/>
          <w:sz w:val="18"/>
          <w:szCs w:val="18"/>
        </w:rPr>
        <w:t>gender justice courts</w:t>
      </w:r>
      <w:r w:rsidRPr="00792220">
        <w:rPr>
          <w:rFonts w:ascii="Calibri" w:hAnsi="Calibri" w:cs="Whitney-Light"/>
          <w:sz w:val="18"/>
          <w:szCs w:val="18"/>
        </w:rPr>
        <w:t xml:space="preserve">”, Open Society Initiative for Southern Africa, 2012; </w:t>
      </w:r>
      <w:r w:rsidRPr="00792220">
        <w:rPr>
          <w:rFonts w:ascii="Calibri" w:hAnsi="Calibri"/>
          <w:sz w:val="18"/>
          <w:szCs w:val="18"/>
          <w:lang w:val="fr-BE"/>
        </w:rPr>
        <w:t>« </w:t>
      </w:r>
      <w:r w:rsidRPr="00792220">
        <w:rPr>
          <w:rFonts w:ascii="Calibri" w:hAnsi="Calibri"/>
          <w:i/>
          <w:sz w:val="18"/>
          <w:szCs w:val="18"/>
          <w:lang w:val="fr-BE"/>
        </w:rPr>
        <w:t>Une justice équitable en RDC : Les audiences foraines une expérience pilote réussie</w:t>
      </w:r>
      <w:r w:rsidRPr="00792220">
        <w:rPr>
          <w:rFonts w:ascii="Calibri" w:hAnsi="Calibri"/>
          <w:sz w:val="18"/>
          <w:szCs w:val="18"/>
          <w:lang w:val="fr-BE"/>
        </w:rPr>
        <w:t> », Avocats sans Frontières, 2006</w:t>
      </w:r>
      <w:r>
        <w:rPr>
          <w:rFonts w:ascii="Calibri" w:hAnsi="Calibri"/>
          <w:sz w:val="18"/>
          <w:szCs w:val="18"/>
          <w:lang w:val="fr-BE"/>
        </w:rPr>
        <w:t xml:space="preserve"> ; </w:t>
      </w:r>
      <w:r w:rsidRPr="00610C3A">
        <w:rPr>
          <w:rFonts w:ascii="Calibri" w:hAnsi="Calibri"/>
          <w:i/>
          <w:sz w:val="18"/>
          <w:szCs w:val="18"/>
        </w:rPr>
        <w:t>« </w:t>
      </w:r>
      <w:smartTag w:uri="urn:schemas-microsoft-com:office:smarttags" w:element="place">
        <w:r w:rsidRPr="00610C3A">
          <w:rPr>
            <w:rFonts w:ascii="Calibri" w:hAnsi="Calibri"/>
            <w:i/>
            <w:sz w:val="18"/>
            <w:szCs w:val="18"/>
          </w:rPr>
          <w:t>Mobile</w:t>
        </w:r>
      </w:smartTag>
      <w:r w:rsidRPr="00610C3A">
        <w:rPr>
          <w:rFonts w:ascii="Calibri" w:hAnsi="Calibri"/>
          <w:i/>
          <w:sz w:val="18"/>
          <w:szCs w:val="18"/>
        </w:rPr>
        <w:t xml:space="preserve"> courts in the DRC : lessons from development for international criminal justice</w:t>
      </w:r>
      <w:r w:rsidRPr="00792220">
        <w:rPr>
          <w:rFonts w:ascii="Calibri" w:hAnsi="Calibri"/>
          <w:sz w:val="18"/>
          <w:szCs w:val="18"/>
        </w:rPr>
        <w:t> »,</w:t>
      </w:r>
      <w:r>
        <w:rPr>
          <w:rFonts w:ascii="Calibri" w:hAnsi="Calibri"/>
          <w:sz w:val="18"/>
          <w:szCs w:val="18"/>
          <w:lang w:val="fr-BE"/>
        </w:rPr>
        <w:t xml:space="preserve"> </w:t>
      </w:r>
      <w:r w:rsidRPr="00792220">
        <w:rPr>
          <w:rFonts w:ascii="Calibri" w:hAnsi="Calibri"/>
          <w:sz w:val="18"/>
          <w:szCs w:val="18"/>
          <w:lang w:val="fr-BE"/>
        </w:rPr>
        <w:t>Tessa Khan and Jim Wormington</w:t>
      </w:r>
      <w:r>
        <w:rPr>
          <w:rFonts w:ascii="Calibri" w:hAnsi="Calibri"/>
          <w:sz w:val="18"/>
          <w:szCs w:val="18"/>
          <w:lang w:val="fr-BE"/>
        </w:rPr>
        <w:t>, ABA-ROLI, 2011.</w:t>
      </w:r>
    </w:p>
  </w:footnote>
  <w:footnote w:id="2">
    <w:p w:rsidR="00C1164B" w:rsidRPr="00BB2642" w:rsidRDefault="00C1164B" w:rsidP="00C1164B">
      <w:pPr>
        <w:pStyle w:val="FootnoteText"/>
        <w:rPr>
          <w:rFonts w:ascii="Calibri" w:hAnsi="Calibri"/>
          <w:sz w:val="18"/>
          <w:szCs w:val="18"/>
        </w:rPr>
      </w:pPr>
      <w:r w:rsidRPr="00BB2642">
        <w:rPr>
          <w:rStyle w:val="FootnoteReference"/>
          <w:sz w:val="18"/>
          <w:szCs w:val="18"/>
        </w:rPr>
        <w:footnoteRef/>
      </w:r>
      <w:r w:rsidRPr="00BB2642">
        <w:rPr>
          <w:rFonts w:ascii="Calibri" w:hAnsi="Calibri"/>
          <w:sz w:val="18"/>
          <w:szCs w:val="18"/>
        </w:rPr>
        <w:t xml:space="preserve"> </w:t>
      </w:r>
      <w:smartTag w:uri="urn:schemas-microsoft-com:office:smarttags" w:element="place">
        <w:smartTag w:uri="urn:schemas-microsoft-com:office:smarttags" w:element="country-region">
          <w:r w:rsidRPr="00BB2642">
            <w:rPr>
              <w:rFonts w:ascii="Calibri" w:hAnsi="Calibri"/>
              <w:sz w:val="18"/>
              <w:szCs w:val="18"/>
            </w:rPr>
            <w:t>Sierra Leone</w:t>
          </w:r>
        </w:smartTag>
      </w:smartTag>
      <w:r w:rsidRPr="00BB2642">
        <w:rPr>
          <w:rFonts w:ascii="Calibri" w:hAnsi="Calibri"/>
          <w:sz w:val="18"/>
          <w:szCs w:val="18"/>
        </w:rPr>
        <w:t xml:space="preserve"> and CAR</w:t>
      </w:r>
    </w:p>
  </w:footnote>
  <w:footnote w:id="3">
    <w:p w:rsidR="00C1164B" w:rsidRDefault="00C1164B" w:rsidP="00C1164B">
      <w:pPr>
        <w:pStyle w:val="FootnoteText"/>
      </w:pPr>
      <w:r>
        <w:rPr>
          <w:rStyle w:val="FootnoteReference"/>
        </w:rPr>
        <w:footnoteRef/>
      </w:r>
      <w:r>
        <w:t xml:space="preserve"> “</w:t>
      </w:r>
      <w:r w:rsidRPr="00F20D10">
        <w:rPr>
          <w:i/>
        </w:rPr>
        <w:t>Strengthening the rule of law in crisis affected and fragile situations</w:t>
      </w:r>
      <w:r>
        <w:t>”, annual report 2011.</w:t>
      </w:r>
    </w:p>
  </w:footnote>
  <w:footnote w:id="4">
    <w:p w:rsidR="00C1164B" w:rsidRPr="003B658A" w:rsidRDefault="00C1164B" w:rsidP="00C1164B">
      <w:pPr>
        <w:pStyle w:val="FootnoteText"/>
        <w:rPr>
          <w:rFonts w:ascii="Calibri" w:hAnsi="Calibri"/>
          <w:sz w:val="18"/>
          <w:szCs w:val="18"/>
        </w:rPr>
      </w:pPr>
      <w:r w:rsidRPr="003B658A">
        <w:rPr>
          <w:rStyle w:val="FootnoteReference"/>
          <w:sz w:val="18"/>
          <w:szCs w:val="18"/>
        </w:rPr>
        <w:footnoteRef/>
      </w:r>
      <w:r w:rsidRPr="003B658A">
        <w:rPr>
          <w:rFonts w:ascii="Calibri" w:hAnsi="Calibri"/>
          <w:sz w:val="18"/>
          <w:szCs w:val="18"/>
        </w:rPr>
        <w:t xml:space="preserve"> “</w:t>
      </w:r>
      <w:r w:rsidRPr="003B658A">
        <w:rPr>
          <w:rFonts w:ascii="Calibri" w:hAnsi="Calibri"/>
          <w:i/>
          <w:sz w:val="18"/>
          <w:szCs w:val="18"/>
        </w:rPr>
        <w:t>Improving Access to Justice Programme</w:t>
      </w:r>
      <w:r w:rsidRPr="003B658A">
        <w:rPr>
          <w:rFonts w:ascii="Calibri" w:hAnsi="Calibri"/>
          <w:sz w:val="18"/>
          <w:szCs w:val="18"/>
        </w:rPr>
        <w:t>” 2010-2011</w:t>
      </w:r>
    </w:p>
  </w:footnote>
  <w:footnote w:id="5">
    <w:p w:rsidR="00C1164B" w:rsidRPr="0008191C" w:rsidRDefault="00C1164B" w:rsidP="00C1164B">
      <w:pPr>
        <w:pStyle w:val="FootnoteText"/>
        <w:rPr>
          <w:lang w:val="en-US"/>
        </w:rPr>
      </w:pPr>
      <w:r>
        <w:rPr>
          <w:rStyle w:val="FootnoteReference"/>
        </w:rPr>
        <w:footnoteRef/>
      </w:r>
      <w:r>
        <w:t xml:space="preserve"> </w:t>
      </w:r>
      <w:r>
        <w:rPr>
          <w:lang w:val="en-US"/>
        </w:rPr>
        <w:t>Supra § 1.1.</w:t>
      </w:r>
    </w:p>
  </w:footnote>
  <w:footnote w:id="6">
    <w:p w:rsidR="00C1164B" w:rsidRPr="00D75B8D" w:rsidRDefault="00C1164B" w:rsidP="00C1164B">
      <w:pPr>
        <w:pStyle w:val="FootnoteText"/>
        <w:rPr>
          <w:rFonts w:ascii="Calibri" w:hAnsi="Calibri"/>
          <w:sz w:val="18"/>
          <w:szCs w:val="18"/>
        </w:rPr>
      </w:pPr>
      <w:r w:rsidRPr="00D75B8D">
        <w:rPr>
          <w:rStyle w:val="FootnoteReference"/>
          <w:sz w:val="18"/>
          <w:szCs w:val="18"/>
        </w:rPr>
        <w:footnoteRef/>
      </w:r>
      <w:r w:rsidRPr="00D75B8D">
        <w:rPr>
          <w:rFonts w:ascii="Calibri" w:hAnsi="Calibri"/>
          <w:sz w:val="18"/>
          <w:szCs w:val="18"/>
        </w:rPr>
        <w:t xml:space="preserve"> </w:t>
      </w:r>
      <w:r w:rsidRPr="00D75B8D">
        <w:rPr>
          <w:rFonts w:ascii="Calibri" w:hAnsi="Calibri"/>
          <w:i/>
          <w:sz w:val="18"/>
          <w:szCs w:val="18"/>
        </w:rPr>
        <w:t>Supra</w:t>
      </w:r>
      <w:r w:rsidRPr="00D75B8D">
        <w:rPr>
          <w:rFonts w:ascii="Calibri" w:hAnsi="Calibri"/>
          <w:sz w:val="18"/>
          <w:szCs w:val="18"/>
        </w:rPr>
        <w:t>, § 1.4.</w:t>
      </w:r>
    </w:p>
  </w:footnote>
  <w:footnote w:id="7">
    <w:p w:rsidR="00C1164B" w:rsidRDefault="00C1164B" w:rsidP="00C1164B">
      <w:pPr>
        <w:pStyle w:val="FootnoteText"/>
      </w:pPr>
      <w:r>
        <w:rPr>
          <w:rStyle w:val="FootnoteReference"/>
        </w:rPr>
        <w:footnoteRef/>
      </w:r>
      <w:r>
        <w:t xml:space="preserve"> Annex 5</w:t>
      </w:r>
    </w:p>
  </w:footnote>
  <w:footnote w:id="8">
    <w:p w:rsidR="00C1164B" w:rsidRPr="00206695" w:rsidRDefault="00C1164B" w:rsidP="00C1164B">
      <w:pPr>
        <w:autoSpaceDE w:val="0"/>
        <w:autoSpaceDN w:val="0"/>
        <w:adjustRightInd w:val="0"/>
        <w:rPr>
          <w:rFonts w:ascii="Calibri" w:hAnsi="Calibri" w:cs="ACaslon-Regular"/>
          <w:sz w:val="20"/>
        </w:rPr>
      </w:pPr>
      <w:r>
        <w:rPr>
          <w:rStyle w:val="FootnoteReference"/>
        </w:rPr>
        <w:footnoteRef/>
      </w:r>
      <w:r>
        <w:t xml:space="preserve"> </w:t>
      </w:r>
      <w:r w:rsidRPr="00206695">
        <w:rPr>
          <w:rFonts w:ascii="Calibri" w:hAnsi="Calibri"/>
          <w:sz w:val="20"/>
        </w:rPr>
        <w:t>“</w:t>
      </w:r>
      <w:r w:rsidRPr="00206695">
        <w:rPr>
          <w:rFonts w:ascii="Calibri" w:hAnsi="Calibri" w:cs="ACaslon-Regular"/>
          <w:i/>
          <w:sz w:val="20"/>
        </w:rPr>
        <w:t>Handbook on Planning, Monitoring and Evaluating for Development Results</w:t>
      </w:r>
      <w:r w:rsidRPr="00206695">
        <w:rPr>
          <w:rFonts w:ascii="Calibri" w:hAnsi="Calibri" w:cs="ACaslon-Regular"/>
          <w:sz w:val="20"/>
        </w:rPr>
        <w:t>”, UNDP, 2009</w:t>
      </w:r>
    </w:p>
    <w:p w:rsidR="00C1164B" w:rsidRPr="001C4CA5" w:rsidRDefault="00C1164B" w:rsidP="00C1164B">
      <w:pPr>
        <w:pStyle w:val="FootnoteText"/>
        <w:rPr>
          <w:lang w:val="en-US"/>
        </w:rPr>
      </w:pPr>
    </w:p>
  </w:footnote>
  <w:footnote w:id="9">
    <w:p w:rsidR="006E6AAA" w:rsidRPr="00C669DE"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See </w:t>
      </w:r>
      <w:r w:rsidRPr="00C669DE">
        <w:rPr>
          <w:rFonts w:ascii="Calibri" w:hAnsi="Calibri"/>
          <w:sz w:val="18"/>
          <w:szCs w:val="18"/>
        </w:rPr>
        <w:t>Annex 6</w:t>
      </w:r>
    </w:p>
  </w:footnote>
  <w:footnote w:id="10">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sidRPr="00403DBF">
        <w:rPr>
          <w:rFonts w:ascii="Calibri" w:hAnsi="Calibri"/>
          <w:sz w:val="18"/>
          <w:szCs w:val="18"/>
        </w:rPr>
        <w:t xml:space="preserve"> Submitted</w:t>
      </w:r>
      <w:r>
        <w:rPr>
          <w:rFonts w:ascii="Calibri" w:hAnsi="Calibri"/>
          <w:sz w:val="18"/>
          <w:szCs w:val="18"/>
        </w:rPr>
        <w:t xml:space="preserve"> to BCPR on 18/12/2012</w:t>
      </w:r>
    </w:p>
  </w:footnote>
  <w:footnote w:id="11">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Local Court A</w:t>
      </w:r>
      <w:r w:rsidRPr="00403DBF">
        <w:rPr>
          <w:rFonts w:ascii="Calibri" w:hAnsi="Calibri"/>
          <w:sz w:val="18"/>
          <w:szCs w:val="18"/>
        </w:rPr>
        <w:t>ct</w:t>
      </w:r>
      <w:r>
        <w:rPr>
          <w:rFonts w:ascii="Calibri" w:hAnsi="Calibri"/>
          <w:sz w:val="18"/>
          <w:szCs w:val="18"/>
        </w:rPr>
        <w:t>, 2011</w:t>
      </w:r>
    </w:p>
  </w:footnote>
  <w:footnote w:id="12">
    <w:p w:rsidR="006E6AAA" w:rsidRPr="004F79CB" w:rsidRDefault="006E6AAA" w:rsidP="006E6AAA">
      <w:pPr>
        <w:spacing w:line="240" w:lineRule="auto"/>
        <w:rPr>
          <w:rFonts w:ascii="Calibri" w:hAnsi="Calibri"/>
        </w:rPr>
      </w:pPr>
      <w:r w:rsidRPr="00403DBF">
        <w:rPr>
          <w:rStyle w:val="FootnoteReference"/>
          <w:rFonts w:ascii="Calibri" w:hAnsi="Calibri"/>
          <w:sz w:val="18"/>
          <w:szCs w:val="18"/>
        </w:rPr>
        <w:footnoteRef/>
      </w:r>
      <w:r>
        <w:rPr>
          <w:sz w:val="18"/>
          <w:szCs w:val="18"/>
        </w:rPr>
        <w:t xml:space="preserve"> See for example the </w:t>
      </w:r>
      <w:r w:rsidRPr="004F79CB">
        <w:rPr>
          <w:sz w:val="18"/>
          <w:szCs w:val="18"/>
        </w:rPr>
        <w:t>World Bank</w:t>
      </w:r>
      <w:r w:rsidRPr="005C7C98">
        <w:rPr>
          <w:sz w:val="18"/>
          <w:szCs w:val="18"/>
        </w:rPr>
        <w:t xml:space="preserve"> </w:t>
      </w:r>
      <w:r>
        <w:rPr>
          <w:sz w:val="18"/>
          <w:szCs w:val="18"/>
        </w:rPr>
        <w:t>report:</w:t>
      </w:r>
      <w:r w:rsidRPr="004F79CB">
        <w:rPr>
          <w:sz w:val="18"/>
          <w:szCs w:val="18"/>
        </w:rPr>
        <w:t xml:space="preserve"> “</w:t>
      </w:r>
      <w:r w:rsidRPr="004F79CB">
        <w:rPr>
          <w:i/>
          <w:sz w:val="18"/>
          <w:szCs w:val="18"/>
        </w:rPr>
        <w:t>Sierra Leone: legal and judicial sector assessment</w:t>
      </w:r>
      <w:r w:rsidRPr="004F79CB">
        <w:rPr>
          <w:sz w:val="18"/>
          <w:szCs w:val="18"/>
        </w:rPr>
        <w:t xml:space="preserve">”, </w:t>
      </w:r>
      <w:r w:rsidRPr="00AD342C">
        <w:rPr>
          <w:sz w:val="18"/>
          <w:szCs w:val="18"/>
        </w:rPr>
        <w:t>2004</w:t>
      </w:r>
    </w:p>
  </w:footnote>
  <w:footnote w:id="13">
    <w:p w:rsidR="006E6AAA" w:rsidRPr="003309DD" w:rsidRDefault="006E6AAA" w:rsidP="006E6AAA">
      <w:pPr>
        <w:autoSpaceDE w:val="0"/>
        <w:autoSpaceDN w:val="0"/>
        <w:adjustRightInd w:val="0"/>
        <w:spacing w:line="240" w:lineRule="auto"/>
        <w:jc w:val="both"/>
        <w:rPr>
          <w:rFonts w:ascii="Calibri" w:hAnsi="Calibri"/>
          <w:sz w:val="18"/>
          <w:szCs w:val="18"/>
        </w:rPr>
      </w:pPr>
      <w:r w:rsidRPr="007C34AE">
        <w:rPr>
          <w:rStyle w:val="FootnoteReference"/>
          <w:rFonts w:ascii="Calibri" w:hAnsi="Calibri"/>
          <w:sz w:val="18"/>
          <w:szCs w:val="18"/>
        </w:rPr>
        <w:footnoteRef/>
      </w:r>
      <w:r w:rsidRPr="007C34AE">
        <w:rPr>
          <w:rStyle w:val="FootnoteReference"/>
          <w:rFonts w:ascii="Calibri" w:hAnsi="Calibri"/>
          <w:sz w:val="18"/>
          <w:szCs w:val="18"/>
        </w:rPr>
        <w:t xml:space="preserve"> </w:t>
      </w:r>
      <w:r w:rsidRPr="003309DD">
        <w:rPr>
          <w:rFonts w:ascii="Calibri" w:hAnsi="Calibri"/>
          <w:sz w:val="18"/>
          <w:szCs w:val="18"/>
        </w:rPr>
        <w:t>The  2007 Gender Acts consist of the following:  the Domestic Violence Act, the Devolution of Estates Act, Registration of Customary Marriage and Divorce Act</w:t>
      </w:r>
    </w:p>
  </w:footnote>
  <w:footnote w:id="14">
    <w:p w:rsidR="006E6AAA" w:rsidRPr="003309DD" w:rsidRDefault="006E6AAA" w:rsidP="006E6AAA">
      <w:pPr>
        <w:spacing w:line="240" w:lineRule="auto"/>
        <w:rPr>
          <w:rFonts w:ascii="Calibri" w:hAnsi="Calibri"/>
          <w:sz w:val="18"/>
          <w:szCs w:val="18"/>
        </w:rPr>
      </w:pPr>
      <w:r w:rsidRPr="003309DD">
        <w:rPr>
          <w:rStyle w:val="FootnoteReference"/>
          <w:rFonts w:ascii="Calibri" w:hAnsi="Calibri"/>
          <w:sz w:val="18"/>
          <w:szCs w:val="18"/>
        </w:rPr>
        <w:footnoteRef/>
      </w:r>
      <w:r w:rsidRPr="003309DD">
        <w:rPr>
          <w:rFonts w:ascii="Calibri" w:hAnsi="Calibri"/>
        </w:rPr>
        <w:t xml:space="preserve"> </w:t>
      </w:r>
      <w:r w:rsidRPr="003309DD">
        <w:rPr>
          <w:rFonts w:ascii="Calibri" w:hAnsi="Calibri"/>
          <w:sz w:val="18"/>
          <w:szCs w:val="18"/>
        </w:rPr>
        <w:t>Universal Periodic Review - Sierra Leone (Compilation of UN information), par. 73,  2011</w:t>
      </w:r>
    </w:p>
  </w:footnote>
  <w:footnote w:id="15">
    <w:p w:rsidR="006E6AAA" w:rsidRPr="00397466" w:rsidRDefault="006E6AAA" w:rsidP="006E6AAA">
      <w:pPr>
        <w:spacing w:line="240" w:lineRule="auto"/>
        <w:rPr>
          <w:rFonts w:ascii="Calibri" w:hAnsi="Calibri"/>
          <w:sz w:val="18"/>
          <w:szCs w:val="18"/>
        </w:rPr>
      </w:pPr>
      <w:r w:rsidRPr="003309DD">
        <w:rPr>
          <w:rStyle w:val="FootnoteReference"/>
          <w:rFonts w:ascii="Calibri" w:hAnsi="Calibri"/>
          <w:sz w:val="18"/>
          <w:szCs w:val="18"/>
        </w:rPr>
        <w:footnoteRef/>
      </w:r>
      <w:r w:rsidRPr="003309DD">
        <w:rPr>
          <w:rFonts w:ascii="Calibri" w:hAnsi="Calibri"/>
        </w:rPr>
        <w:t xml:space="preserve"> </w:t>
      </w:r>
      <w:r w:rsidRPr="003309DD">
        <w:rPr>
          <w:rFonts w:ascii="Calibri" w:hAnsi="Calibri"/>
          <w:sz w:val="18"/>
          <w:szCs w:val="18"/>
        </w:rPr>
        <w:t>Varvaloucas, Koroma, Turay and Siddiqi “</w:t>
      </w:r>
      <w:r w:rsidRPr="003309DD">
        <w:rPr>
          <w:rFonts w:ascii="Calibri" w:hAnsi="Calibri"/>
          <w:i/>
          <w:sz w:val="18"/>
          <w:szCs w:val="18"/>
        </w:rPr>
        <w:t>Improving the justice sector: law and institution building in Sierra Leone</w:t>
      </w:r>
      <w:r w:rsidRPr="003309DD">
        <w:rPr>
          <w:rFonts w:ascii="Calibri" w:hAnsi="Calibri"/>
          <w:sz w:val="18"/>
          <w:szCs w:val="18"/>
        </w:rPr>
        <w:t>”, 2012</w:t>
      </w:r>
    </w:p>
  </w:footnote>
  <w:footnote w:id="16">
    <w:p w:rsidR="006E6AAA" w:rsidRPr="003017B4" w:rsidRDefault="006E6AAA" w:rsidP="006E6AAA">
      <w:pPr>
        <w:pStyle w:val="FootnoteText"/>
        <w:rPr>
          <w:rFonts w:ascii="Calibri" w:hAnsi="Calibri"/>
        </w:rPr>
      </w:pPr>
      <w:r w:rsidRPr="003017B4">
        <w:rPr>
          <w:rStyle w:val="FootnoteReference"/>
          <w:rFonts w:ascii="Calibri" w:hAnsi="Calibri"/>
        </w:rPr>
        <w:footnoteRef/>
      </w:r>
      <w:r>
        <w:rPr>
          <w:rFonts w:ascii="Calibri" w:hAnsi="Calibri"/>
        </w:rPr>
        <w:t xml:space="preserve"> </w:t>
      </w:r>
      <w:r w:rsidRPr="003017B4">
        <w:rPr>
          <w:rFonts w:ascii="Calibri" w:hAnsi="Calibri"/>
        </w:rPr>
        <w:t xml:space="preserve">Global Development Report 2011 </w:t>
      </w:r>
      <w:hyperlink r:id="rId1" w:history="1">
        <w:r w:rsidRPr="003017B4">
          <w:rPr>
            <w:rStyle w:val="Hyperlink"/>
            <w:rFonts w:ascii="Calibri" w:hAnsi="Calibri"/>
          </w:rPr>
          <w:t>http://hdr.undp.org/en/reports/global/hdr2011</w:t>
        </w:r>
      </w:hyperlink>
      <w:r w:rsidRPr="003017B4">
        <w:rPr>
          <w:rFonts w:ascii="Calibri" w:hAnsi="Calibri"/>
        </w:rPr>
        <w:t xml:space="preserve"> </w:t>
      </w:r>
    </w:p>
  </w:footnote>
  <w:footnote w:id="17">
    <w:p w:rsidR="006E6AAA" w:rsidRPr="003017B4" w:rsidRDefault="006E6AAA" w:rsidP="006E6AAA">
      <w:pPr>
        <w:pStyle w:val="FootnoteText"/>
        <w:rPr>
          <w:rFonts w:ascii="Calibri" w:hAnsi="Calibri"/>
        </w:rPr>
      </w:pPr>
      <w:r w:rsidRPr="003017B4">
        <w:rPr>
          <w:rStyle w:val="FootnoteReference"/>
          <w:rFonts w:ascii="Calibri" w:hAnsi="Calibri"/>
        </w:rPr>
        <w:footnoteRef/>
      </w:r>
      <w:r w:rsidRPr="003017B4">
        <w:rPr>
          <w:rFonts w:ascii="Calibri" w:hAnsi="Calibri"/>
        </w:rPr>
        <w:t xml:space="preserve"> Justice Sector Reform Strategy and Investment Plan II 2011-14</w:t>
      </w:r>
    </w:p>
  </w:footnote>
  <w:footnote w:id="18">
    <w:p w:rsidR="006E6AAA" w:rsidRPr="003017B4" w:rsidRDefault="006E6AAA" w:rsidP="006E6AAA">
      <w:pPr>
        <w:pStyle w:val="FootnoteText"/>
        <w:rPr>
          <w:rFonts w:ascii="Calibri" w:hAnsi="Calibri"/>
        </w:rPr>
      </w:pPr>
      <w:r w:rsidRPr="003017B4">
        <w:rPr>
          <w:rStyle w:val="FootnoteReference"/>
          <w:rFonts w:ascii="Calibri" w:hAnsi="Calibri"/>
        </w:rPr>
        <w:footnoteRef/>
      </w:r>
      <w:r w:rsidRPr="003017B4">
        <w:rPr>
          <w:rFonts w:ascii="Calibri" w:hAnsi="Calibri"/>
        </w:rPr>
        <w:t xml:space="preserve"> Figures obtained from Government’s draft Agenda for Prosperity</w:t>
      </w:r>
    </w:p>
  </w:footnote>
  <w:footnote w:id="19">
    <w:p w:rsidR="006E6AAA" w:rsidRDefault="006E6AAA" w:rsidP="006E6AAA">
      <w:pPr>
        <w:pStyle w:val="FootnoteText"/>
      </w:pPr>
      <w:r w:rsidRPr="003017B4">
        <w:rPr>
          <w:rStyle w:val="FootnoteReference"/>
          <w:rFonts w:ascii="Calibri" w:hAnsi="Calibri"/>
        </w:rPr>
        <w:footnoteRef/>
      </w:r>
      <w:r w:rsidRPr="003017B4">
        <w:rPr>
          <w:rFonts w:ascii="Calibri" w:hAnsi="Calibri"/>
        </w:rPr>
        <w:t xml:space="preserve"> 2011 Annual Report of the Human Rights Commission of Sierra</w:t>
      </w:r>
      <w:r>
        <w:t xml:space="preserve"> Leone</w:t>
      </w:r>
    </w:p>
  </w:footnote>
  <w:footnote w:id="20">
    <w:p w:rsidR="006E6AAA" w:rsidRDefault="006E6AAA" w:rsidP="006E6AAA">
      <w:pPr>
        <w:pStyle w:val="FootnoteText"/>
      </w:pPr>
      <w:r>
        <w:rPr>
          <w:rStyle w:val="FootnoteReference"/>
        </w:rPr>
        <w:footnoteRef/>
      </w:r>
      <w:r>
        <w:t xml:space="preserve"> “</w:t>
      </w:r>
      <w:r w:rsidRPr="00206695">
        <w:rPr>
          <w:rFonts w:ascii="Calibri" w:hAnsi="Calibri" w:cs="ACaslon-Regular"/>
          <w:i/>
          <w:lang w:val="en-US"/>
        </w:rPr>
        <w:t>Handbook on Planning, Monitoring and Evaluating for Development Results</w:t>
      </w:r>
      <w:r w:rsidRPr="00206695">
        <w:rPr>
          <w:rFonts w:ascii="Calibri" w:hAnsi="Calibri" w:cs="ACaslon-Regular"/>
          <w:lang w:val="en-US"/>
        </w:rPr>
        <w:t>”, UNDP, 2009</w:t>
      </w:r>
      <w:r>
        <w:t xml:space="preserve"> p. 168</w:t>
      </w:r>
    </w:p>
  </w:footnote>
  <w:footnote w:id="21">
    <w:p w:rsidR="006E6AAA" w:rsidRPr="006664E6" w:rsidRDefault="006E6AAA" w:rsidP="006E6AAA">
      <w:pPr>
        <w:pStyle w:val="FootnoteText"/>
      </w:pPr>
      <w:r>
        <w:rPr>
          <w:rStyle w:val="FootnoteReference"/>
        </w:rPr>
        <w:footnoteRef/>
      </w:r>
      <w:r>
        <w:t xml:space="preserve"> Interview with Consultant Master and </w:t>
      </w:r>
      <w:r w:rsidRPr="006664E6">
        <w:t>Registrar, 31/01/2013</w:t>
      </w:r>
    </w:p>
  </w:footnote>
  <w:footnote w:id="22">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sidRPr="00403DBF">
        <w:rPr>
          <w:rFonts w:ascii="Calibri" w:hAnsi="Calibri"/>
          <w:sz w:val="18"/>
          <w:szCs w:val="18"/>
        </w:rPr>
        <w:t xml:space="preserve"> Article 6.1.b.</w:t>
      </w:r>
      <w:r>
        <w:rPr>
          <w:rFonts w:ascii="Calibri" w:hAnsi="Calibri"/>
          <w:sz w:val="18"/>
          <w:szCs w:val="18"/>
        </w:rPr>
        <w:t xml:space="preserve"> of the 1981 amendment to the Courts Act</w:t>
      </w:r>
    </w:p>
  </w:footnote>
  <w:footnote w:id="23">
    <w:p w:rsidR="006E6AAA" w:rsidRPr="00DA64BF" w:rsidRDefault="006E6AAA" w:rsidP="006E6AAA">
      <w:pPr>
        <w:pStyle w:val="FootnoteText"/>
      </w:pPr>
      <w:r w:rsidRPr="00DA64BF">
        <w:rPr>
          <w:rStyle w:val="FootnoteReference"/>
        </w:rPr>
        <w:footnoteRef/>
      </w:r>
      <w:r w:rsidRPr="00DA64BF">
        <w:t xml:space="preserve"> For a more detailed analysis of the issues related to the Justices of Peace see § 3.3 </w:t>
      </w:r>
    </w:p>
  </w:footnote>
  <w:footnote w:id="24">
    <w:p w:rsidR="006E6AAA" w:rsidRPr="006E76FE" w:rsidRDefault="006E6AAA" w:rsidP="006E6AAA">
      <w:pPr>
        <w:pStyle w:val="FootnoteText"/>
        <w:rPr>
          <w:rFonts w:ascii="Calibri" w:hAnsi="Calibri"/>
        </w:rPr>
      </w:pPr>
      <w:r w:rsidRPr="006E76FE">
        <w:rPr>
          <w:rStyle w:val="FootnoteReference"/>
          <w:rFonts w:ascii="Calibri" w:hAnsi="Calibri"/>
        </w:rPr>
        <w:footnoteRef/>
      </w:r>
      <w:r w:rsidRPr="006E76FE">
        <w:rPr>
          <w:rFonts w:ascii="Calibri" w:hAnsi="Calibri"/>
        </w:rPr>
        <w:t xml:space="preserve"> See Annex 4.</w:t>
      </w:r>
    </w:p>
  </w:footnote>
  <w:footnote w:id="25">
    <w:p w:rsidR="006E6AAA" w:rsidRPr="00DA64BF" w:rsidRDefault="006E6AAA" w:rsidP="006E6AAA">
      <w:pPr>
        <w:spacing w:line="240" w:lineRule="auto"/>
        <w:jc w:val="both"/>
        <w:rPr>
          <w:rFonts w:ascii="Calibri" w:hAnsi="Calibri"/>
          <w:sz w:val="18"/>
          <w:szCs w:val="18"/>
        </w:rPr>
      </w:pPr>
      <w:r w:rsidRPr="00C10C86">
        <w:rPr>
          <w:rStyle w:val="FootnoteReference"/>
          <w:rFonts w:ascii="Calibri" w:hAnsi="Calibri"/>
          <w:sz w:val="18"/>
          <w:szCs w:val="18"/>
        </w:rPr>
        <w:footnoteRef/>
      </w:r>
      <w:r w:rsidRPr="00C10C86">
        <w:t xml:space="preserve"> </w:t>
      </w:r>
      <w:r w:rsidRPr="00717C22">
        <w:rPr>
          <w:rFonts w:ascii="Calibri" w:hAnsi="Calibri"/>
          <w:sz w:val="18"/>
          <w:szCs w:val="18"/>
        </w:rPr>
        <w:t xml:space="preserve">The </w:t>
      </w:r>
      <w:r>
        <w:rPr>
          <w:rFonts w:ascii="Calibri" w:hAnsi="Calibri"/>
          <w:sz w:val="18"/>
          <w:szCs w:val="18"/>
        </w:rPr>
        <w:t xml:space="preserve">Consultant </w:t>
      </w:r>
      <w:r w:rsidRPr="00717C22">
        <w:rPr>
          <w:rFonts w:ascii="Calibri" w:hAnsi="Calibri"/>
          <w:sz w:val="18"/>
          <w:szCs w:val="18"/>
        </w:rPr>
        <w:t>Master and Registrar confirmed that the salary of a magistrate is not commensurate to his role and clarified that the current basic salary is around 400 USD plus a top-up of 450 USD</w:t>
      </w:r>
      <w:r>
        <w:rPr>
          <w:rFonts w:ascii="Calibri" w:hAnsi="Calibri"/>
          <w:sz w:val="18"/>
          <w:szCs w:val="18"/>
        </w:rPr>
        <w:t xml:space="preserve"> per month</w:t>
      </w:r>
      <w:r w:rsidRPr="00717C22">
        <w:rPr>
          <w:rFonts w:ascii="Calibri" w:hAnsi="Calibri"/>
          <w:sz w:val="18"/>
          <w:szCs w:val="18"/>
        </w:rPr>
        <w:t>. The salary of a High Court judge is around 4.800 USD plus the top-</w:t>
      </w:r>
      <w:r w:rsidRPr="00DA64BF">
        <w:rPr>
          <w:rFonts w:ascii="Calibri" w:hAnsi="Calibri"/>
          <w:sz w:val="18"/>
          <w:szCs w:val="18"/>
        </w:rPr>
        <w:t>up per month.</w:t>
      </w:r>
    </w:p>
  </w:footnote>
  <w:footnote w:id="26">
    <w:p w:rsidR="006E6AAA" w:rsidRPr="00DA64BF" w:rsidRDefault="006E6AAA" w:rsidP="006E6AAA">
      <w:pPr>
        <w:spacing w:line="240" w:lineRule="auto"/>
        <w:rPr>
          <w:rFonts w:ascii="Calibri" w:hAnsi="Calibri"/>
          <w:sz w:val="18"/>
          <w:szCs w:val="18"/>
        </w:rPr>
      </w:pPr>
      <w:r w:rsidRPr="00DA64BF">
        <w:rPr>
          <w:rStyle w:val="FootnoteReference"/>
          <w:rFonts w:ascii="Calibri" w:hAnsi="Calibri"/>
          <w:sz w:val="18"/>
          <w:szCs w:val="18"/>
        </w:rPr>
        <w:footnoteRef/>
      </w:r>
      <w:r w:rsidRPr="00DA64BF">
        <w:t xml:space="preserve"> </w:t>
      </w:r>
      <w:r w:rsidRPr="00DA64BF">
        <w:rPr>
          <w:rFonts w:ascii="Calibri" w:hAnsi="Calibri"/>
          <w:sz w:val="18"/>
          <w:szCs w:val="18"/>
        </w:rPr>
        <w:t>On this point see: Betty Alimamy Sesay, “</w:t>
      </w:r>
      <w:r w:rsidRPr="00DA64BF">
        <w:rPr>
          <w:rFonts w:ascii="Calibri" w:hAnsi="Calibri"/>
          <w:i/>
          <w:sz w:val="18"/>
          <w:szCs w:val="18"/>
        </w:rPr>
        <w:t>Filling the Gaps in the Justice Sector: More Resident Magistrates Needed in Sierra Leone</w:t>
      </w:r>
      <w:r w:rsidRPr="00DA64BF">
        <w:rPr>
          <w:rFonts w:ascii="Calibri" w:hAnsi="Calibri"/>
          <w:sz w:val="18"/>
          <w:szCs w:val="18"/>
        </w:rPr>
        <w:t>”, CARL, 2011</w:t>
      </w:r>
    </w:p>
  </w:footnote>
  <w:footnote w:id="27">
    <w:p w:rsidR="006E6AAA" w:rsidRPr="00DA64BF" w:rsidRDefault="006E6AAA" w:rsidP="006E6AAA">
      <w:pPr>
        <w:spacing w:line="240" w:lineRule="auto"/>
        <w:jc w:val="both"/>
        <w:rPr>
          <w:rFonts w:ascii="Calibri" w:hAnsi="Calibri"/>
          <w:sz w:val="18"/>
          <w:szCs w:val="18"/>
        </w:rPr>
      </w:pPr>
      <w:r w:rsidRPr="00DA64BF">
        <w:rPr>
          <w:rStyle w:val="FootnoteReference"/>
          <w:rFonts w:ascii="Calibri" w:hAnsi="Calibri"/>
          <w:sz w:val="18"/>
          <w:szCs w:val="18"/>
        </w:rPr>
        <w:footnoteRef/>
      </w:r>
      <w:r w:rsidRPr="00DA64BF">
        <w:rPr>
          <w:rStyle w:val="FootnoteReference"/>
          <w:rFonts w:ascii="Calibri" w:hAnsi="Calibri"/>
          <w:sz w:val="18"/>
          <w:szCs w:val="18"/>
        </w:rPr>
        <w:t xml:space="preserve"> </w:t>
      </w:r>
      <w:r w:rsidRPr="00DA64BF">
        <w:rPr>
          <w:rFonts w:ascii="Calibri" w:hAnsi="Calibri"/>
          <w:sz w:val="18"/>
          <w:szCs w:val="18"/>
        </w:rPr>
        <w:t xml:space="preserve">UNDP’s support in the past years has already brought about significant improvements in the conditions of service for judicial staff: to be noted the constant capacity building activities and the payment of top-ups for judicial staff salaries; in addition UNDP’s support on mobile courts and SGBV courts should also be seen as increasing the attraction of working as a Judge or Magistrate. </w:t>
      </w:r>
    </w:p>
  </w:footnote>
  <w:footnote w:id="28">
    <w:p w:rsidR="006E6AAA" w:rsidRPr="00DA64BF" w:rsidRDefault="006E6AAA" w:rsidP="006E6AAA">
      <w:pPr>
        <w:spacing w:line="280" w:lineRule="exact"/>
        <w:jc w:val="both"/>
        <w:rPr>
          <w:rFonts w:ascii="Calibri" w:hAnsi="Calibri"/>
          <w:sz w:val="18"/>
          <w:szCs w:val="18"/>
        </w:rPr>
      </w:pPr>
      <w:r w:rsidRPr="00DA64BF">
        <w:rPr>
          <w:rStyle w:val="FootnoteReference"/>
          <w:rFonts w:ascii="Calibri" w:hAnsi="Calibri"/>
          <w:sz w:val="18"/>
          <w:szCs w:val="18"/>
        </w:rPr>
        <w:footnoteRef/>
      </w:r>
      <w:r w:rsidRPr="00DA64BF">
        <w:rPr>
          <w:rStyle w:val="FootnoteReference"/>
          <w:rFonts w:ascii="Calibri" w:hAnsi="Calibri"/>
          <w:sz w:val="18"/>
          <w:szCs w:val="18"/>
        </w:rPr>
        <w:t xml:space="preserve"> </w:t>
      </w:r>
      <w:r w:rsidRPr="00DA64BF">
        <w:rPr>
          <w:rFonts w:ascii="Calibri" w:hAnsi="Calibri"/>
          <w:sz w:val="18"/>
          <w:szCs w:val="18"/>
        </w:rPr>
        <w:t>The issue is further explored in § 2.3 under the section “pre-trial detention”.</w:t>
      </w:r>
    </w:p>
  </w:footnote>
  <w:footnote w:id="29">
    <w:p w:rsidR="006E6AAA" w:rsidRPr="007C34AE" w:rsidRDefault="006E6AAA" w:rsidP="006E6AAA">
      <w:pPr>
        <w:pStyle w:val="FootnoteText"/>
        <w:spacing w:line="240" w:lineRule="auto"/>
        <w:jc w:val="both"/>
        <w:rPr>
          <w:rFonts w:ascii="Calibri" w:hAnsi="Calibri"/>
          <w:color w:val="FF0000"/>
          <w:sz w:val="18"/>
          <w:szCs w:val="18"/>
        </w:rPr>
      </w:pPr>
      <w:r w:rsidRPr="007C34AE">
        <w:rPr>
          <w:rStyle w:val="FootnoteReference"/>
          <w:rFonts w:ascii="Calibri" w:hAnsi="Calibri"/>
          <w:sz w:val="18"/>
          <w:szCs w:val="18"/>
        </w:rPr>
        <w:footnoteRef/>
      </w:r>
      <w:r w:rsidRPr="007C34AE">
        <w:rPr>
          <w:rFonts w:ascii="Calibri" w:hAnsi="Calibri"/>
          <w:sz w:val="18"/>
          <w:szCs w:val="18"/>
        </w:rPr>
        <w:t xml:space="preserve"> UPR, </w:t>
      </w:r>
      <w:r w:rsidRPr="006E76FE">
        <w:rPr>
          <w:rFonts w:ascii="Calibri" w:hAnsi="Calibri"/>
          <w:i/>
          <w:sz w:val="18"/>
          <w:szCs w:val="18"/>
          <w:lang w:val="en-US"/>
        </w:rPr>
        <w:t>supra</w:t>
      </w:r>
      <w:r>
        <w:rPr>
          <w:rFonts w:ascii="Calibri" w:hAnsi="Calibri"/>
          <w:sz w:val="18"/>
          <w:szCs w:val="18"/>
          <w:lang w:val="en-US"/>
        </w:rPr>
        <w:t xml:space="preserve"> n. 6</w:t>
      </w:r>
    </w:p>
  </w:footnote>
  <w:footnote w:id="30">
    <w:p w:rsidR="006E6AAA" w:rsidRPr="007C34AE" w:rsidRDefault="006E6AAA" w:rsidP="006E6AAA">
      <w:pPr>
        <w:autoSpaceDE w:val="0"/>
        <w:autoSpaceDN w:val="0"/>
        <w:adjustRightInd w:val="0"/>
        <w:spacing w:line="240" w:lineRule="auto"/>
        <w:rPr>
          <w:rFonts w:ascii="Calibri" w:hAnsi="Calibri"/>
          <w:sz w:val="18"/>
          <w:szCs w:val="18"/>
          <w:lang w:eastAsia="it-IT"/>
        </w:rPr>
      </w:pPr>
      <w:r w:rsidRPr="007C34AE">
        <w:rPr>
          <w:rStyle w:val="FootnoteReference"/>
          <w:rFonts w:ascii="Calibri" w:hAnsi="Calibri"/>
          <w:sz w:val="18"/>
          <w:szCs w:val="18"/>
        </w:rPr>
        <w:footnoteRef/>
      </w:r>
      <w:r w:rsidRPr="007C34AE">
        <w:rPr>
          <w:sz w:val="18"/>
          <w:szCs w:val="18"/>
        </w:rPr>
        <w:t xml:space="preserve"> </w:t>
      </w:r>
      <w:r w:rsidRPr="007C34AE">
        <w:rPr>
          <w:rFonts w:ascii="Calibri" w:hAnsi="Calibri"/>
          <w:sz w:val="18"/>
          <w:szCs w:val="18"/>
          <w:lang w:eastAsia="it-IT"/>
        </w:rPr>
        <w:t>Clare Castillejo, “</w:t>
      </w:r>
      <w:r w:rsidRPr="007C34AE">
        <w:rPr>
          <w:rFonts w:ascii="Calibri" w:hAnsi="Calibri"/>
          <w:i/>
          <w:sz w:val="18"/>
          <w:szCs w:val="18"/>
          <w:lang w:eastAsia="it-IT"/>
        </w:rPr>
        <w:t>Strengthening women’s citizenship in the context of state-building: the experience of Sierra Leone</w:t>
      </w:r>
      <w:r w:rsidRPr="007C34AE">
        <w:rPr>
          <w:rFonts w:ascii="Calibri" w:hAnsi="Calibri"/>
          <w:sz w:val="18"/>
          <w:szCs w:val="18"/>
          <w:lang w:eastAsia="it-IT"/>
        </w:rPr>
        <w:t>”, Friede 2008</w:t>
      </w:r>
    </w:p>
  </w:footnote>
  <w:footnote w:id="31">
    <w:p w:rsidR="006E6AAA" w:rsidRPr="00403DBF" w:rsidRDefault="006E6AAA" w:rsidP="006E6AAA">
      <w:pPr>
        <w:autoSpaceDE w:val="0"/>
        <w:autoSpaceDN w:val="0"/>
        <w:adjustRightInd w:val="0"/>
        <w:spacing w:line="240" w:lineRule="auto"/>
        <w:jc w:val="both"/>
        <w:rPr>
          <w:rFonts w:ascii="Calibri" w:hAnsi="Calibri" w:cs="Verdana"/>
          <w:sz w:val="18"/>
          <w:szCs w:val="18"/>
          <w:lang w:eastAsia="it-IT"/>
        </w:rPr>
      </w:pPr>
      <w:r w:rsidRPr="00403DBF">
        <w:rPr>
          <w:rStyle w:val="FootnoteReference"/>
          <w:rFonts w:ascii="Calibri" w:hAnsi="Calibri"/>
          <w:sz w:val="18"/>
          <w:szCs w:val="18"/>
        </w:rPr>
        <w:footnoteRef/>
      </w:r>
      <w:r w:rsidRPr="00403DBF">
        <w:rPr>
          <w:rFonts w:ascii="Calibri" w:hAnsi="Calibri"/>
          <w:sz w:val="18"/>
          <w:szCs w:val="18"/>
        </w:rPr>
        <w:t xml:space="preserve"> </w:t>
      </w:r>
      <w:r w:rsidRPr="006E76FE">
        <w:rPr>
          <w:rFonts w:ascii="Calibri" w:hAnsi="Calibri"/>
          <w:i/>
          <w:sz w:val="18"/>
          <w:szCs w:val="18"/>
        </w:rPr>
        <w:t>Supra</w:t>
      </w:r>
      <w:r>
        <w:rPr>
          <w:rFonts w:ascii="Calibri" w:hAnsi="Calibri"/>
          <w:sz w:val="18"/>
          <w:szCs w:val="18"/>
        </w:rPr>
        <w:t>, n. 5</w:t>
      </w:r>
    </w:p>
  </w:footnote>
  <w:footnote w:id="32">
    <w:p w:rsidR="006E6AAA" w:rsidRPr="00CE2307" w:rsidRDefault="006E6AAA" w:rsidP="006E6AAA">
      <w:pPr>
        <w:pStyle w:val="FootnoteText"/>
        <w:spacing w:line="240" w:lineRule="auto"/>
        <w:rPr>
          <w:rFonts w:ascii="Calibri" w:hAnsi="Calibri"/>
          <w:sz w:val="18"/>
          <w:szCs w:val="18"/>
        </w:rPr>
      </w:pPr>
      <w:r w:rsidRPr="00CC20A0">
        <w:rPr>
          <w:rStyle w:val="FootnoteReference"/>
          <w:rFonts w:ascii="Calibri" w:hAnsi="Calibri"/>
          <w:sz w:val="18"/>
          <w:szCs w:val="18"/>
        </w:rPr>
        <w:footnoteRef/>
      </w:r>
      <w:r w:rsidRPr="00CC20A0">
        <w:rPr>
          <w:rFonts w:ascii="Calibri" w:hAnsi="Calibri"/>
          <w:sz w:val="18"/>
          <w:szCs w:val="18"/>
        </w:rPr>
        <w:t xml:space="preserve"> </w:t>
      </w:r>
      <w:r w:rsidRPr="00CE2307">
        <w:rPr>
          <w:rFonts w:ascii="Calibri" w:hAnsi="Calibri"/>
          <w:sz w:val="18"/>
          <w:szCs w:val="18"/>
        </w:rPr>
        <w:t xml:space="preserve">The UNDP project manager confirmed that UNDP plans to continue to support the Southern province and not the Eastern one, as indicated (probably by mistake) in the AWP. </w:t>
      </w:r>
    </w:p>
  </w:footnote>
  <w:footnote w:id="33">
    <w:p w:rsidR="006E6AAA" w:rsidRPr="00351998" w:rsidRDefault="006E6AAA" w:rsidP="006E6AAA">
      <w:pPr>
        <w:autoSpaceDE w:val="0"/>
        <w:autoSpaceDN w:val="0"/>
        <w:adjustRightInd w:val="0"/>
        <w:jc w:val="both"/>
        <w:rPr>
          <w:rFonts w:ascii="Calibri" w:hAnsi="Calibri"/>
          <w:sz w:val="20"/>
          <w:lang w:val="fr-FR"/>
        </w:rPr>
      </w:pPr>
      <w:r w:rsidRPr="00351998">
        <w:rPr>
          <w:rStyle w:val="FootnoteReference"/>
          <w:rFonts w:ascii="Calibri" w:hAnsi="Calibri"/>
          <w:sz w:val="20"/>
        </w:rPr>
        <w:footnoteRef/>
      </w:r>
      <w:r w:rsidRPr="00351998">
        <w:rPr>
          <w:rFonts w:ascii="Calibri" w:hAnsi="Calibri"/>
          <w:sz w:val="20"/>
          <w:lang w:val="fr-FR"/>
        </w:rPr>
        <w:t xml:space="preserve"> PNUD, « </w:t>
      </w:r>
      <w:r w:rsidRPr="00351998">
        <w:rPr>
          <w:rFonts w:ascii="Calibri" w:hAnsi="Calibri"/>
          <w:i/>
          <w:sz w:val="20"/>
          <w:lang w:val="fr-FR"/>
        </w:rPr>
        <w:t>Monitoring judiciaire 2010-2011. Rapport sur les données relatives à la réponse judiciaire aux cas de violences sexuelles à l’Est de la République démocratique du Congo</w:t>
      </w:r>
      <w:r w:rsidRPr="00351998">
        <w:rPr>
          <w:rFonts w:ascii="Calibri" w:hAnsi="Calibri"/>
          <w:sz w:val="20"/>
          <w:lang w:val="fr-FR"/>
        </w:rPr>
        <w:t> », 2010</w:t>
      </w:r>
    </w:p>
  </w:footnote>
  <w:footnote w:id="34">
    <w:p w:rsidR="006E6AAA" w:rsidRPr="00351998" w:rsidRDefault="006E6AAA" w:rsidP="006E6AAA">
      <w:pPr>
        <w:autoSpaceDE w:val="0"/>
        <w:autoSpaceDN w:val="0"/>
        <w:adjustRightInd w:val="0"/>
        <w:rPr>
          <w:rFonts w:ascii="Calibri" w:hAnsi="Calibri"/>
          <w:sz w:val="20"/>
          <w:lang w:val="fr-FR"/>
        </w:rPr>
      </w:pPr>
      <w:r w:rsidRPr="00351998">
        <w:rPr>
          <w:rStyle w:val="FootnoteReference"/>
          <w:rFonts w:ascii="Calibri" w:hAnsi="Calibri"/>
          <w:sz w:val="20"/>
        </w:rPr>
        <w:footnoteRef/>
      </w:r>
      <w:r w:rsidRPr="00351998">
        <w:rPr>
          <w:rFonts w:ascii="Calibri" w:hAnsi="Calibri"/>
          <w:sz w:val="20"/>
          <w:lang w:val="fr-FR"/>
        </w:rPr>
        <w:t xml:space="preserve"> Avocats sans Frontières, «</w:t>
      </w:r>
      <w:r w:rsidRPr="00351998">
        <w:rPr>
          <w:rFonts w:ascii="Calibri" w:hAnsi="Calibri"/>
          <w:i/>
          <w:sz w:val="20"/>
          <w:lang w:val="fr-FR"/>
        </w:rPr>
        <w:t>Etude de jurisprudence : l’application du statut de Rome de la cour pénale internationale par les juridictions de la république démocratique du Congo</w:t>
      </w:r>
      <w:r w:rsidRPr="00351998">
        <w:rPr>
          <w:rFonts w:ascii="Calibri" w:hAnsi="Calibri"/>
          <w:sz w:val="20"/>
          <w:lang w:val="fr-FR"/>
        </w:rPr>
        <w:t> », 2009</w:t>
      </w:r>
    </w:p>
  </w:footnote>
  <w:footnote w:id="35">
    <w:p w:rsidR="006E6AAA" w:rsidRPr="007B31E2" w:rsidRDefault="006E6AAA" w:rsidP="006E6AAA">
      <w:pPr>
        <w:autoSpaceDE w:val="0"/>
        <w:autoSpaceDN w:val="0"/>
        <w:adjustRightInd w:val="0"/>
        <w:spacing w:line="240" w:lineRule="auto"/>
        <w:rPr>
          <w:rFonts w:ascii="Calibri" w:hAnsi="Calibri"/>
          <w:sz w:val="18"/>
          <w:szCs w:val="18"/>
        </w:rPr>
      </w:pPr>
      <w:r w:rsidRPr="00403DBF">
        <w:rPr>
          <w:rStyle w:val="FootnoteReference"/>
          <w:rFonts w:ascii="Calibri" w:hAnsi="Calibri"/>
          <w:sz w:val="18"/>
          <w:szCs w:val="18"/>
        </w:rPr>
        <w:footnoteRef/>
      </w:r>
      <w:r>
        <w:rPr>
          <w:sz w:val="18"/>
          <w:szCs w:val="18"/>
        </w:rPr>
        <w:t xml:space="preserve"> </w:t>
      </w:r>
      <w:r w:rsidRPr="007B31E2">
        <w:rPr>
          <w:rFonts w:ascii="Calibri" w:hAnsi="Calibri"/>
          <w:sz w:val="18"/>
          <w:szCs w:val="18"/>
        </w:rPr>
        <w:t>Auditor General report, 2013</w:t>
      </w:r>
      <w:r>
        <w:rPr>
          <w:rFonts w:ascii="Calibri" w:hAnsi="Calibri"/>
          <w:sz w:val="18"/>
          <w:szCs w:val="18"/>
        </w:rPr>
        <w:t xml:space="preserve">. Available on </w:t>
      </w:r>
      <w:hyperlink r:id="rId2" w:history="1">
        <w:r w:rsidRPr="0070764D">
          <w:rPr>
            <w:rStyle w:val="Hyperlink"/>
            <w:rFonts w:ascii="Calibri" w:hAnsi="Calibri"/>
            <w:sz w:val="18"/>
            <w:szCs w:val="18"/>
          </w:rPr>
          <w:t>http://www.auditservice.gov.sl/reports-ag-annual-report-2011.html</w:t>
        </w:r>
      </w:hyperlink>
      <w:r>
        <w:rPr>
          <w:rFonts w:ascii="Calibri" w:hAnsi="Calibri"/>
          <w:sz w:val="18"/>
          <w:szCs w:val="18"/>
        </w:rPr>
        <w:t xml:space="preserve"> </w:t>
      </w:r>
    </w:p>
  </w:footnote>
  <w:footnote w:id="36">
    <w:p w:rsidR="006E6AAA" w:rsidRPr="00382AE9" w:rsidRDefault="006E6AAA" w:rsidP="006E6AAA">
      <w:pPr>
        <w:spacing w:line="240" w:lineRule="auto"/>
        <w:jc w:val="both"/>
        <w:rPr>
          <w:rFonts w:ascii="Calibri" w:hAnsi="Calibri"/>
          <w:sz w:val="18"/>
          <w:szCs w:val="18"/>
        </w:rPr>
      </w:pPr>
      <w:r w:rsidRPr="00403DBF">
        <w:rPr>
          <w:rStyle w:val="FootnoteReference"/>
          <w:rFonts w:ascii="Calibri" w:hAnsi="Calibri"/>
          <w:sz w:val="18"/>
          <w:szCs w:val="18"/>
        </w:rPr>
        <w:footnoteRef/>
      </w:r>
      <w:r w:rsidRPr="00403DBF">
        <w:t xml:space="preserve"> </w:t>
      </w:r>
      <w:r w:rsidRPr="00382AE9">
        <w:rPr>
          <w:rFonts w:ascii="Calibri" w:hAnsi="Calibri"/>
          <w:sz w:val="18"/>
          <w:szCs w:val="18"/>
        </w:rPr>
        <w:t>To be noted that the DFID supported “fast track commercial courts” have developed a software for case management.</w:t>
      </w:r>
    </w:p>
  </w:footnote>
  <w:footnote w:id="37">
    <w:p w:rsidR="006E6AAA" w:rsidRPr="00717C22" w:rsidRDefault="006E6AAA" w:rsidP="006E6AAA">
      <w:pPr>
        <w:spacing w:line="240" w:lineRule="auto"/>
        <w:rPr>
          <w:rFonts w:ascii="Calibri" w:hAnsi="Calibri"/>
          <w:sz w:val="18"/>
          <w:szCs w:val="18"/>
        </w:rPr>
      </w:pPr>
      <w:r w:rsidRPr="00403DBF">
        <w:rPr>
          <w:rStyle w:val="FootnoteReference"/>
          <w:rFonts w:ascii="Calibri" w:hAnsi="Calibri"/>
          <w:sz w:val="18"/>
          <w:szCs w:val="18"/>
        </w:rPr>
        <w:footnoteRef/>
      </w:r>
      <w:r>
        <w:t xml:space="preserve"> </w:t>
      </w:r>
      <w:r w:rsidRPr="00717C22">
        <w:rPr>
          <w:rFonts w:ascii="Calibri" w:hAnsi="Calibri"/>
          <w:sz w:val="18"/>
          <w:szCs w:val="18"/>
        </w:rPr>
        <w:t>Braima Koroma “</w:t>
      </w:r>
      <w:r w:rsidRPr="00AD342C">
        <w:rPr>
          <w:rFonts w:ascii="Calibri" w:hAnsi="Calibri"/>
          <w:i/>
          <w:sz w:val="18"/>
          <w:szCs w:val="18"/>
        </w:rPr>
        <w:t>A cost benefit analysis of itinerant courts in the Moyamba district</w:t>
      </w:r>
      <w:r w:rsidRPr="00717C22">
        <w:rPr>
          <w:rFonts w:ascii="Calibri" w:hAnsi="Calibri"/>
          <w:sz w:val="18"/>
          <w:szCs w:val="18"/>
        </w:rPr>
        <w:t>”, p. 15, 2008</w:t>
      </w:r>
    </w:p>
  </w:footnote>
  <w:footnote w:id="38">
    <w:p w:rsidR="006E6AAA" w:rsidRPr="00266B25" w:rsidRDefault="006E6AAA" w:rsidP="006E6AAA">
      <w:pPr>
        <w:spacing w:line="240" w:lineRule="auto"/>
        <w:rPr>
          <w:rFonts w:ascii="Calibri" w:hAnsi="Calibri"/>
          <w:color w:val="000000"/>
          <w:sz w:val="18"/>
          <w:szCs w:val="18"/>
        </w:rPr>
      </w:pPr>
      <w:r w:rsidRPr="00403DBF">
        <w:rPr>
          <w:rStyle w:val="FootnoteReference"/>
          <w:rFonts w:ascii="Calibri" w:hAnsi="Calibri"/>
          <w:sz w:val="18"/>
          <w:szCs w:val="18"/>
        </w:rPr>
        <w:footnoteRef/>
      </w:r>
      <w:r>
        <w:rPr>
          <w:sz w:val="18"/>
          <w:szCs w:val="18"/>
        </w:rPr>
        <w:t xml:space="preserve"> </w:t>
      </w:r>
      <w:r w:rsidRPr="00266B25">
        <w:rPr>
          <w:rFonts w:ascii="Calibri" w:hAnsi="Calibri"/>
          <w:color w:val="000000"/>
          <w:sz w:val="18"/>
          <w:szCs w:val="18"/>
        </w:rPr>
        <w:t>UNIPSIL/OHCHR, “</w:t>
      </w:r>
      <w:r w:rsidRPr="00266B25">
        <w:rPr>
          <w:rFonts w:ascii="Calibri" w:hAnsi="Calibri"/>
          <w:i/>
          <w:color w:val="000000"/>
          <w:sz w:val="18"/>
          <w:szCs w:val="18"/>
        </w:rPr>
        <w:t>The situation of detention in Sierra Leone</w:t>
      </w:r>
      <w:r w:rsidRPr="00266B25">
        <w:rPr>
          <w:rFonts w:ascii="Calibri" w:hAnsi="Calibri"/>
          <w:color w:val="000000"/>
          <w:sz w:val="18"/>
          <w:szCs w:val="18"/>
        </w:rPr>
        <w:t>”, 2012</w:t>
      </w:r>
    </w:p>
  </w:footnote>
  <w:footnote w:id="39">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UPR, supra n.6,</w:t>
      </w:r>
      <w:r w:rsidRPr="00403DBF">
        <w:rPr>
          <w:rFonts w:ascii="Calibri" w:hAnsi="Calibri"/>
          <w:sz w:val="18"/>
          <w:szCs w:val="18"/>
        </w:rPr>
        <w:t xml:space="preserve"> p 40</w:t>
      </w:r>
    </w:p>
  </w:footnote>
  <w:footnote w:id="40">
    <w:p w:rsidR="006E6AAA" w:rsidRPr="003017B4"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sidRPr="00403DBF">
        <w:rPr>
          <w:rFonts w:ascii="Calibri" w:hAnsi="Calibri"/>
          <w:sz w:val="18"/>
          <w:szCs w:val="18"/>
        </w:rPr>
        <w:t xml:space="preserve"> </w:t>
      </w:r>
      <w:r w:rsidRPr="00403DBF">
        <w:rPr>
          <w:rFonts w:ascii="Calibri" w:hAnsi="Calibri"/>
          <w:color w:val="000000"/>
          <w:sz w:val="18"/>
          <w:szCs w:val="18"/>
        </w:rPr>
        <w:t>CARL</w:t>
      </w:r>
      <w:r>
        <w:rPr>
          <w:rFonts w:ascii="Calibri" w:hAnsi="Calibri"/>
          <w:color w:val="000000"/>
          <w:sz w:val="18"/>
          <w:szCs w:val="18"/>
        </w:rPr>
        <w:t>, supra n. 8</w:t>
      </w:r>
    </w:p>
  </w:footnote>
  <w:footnote w:id="41">
    <w:p w:rsidR="006E6AAA" w:rsidRPr="003017B4" w:rsidRDefault="006E6AAA" w:rsidP="006E6AAA">
      <w:pPr>
        <w:pStyle w:val="FootnoteText"/>
        <w:rPr>
          <w:rFonts w:ascii="Calibri" w:hAnsi="Calibri"/>
        </w:rPr>
      </w:pPr>
      <w:r w:rsidRPr="003017B4">
        <w:rPr>
          <w:rStyle w:val="FootnoteReference"/>
          <w:rFonts w:ascii="Calibri" w:hAnsi="Calibri"/>
        </w:rPr>
        <w:footnoteRef/>
      </w:r>
      <w:r w:rsidRPr="003017B4">
        <w:rPr>
          <w:rFonts w:ascii="Calibri" w:hAnsi="Calibri"/>
        </w:rPr>
        <w:t xml:space="preserve"> In 2009 a </w:t>
      </w:r>
      <w:r w:rsidRPr="003017B4">
        <w:rPr>
          <w:rFonts w:ascii="Calibri" w:hAnsi="Calibri" w:cs="Arial"/>
        </w:rPr>
        <w:t xml:space="preserve">Bail Policy for the Judiciary of Sierra Leone was issued in order </w:t>
      </w:r>
      <w:r w:rsidRPr="003017B4">
        <w:rPr>
          <w:rFonts w:ascii="Calibri" w:hAnsi="Calibri" w:cs="Arial"/>
          <w:lang w:val="en"/>
        </w:rPr>
        <w:t>to clarify the application of section 79 of the CPA on bail. However, as illustrated by an article published on the OSIWA web site, “</w:t>
      </w:r>
      <w:r w:rsidRPr="003017B4">
        <w:rPr>
          <w:rFonts w:ascii="Calibri" w:hAnsi="Calibri" w:cs="Arial"/>
          <w:i/>
          <w:lang w:val="en"/>
        </w:rPr>
        <w:t>it is not widely quoted by practitioners and has in some cases been severely lampooned</w:t>
      </w:r>
      <w:r w:rsidRPr="003017B4">
        <w:rPr>
          <w:rFonts w:ascii="Calibri" w:hAnsi="Calibri" w:cs="Arial"/>
          <w:lang w:val="en"/>
        </w:rPr>
        <w:t>”. Infra, note n.29.</w:t>
      </w:r>
    </w:p>
  </w:footnote>
  <w:footnote w:id="42">
    <w:p w:rsidR="006E6AAA" w:rsidRPr="003D2F2B" w:rsidRDefault="006E6AAA" w:rsidP="006E6AAA">
      <w:pPr>
        <w:pStyle w:val="FootnoteText"/>
        <w:rPr>
          <w:rFonts w:ascii="Calibri" w:hAnsi="Calibri"/>
          <w:color w:val="0000FF"/>
        </w:rPr>
      </w:pPr>
      <w:r w:rsidRPr="003017B4">
        <w:rPr>
          <w:rStyle w:val="FootnoteReference"/>
          <w:rFonts w:ascii="Calibri" w:hAnsi="Calibri"/>
        </w:rPr>
        <w:footnoteRef/>
      </w:r>
      <w:r w:rsidRPr="003017B4">
        <w:rPr>
          <w:rFonts w:ascii="Calibri" w:hAnsi="Calibri"/>
        </w:rPr>
        <w:t xml:space="preserve"> On this point see “</w:t>
      </w:r>
      <w:r w:rsidRPr="003017B4">
        <w:rPr>
          <w:rFonts w:ascii="Calibri" w:hAnsi="Calibri" w:cs="Arial"/>
          <w:lang w:val="en"/>
        </w:rPr>
        <w:t>Bail in Sierra Leone’s Courts: through the lens of the GAVI trials”, OSIWA, 2013</w:t>
      </w:r>
    </w:p>
  </w:footnote>
  <w:footnote w:id="43">
    <w:p w:rsidR="006E6AAA" w:rsidRPr="00403DBF" w:rsidRDefault="006E6AAA" w:rsidP="006E6AAA">
      <w:pPr>
        <w:pStyle w:val="FootnoteText"/>
        <w:spacing w:line="240" w:lineRule="auto"/>
        <w:jc w:val="both"/>
        <w:rPr>
          <w:rFonts w:ascii="Calibri" w:hAnsi="Calibri"/>
          <w:sz w:val="18"/>
          <w:szCs w:val="18"/>
        </w:rPr>
      </w:pPr>
      <w:r w:rsidRPr="003D2F2B">
        <w:rPr>
          <w:rStyle w:val="FootnoteReference"/>
          <w:rFonts w:ascii="Calibri" w:hAnsi="Calibri"/>
        </w:rPr>
        <w:footnoteRef/>
      </w:r>
      <w:r w:rsidRPr="003D2F2B">
        <w:rPr>
          <w:rFonts w:ascii="Calibri" w:hAnsi="Calibri"/>
        </w:rPr>
        <w:t xml:space="preserve"> For a best practice in using mobile courts to address pre-trial detentions</w:t>
      </w:r>
      <w:r w:rsidRPr="00403DBF">
        <w:rPr>
          <w:rFonts w:ascii="Calibri" w:hAnsi="Calibri"/>
          <w:sz w:val="18"/>
          <w:szCs w:val="18"/>
        </w:rPr>
        <w:t>, see the “court camps in prison” experience in Malawi: “</w:t>
      </w:r>
      <w:r w:rsidRPr="00403DBF">
        <w:rPr>
          <w:rFonts w:ascii="Calibri" w:hAnsi="Calibri"/>
          <w:i/>
          <w:color w:val="222222"/>
          <w:sz w:val="18"/>
          <w:szCs w:val="18"/>
        </w:rPr>
        <w:t>The Paralegals draw up lists of those on remand that have overstayed, are held unlawfully or have been granted bail but cannot afford the terms set by the court. They discuss the lists in advance with the prosecuting authorities. Magistrates attend court with the court clerk, police prosecutor and work through the list: they grant bail to some, reduce the amount set by an earlier court by way of bond or surety for bail and dismiss cases where the accused has overstayed, or set a date when the accused must appear for trial. The camp court is not a trial court, since the public cannot attend and witnesses are not produced</w:t>
      </w:r>
      <w:r>
        <w:rPr>
          <w:rFonts w:ascii="Calibri" w:hAnsi="Calibri"/>
          <w:color w:val="222222"/>
          <w:sz w:val="18"/>
          <w:szCs w:val="18"/>
        </w:rPr>
        <w:t xml:space="preserve">.” </w:t>
      </w:r>
      <w:r w:rsidRPr="00403DBF">
        <w:rPr>
          <w:rFonts w:ascii="Calibri" w:hAnsi="Calibri"/>
          <w:color w:val="222222"/>
          <w:sz w:val="18"/>
          <w:szCs w:val="18"/>
        </w:rPr>
        <w:t>Open society Justice</w:t>
      </w:r>
      <w:r>
        <w:rPr>
          <w:rFonts w:ascii="Calibri" w:hAnsi="Calibri"/>
          <w:color w:val="222222"/>
          <w:sz w:val="18"/>
          <w:szCs w:val="18"/>
        </w:rPr>
        <w:t xml:space="preserve"> Initiative, “I</w:t>
      </w:r>
      <w:r w:rsidRPr="00403DBF">
        <w:rPr>
          <w:rFonts w:ascii="Calibri" w:hAnsi="Calibri"/>
          <w:color w:val="222222"/>
          <w:sz w:val="18"/>
          <w:szCs w:val="18"/>
        </w:rPr>
        <w:t>mproving pre-trial</w:t>
      </w:r>
      <w:r>
        <w:rPr>
          <w:rFonts w:ascii="Calibri" w:hAnsi="Calibri"/>
          <w:color w:val="222222"/>
          <w:sz w:val="18"/>
          <w:szCs w:val="18"/>
        </w:rPr>
        <w:t xml:space="preserve"> justice in Malawi”.</w:t>
      </w:r>
    </w:p>
  </w:footnote>
  <w:footnote w:id="44">
    <w:p w:rsidR="006E6AAA" w:rsidRPr="001E62B1"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sidRPr="00403DBF">
        <w:t xml:space="preserve"> </w:t>
      </w:r>
      <w:r w:rsidRPr="001E62B1">
        <w:rPr>
          <w:rFonts w:ascii="Calibri" w:hAnsi="Calibri"/>
          <w:sz w:val="18"/>
          <w:szCs w:val="18"/>
        </w:rPr>
        <w:t>According to a report by Friede</w:t>
      </w:r>
      <w:r>
        <w:t xml:space="preserve"> </w:t>
      </w:r>
      <w:r w:rsidRPr="001E62B1">
        <w:rPr>
          <w:rFonts w:ascii="Calibri" w:hAnsi="Calibri"/>
          <w:sz w:val="18"/>
          <w:szCs w:val="18"/>
        </w:rPr>
        <w:t>“</w:t>
      </w:r>
      <w:r w:rsidRPr="001E62B1">
        <w:rPr>
          <w:rFonts w:ascii="Calibri" w:hAnsi="Calibri"/>
          <w:i/>
          <w:sz w:val="18"/>
          <w:szCs w:val="18"/>
        </w:rPr>
        <w:t>The Sierra Leone Bar Association reported that in 2009 there were about 100 lawyers in private practice, but only seven outside Freetown – four in the southern province, two in the eastern province and one in the Northern Province</w:t>
      </w:r>
      <w:r>
        <w:rPr>
          <w:rFonts w:ascii="Calibri" w:hAnsi="Calibri"/>
          <w:sz w:val="18"/>
          <w:szCs w:val="18"/>
        </w:rPr>
        <w:t xml:space="preserve">”. </w:t>
      </w:r>
      <w:r w:rsidRPr="001E62B1">
        <w:rPr>
          <w:rFonts w:ascii="Calibri" w:hAnsi="Calibri"/>
          <w:sz w:val="18"/>
          <w:szCs w:val="18"/>
        </w:rPr>
        <w:t>Clare Castillejo, “</w:t>
      </w:r>
      <w:r w:rsidRPr="001E62B1">
        <w:rPr>
          <w:rFonts w:ascii="Calibri" w:hAnsi="Calibri"/>
          <w:i/>
          <w:sz w:val="18"/>
          <w:szCs w:val="18"/>
        </w:rPr>
        <w:t>Building Accountable Justice in Sierra Leone</w:t>
      </w:r>
      <w:r>
        <w:rPr>
          <w:rFonts w:ascii="Calibri" w:hAnsi="Calibri"/>
          <w:sz w:val="18"/>
          <w:szCs w:val="18"/>
        </w:rPr>
        <w:t>”, Friede 2009</w:t>
      </w:r>
    </w:p>
  </w:footnote>
  <w:footnote w:id="45">
    <w:p w:rsidR="006E6AAA" w:rsidRPr="00CA3E85" w:rsidRDefault="006E6AAA" w:rsidP="006E6AAA">
      <w:pPr>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A report by Resolve Group specifies that</w:t>
      </w:r>
      <w:r w:rsidRPr="00403DBF">
        <w:rPr>
          <w:rFonts w:ascii="Calibri" w:hAnsi="Calibri"/>
          <w:sz w:val="18"/>
          <w:szCs w:val="18"/>
          <w:lang w:eastAsia="it-IT"/>
        </w:rPr>
        <w:t xml:space="preserve"> “</w:t>
      </w:r>
      <w:r w:rsidRPr="00403DBF">
        <w:rPr>
          <w:rFonts w:ascii="Calibri" w:hAnsi="Calibri"/>
          <w:i/>
          <w:sz w:val="18"/>
          <w:szCs w:val="18"/>
          <w:lang w:eastAsia="it-IT"/>
        </w:rPr>
        <w:t>the average amount, which the State can pay Barristers, in private practice, to represent accused in capital cases, is 500,000 Leones (roughly USD$150) per case. In view of the above, most barristers in private practice decline requests to represent persons charged with capital offences</w:t>
      </w:r>
      <w:r>
        <w:rPr>
          <w:rFonts w:ascii="Calibri" w:hAnsi="Calibri"/>
          <w:sz w:val="18"/>
          <w:szCs w:val="18"/>
          <w:lang w:eastAsia="it-IT"/>
        </w:rPr>
        <w:t xml:space="preserve">”. </w:t>
      </w:r>
      <w:r w:rsidRPr="00CA3E85">
        <w:rPr>
          <w:rFonts w:ascii="Calibri" w:hAnsi="Calibri"/>
          <w:sz w:val="18"/>
          <w:szCs w:val="18"/>
        </w:rPr>
        <w:t xml:space="preserve">Resolve Group “ </w:t>
      </w:r>
      <w:r w:rsidRPr="00CA3E85">
        <w:rPr>
          <w:rFonts w:ascii="Calibri" w:hAnsi="Calibri"/>
          <w:i/>
          <w:sz w:val="18"/>
          <w:szCs w:val="18"/>
        </w:rPr>
        <w:t>The feasibility of a legal aid system in Sierra Leone</w:t>
      </w:r>
      <w:r w:rsidRPr="00CA3E85">
        <w:rPr>
          <w:rFonts w:ascii="Calibri" w:hAnsi="Calibri"/>
          <w:sz w:val="18"/>
          <w:szCs w:val="18"/>
        </w:rPr>
        <w:t>”, 2007</w:t>
      </w:r>
    </w:p>
  </w:footnote>
  <w:footnote w:id="46">
    <w:p w:rsidR="006E6AAA" w:rsidRDefault="006E6AAA" w:rsidP="006E6AAA">
      <w:pPr>
        <w:pStyle w:val="CommentText"/>
        <w:jc w:val="both"/>
        <w:rPr>
          <w:rFonts w:ascii="Calibri" w:hAnsi="Calibri" w:cs="Utopia-Regular"/>
          <w:lang w:val="en-US" w:eastAsia="it-IT"/>
        </w:rPr>
      </w:pPr>
      <w:r w:rsidRPr="00753380">
        <w:rPr>
          <w:rStyle w:val="FootnoteReference"/>
          <w:rFonts w:ascii="Calibri" w:hAnsi="Calibri"/>
        </w:rPr>
        <w:footnoteRef/>
      </w:r>
      <w:r w:rsidRPr="006E76FE">
        <w:rPr>
          <w:rFonts w:ascii="Calibri" w:hAnsi="Calibri"/>
          <w:i/>
        </w:rPr>
        <w:t xml:space="preserve"> </w:t>
      </w:r>
      <w:r w:rsidRPr="006E76FE">
        <w:rPr>
          <w:rFonts w:ascii="Calibri" w:hAnsi="Calibri" w:cs="Utopia-Regular"/>
          <w:i/>
          <w:lang w:val="en-US" w:eastAsia="it-IT"/>
        </w:rPr>
        <w:t>Supra</w:t>
      </w:r>
      <w:r w:rsidRPr="00753380">
        <w:rPr>
          <w:rFonts w:ascii="Calibri" w:hAnsi="Calibri" w:cs="Utopia-Regular"/>
          <w:lang w:val="en-US" w:eastAsia="it-IT"/>
        </w:rPr>
        <w:t xml:space="preserve">, n. 7. </w:t>
      </w:r>
    </w:p>
    <w:p w:rsidR="006E6AAA" w:rsidRPr="0058424D" w:rsidRDefault="006E6AAA" w:rsidP="006E6AAA">
      <w:pPr>
        <w:pStyle w:val="CommentText"/>
        <w:jc w:val="both"/>
        <w:rPr>
          <w:rFonts w:ascii="Calibri" w:hAnsi="Calibri"/>
        </w:rPr>
      </w:pPr>
      <w:r w:rsidRPr="0058424D">
        <w:rPr>
          <w:rFonts w:ascii="Calibri" w:hAnsi="Calibri" w:cs="Utopia-Regular"/>
          <w:lang w:val="en-US" w:eastAsia="it-IT"/>
        </w:rPr>
        <w:t xml:space="preserve">In addition it’s worth noting that, as stated in a recent UNDP-OSI study, </w:t>
      </w:r>
      <w:r w:rsidRPr="0058424D">
        <w:rPr>
          <w:rFonts w:ascii="Calibri" w:hAnsi="Calibri"/>
        </w:rPr>
        <w:t>defendants held in pre-trial detention are more likely to be convicted than those who got bail for the same offences. UNDP and Open Society Justice Initiative in “</w:t>
      </w:r>
      <w:r w:rsidRPr="0058424D">
        <w:rPr>
          <w:rFonts w:ascii="Calibri" w:hAnsi="Calibri"/>
          <w:i/>
        </w:rPr>
        <w:t>The socio-economic impact of pre-trial detention</w:t>
      </w:r>
      <w:r w:rsidRPr="0058424D">
        <w:rPr>
          <w:rFonts w:ascii="Calibri" w:hAnsi="Calibri"/>
        </w:rPr>
        <w:t>” 2010</w:t>
      </w:r>
    </w:p>
  </w:footnote>
  <w:footnote w:id="47">
    <w:p w:rsidR="006E6AAA" w:rsidRPr="00753380" w:rsidRDefault="006E6AAA" w:rsidP="006E6AAA">
      <w:pPr>
        <w:pStyle w:val="FootnoteText"/>
        <w:spacing w:line="240" w:lineRule="auto"/>
        <w:jc w:val="both"/>
        <w:rPr>
          <w:rFonts w:ascii="Calibri" w:hAnsi="Calibri"/>
        </w:rPr>
      </w:pPr>
      <w:r w:rsidRPr="00753380">
        <w:rPr>
          <w:rStyle w:val="FootnoteReference"/>
          <w:rFonts w:ascii="Calibri" w:hAnsi="Calibri"/>
        </w:rPr>
        <w:footnoteRef/>
      </w:r>
      <w:r w:rsidRPr="00753380">
        <w:rPr>
          <w:rFonts w:ascii="Calibri" w:hAnsi="Calibri"/>
        </w:rPr>
        <w:t xml:space="preserve"> In September 2011, Sierra Leone established an official moratorium on the use of the death penalty.</w:t>
      </w:r>
    </w:p>
  </w:footnote>
  <w:footnote w:id="48">
    <w:p w:rsidR="006E6AAA" w:rsidRPr="00753380" w:rsidRDefault="006E6AAA" w:rsidP="006E6AAA">
      <w:pPr>
        <w:pStyle w:val="FootnoteText"/>
        <w:spacing w:line="240" w:lineRule="auto"/>
        <w:jc w:val="both"/>
        <w:rPr>
          <w:rFonts w:ascii="Calibri" w:hAnsi="Calibri"/>
        </w:rPr>
      </w:pPr>
      <w:r w:rsidRPr="00753380">
        <w:rPr>
          <w:rStyle w:val="FootnoteReference"/>
          <w:rFonts w:ascii="Calibri" w:hAnsi="Calibri"/>
        </w:rPr>
        <w:footnoteRef/>
      </w:r>
      <w:r w:rsidRPr="00753380">
        <w:rPr>
          <w:rFonts w:ascii="Calibri" w:hAnsi="Calibri"/>
        </w:rPr>
        <w:t xml:space="preserve"> Resolve Group, </w:t>
      </w:r>
      <w:r w:rsidRPr="006E76FE">
        <w:rPr>
          <w:rFonts w:ascii="Calibri" w:hAnsi="Calibri"/>
          <w:i/>
        </w:rPr>
        <w:t>supra</w:t>
      </w:r>
      <w:r w:rsidRPr="00753380">
        <w:rPr>
          <w:rFonts w:ascii="Calibri" w:hAnsi="Calibri"/>
        </w:rPr>
        <w:t xml:space="preserve"> n. 21</w:t>
      </w:r>
    </w:p>
  </w:footnote>
  <w:footnote w:id="49">
    <w:p w:rsidR="006E6AAA" w:rsidRPr="00995764" w:rsidRDefault="006E6AAA" w:rsidP="006E6AAA">
      <w:pPr>
        <w:spacing w:line="240" w:lineRule="auto"/>
        <w:rPr>
          <w:rFonts w:ascii="Calibri" w:hAnsi="Calibri"/>
          <w:sz w:val="20"/>
        </w:rPr>
      </w:pPr>
      <w:r w:rsidRPr="00995764">
        <w:rPr>
          <w:rStyle w:val="FootnoteReference"/>
          <w:rFonts w:ascii="Calibri" w:hAnsi="Calibri"/>
          <w:sz w:val="20"/>
        </w:rPr>
        <w:footnoteRef/>
      </w:r>
      <w:r w:rsidRPr="00995764">
        <w:rPr>
          <w:rFonts w:ascii="Calibri" w:hAnsi="Calibri"/>
          <w:sz w:val="20"/>
        </w:rPr>
        <w:t xml:space="preserve"> Commonwealth Human rights Initiative, “</w:t>
      </w:r>
      <w:r w:rsidRPr="00995764">
        <w:rPr>
          <w:rFonts w:ascii="Calibri" w:hAnsi="Calibri"/>
          <w:i/>
          <w:sz w:val="20"/>
        </w:rPr>
        <w:t xml:space="preserve">In pursuit of justice: a report on the Judiciary in </w:t>
      </w:r>
      <w:r>
        <w:rPr>
          <w:rFonts w:ascii="Calibri" w:hAnsi="Calibri"/>
          <w:i/>
          <w:sz w:val="20"/>
        </w:rPr>
        <w:t>S</w:t>
      </w:r>
      <w:r w:rsidRPr="00995764">
        <w:rPr>
          <w:rFonts w:ascii="Calibri" w:hAnsi="Calibri"/>
          <w:i/>
          <w:sz w:val="20"/>
        </w:rPr>
        <w:t>ierra leone</w:t>
      </w:r>
      <w:r w:rsidRPr="00995764">
        <w:rPr>
          <w:rFonts w:ascii="Calibri" w:hAnsi="Calibri"/>
          <w:sz w:val="20"/>
        </w:rPr>
        <w:t>”,2002</w:t>
      </w:r>
    </w:p>
  </w:footnote>
  <w:footnote w:id="50">
    <w:p w:rsidR="006E6AAA" w:rsidRPr="00670F31" w:rsidRDefault="006E6AAA" w:rsidP="006E6AAA">
      <w:pPr>
        <w:pStyle w:val="Heading2"/>
        <w:shd w:val="clear" w:color="auto" w:fill="FFFFFF"/>
        <w:spacing w:before="0"/>
        <w:jc w:val="both"/>
        <w:rPr>
          <w:rFonts w:ascii="Calibri" w:hAnsi="Calibri" w:cs="Arial"/>
          <w:b w:val="0"/>
          <w:bCs w:val="0"/>
          <w:color w:val="111111"/>
          <w:sz w:val="18"/>
          <w:szCs w:val="18"/>
          <w:lang w:val="en-US"/>
        </w:rPr>
      </w:pPr>
      <w:r w:rsidRPr="00403DBF">
        <w:rPr>
          <w:rStyle w:val="FootnoteReference"/>
          <w:rFonts w:ascii="Calibri" w:hAnsi="Calibri"/>
          <w:sz w:val="18"/>
          <w:szCs w:val="18"/>
        </w:rPr>
        <w:footnoteRef/>
      </w:r>
      <w:r w:rsidRPr="002D587F">
        <w:rPr>
          <w:sz w:val="18"/>
          <w:szCs w:val="18"/>
          <w:lang w:val="en-US"/>
        </w:rPr>
        <w:t xml:space="preserve"> </w:t>
      </w:r>
      <w:r w:rsidRPr="00494C88">
        <w:rPr>
          <w:rFonts w:ascii="Calibri" w:hAnsi="Calibri"/>
          <w:b w:val="0"/>
          <w:sz w:val="18"/>
          <w:szCs w:val="18"/>
          <w:lang w:val="en-US"/>
        </w:rPr>
        <w:t>The Consultant Master and Registrar explained that interpreters are available in Freetown (and have even received training from Special Court) although not enough and not always in the relevant language.</w:t>
      </w:r>
      <w:r w:rsidRPr="00C24F30">
        <w:rPr>
          <w:rFonts w:ascii="Calibri" w:hAnsi="Calibri" w:cs="Arial"/>
          <w:b w:val="0"/>
          <w:bCs w:val="0"/>
          <w:color w:val="FF0000"/>
          <w:sz w:val="18"/>
          <w:szCs w:val="18"/>
          <w:lang w:val="en-US"/>
        </w:rPr>
        <w:t xml:space="preserve"> </w:t>
      </w:r>
      <w:r w:rsidRPr="00B55DD1">
        <w:rPr>
          <w:rFonts w:ascii="Calibri" w:hAnsi="Calibri"/>
          <w:b w:val="0"/>
          <w:sz w:val="18"/>
          <w:szCs w:val="18"/>
          <w:lang w:val="en-US"/>
        </w:rPr>
        <w:t>For further information on the issue of</w:t>
      </w:r>
      <w:r w:rsidRPr="00670F31">
        <w:rPr>
          <w:rFonts w:ascii="Calibri" w:hAnsi="Calibri" w:cs="Arial"/>
          <w:b w:val="0"/>
          <w:bCs w:val="0"/>
          <w:color w:val="111111"/>
          <w:sz w:val="18"/>
          <w:szCs w:val="18"/>
          <w:lang w:val="en-US"/>
        </w:rPr>
        <w:t xml:space="preserve"> interpretation see: Sheku Koroma and John Shangai Koroma “</w:t>
      </w:r>
      <w:r w:rsidRPr="00670F31">
        <w:rPr>
          <w:rFonts w:ascii="Calibri" w:hAnsi="Calibri" w:cs="Arial"/>
          <w:b w:val="0"/>
          <w:bCs w:val="0"/>
          <w:i/>
          <w:color w:val="111111"/>
          <w:sz w:val="18"/>
          <w:szCs w:val="18"/>
          <w:lang w:val="en-US"/>
        </w:rPr>
        <w:t>Addressing the Issue of Interpretation in District Magistrate Court in Sierra Leone</w:t>
      </w:r>
      <w:r w:rsidRPr="00670F31">
        <w:rPr>
          <w:rFonts w:ascii="Calibri" w:hAnsi="Calibri" w:cs="Arial"/>
          <w:b w:val="0"/>
          <w:bCs w:val="0"/>
          <w:color w:val="111111"/>
          <w:sz w:val="18"/>
          <w:szCs w:val="18"/>
          <w:lang w:val="en-US"/>
        </w:rPr>
        <w:t xml:space="preserve">”, CARL, 2006 </w:t>
      </w:r>
    </w:p>
  </w:footnote>
  <w:footnote w:id="51">
    <w:p w:rsidR="006E6AAA" w:rsidRPr="00F221A3" w:rsidRDefault="006E6AAA" w:rsidP="006E6AAA">
      <w:pPr>
        <w:spacing w:line="240" w:lineRule="auto"/>
        <w:jc w:val="both"/>
        <w:rPr>
          <w:rFonts w:ascii="Calibri" w:hAnsi="Calibri" w:cs="Arial"/>
          <w:color w:val="111111"/>
          <w:sz w:val="18"/>
          <w:szCs w:val="18"/>
          <w:lang w:eastAsia="it-IT"/>
        </w:rPr>
      </w:pPr>
      <w:r w:rsidRPr="00717C22">
        <w:rPr>
          <w:rStyle w:val="FootnoteReference"/>
          <w:rFonts w:ascii="Calibri" w:hAnsi="Calibri"/>
          <w:sz w:val="18"/>
          <w:szCs w:val="18"/>
        </w:rPr>
        <w:footnoteRef/>
      </w:r>
      <w:r w:rsidRPr="00717C22">
        <w:rPr>
          <w:rStyle w:val="FootnoteReference"/>
          <w:rFonts w:ascii="Calibri" w:hAnsi="Calibri"/>
          <w:sz w:val="18"/>
          <w:szCs w:val="18"/>
        </w:rPr>
        <w:t xml:space="preserve"> </w:t>
      </w:r>
      <w:r w:rsidRPr="00403DBF">
        <w:rPr>
          <w:rFonts w:ascii="Calibri" w:hAnsi="Calibri" w:cs="Arial"/>
          <w:color w:val="111111"/>
          <w:sz w:val="18"/>
          <w:szCs w:val="18"/>
          <w:lang w:eastAsia="it-IT"/>
        </w:rPr>
        <w:t xml:space="preserve">The following </w:t>
      </w:r>
      <w:r>
        <w:rPr>
          <w:rFonts w:ascii="Calibri" w:hAnsi="Calibri" w:cs="Arial"/>
          <w:color w:val="111111"/>
          <w:sz w:val="18"/>
          <w:szCs w:val="18"/>
          <w:lang w:eastAsia="it-IT"/>
        </w:rPr>
        <w:t>abstract of an online</w:t>
      </w:r>
      <w:r w:rsidRPr="00403DBF">
        <w:rPr>
          <w:rFonts w:ascii="Calibri" w:hAnsi="Calibri" w:cs="Arial"/>
          <w:color w:val="111111"/>
          <w:sz w:val="18"/>
          <w:szCs w:val="18"/>
          <w:lang w:eastAsia="it-IT"/>
        </w:rPr>
        <w:t xml:space="preserve"> post on</w:t>
      </w:r>
      <w:r>
        <w:rPr>
          <w:rFonts w:ascii="Calibri" w:hAnsi="Calibri" w:cs="Arial"/>
          <w:color w:val="111111"/>
          <w:sz w:val="18"/>
          <w:szCs w:val="18"/>
          <w:lang w:eastAsia="it-IT"/>
        </w:rPr>
        <w:t xml:space="preserve"> Thinkafricapress gives a clear example of the issue:</w:t>
      </w:r>
      <w:r w:rsidRPr="00403DBF">
        <w:rPr>
          <w:rFonts w:ascii="Calibri" w:hAnsi="Calibri" w:cs="Arial"/>
          <w:color w:val="111111"/>
          <w:sz w:val="18"/>
          <w:szCs w:val="18"/>
          <w:lang w:eastAsia="it-IT"/>
        </w:rPr>
        <w:t xml:space="preserve">  “</w:t>
      </w:r>
      <w:r w:rsidRPr="00403DBF">
        <w:rPr>
          <w:rFonts w:ascii="Calibri" w:hAnsi="Calibri" w:cs="Arial"/>
          <w:i/>
          <w:color w:val="111111"/>
          <w:sz w:val="18"/>
          <w:szCs w:val="18"/>
          <w:lang w:eastAsia="it-IT"/>
        </w:rPr>
        <w:t>There is a scene, described in a justice report, which takes place in a Sierra Leonean courtroom: a young male villager sits in front of a magistrate charged with committing a sexual offence against a sixteen-year-old girl. The charge of ‘unlawful carnal knowledge’ (an illegal sexual act, in judicial terms) is translated to him from English, the official language, into Krio, the national language. The boy, standing and listening to the English ‘legalese’, is asked whether he would like to ‘modify his statement’, ‘call witnesses to present to the High Court’ or ‘speak on his own behalf’. The boy, the report concludes, seems to have no idea what is going on</w:t>
      </w:r>
      <w:r>
        <w:rPr>
          <w:rFonts w:ascii="Calibri" w:hAnsi="Calibri" w:cs="Arial"/>
          <w:color w:val="111111"/>
          <w:sz w:val="18"/>
          <w:szCs w:val="18"/>
          <w:lang w:eastAsia="it-IT"/>
        </w:rPr>
        <w:t>”.</w:t>
      </w:r>
    </w:p>
  </w:footnote>
  <w:footnote w:id="52">
    <w:p w:rsidR="006E6AAA" w:rsidRPr="006B6A9C" w:rsidRDefault="006E6AAA" w:rsidP="006E6AAA">
      <w:pPr>
        <w:pStyle w:val="FootnoteText"/>
        <w:spacing w:line="240" w:lineRule="auto"/>
        <w:jc w:val="both"/>
        <w:rPr>
          <w:rFonts w:ascii="Calibri" w:hAnsi="Calibri"/>
          <w:sz w:val="18"/>
          <w:szCs w:val="18"/>
          <w:lang w:val="fr-FR"/>
        </w:rPr>
      </w:pPr>
      <w:r w:rsidRPr="00403DBF">
        <w:rPr>
          <w:rStyle w:val="FootnoteReference"/>
          <w:rFonts w:ascii="Calibri" w:hAnsi="Calibri"/>
          <w:sz w:val="18"/>
          <w:szCs w:val="18"/>
        </w:rPr>
        <w:footnoteRef/>
      </w:r>
      <w:r w:rsidRPr="006B6A9C">
        <w:rPr>
          <w:rFonts w:ascii="Calibri" w:hAnsi="Calibri"/>
          <w:sz w:val="18"/>
          <w:szCs w:val="18"/>
          <w:lang w:val="fr-FR"/>
        </w:rPr>
        <w:t xml:space="preserve"> </w:t>
      </w:r>
      <w:r w:rsidRPr="00792220">
        <w:rPr>
          <w:rFonts w:ascii="Calibri" w:hAnsi="Calibri"/>
          <w:sz w:val="18"/>
          <w:szCs w:val="18"/>
          <w:lang w:val="fr-BE"/>
        </w:rPr>
        <w:t>Avocats sans Frontières</w:t>
      </w:r>
      <w:r>
        <w:rPr>
          <w:rFonts w:ascii="Calibri" w:hAnsi="Calibri"/>
          <w:sz w:val="18"/>
          <w:szCs w:val="18"/>
          <w:lang w:val="fr-BE"/>
        </w:rPr>
        <w:t>,</w:t>
      </w:r>
      <w:r w:rsidRPr="00792220">
        <w:rPr>
          <w:rFonts w:ascii="Calibri" w:hAnsi="Calibri"/>
          <w:sz w:val="18"/>
          <w:szCs w:val="18"/>
          <w:lang w:val="fr-BE"/>
        </w:rPr>
        <w:t xml:space="preserve"> « </w:t>
      </w:r>
      <w:r w:rsidRPr="00792220">
        <w:rPr>
          <w:rFonts w:ascii="Calibri" w:hAnsi="Calibri"/>
          <w:i/>
          <w:sz w:val="18"/>
          <w:szCs w:val="18"/>
          <w:lang w:val="fr-BE"/>
        </w:rPr>
        <w:t>Une justice équitable</w:t>
      </w:r>
      <w:r>
        <w:rPr>
          <w:rFonts w:ascii="Calibri" w:hAnsi="Calibri"/>
          <w:i/>
          <w:sz w:val="18"/>
          <w:szCs w:val="18"/>
          <w:lang w:val="fr-BE"/>
        </w:rPr>
        <w:t xml:space="preserve"> en RDC : Les audiences foraine,</w:t>
      </w:r>
      <w:r w:rsidRPr="00792220">
        <w:rPr>
          <w:rFonts w:ascii="Calibri" w:hAnsi="Calibri"/>
          <w:i/>
          <w:sz w:val="18"/>
          <w:szCs w:val="18"/>
          <w:lang w:val="fr-BE"/>
        </w:rPr>
        <w:t xml:space="preserve"> une expérience pilote réussie</w:t>
      </w:r>
      <w:r w:rsidRPr="00792220">
        <w:rPr>
          <w:rFonts w:ascii="Calibri" w:hAnsi="Calibri"/>
          <w:sz w:val="18"/>
          <w:szCs w:val="18"/>
          <w:lang w:val="fr-BE"/>
        </w:rPr>
        <w:t> »,  2006</w:t>
      </w:r>
      <w:r>
        <w:rPr>
          <w:rFonts w:ascii="Calibri" w:hAnsi="Calibri"/>
          <w:sz w:val="18"/>
          <w:szCs w:val="18"/>
          <w:lang w:val="fr-BE"/>
        </w:rPr>
        <w:t> </w:t>
      </w:r>
    </w:p>
  </w:footnote>
  <w:footnote w:id="53">
    <w:p w:rsidR="006E6AAA" w:rsidRPr="00670F31" w:rsidRDefault="006E6AAA" w:rsidP="006E6AAA">
      <w:pPr>
        <w:spacing w:line="240" w:lineRule="auto"/>
        <w:rPr>
          <w:rFonts w:ascii="Calibri" w:hAnsi="Calibri"/>
          <w:sz w:val="18"/>
          <w:szCs w:val="18"/>
        </w:rPr>
      </w:pPr>
      <w:r w:rsidRPr="00A818D4">
        <w:rPr>
          <w:rStyle w:val="FootnoteReference"/>
        </w:rPr>
        <w:footnoteRef/>
      </w:r>
      <w:r w:rsidRPr="00A818D4">
        <w:rPr>
          <w:rStyle w:val="FootnoteReference"/>
        </w:rPr>
        <w:t xml:space="preserve"> </w:t>
      </w:r>
      <w:r w:rsidRPr="00670F31">
        <w:rPr>
          <w:rFonts w:ascii="Calibri" w:hAnsi="Calibri"/>
          <w:sz w:val="18"/>
          <w:szCs w:val="18"/>
        </w:rPr>
        <w:t>Article 30 (2) states that “</w:t>
      </w:r>
      <w:r w:rsidRPr="00670F31">
        <w:rPr>
          <w:rFonts w:ascii="Calibri" w:hAnsi="Calibri"/>
          <w:i/>
          <w:sz w:val="18"/>
          <w:szCs w:val="18"/>
        </w:rPr>
        <w:t>The Board shall accredit (…) paralegals only in the case (they) have been certified as having gone through the appropriate courses at the Judicial and Legal Training Institute or any other appropriate institution approved by the Board</w:t>
      </w:r>
      <w:r w:rsidRPr="00670F31">
        <w:rPr>
          <w:rFonts w:ascii="Calibri" w:hAnsi="Calibri"/>
          <w:sz w:val="18"/>
          <w:szCs w:val="18"/>
        </w:rPr>
        <w:t>”.</w:t>
      </w:r>
    </w:p>
  </w:footnote>
  <w:footnote w:id="54">
    <w:p w:rsidR="006E6AAA" w:rsidRPr="00403DBF" w:rsidRDefault="006E6AAA" w:rsidP="006E6AAA">
      <w:pPr>
        <w:autoSpaceDE w:val="0"/>
        <w:autoSpaceDN w:val="0"/>
        <w:adjustRightInd w:val="0"/>
        <w:spacing w:line="240" w:lineRule="auto"/>
        <w:jc w:val="both"/>
        <w:rPr>
          <w:rFonts w:ascii="Calibri" w:hAnsi="Calibri" w:cs="Utopia-Regular"/>
          <w:i/>
          <w:sz w:val="18"/>
          <w:szCs w:val="18"/>
          <w:lang w:eastAsia="it-IT"/>
        </w:rPr>
      </w:pPr>
      <w:r w:rsidRPr="00403DBF">
        <w:rPr>
          <w:rStyle w:val="FootnoteReference"/>
          <w:rFonts w:ascii="Calibri" w:hAnsi="Calibri"/>
          <w:sz w:val="18"/>
          <w:szCs w:val="18"/>
        </w:rPr>
        <w:footnoteRef/>
      </w:r>
      <w:r w:rsidRPr="00403DBF">
        <w:rPr>
          <w:rFonts w:ascii="Calibri" w:hAnsi="Calibri"/>
          <w:sz w:val="18"/>
          <w:szCs w:val="18"/>
        </w:rPr>
        <w:t xml:space="preserve"> “</w:t>
      </w:r>
      <w:r w:rsidRPr="00403DBF">
        <w:rPr>
          <w:rFonts w:ascii="Calibri" w:hAnsi="Calibri"/>
          <w:i/>
          <w:sz w:val="18"/>
          <w:szCs w:val="18"/>
          <w:lang w:eastAsia="it-IT"/>
        </w:rPr>
        <w:t>Eliminating the requirement that a felonious case be referred to High Court before first going through a preliminary investigation (PI) in a magistrates’ court would also help unclog the courts. Revisions to the Criminal Procedures Act of 1965, including legislation dropping ‘preliminary investigations’ and ensuring a case’s committal to High Court within seven weeks, are also expected to pass in the next few months</w:t>
      </w:r>
      <w:r>
        <w:rPr>
          <w:rFonts w:ascii="Calibri" w:hAnsi="Calibri"/>
          <w:sz w:val="18"/>
          <w:szCs w:val="18"/>
          <w:lang w:eastAsia="it-IT"/>
        </w:rPr>
        <w:t xml:space="preserve">”. Supra n. 7. </w:t>
      </w:r>
    </w:p>
  </w:footnote>
  <w:footnote w:id="55">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Varvaloucas &amp; </w:t>
      </w:r>
      <w:r w:rsidRPr="003309DD">
        <w:rPr>
          <w:rFonts w:ascii="Calibri" w:hAnsi="Calibri"/>
          <w:sz w:val="18"/>
          <w:szCs w:val="18"/>
        </w:rPr>
        <w:t>Koroma</w:t>
      </w:r>
      <w:r>
        <w:rPr>
          <w:rFonts w:ascii="Calibri" w:hAnsi="Calibri"/>
          <w:i/>
          <w:sz w:val="18"/>
          <w:szCs w:val="18"/>
        </w:rPr>
        <w:t xml:space="preserve">, </w:t>
      </w:r>
      <w:r w:rsidRPr="006E76FE">
        <w:rPr>
          <w:rFonts w:ascii="Calibri" w:hAnsi="Calibri"/>
          <w:i/>
          <w:sz w:val="18"/>
          <w:szCs w:val="18"/>
        </w:rPr>
        <w:t>Supra</w:t>
      </w:r>
      <w:r>
        <w:rPr>
          <w:rFonts w:ascii="Calibri" w:hAnsi="Calibri"/>
          <w:sz w:val="18"/>
          <w:szCs w:val="18"/>
        </w:rPr>
        <w:t xml:space="preserve"> n. 7, </w:t>
      </w:r>
      <w:r w:rsidRPr="00403DBF">
        <w:rPr>
          <w:rFonts w:ascii="Calibri" w:hAnsi="Calibri"/>
          <w:sz w:val="18"/>
          <w:szCs w:val="18"/>
        </w:rPr>
        <w:t>pa</w:t>
      </w:r>
      <w:r>
        <w:rPr>
          <w:rFonts w:ascii="Calibri" w:hAnsi="Calibri"/>
          <w:sz w:val="18"/>
          <w:szCs w:val="18"/>
        </w:rPr>
        <w:t>ge</w:t>
      </w:r>
      <w:r w:rsidRPr="00403DBF">
        <w:rPr>
          <w:rFonts w:ascii="Calibri" w:hAnsi="Calibri"/>
          <w:sz w:val="18"/>
          <w:szCs w:val="18"/>
        </w:rPr>
        <w:t xml:space="preserve"> 505</w:t>
      </w:r>
    </w:p>
  </w:footnote>
  <w:footnote w:id="56">
    <w:p w:rsidR="006E6AAA" w:rsidRPr="00C908AE" w:rsidRDefault="006E6AAA" w:rsidP="006E6AAA">
      <w:pPr>
        <w:spacing w:line="240" w:lineRule="auto"/>
        <w:rPr>
          <w:rFonts w:ascii="Calibri" w:hAnsi="Calibri"/>
          <w:sz w:val="18"/>
          <w:szCs w:val="18"/>
        </w:rPr>
      </w:pPr>
      <w:r w:rsidRPr="00C908AE">
        <w:rPr>
          <w:rStyle w:val="FootnoteReference"/>
          <w:rFonts w:ascii="Calibri" w:hAnsi="Calibri"/>
          <w:sz w:val="18"/>
          <w:szCs w:val="18"/>
        </w:rPr>
        <w:footnoteRef/>
      </w:r>
      <w:r>
        <w:t xml:space="preserve"> </w:t>
      </w:r>
      <w:r w:rsidRPr="00C908AE">
        <w:rPr>
          <w:rFonts w:ascii="Calibri" w:hAnsi="Calibri"/>
          <w:sz w:val="18"/>
          <w:szCs w:val="18"/>
        </w:rPr>
        <w:t>This was however not the case in Moyamba as it was widely recognized, included by court monitors, that the magistrate was always on time in court.</w:t>
      </w:r>
    </w:p>
  </w:footnote>
  <w:footnote w:id="57">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To be noted that </w:t>
      </w:r>
      <w:r w:rsidRPr="00403DBF">
        <w:rPr>
          <w:rFonts w:ascii="Calibri" w:hAnsi="Calibri"/>
          <w:sz w:val="18"/>
          <w:szCs w:val="18"/>
        </w:rPr>
        <w:t xml:space="preserve">article 8.3 </w:t>
      </w:r>
      <w:r>
        <w:rPr>
          <w:rFonts w:ascii="Calibri" w:hAnsi="Calibri"/>
          <w:sz w:val="18"/>
          <w:szCs w:val="18"/>
        </w:rPr>
        <w:t xml:space="preserve">of the Courts Act that, establishes that </w:t>
      </w:r>
      <w:r w:rsidRPr="00403DBF">
        <w:rPr>
          <w:rFonts w:ascii="Calibri" w:hAnsi="Calibri"/>
          <w:sz w:val="18"/>
          <w:szCs w:val="18"/>
        </w:rPr>
        <w:t>:</w:t>
      </w:r>
      <w:r w:rsidRPr="00403DBF">
        <w:rPr>
          <w:rFonts w:ascii="Calibri" w:hAnsi="Calibri"/>
          <w:i/>
          <w:sz w:val="18"/>
          <w:szCs w:val="18"/>
        </w:rPr>
        <w:t>“whenever a witness is required by summons to give evidence  the magistrate shall direct that he be paid reasonable sum for his travelling expanses</w:t>
      </w:r>
      <w:r>
        <w:rPr>
          <w:rFonts w:ascii="Calibri" w:hAnsi="Calibri"/>
          <w:i/>
          <w:sz w:val="18"/>
          <w:szCs w:val="18"/>
        </w:rPr>
        <w:t>”</w:t>
      </w:r>
      <w:r w:rsidRPr="00403DBF">
        <w:rPr>
          <w:rFonts w:ascii="Calibri" w:hAnsi="Calibri"/>
          <w:i/>
          <w:sz w:val="18"/>
          <w:szCs w:val="18"/>
        </w:rPr>
        <w:t>.</w:t>
      </w:r>
    </w:p>
  </w:footnote>
  <w:footnote w:id="58">
    <w:p w:rsidR="006E6AAA" w:rsidRPr="00463B16" w:rsidRDefault="006E6AAA" w:rsidP="006E6AAA">
      <w:pPr>
        <w:spacing w:line="240" w:lineRule="auto"/>
        <w:rPr>
          <w:rFonts w:ascii="Calibri" w:hAnsi="Calibri"/>
          <w:sz w:val="18"/>
          <w:szCs w:val="18"/>
        </w:rPr>
      </w:pPr>
      <w:r w:rsidRPr="00463B16">
        <w:rPr>
          <w:rStyle w:val="FootnoteReference"/>
        </w:rPr>
        <w:footnoteRef/>
      </w:r>
      <w:r w:rsidRPr="00463B16">
        <w:rPr>
          <w:rFonts w:ascii="Calibri" w:hAnsi="Calibri"/>
          <w:sz w:val="18"/>
          <w:szCs w:val="18"/>
        </w:rPr>
        <w:t xml:space="preserve"> Witnesses are reimbursed, after they have testified, on the basis of the covered distances for a maximum amount to 30.000 Leones.</w:t>
      </w:r>
    </w:p>
  </w:footnote>
  <w:footnote w:id="59">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w:t>
      </w:r>
      <w:r w:rsidRPr="009A20DB">
        <w:rPr>
          <w:rFonts w:ascii="Calibri" w:hAnsi="Calibri"/>
          <w:sz w:val="18"/>
          <w:szCs w:val="18"/>
        </w:rPr>
        <w:t>UNDP, court monitors reports, 3rd quarter</w:t>
      </w:r>
      <w:r>
        <w:rPr>
          <w:rFonts w:ascii="Calibri" w:hAnsi="Calibri"/>
          <w:sz w:val="18"/>
          <w:szCs w:val="18"/>
        </w:rPr>
        <w:t xml:space="preserve"> 2012</w:t>
      </w:r>
    </w:p>
  </w:footnote>
  <w:footnote w:id="60">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w:t>
      </w:r>
      <w:r w:rsidRPr="002303D3">
        <w:rPr>
          <w:rFonts w:ascii="Calibri" w:hAnsi="Calibri"/>
          <w:i/>
          <w:sz w:val="18"/>
          <w:szCs w:val="18"/>
        </w:rPr>
        <w:t>Supra</w:t>
      </w:r>
      <w:r>
        <w:rPr>
          <w:rFonts w:ascii="Calibri" w:hAnsi="Calibri"/>
          <w:sz w:val="18"/>
          <w:szCs w:val="18"/>
        </w:rPr>
        <w:t xml:space="preserve"> n. 5</w:t>
      </w:r>
    </w:p>
  </w:footnote>
  <w:footnote w:id="61">
    <w:p w:rsidR="006E6AAA" w:rsidRDefault="006E6AAA" w:rsidP="006E6AAA">
      <w:pPr>
        <w:pStyle w:val="FootnoteText"/>
        <w:spacing w:line="240" w:lineRule="auto"/>
      </w:pPr>
      <w:r>
        <w:rPr>
          <w:rStyle w:val="FootnoteReference"/>
        </w:rPr>
        <w:footnoteRef/>
      </w:r>
      <w:r>
        <w:t xml:space="preserve"> </w:t>
      </w:r>
      <w:r w:rsidRPr="008B67C6">
        <w:rPr>
          <w:rFonts w:ascii="Calibri" w:hAnsi="Calibri"/>
          <w:sz w:val="18"/>
          <w:szCs w:val="18"/>
        </w:rPr>
        <w:t>Caroline Roseveare “</w:t>
      </w:r>
      <w:r w:rsidRPr="00F00ACD">
        <w:rPr>
          <w:rFonts w:ascii="Calibri" w:hAnsi="Calibri"/>
          <w:i/>
          <w:sz w:val="18"/>
          <w:szCs w:val="18"/>
        </w:rPr>
        <w:t>Sierra Leone access to justice for survivors of sexual and domestic violence</w:t>
      </w:r>
      <w:r w:rsidRPr="008B67C6">
        <w:rPr>
          <w:rFonts w:ascii="Calibri" w:hAnsi="Calibri"/>
          <w:sz w:val="18"/>
          <w:szCs w:val="18"/>
        </w:rPr>
        <w:t>” p 18, IRC/Timap,  2012</w:t>
      </w:r>
    </w:p>
  </w:footnote>
  <w:footnote w:id="62">
    <w:p w:rsidR="006E6AAA" w:rsidRPr="00956F78" w:rsidRDefault="006E6AAA" w:rsidP="006E6AAA">
      <w:pPr>
        <w:spacing w:line="240" w:lineRule="auto"/>
        <w:rPr>
          <w:rFonts w:ascii="Calibri" w:hAnsi="Calibri"/>
          <w:sz w:val="18"/>
          <w:szCs w:val="18"/>
        </w:rPr>
      </w:pPr>
      <w:r w:rsidRPr="00295C2E">
        <w:rPr>
          <w:rStyle w:val="FootnoteReference"/>
          <w:rFonts w:ascii="Calibri" w:hAnsi="Calibri"/>
          <w:sz w:val="20"/>
        </w:rPr>
        <w:footnoteRef/>
      </w:r>
      <w:r w:rsidRPr="00295C2E">
        <w:rPr>
          <w:rFonts w:ascii="Calibri" w:hAnsi="Calibri"/>
          <w:sz w:val="20"/>
        </w:rPr>
        <w:t xml:space="preserve"> </w:t>
      </w:r>
      <w:r w:rsidRPr="00295C2E">
        <w:rPr>
          <w:rFonts w:ascii="Calibri" w:hAnsi="Calibri"/>
          <w:sz w:val="18"/>
          <w:szCs w:val="18"/>
        </w:rPr>
        <w:t>The Saturday court annual report indicates that</w:t>
      </w:r>
      <w:r w:rsidRPr="00956F78">
        <w:rPr>
          <w:rFonts w:ascii="Calibri" w:hAnsi="Calibri"/>
          <w:sz w:val="18"/>
          <w:szCs w:val="18"/>
        </w:rPr>
        <w:t xml:space="preserve"> “</w:t>
      </w:r>
      <w:r w:rsidRPr="003C0B45">
        <w:rPr>
          <w:rFonts w:ascii="Calibri" w:hAnsi="Calibri"/>
          <w:i/>
          <w:sz w:val="18"/>
          <w:szCs w:val="18"/>
        </w:rPr>
        <w:t>between February 2012 and July 2012 the Saturday court received 56 cases of domestic violence, out of which 22 were disposed of</w:t>
      </w:r>
      <w:r w:rsidRPr="00956F78">
        <w:rPr>
          <w:rFonts w:ascii="Calibri" w:hAnsi="Calibri"/>
          <w:sz w:val="18"/>
          <w:szCs w:val="18"/>
        </w:rPr>
        <w:t xml:space="preserve">”.  </w:t>
      </w:r>
    </w:p>
  </w:footnote>
  <w:footnote w:id="63">
    <w:p w:rsidR="006E6AAA" w:rsidRPr="00215C11" w:rsidRDefault="006E6AAA" w:rsidP="006E6AAA">
      <w:pPr>
        <w:autoSpaceDE w:val="0"/>
        <w:autoSpaceDN w:val="0"/>
        <w:adjustRightInd w:val="0"/>
        <w:spacing w:line="240" w:lineRule="auto"/>
        <w:rPr>
          <w:rFonts w:ascii="Calibri" w:hAnsi="Calibri"/>
          <w:sz w:val="18"/>
          <w:szCs w:val="18"/>
        </w:rPr>
      </w:pPr>
      <w:r w:rsidRPr="00403DBF">
        <w:rPr>
          <w:rStyle w:val="FootnoteReference"/>
          <w:rFonts w:ascii="Calibri" w:hAnsi="Calibri"/>
          <w:sz w:val="18"/>
          <w:szCs w:val="18"/>
        </w:rPr>
        <w:footnoteRef/>
      </w:r>
      <w:r>
        <w:t xml:space="preserve"> </w:t>
      </w:r>
      <w:r>
        <w:rPr>
          <w:rFonts w:ascii="Calibri" w:hAnsi="Calibri"/>
          <w:sz w:val="18"/>
          <w:szCs w:val="18"/>
        </w:rPr>
        <w:t>This issue is illustrated as follows in a recent report</w:t>
      </w:r>
      <w:r w:rsidRPr="00215C11">
        <w:rPr>
          <w:rFonts w:ascii="Calibri" w:hAnsi="Calibri"/>
          <w:sz w:val="18"/>
          <w:szCs w:val="18"/>
        </w:rPr>
        <w:t>: “</w:t>
      </w:r>
      <w:r w:rsidRPr="00ED7C57">
        <w:rPr>
          <w:rFonts w:ascii="Calibri" w:hAnsi="Calibri"/>
          <w:i/>
          <w:sz w:val="18"/>
          <w:szCs w:val="18"/>
        </w:rPr>
        <w:t>I worked in the provinces as a magistrate for some years, and I was never provided with a vehicle to travel between courts and to and from home. It is inevitable that you rely on the generosity of others to do your job. And one day you see before you in court the man who gave you a lift a week before</w:t>
      </w:r>
      <w:r w:rsidRPr="00215C11">
        <w:rPr>
          <w:rFonts w:ascii="Calibri" w:hAnsi="Calibri"/>
          <w:sz w:val="18"/>
          <w:szCs w:val="18"/>
        </w:rPr>
        <w:t>”. Centre for the Study of African Economies, Oxford University “</w:t>
      </w:r>
      <w:r w:rsidRPr="00ED7C57">
        <w:rPr>
          <w:rFonts w:ascii="Calibri" w:hAnsi="Calibri"/>
          <w:i/>
          <w:sz w:val="18"/>
          <w:szCs w:val="18"/>
        </w:rPr>
        <w:t>Timap Criminal</w:t>
      </w:r>
      <w:r w:rsidRPr="00ED7C57">
        <w:rPr>
          <w:i/>
        </w:rPr>
        <w:t xml:space="preserve"> </w:t>
      </w:r>
      <w:r w:rsidRPr="00ED7C57">
        <w:rPr>
          <w:rFonts w:ascii="Calibri" w:hAnsi="Calibri"/>
          <w:i/>
          <w:sz w:val="18"/>
          <w:szCs w:val="18"/>
        </w:rPr>
        <w:t>Justice Pilot: Baseline Evaluation Report</w:t>
      </w:r>
      <w:r w:rsidRPr="00215C11">
        <w:rPr>
          <w:rFonts w:ascii="Calibri" w:hAnsi="Calibri"/>
          <w:sz w:val="18"/>
          <w:szCs w:val="18"/>
        </w:rPr>
        <w:t>”, 2010</w:t>
      </w:r>
    </w:p>
  </w:footnote>
  <w:footnote w:id="64">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Pr>
          <w:rFonts w:ascii="Calibri" w:hAnsi="Calibri"/>
          <w:sz w:val="18"/>
          <w:szCs w:val="18"/>
        </w:rPr>
        <w:t xml:space="preserve"> </w:t>
      </w:r>
      <w:r w:rsidRPr="008847DB">
        <w:rPr>
          <w:rFonts w:ascii="Calibri" w:hAnsi="Calibri"/>
          <w:sz w:val="18"/>
          <w:szCs w:val="18"/>
        </w:rPr>
        <w:t xml:space="preserve">To be noted that </w:t>
      </w:r>
      <w:r w:rsidRPr="00BD0A82">
        <w:rPr>
          <w:rFonts w:ascii="Calibri" w:hAnsi="Calibri"/>
          <w:sz w:val="18"/>
          <w:szCs w:val="18"/>
        </w:rPr>
        <w:t>the official government allowances for staff on mission are lower than the ones paid by</w:t>
      </w:r>
      <w:r>
        <w:rPr>
          <w:rFonts w:ascii="Calibri" w:hAnsi="Calibri"/>
          <w:sz w:val="18"/>
          <w:szCs w:val="18"/>
        </w:rPr>
        <w:t xml:space="preserve"> UNDP: according to the Master and Registrar </w:t>
      </w:r>
      <w:r w:rsidRPr="008847DB">
        <w:rPr>
          <w:rFonts w:ascii="Calibri" w:hAnsi="Calibri"/>
          <w:sz w:val="18"/>
          <w:szCs w:val="18"/>
        </w:rPr>
        <w:t>the government pays a daily rate of 450.000 Leones for judges and 250.000 for support staff</w:t>
      </w:r>
      <w:r>
        <w:rPr>
          <w:rFonts w:ascii="Calibri" w:hAnsi="Calibri"/>
          <w:sz w:val="18"/>
          <w:szCs w:val="18"/>
        </w:rPr>
        <w:t>.</w:t>
      </w:r>
    </w:p>
  </w:footnote>
  <w:footnote w:id="65">
    <w:p w:rsidR="006E6AAA" w:rsidRPr="008E5E5A" w:rsidRDefault="006E6AAA" w:rsidP="006E6AAA">
      <w:pPr>
        <w:spacing w:line="240" w:lineRule="auto"/>
        <w:jc w:val="both"/>
        <w:rPr>
          <w:rFonts w:ascii="Calibri" w:hAnsi="Calibri"/>
          <w:b/>
          <w:sz w:val="18"/>
          <w:szCs w:val="18"/>
        </w:rPr>
      </w:pPr>
      <w:r w:rsidRPr="00403DBF">
        <w:rPr>
          <w:rStyle w:val="FootnoteReference"/>
          <w:rFonts w:ascii="Calibri" w:hAnsi="Calibri"/>
          <w:sz w:val="18"/>
          <w:szCs w:val="18"/>
        </w:rPr>
        <w:footnoteRef/>
      </w:r>
      <w:r w:rsidRPr="00403DBF">
        <w:t xml:space="preserve"> </w:t>
      </w:r>
      <w:r w:rsidRPr="00403DBF">
        <w:rPr>
          <w:rStyle w:val="Strong"/>
          <w:rFonts w:ascii="Calibri" w:hAnsi="Calibri"/>
          <w:b w:val="0"/>
          <w:sz w:val="18"/>
          <w:szCs w:val="18"/>
          <w:lang w:val="nl-NL"/>
        </w:rPr>
        <w:t>In 2011 the Anti Corruption Commission publishd a “</w:t>
      </w:r>
      <w:r w:rsidRPr="00ED7C57">
        <w:rPr>
          <w:rStyle w:val="Strong"/>
          <w:rFonts w:ascii="Calibri" w:hAnsi="Calibri"/>
          <w:b w:val="0"/>
          <w:i/>
          <w:sz w:val="18"/>
          <w:szCs w:val="18"/>
          <w:lang w:val="nl-NL"/>
        </w:rPr>
        <w:t>National Public Perception of Corruption Survey Report</w:t>
      </w:r>
      <w:r w:rsidRPr="00403DBF">
        <w:rPr>
          <w:rStyle w:val="Strong"/>
          <w:rFonts w:ascii="Calibri" w:hAnsi="Calibri"/>
          <w:b w:val="0"/>
          <w:sz w:val="18"/>
          <w:szCs w:val="18"/>
          <w:lang w:val="nl-NL"/>
        </w:rPr>
        <w:t xml:space="preserve">” </w:t>
      </w:r>
      <w:r w:rsidRPr="008E5E5A">
        <w:rPr>
          <w:rStyle w:val="Strong"/>
          <w:rFonts w:ascii="Calibri" w:hAnsi="Calibri"/>
          <w:b w:val="0"/>
          <w:sz w:val="18"/>
          <w:szCs w:val="18"/>
          <w:lang w:val="nl-NL"/>
        </w:rPr>
        <w:t xml:space="preserve">which </w:t>
      </w:r>
      <w:r w:rsidRPr="008E5E5A">
        <w:rPr>
          <w:rStyle w:val="Strong"/>
          <w:rFonts w:ascii="Calibri" w:hAnsi="Calibri"/>
          <w:b w:val="0"/>
          <w:sz w:val="18"/>
          <w:szCs w:val="18"/>
        </w:rPr>
        <w:t xml:space="preserve">reveals that </w:t>
      </w:r>
      <w:r>
        <w:rPr>
          <w:rStyle w:val="Strong"/>
          <w:rFonts w:ascii="Calibri" w:hAnsi="Calibri"/>
          <w:b w:val="0"/>
          <w:sz w:val="18"/>
          <w:szCs w:val="18"/>
        </w:rPr>
        <w:t xml:space="preserve">Sierra Leoneans perceive  that </w:t>
      </w:r>
      <w:r w:rsidRPr="008E5E5A">
        <w:rPr>
          <w:rStyle w:val="Strong"/>
          <w:rFonts w:ascii="Calibri" w:hAnsi="Calibri"/>
          <w:b w:val="0"/>
          <w:sz w:val="18"/>
          <w:szCs w:val="18"/>
        </w:rPr>
        <w:t>corruption is more prevalent in the Sierra Leone Police (SLP) force than any other state institution.</w:t>
      </w:r>
      <w:r w:rsidRPr="008E5E5A">
        <w:rPr>
          <w:b/>
          <w:lang w:val="nl-NL"/>
        </w:rPr>
        <w:t xml:space="preserve">  </w:t>
      </w:r>
    </w:p>
  </w:footnote>
  <w:footnote w:id="66">
    <w:p w:rsidR="006E6AAA" w:rsidRPr="00403DBF" w:rsidRDefault="006E6AAA" w:rsidP="006E6AAA">
      <w:pPr>
        <w:autoSpaceDE w:val="0"/>
        <w:autoSpaceDN w:val="0"/>
        <w:adjustRightInd w:val="0"/>
        <w:spacing w:line="240" w:lineRule="auto"/>
        <w:jc w:val="both"/>
        <w:rPr>
          <w:rFonts w:ascii="Calibri" w:hAnsi="Calibri"/>
          <w:sz w:val="18"/>
          <w:szCs w:val="18"/>
          <w:lang w:eastAsia="it-IT"/>
        </w:rPr>
      </w:pPr>
      <w:r w:rsidRPr="00403DBF">
        <w:rPr>
          <w:rStyle w:val="FootnoteReference"/>
          <w:rFonts w:ascii="Calibri" w:hAnsi="Calibri"/>
          <w:sz w:val="18"/>
          <w:szCs w:val="18"/>
        </w:rPr>
        <w:footnoteRef/>
      </w:r>
      <w:r w:rsidRPr="00403DBF">
        <w:rPr>
          <w:rFonts w:ascii="Calibri" w:hAnsi="Calibri"/>
          <w:sz w:val="18"/>
          <w:szCs w:val="18"/>
        </w:rPr>
        <w:t xml:space="preserve"> </w:t>
      </w:r>
      <w:r w:rsidRPr="00403DBF">
        <w:rPr>
          <w:rFonts w:ascii="Calibri" w:hAnsi="Calibri"/>
          <w:sz w:val="18"/>
          <w:szCs w:val="18"/>
          <w:lang w:eastAsia="it-IT"/>
        </w:rPr>
        <w:t xml:space="preserve">The Family Support Units (FSU’s) are specialist units attached to </w:t>
      </w:r>
      <w:r>
        <w:rPr>
          <w:rFonts w:ascii="Calibri" w:hAnsi="Calibri"/>
          <w:sz w:val="18"/>
          <w:szCs w:val="18"/>
          <w:lang w:eastAsia="it-IT"/>
        </w:rPr>
        <w:t xml:space="preserve">about 40 </w:t>
      </w:r>
      <w:r w:rsidRPr="00403DBF">
        <w:rPr>
          <w:rFonts w:ascii="Calibri" w:hAnsi="Calibri"/>
          <w:sz w:val="18"/>
          <w:szCs w:val="18"/>
          <w:lang w:eastAsia="it-IT"/>
        </w:rPr>
        <w:t>police stations across Sierra Leone with a mandate for the investigation of all forms of child abuse and violence against women (sexual abuse and violence, physical abuse, exploitation, commercial exploitation, including internal and cross border trafficking).</w:t>
      </w:r>
    </w:p>
  </w:footnote>
  <w:footnote w:id="67">
    <w:p w:rsidR="006E6AAA" w:rsidRPr="00215C11" w:rsidRDefault="006E6AAA" w:rsidP="006E6AAA">
      <w:pPr>
        <w:spacing w:line="240" w:lineRule="auto"/>
        <w:jc w:val="both"/>
        <w:rPr>
          <w:rFonts w:ascii="Calibri" w:hAnsi="Calibri"/>
          <w:sz w:val="18"/>
          <w:szCs w:val="18"/>
        </w:rPr>
      </w:pPr>
      <w:r w:rsidRPr="00403DBF">
        <w:rPr>
          <w:rStyle w:val="FootnoteReference"/>
          <w:rFonts w:ascii="Calibri" w:hAnsi="Calibri"/>
          <w:sz w:val="18"/>
          <w:szCs w:val="18"/>
        </w:rPr>
        <w:footnoteRef/>
      </w:r>
      <w:r w:rsidRPr="00403DBF">
        <w:t xml:space="preserve"> </w:t>
      </w:r>
      <w:r w:rsidRPr="002303D3">
        <w:rPr>
          <w:rFonts w:ascii="Calibri" w:hAnsi="Calibri"/>
          <w:i/>
          <w:sz w:val="18"/>
          <w:szCs w:val="18"/>
        </w:rPr>
        <w:t>Supra</w:t>
      </w:r>
      <w:r>
        <w:rPr>
          <w:rFonts w:ascii="Calibri" w:hAnsi="Calibri"/>
          <w:sz w:val="18"/>
          <w:szCs w:val="18"/>
        </w:rPr>
        <w:t xml:space="preserve"> n. 41.</w:t>
      </w:r>
    </w:p>
  </w:footnote>
  <w:footnote w:id="68">
    <w:p w:rsidR="006E6AAA" w:rsidRPr="00403DBF" w:rsidRDefault="006E6AAA" w:rsidP="006E6AAA">
      <w:pPr>
        <w:pStyle w:val="FootnoteText"/>
        <w:spacing w:line="240" w:lineRule="auto"/>
        <w:jc w:val="both"/>
        <w:rPr>
          <w:rFonts w:ascii="Calibri" w:hAnsi="Calibri"/>
          <w:sz w:val="18"/>
          <w:szCs w:val="18"/>
        </w:rPr>
      </w:pPr>
      <w:r w:rsidRPr="00403DBF">
        <w:rPr>
          <w:rStyle w:val="FootnoteReference"/>
          <w:rFonts w:ascii="Calibri" w:hAnsi="Calibri"/>
          <w:sz w:val="18"/>
          <w:szCs w:val="18"/>
        </w:rPr>
        <w:footnoteRef/>
      </w:r>
      <w:r w:rsidRPr="00403DBF">
        <w:rPr>
          <w:rFonts w:ascii="Calibri" w:hAnsi="Calibri"/>
          <w:sz w:val="18"/>
          <w:szCs w:val="18"/>
        </w:rPr>
        <w:t xml:space="preserve"> To be noted that the</w:t>
      </w:r>
      <w:r w:rsidRPr="00403DBF">
        <w:rPr>
          <w:rFonts w:ascii="Calibri" w:hAnsi="Calibri"/>
          <w:sz w:val="18"/>
          <w:szCs w:val="18"/>
          <w:lang w:val="en-US"/>
        </w:rPr>
        <w:t xml:space="preserve"> customary la</w:t>
      </w:r>
      <w:r>
        <w:rPr>
          <w:rFonts w:ascii="Calibri" w:hAnsi="Calibri"/>
          <w:sz w:val="18"/>
          <w:szCs w:val="18"/>
          <w:lang w:val="en-US"/>
        </w:rPr>
        <w:t>w officer</w:t>
      </w:r>
      <w:r w:rsidRPr="00403DBF">
        <w:rPr>
          <w:rFonts w:ascii="Calibri" w:hAnsi="Calibri"/>
          <w:sz w:val="18"/>
          <w:szCs w:val="18"/>
          <w:lang w:val="en-US"/>
        </w:rPr>
        <w:t xml:space="preserve"> is also recognized jurisdiction to review the L</w:t>
      </w:r>
      <w:r>
        <w:rPr>
          <w:rFonts w:ascii="Calibri" w:hAnsi="Calibri"/>
          <w:sz w:val="18"/>
          <w:szCs w:val="18"/>
          <w:lang w:val="en-US"/>
        </w:rPr>
        <w:t>ocal Court’s decisions.</w:t>
      </w:r>
    </w:p>
  </w:footnote>
  <w:footnote w:id="69">
    <w:p w:rsidR="006E6AAA" w:rsidRPr="00215C11" w:rsidRDefault="006E6AAA" w:rsidP="006E6AAA">
      <w:pPr>
        <w:pStyle w:val="FootnoteText"/>
        <w:spacing w:line="240" w:lineRule="auto"/>
        <w:jc w:val="both"/>
        <w:rPr>
          <w:rFonts w:ascii="Calibri" w:hAnsi="Calibri"/>
          <w:sz w:val="18"/>
          <w:szCs w:val="18"/>
          <w:lang w:val="it-IT"/>
        </w:rPr>
      </w:pPr>
      <w:r w:rsidRPr="00403DBF">
        <w:rPr>
          <w:rStyle w:val="FootnoteReference"/>
          <w:rFonts w:ascii="Calibri" w:hAnsi="Calibri"/>
          <w:sz w:val="18"/>
          <w:szCs w:val="18"/>
        </w:rPr>
        <w:footnoteRef/>
      </w:r>
      <w:r w:rsidRPr="00215C11">
        <w:rPr>
          <w:rFonts w:ascii="Calibri" w:hAnsi="Calibri"/>
          <w:sz w:val="18"/>
          <w:szCs w:val="18"/>
          <w:lang w:val="it-IT"/>
        </w:rPr>
        <w:t xml:space="preserve"> Braima Koroma, </w:t>
      </w:r>
      <w:r w:rsidRPr="002303D3">
        <w:rPr>
          <w:rFonts w:ascii="Calibri" w:hAnsi="Calibri"/>
          <w:i/>
          <w:sz w:val="18"/>
          <w:szCs w:val="18"/>
          <w:lang w:val="it-IT"/>
        </w:rPr>
        <w:t>supra</w:t>
      </w:r>
      <w:r w:rsidRPr="00215C11">
        <w:rPr>
          <w:rFonts w:ascii="Calibri" w:hAnsi="Calibri"/>
          <w:sz w:val="18"/>
          <w:szCs w:val="18"/>
          <w:lang w:val="it-IT"/>
        </w:rPr>
        <w:t xml:space="preserve"> n. 15</w:t>
      </w:r>
    </w:p>
  </w:footnote>
  <w:footnote w:id="70">
    <w:p w:rsidR="006E6AAA" w:rsidRPr="007E3968" w:rsidRDefault="006E6AAA" w:rsidP="006E6AAA">
      <w:pPr>
        <w:autoSpaceDE w:val="0"/>
        <w:autoSpaceDN w:val="0"/>
        <w:adjustRightInd w:val="0"/>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w:t>
      </w:r>
      <w:r w:rsidRPr="007E3968">
        <w:rPr>
          <w:rFonts w:ascii="Calibri" w:hAnsi="Calibri"/>
          <w:i/>
          <w:sz w:val="20"/>
        </w:rPr>
        <w:t>Positive complementarity refers to all activities whereby national jurisdictions are strengthened and enabled to conduct genuine national investigations and trials of crimes included in the Rome Statute</w:t>
      </w:r>
      <w:r w:rsidRPr="007E3968">
        <w:rPr>
          <w:rFonts w:ascii="Calibri" w:hAnsi="Calibri"/>
          <w:sz w:val="20"/>
        </w:rPr>
        <w:t>” in UNDP «</w:t>
      </w:r>
      <w:r w:rsidRPr="007E3968">
        <w:rPr>
          <w:rFonts w:ascii="Calibri" w:hAnsi="Calibri"/>
          <w:i/>
          <w:sz w:val="20"/>
        </w:rPr>
        <w:t>Discussion paper: Complementarity and Transitional Justice: Synthesis of Key Emerging Issues for Development</w:t>
      </w:r>
      <w:r w:rsidRPr="007E3968">
        <w:rPr>
          <w:rFonts w:ascii="Calibri" w:hAnsi="Calibri"/>
          <w:sz w:val="20"/>
        </w:rPr>
        <w:t>”, 2012</w:t>
      </w:r>
    </w:p>
  </w:footnote>
  <w:footnote w:id="71">
    <w:p w:rsidR="006E6AAA" w:rsidRPr="00ED7C57" w:rsidRDefault="006E6AAA" w:rsidP="006E6AAA">
      <w:pPr>
        <w:spacing w:line="240" w:lineRule="auto"/>
        <w:jc w:val="both"/>
        <w:rPr>
          <w:rFonts w:ascii="Calibri" w:hAnsi="Calibri"/>
          <w:sz w:val="18"/>
          <w:szCs w:val="18"/>
        </w:rPr>
      </w:pPr>
      <w:r w:rsidRPr="00403DBF">
        <w:rPr>
          <w:rStyle w:val="FootnoteReference"/>
          <w:rFonts w:ascii="Calibri" w:hAnsi="Calibri"/>
          <w:sz w:val="18"/>
          <w:szCs w:val="18"/>
        </w:rPr>
        <w:footnoteRef/>
      </w:r>
      <w:r w:rsidRPr="00ED7C57">
        <w:t xml:space="preserve"> </w:t>
      </w:r>
      <w:r w:rsidRPr="002303D3">
        <w:rPr>
          <w:rFonts w:ascii="Calibri" w:hAnsi="Calibri"/>
          <w:i/>
          <w:sz w:val="18"/>
          <w:szCs w:val="18"/>
        </w:rPr>
        <w:t>Supra</w:t>
      </w:r>
      <w:r w:rsidRPr="00ED7C57">
        <w:rPr>
          <w:rFonts w:ascii="Calibri" w:hAnsi="Calibri"/>
          <w:sz w:val="18"/>
          <w:szCs w:val="18"/>
        </w:rPr>
        <w:t xml:space="preserve"> n. 6</w:t>
      </w:r>
      <w:r>
        <w:rPr>
          <w:rFonts w:ascii="Calibri" w:hAnsi="Calibri"/>
          <w:sz w:val="18"/>
          <w:szCs w:val="18"/>
        </w:rPr>
        <w:t xml:space="preserve">, </w:t>
      </w:r>
      <w:r w:rsidRPr="00ED7C57">
        <w:rPr>
          <w:rFonts w:ascii="Calibri" w:hAnsi="Calibri"/>
          <w:sz w:val="18"/>
          <w:szCs w:val="18"/>
        </w:rPr>
        <w:t>p. 42</w:t>
      </w:r>
    </w:p>
  </w:footnote>
  <w:footnote w:id="72">
    <w:p w:rsidR="006E6AAA" w:rsidRPr="00215C11" w:rsidRDefault="006E6AAA" w:rsidP="006E6AAA">
      <w:pPr>
        <w:spacing w:line="240" w:lineRule="auto"/>
        <w:rPr>
          <w:rFonts w:ascii="Calibri" w:hAnsi="Calibri"/>
          <w:sz w:val="18"/>
          <w:szCs w:val="18"/>
        </w:rPr>
      </w:pPr>
      <w:r w:rsidRPr="00403DBF">
        <w:rPr>
          <w:rStyle w:val="FootnoteReference"/>
          <w:rFonts w:ascii="Calibri" w:hAnsi="Calibri"/>
          <w:sz w:val="18"/>
          <w:szCs w:val="18"/>
        </w:rPr>
        <w:footnoteRef/>
      </w:r>
      <w:r>
        <w:t xml:space="preserve"> </w:t>
      </w:r>
      <w:r w:rsidRPr="00215C11">
        <w:rPr>
          <w:rFonts w:ascii="Calibri" w:hAnsi="Calibri"/>
          <w:sz w:val="18"/>
          <w:szCs w:val="18"/>
        </w:rPr>
        <w:t>Sigall Horovits “</w:t>
      </w:r>
      <w:r w:rsidRPr="00215C11">
        <w:rPr>
          <w:rFonts w:ascii="Calibri" w:hAnsi="Calibri"/>
          <w:i/>
          <w:sz w:val="18"/>
          <w:szCs w:val="18"/>
        </w:rPr>
        <w:t>Sierra Leone: interaction between national and international responses to the mass atrocities</w:t>
      </w:r>
      <w:r w:rsidRPr="00215C11">
        <w:rPr>
          <w:rFonts w:ascii="Calibri" w:hAnsi="Calibri"/>
          <w:sz w:val="18"/>
          <w:szCs w:val="18"/>
        </w:rPr>
        <w:t>”, 2009</w:t>
      </w:r>
    </w:p>
  </w:footnote>
  <w:footnote w:id="73">
    <w:p w:rsidR="006E6AAA" w:rsidRPr="007E3968" w:rsidRDefault="006E6AAA" w:rsidP="006E6AAA">
      <w:pPr>
        <w:pStyle w:val="FootnoteText"/>
        <w:spacing w:line="240" w:lineRule="auto"/>
        <w:jc w:val="both"/>
        <w:rPr>
          <w:rFonts w:ascii="Calibri" w:hAnsi="Calibri"/>
        </w:rPr>
      </w:pPr>
      <w:r w:rsidRPr="007E3968">
        <w:rPr>
          <w:rStyle w:val="FootnoteReference"/>
          <w:rFonts w:ascii="Calibri" w:hAnsi="Calibri"/>
        </w:rPr>
        <w:footnoteRef/>
      </w:r>
      <w:r w:rsidRPr="007E3968">
        <w:rPr>
          <w:rFonts w:ascii="Calibri" w:hAnsi="Calibri"/>
        </w:rPr>
        <w:t xml:space="preserve"> See Annex 5</w:t>
      </w:r>
    </w:p>
  </w:footnote>
  <w:footnote w:id="74">
    <w:p w:rsidR="006E6AAA" w:rsidRPr="007E3968" w:rsidRDefault="006E6AAA" w:rsidP="006E6AAA">
      <w:pPr>
        <w:pStyle w:val="FootnoteText"/>
        <w:spacing w:line="240" w:lineRule="auto"/>
        <w:jc w:val="both"/>
        <w:rPr>
          <w:rFonts w:ascii="Calibri" w:hAnsi="Calibri"/>
        </w:rPr>
      </w:pPr>
      <w:r w:rsidRPr="007E3968">
        <w:rPr>
          <w:rStyle w:val="FootnoteReference"/>
          <w:rFonts w:ascii="Calibri" w:hAnsi="Calibri"/>
        </w:rPr>
        <w:footnoteRef/>
      </w:r>
      <w:r w:rsidRPr="007E3968">
        <w:rPr>
          <w:rFonts w:ascii="Calibri" w:hAnsi="Calibri"/>
        </w:rPr>
        <w:t xml:space="preserve"> Submitted to BCPR on 18/12/2012</w:t>
      </w:r>
    </w:p>
  </w:footnote>
  <w:footnote w:id="75">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w:t>
      </w:r>
      <w:r w:rsidRPr="007E3968">
        <w:rPr>
          <w:rFonts w:ascii="Calibri" w:hAnsi="Calibri"/>
          <w:i/>
        </w:rPr>
        <w:t>UNDP Annual report, 2010</w:t>
      </w:r>
    </w:p>
  </w:footnote>
  <w:footnote w:id="76">
    <w:p w:rsidR="006E6AAA" w:rsidRPr="007E3968" w:rsidRDefault="006E6AAA" w:rsidP="006E6AAA">
      <w:pPr>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UNDP Somalia, Governance and rule of law programme document (2012-2015)</w:t>
      </w:r>
    </w:p>
  </w:footnote>
  <w:footnote w:id="77">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Adapted from “</w:t>
      </w:r>
      <w:r w:rsidRPr="007E3968">
        <w:rPr>
          <w:rFonts w:ascii="Calibri" w:hAnsi="Calibri"/>
          <w:i/>
        </w:rPr>
        <w:t>Draft Somaliland National Development Plan (NDP) 2012 – 2016</w:t>
      </w:r>
      <w:r w:rsidRPr="007E3968">
        <w:rPr>
          <w:rFonts w:ascii="Calibri" w:hAnsi="Calibri"/>
        </w:rPr>
        <w:t>”, October 2011</w:t>
      </w:r>
    </w:p>
  </w:footnote>
  <w:footnote w:id="78">
    <w:p w:rsidR="006E6AAA" w:rsidRPr="00BD1484" w:rsidRDefault="006E6AAA" w:rsidP="006E6AAA">
      <w:pPr>
        <w:spacing w:line="240" w:lineRule="auto"/>
        <w:jc w:val="both"/>
        <w:rPr>
          <w:rFonts w:ascii="Calibri" w:hAnsi="Calibri" w:cs="Arial"/>
          <w:sz w:val="20"/>
        </w:rPr>
      </w:pPr>
      <w:r w:rsidRPr="007E3968">
        <w:rPr>
          <w:rStyle w:val="FootnoteReference"/>
          <w:rFonts w:ascii="Calibri" w:hAnsi="Calibri"/>
          <w:sz w:val="20"/>
        </w:rPr>
        <w:footnoteRef/>
      </w:r>
      <w:r w:rsidRPr="007E3968">
        <w:rPr>
          <w:rFonts w:ascii="Calibri" w:hAnsi="Calibri"/>
          <w:sz w:val="20"/>
        </w:rPr>
        <w:t xml:space="preserve"> See for example </w:t>
      </w:r>
      <w:r w:rsidRPr="007E3968">
        <w:rPr>
          <w:rFonts w:ascii="Calibri" w:hAnsi="Calibri" w:cs="Arial"/>
          <w:b/>
          <w:sz w:val="20"/>
        </w:rPr>
        <w:t>Hussein Mohamed Farah</w:t>
      </w:r>
      <w:r w:rsidRPr="007E3968">
        <w:rPr>
          <w:rFonts w:ascii="Calibri" w:hAnsi="Calibri" w:cs="Arial"/>
          <w:sz w:val="20"/>
        </w:rPr>
        <w:t>, “</w:t>
      </w:r>
      <w:r w:rsidRPr="007E3968">
        <w:rPr>
          <w:rFonts w:ascii="Calibri" w:hAnsi="Calibri" w:cs="Arial"/>
          <w:i/>
          <w:sz w:val="20"/>
        </w:rPr>
        <w:t>Baseline assessment of the Somaliland Judiciary</w:t>
      </w:r>
      <w:r w:rsidRPr="007E3968">
        <w:rPr>
          <w:rFonts w:ascii="Calibri" w:hAnsi="Calibri" w:cs="Arial"/>
          <w:sz w:val="20"/>
        </w:rPr>
        <w:t xml:space="preserve">”, </w:t>
      </w:r>
      <w:r>
        <w:rPr>
          <w:rFonts w:ascii="Calibri" w:hAnsi="Calibri" w:cs="Arial"/>
          <w:color w:val="FF0000"/>
          <w:sz w:val="20"/>
        </w:rPr>
        <w:t xml:space="preserve"> </w:t>
      </w:r>
      <w:r w:rsidRPr="00BD1484">
        <w:rPr>
          <w:rFonts w:ascii="Calibri" w:hAnsi="Calibri" w:cs="Arial"/>
          <w:sz w:val="20"/>
        </w:rPr>
        <w:t>October 2009</w:t>
      </w:r>
    </w:p>
  </w:footnote>
  <w:footnote w:id="79">
    <w:p w:rsidR="006E6AAA" w:rsidRPr="007E3968" w:rsidRDefault="006E6AAA" w:rsidP="006E6AAA">
      <w:pPr>
        <w:spacing w:line="240" w:lineRule="auto"/>
        <w:jc w:val="both"/>
        <w:rPr>
          <w:rFonts w:ascii="Calibri" w:hAnsi="Calibri" w:cs="Arial"/>
          <w:sz w:val="20"/>
          <w:lang w:eastAsia="it-IT"/>
        </w:rPr>
      </w:pPr>
      <w:r w:rsidRPr="007E3968">
        <w:rPr>
          <w:rStyle w:val="FootnoteReference"/>
        </w:rPr>
        <w:footnoteRef/>
      </w:r>
      <w:r w:rsidRPr="007E3968">
        <w:rPr>
          <w:rStyle w:val="FootnoteReference"/>
        </w:rPr>
        <w:t xml:space="preserve"> </w:t>
      </w:r>
      <w:r w:rsidRPr="007E3968">
        <w:rPr>
          <w:rFonts w:ascii="Calibri" w:hAnsi="Calibri" w:cs="Arial"/>
          <w:sz w:val="20"/>
          <w:lang w:eastAsia="it-IT"/>
        </w:rPr>
        <w:t>“</w:t>
      </w:r>
      <w:r w:rsidRPr="007E3968">
        <w:rPr>
          <w:rFonts w:ascii="Calibri" w:hAnsi="Calibri" w:cs="Arial"/>
          <w:i/>
          <w:sz w:val="20"/>
          <w:lang w:eastAsia="it-IT"/>
        </w:rPr>
        <w:t>The Criminal Procedure Code recognizes the application of customary law, and authorizes the prosecution to withdraw the criminal charge at any stage of the trial process if the victim and the accused agree so and opt for an out of  court settlement. (…) In 2007, 27 criminal murder cases were filed in Erigavo Regional Court, and out of this number, the Court gave judgment in only 2 cases through the application of statutory laws whereas it solved 22 cases through customary law</w:t>
      </w:r>
      <w:r w:rsidRPr="007E3968">
        <w:rPr>
          <w:rFonts w:ascii="Calibri" w:hAnsi="Calibri" w:cs="Arial"/>
          <w:sz w:val="20"/>
          <w:lang w:eastAsia="it-IT"/>
        </w:rPr>
        <w:t>”</w:t>
      </w:r>
      <w:r>
        <w:rPr>
          <w:rFonts w:ascii="Calibri" w:hAnsi="Calibri" w:cs="Arial"/>
          <w:sz w:val="20"/>
          <w:lang w:eastAsia="it-IT"/>
        </w:rPr>
        <w:t xml:space="preserve"> in </w:t>
      </w:r>
      <w:r w:rsidRPr="007E3968">
        <w:rPr>
          <w:rFonts w:ascii="Calibri" w:hAnsi="Calibri" w:cs="Arial"/>
          <w:b/>
          <w:sz w:val="20"/>
        </w:rPr>
        <w:t>Hussein Mohamed Farah</w:t>
      </w:r>
      <w:r>
        <w:rPr>
          <w:rFonts w:ascii="Calibri" w:hAnsi="Calibri" w:cs="Arial"/>
          <w:sz w:val="20"/>
        </w:rPr>
        <w:t xml:space="preserve">, </w:t>
      </w:r>
      <w:r w:rsidRPr="007E3968">
        <w:rPr>
          <w:rFonts w:ascii="Calibri" w:hAnsi="Calibri" w:cs="Arial"/>
          <w:i/>
          <w:sz w:val="20"/>
        </w:rPr>
        <w:t>supra</w:t>
      </w:r>
      <w:r>
        <w:rPr>
          <w:rFonts w:ascii="Calibri" w:hAnsi="Calibri" w:cs="Arial"/>
          <w:sz w:val="20"/>
        </w:rPr>
        <w:t xml:space="preserve"> n. 6</w:t>
      </w:r>
    </w:p>
  </w:footnote>
  <w:footnote w:id="80">
    <w:p w:rsidR="006E6AAA" w:rsidRPr="007E3968" w:rsidRDefault="006E6AAA" w:rsidP="006E6AAA">
      <w:pPr>
        <w:spacing w:line="240" w:lineRule="auto"/>
        <w:jc w:val="both"/>
        <w:rPr>
          <w:rFonts w:ascii="Calibri" w:eastAsia="Arial-BoldMT" w:hAnsi="Calibri" w:cs="ArialMT"/>
          <w:sz w:val="20"/>
          <w:lang w:eastAsia="it-IT"/>
        </w:rPr>
      </w:pPr>
      <w:r w:rsidRPr="007E3968">
        <w:rPr>
          <w:rStyle w:val="FootnoteReference"/>
        </w:rPr>
        <w:footnoteRef/>
      </w:r>
      <w:r w:rsidRPr="007E3968">
        <w:rPr>
          <w:rStyle w:val="FootnoteReference"/>
        </w:rPr>
        <w:t xml:space="preserve"> </w:t>
      </w:r>
      <w:r w:rsidRPr="007E3968">
        <w:rPr>
          <w:rFonts w:ascii="Calibri" w:hAnsi="Calibri" w:cs="Arial"/>
          <w:sz w:val="20"/>
          <w:lang w:eastAsia="it-IT"/>
        </w:rPr>
        <w:t>“</w:t>
      </w:r>
      <w:r w:rsidRPr="007E3968">
        <w:rPr>
          <w:rFonts w:ascii="Calibri" w:hAnsi="Calibri" w:cs="Arial"/>
          <w:i/>
          <w:sz w:val="20"/>
          <w:lang w:eastAsia="it-IT"/>
        </w:rPr>
        <w:t>Islamic</w:t>
      </w:r>
      <w:r w:rsidRPr="007E3968">
        <w:rPr>
          <w:rFonts w:ascii="Calibri" w:hAnsi="Calibri" w:cs="AGaramondPro-Regular"/>
          <w:i/>
          <w:sz w:val="20"/>
          <w:lang w:eastAsia="it-IT"/>
        </w:rPr>
        <w:t xml:space="preserve"> Law imposes the death penalty for rape if the perpetrator is married (for an unmarried </w:t>
      </w:r>
      <w:r w:rsidRPr="007E3968">
        <w:rPr>
          <w:rFonts w:ascii="Calibri" w:hAnsi="Calibri"/>
          <w:i/>
          <w:sz w:val="20"/>
          <w:lang w:eastAsia="it-IT"/>
        </w:rPr>
        <w:t>accused, the punishment is 90 lashes). The statutory law, in contrast, carries a punishment of imprisonment</w:t>
      </w:r>
      <w:r>
        <w:rPr>
          <w:rFonts w:ascii="Calibri" w:hAnsi="Calibri"/>
          <w:sz w:val="20"/>
          <w:lang w:eastAsia="it-IT"/>
        </w:rPr>
        <w:t xml:space="preserve">” </w:t>
      </w:r>
      <w:r w:rsidRPr="00DD0DE7">
        <w:rPr>
          <w:rFonts w:ascii="Calibri" w:hAnsi="Calibri" w:cs="Arial"/>
          <w:b/>
          <w:sz w:val="20"/>
          <w:lang w:eastAsia="it-IT"/>
        </w:rPr>
        <w:t>Alejandro Bendaña and Tanja Chopra</w:t>
      </w:r>
      <w:r w:rsidRPr="00DD0DE7">
        <w:rPr>
          <w:rFonts w:ascii="Calibri" w:hAnsi="Calibri" w:cs="Arial"/>
          <w:sz w:val="20"/>
          <w:lang w:eastAsia="it-IT"/>
        </w:rPr>
        <w:t xml:space="preserve"> in “</w:t>
      </w:r>
      <w:r w:rsidRPr="00DD0DE7">
        <w:rPr>
          <w:rFonts w:ascii="Calibri" w:hAnsi="Calibri" w:cs="Arial"/>
          <w:i/>
          <w:sz w:val="20"/>
          <w:lang w:eastAsia="it-IT"/>
        </w:rPr>
        <w:t>Women's Rights, State Centric Rule of Law, and Legal Pluralism in Somaliland</w:t>
      </w:r>
      <w:r w:rsidRPr="00DD0DE7">
        <w:rPr>
          <w:rFonts w:ascii="Calibri" w:hAnsi="Calibri" w:cs="Arial"/>
          <w:sz w:val="20"/>
          <w:lang w:eastAsia="it-IT"/>
        </w:rPr>
        <w:t>” Hague</w:t>
      </w:r>
      <w:r w:rsidRPr="00DD0DE7">
        <w:rPr>
          <w:rFonts w:ascii="Calibri" w:eastAsia="Arial-BoldMT" w:hAnsi="Calibri" w:cs="ArialMT"/>
          <w:sz w:val="20"/>
          <w:lang w:eastAsia="it-IT"/>
        </w:rPr>
        <w:t xml:space="preserve"> Journal on the Rule of Law / Volume 5 / Issue 01 / March 2013, pp 44-73</w:t>
      </w:r>
    </w:p>
  </w:footnote>
  <w:footnote w:id="81">
    <w:p w:rsidR="006E6AAA" w:rsidRPr="007E3968" w:rsidRDefault="006E6AAA" w:rsidP="006E6AAA">
      <w:pPr>
        <w:widowControl w:val="0"/>
        <w:shd w:val="clear" w:color="auto" w:fill="FFFFFF"/>
        <w:autoSpaceDE w:val="0"/>
        <w:autoSpaceDN w:val="0"/>
        <w:adjustRightInd w:val="0"/>
        <w:spacing w:line="240" w:lineRule="auto"/>
        <w:ind w:right="432"/>
        <w:jc w:val="both"/>
        <w:rPr>
          <w:rFonts w:ascii="Calibri" w:hAnsi="Calibri" w:cs="Calibri"/>
          <w:bCs/>
          <w:sz w:val="20"/>
          <w:lang w:bidi="he-IL"/>
        </w:rPr>
      </w:pPr>
      <w:r w:rsidRPr="007E3968">
        <w:rPr>
          <w:rStyle w:val="FootnoteReference"/>
          <w:rFonts w:ascii="Calibri" w:hAnsi="Calibri"/>
          <w:sz w:val="20"/>
        </w:rPr>
        <w:footnoteRef/>
      </w:r>
      <w:r w:rsidRPr="007E3968">
        <w:rPr>
          <w:rFonts w:ascii="Calibri" w:hAnsi="Calibri"/>
          <w:sz w:val="20"/>
        </w:rPr>
        <w:t xml:space="preserve"> </w:t>
      </w:r>
      <w:r w:rsidRPr="007E3968">
        <w:rPr>
          <w:rFonts w:ascii="Calibri" w:hAnsi="Calibri"/>
          <w:b/>
          <w:sz w:val="20"/>
        </w:rPr>
        <w:t>University of Hargeisa</w:t>
      </w:r>
      <w:r w:rsidRPr="007E3968">
        <w:rPr>
          <w:rFonts w:ascii="Calibri" w:hAnsi="Calibri"/>
          <w:sz w:val="20"/>
          <w:lang w:bidi="he-IL"/>
        </w:rPr>
        <w:t xml:space="preserve"> </w:t>
      </w:r>
      <w:r w:rsidRPr="007E3968">
        <w:rPr>
          <w:rFonts w:ascii="Calibri" w:hAnsi="Calibri"/>
          <w:sz w:val="20"/>
        </w:rPr>
        <w:t>with support from UNDP, “</w:t>
      </w:r>
      <w:r w:rsidRPr="007E3968">
        <w:rPr>
          <w:rFonts w:ascii="Calibri" w:hAnsi="Calibri"/>
          <w:i/>
          <w:sz w:val="20"/>
          <w:lang w:bidi="he-IL"/>
        </w:rPr>
        <w:t xml:space="preserve">Strengthening the Quality and Scope of Justice Provision and Policing in Somaliland. </w:t>
      </w:r>
      <w:r w:rsidRPr="007E3968">
        <w:rPr>
          <w:rFonts w:ascii="Calibri" w:hAnsi="Calibri"/>
          <w:i/>
          <w:sz w:val="20"/>
        </w:rPr>
        <w:t>A Baseline Study</w:t>
      </w:r>
      <w:r w:rsidRPr="007E3968">
        <w:rPr>
          <w:rFonts w:ascii="Calibri" w:hAnsi="Calibri"/>
          <w:sz w:val="20"/>
        </w:rPr>
        <w:t>” July 2012</w:t>
      </w:r>
    </w:p>
  </w:footnote>
  <w:footnote w:id="82">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w:t>
      </w:r>
      <w:r w:rsidRPr="007E3968">
        <w:rPr>
          <w:rFonts w:ascii="Calibri" w:hAnsi="Calibri"/>
          <w:lang w:val="en-US"/>
        </w:rPr>
        <w:t>Some of the interviewed persons recalled the so-called “Mobile Military Court” (</w:t>
      </w:r>
      <w:r w:rsidRPr="007E3968">
        <w:rPr>
          <w:rFonts w:ascii="Calibri" w:hAnsi="Calibri"/>
          <w:i/>
          <w:lang w:val="en-US"/>
        </w:rPr>
        <w:t>Maxkamada Wareegta</w:t>
      </w:r>
      <w:r w:rsidRPr="007E3968">
        <w:rPr>
          <w:rFonts w:ascii="Calibri" w:hAnsi="Calibri"/>
          <w:lang w:val="en-US"/>
        </w:rPr>
        <w:t xml:space="preserve">) that was active in Hargeisa during the Siad Barre regime and was travelling on circuit to </w:t>
      </w:r>
      <w:r w:rsidRPr="007E3968">
        <w:rPr>
          <w:rFonts w:ascii="Calibri" w:hAnsi="Calibri"/>
        </w:rPr>
        <w:t>prosecute cases related to national security.</w:t>
      </w:r>
      <w:r w:rsidRPr="007E3968">
        <w:rPr>
          <w:rFonts w:ascii="Calibri" w:hAnsi="Calibri"/>
          <w:lang w:val="en-US"/>
        </w:rPr>
        <w:t xml:space="preserve"> On this point see: Africa Watch, “</w:t>
      </w:r>
      <w:r w:rsidRPr="007E3968">
        <w:rPr>
          <w:rFonts w:ascii="Calibri" w:hAnsi="Calibri"/>
          <w:i/>
          <w:lang w:val="en-US"/>
        </w:rPr>
        <w:t xml:space="preserve">Somalia: a government at </w:t>
      </w:r>
      <w:r>
        <w:rPr>
          <w:rFonts w:ascii="Calibri" w:hAnsi="Calibri"/>
          <w:i/>
          <w:lang w:val="en-US"/>
        </w:rPr>
        <w:t>war</w:t>
      </w:r>
      <w:r w:rsidRPr="007E3968">
        <w:rPr>
          <w:rFonts w:ascii="Calibri" w:hAnsi="Calibri"/>
          <w:i/>
          <w:lang w:val="en-US"/>
        </w:rPr>
        <w:t xml:space="preserve"> with its own people</w:t>
      </w:r>
      <w:r>
        <w:rPr>
          <w:rFonts w:ascii="Calibri" w:hAnsi="Calibri"/>
          <w:lang w:val="en-US"/>
        </w:rPr>
        <w:t>”, 1990</w:t>
      </w:r>
    </w:p>
  </w:footnote>
  <w:footnote w:id="83">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Law No. 24, 2003</w:t>
      </w:r>
    </w:p>
  </w:footnote>
  <w:footnote w:id="84">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Law No. 24, 2003</w:t>
      </w:r>
      <w:r>
        <w:rPr>
          <w:rFonts w:ascii="Calibri" w:hAnsi="Calibri"/>
        </w:rPr>
        <w:t xml:space="preserve"> (unofficial translation)</w:t>
      </w:r>
    </w:p>
  </w:footnote>
  <w:footnote w:id="85">
    <w:p w:rsidR="006E6AAA" w:rsidRPr="002B071C" w:rsidRDefault="006E6AAA" w:rsidP="006E6AAA">
      <w:pPr>
        <w:pStyle w:val="FootnoteText"/>
        <w:jc w:val="both"/>
        <w:rPr>
          <w:rFonts w:ascii="Calibri" w:hAnsi="Calibri"/>
          <w:lang w:val="fr-FR"/>
        </w:rPr>
      </w:pPr>
      <w:r w:rsidRPr="002B071C">
        <w:rPr>
          <w:rStyle w:val="FootnoteReference"/>
          <w:rFonts w:ascii="Calibri" w:hAnsi="Calibri"/>
        </w:rPr>
        <w:footnoteRef/>
      </w:r>
      <w:r w:rsidRPr="002B071C">
        <w:rPr>
          <w:rFonts w:ascii="Calibri" w:hAnsi="Calibri"/>
          <w:lang w:val="fr-FR"/>
        </w:rPr>
        <w:t xml:space="preserve"> Loi organique n.13/011-B du 13 Avril 2013 portant « </w:t>
      </w:r>
      <w:r w:rsidRPr="002B071C">
        <w:rPr>
          <w:rFonts w:ascii="Calibri" w:hAnsi="Calibri"/>
          <w:i/>
          <w:lang w:val="fr-FR"/>
        </w:rPr>
        <w:t>organisation fonctionnement et compétences des juridictions de l’ordre judiciaire </w:t>
      </w:r>
      <w:r w:rsidRPr="002B071C">
        <w:rPr>
          <w:rFonts w:ascii="Calibri" w:hAnsi="Calibri"/>
          <w:lang w:val="fr-FR"/>
        </w:rPr>
        <w:t>». (articles 45-48), Journal Officiel de la RDC, 4/05/2013</w:t>
      </w:r>
    </w:p>
  </w:footnote>
  <w:footnote w:id="86">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w:t>
      </w:r>
      <w:r w:rsidRPr="007E3968">
        <w:rPr>
          <w:rFonts w:ascii="Calibri" w:hAnsi="Calibri"/>
        </w:rPr>
        <w:t>5 judges and 1 prosecutor have been killed in this area since 2010</w:t>
      </w:r>
    </w:p>
  </w:footnote>
  <w:footnote w:id="87">
    <w:p w:rsidR="006E6AAA" w:rsidRPr="007E3968" w:rsidRDefault="006E6AAA" w:rsidP="006E6AAA">
      <w:pPr>
        <w:tabs>
          <w:tab w:val="left" w:pos="540"/>
          <w:tab w:val="left" w:pos="8460"/>
        </w:tabs>
        <w:spacing w:line="280" w:lineRule="exact"/>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Report of the 2</w:t>
      </w:r>
      <w:r w:rsidRPr="007E3968">
        <w:rPr>
          <w:rFonts w:ascii="Calibri" w:hAnsi="Calibri"/>
          <w:sz w:val="20"/>
          <w:vertAlign w:val="superscript"/>
        </w:rPr>
        <w:t>nd</w:t>
      </w:r>
      <w:r w:rsidRPr="007E3968">
        <w:rPr>
          <w:rFonts w:ascii="Calibri" w:hAnsi="Calibri"/>
          <w:sz w:val="20"/>
        </w:rPr>
        <w:t xml:space="preserve"> Mobile Courts review workshop, 14</w:t>
      </w:r>
      <w:r w:rsidRPr="007E3968">
        <w:rPr>
          <w:rFonts w:ascii="Calibri" w:hAnsi="Calibri"/>
          <w:sz w:val="20"/>
          <w:vertAlign w:val="superscript"/>
        </w:rPr>
        <w:t>th</w:t>
      </w:r>
      <w:r w:rsidRPr="007E3968">
        <w:rPr>
          <w:rFonts w:ascii="Calibri" w:hAnsi="Calibri"/>
          <w:sz w:val="20"/>
        </w:rPr>
        <w:t xml:space="preserve"> to 18</w:t>
      </w:r>
      <w:r w:rsidRPr="007E3968">
        <w:rPr>
          <w:rFonts w:ascii="Calibri" w:hAnsi="Calibri"/>
          <w:sz w:val="20"/>
          <w:vertAlign w:val="superscript"/>
        </w:rPr>
        <w:t>th</w:t>
      </w:r>
      <w:r w:rsidRPr="007E3968">
        <w:rPr>
          <w:rFonts w:ascii="Calibri" w:hAnsi="Calibri"/>
          <w:sz w:val="20"/>
        </w:rPr>
        <w:t xml:space="preserve"> July 2012, Burao, Somaliland</w:t>
      </w:r>
    </w:p>
  </w:footnote>
  <w:footnote w:id="88">
    <w:p w:rsidR="006E6AAA" w:rsidRPr="007E3968" w:rsidRDefault="006E6AAA" w:rsidP="006E6AAA">
      <w:pPr>
        <w:autoSpaceDE w:val="0"/>
        <w:autoSpaceDN w:val="0"/>
        <w:adjustRightInd w:val="0"/>
        <w:spacing w:line="240" w:lineRule="auto"/>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For example “</w:t>
      </w:r>
      <w:r w:rsidRPr="007E3968">
        <w:rPr>
          <w:rFonts w:ascii="Calibri" w:hAnsi="Calibri"/>
          <w:i/>
          <w:sz w:val="20"/>
        </w:rPr>
        <w:t>At least 20 persons received legal advice from the Court</w:t>
      </w:r>
      <w:r w:rsidRPr="007E3968">
        <w:rPr>
          <w:rFonts w:ascii="Calibri" w:hAnsi="Calibri"/>
          <w:sz w:val="20"/>
        </w:rPr>
        <w:t>” (Boon report)</w:t>
      </w:r>
    </w:p>
  </w:footnote>
  <w:footnote w:id="89">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Internal note on MC</w:t>
      </w:r>
      <w:r>
        <w:rPr>
          <w:rFonts w:ascii="Calibri" w:hAnsi="Calibri"/>
        </w:rPr>
        <w:t>, 2012.</w:t>
      </w:r>
    </w:p>
  </w:footnote>
  <w:footnote w:id="90">
    <w:p w:rsidR="006E6AAA" w:rsidRPr="007E3968" w:rsidRDefault="006E6AAA" w:rsidP="006E6AAA">
      <w:pPr>
        <w:autoSpaceDE w:val="0"/>
        <w:autoSpaceDN w:val="0"/>
        <w:adjustRightInd w:val="0"/>
        <w:spacing w:line="240" w:lineRule="auto"/>
        <w:jc w:val="both"/>
        <w:rPr>
          <w:rFonts w:ascii="Calibri" w:hAnsi="Calibri" w:cs="MetaPro-Norm"/>
          <w:sz w:val="20"/>
          <w:lang w:eastAsia="it-IT"/>
        </w:rPr>
      </w:pPr>
      <w:r w:rsidRPr="007E3968">
        <w:rPr>
          <w:rStyle w:val="FootnoteReference"/>
          <w:rFonts w:ascii="Calibri" w:hAnsi="Calibri"/>
          <w:sz w:val="20"/>
        </w:rPr>
        <w:footnoteRef/>
      </w:r>
      <w:r w:rsidRPr="007E3968">
        <w:rPr>
          <w:rFonts w:ascii="Calibri" w:hAnsi="Calibri"/>
          <w:sz w:val="20"/>
        </w:rPr>
        <w:t xml:space="preserve"> </w:t>
      </w:r>
      <w:r w:rsidRPr="007E3968">
        <w:rPr>
          <w:rFonts w:ascii="Calibri" w:hAnsi="Calibri" w:cs="MetaPro-Norm"/>
          <w:sz w:val="20"/>
          <w:lang w:eastAsia="it-IT"/>
        </w:rPr>
        <w:t>Dr Shamsul Bari, UN Independent Expert concluded that “</w:t>
      </w:r>
      <w:r w:rsidRPr="007E3968">
        <w:rPr>
          <w:rFonts w:ascii="Calibri" w:hAnsi="Calibri" w:cs="MetaPro-Norm"/>
          <w:i/>
          <w:sz w:val="20"/>
          <w:lang w:eastAsia="it-IT"/>
        </w:rPr>
        <w:t>Minorities who lack the protection of the major clans are likely to be victims of the discrepancies between customary, criminal and sharia law</w:t>
      </w:r>
      <w:r w:rsidRPr="007E3968">
        <w:rPr>
          <w:rFonts w:ascii="Calibri" w:hAnsi="Calibri" w:cs="MetaPro-Norm"/>
          <w:sz w:val="20"/>
          <w:lang w:eastAsia="it-IT"/>
        </w:rPr>
        <w:t>”</w:t>
      </w:r>
      <w:r>
        <w:rPr>
          <w:rFonts w:ascii="Calibri" w:hAnsi="Calibri" w:cs="MetaPro-Norm"/>
          <w:sz w:val="20"/>
          <w:lang w:eastAsia="it-IT"/>
        </w:rPr>
        <w:t xml:space="preserve">, </w:t>
      </w:r>
      <w:r w:rsidRPr="007E3968">
        <w:rPr>
          <w:rFonts w:ascii="Calibri" w:hAnsi="Calibri" w:cs="MetaPro-Norm"/>
          <w:sz w:val="20"/>
          <w:lang w:eastAsia="it-IT"/>
        </w:rPr>
        <w:t>2010 report on the</w:t>
      </w:r>
      <w:r>
        <w:rPr>
          <w:rFonts w:ascii="Calibri" w:hAnsi="Calibri" w:cs="MetaPro-Norm"/>
          <w:sz w:val="20"/>
          <w:lang w:eastAsia="it-IT"/>
        </w:rPr>
        <w:t xml:space="preserve"> </w:t>
      </w:r>
      <w:r w:rsidRPr="007E3968">
        <w:rPr>
          <w:rFonts w:ascii="Calibri" w:hAnsi="Calibri" w:cs="MetaPro-Norm"/>
          <w:sz w:val="20"/>
          <w:lang w:eastAsia="it-IT"/>
        </w:rPr>
        <w:t>situation of human rights in Somalia</w:t>
      </w:r>
    </w:p>
  </w:footnote>
  <w:footnote w:id="91">
    <w:p w:rsidR="006E6AAA" w:rsidRPr="00A42098" w:rsidRDefault="006E6AAA" w:rsidP="006E6AAA">
      <w:pPr>
        <w:autoSpaceDE w:val="0"/>
        <w:autoSpaceDN w:val="0"/>
        <w:adjustRightInd w:val="0"/>
        <w:spacing w:line="240" w:lineRule="auto"/>
        <w:jc w:val="both"/>
        <w:rPr>
          <w:rFonts w:ascii="Calibri" w:hAnsi="Calibri" w:cs="HelveticaNeueLTCom-Bd"/>
          <w:bCs/>
          <w:sz w:val="20"/>
          <w:lang w:eastAsia="it-IT"/>
        </w:rPr>
      </w:pPr>
      <w:r w:rsidRPr="00A42098">
        <w:rPr>
          <w:rStyle w:val="FootnoteReference"/>
          <w:rFonts w:ascii="Calibri" w:hAnsi="Calibri"/>
          <w:sz w:val="20"/>
        </w:rPr>
        <w:footnoteRef/>
      </w:r>
      <w:r w:rsidRPr="00A42098">
        <w:rPr>
          <w:rFonts w:ascii="Calibri" w:hAnsi="Calibri"/>
          <w:sz w:val="20"/>
        </w:rPr>
        <w:t xml:space="preserve"> </w:t>
      </w:r>
      <w:r w:rsidRPr="00A42098">
        <w:rPr>
          <w:rFonts w:ascii="Calibri" w:hAnsi="Calibri"/>
          <w:b/>
          <w:sz w:val="20"/>
          <w:lang w:eastAsia="it-IT"/>
        </w:rPr>
        <w:t>Minority Rights Group</w:t>
      </w:r>
      <w:r w:rsidRPr="00A42098">
        <w:rPr>
          <w:rFonts w:ascii="Calibri" w:hAnsi="Calibri" w:cs="HelveticaNeueLTCom-Bd"/>
          <w:sz w:val="20"/>
          <w:lang w:eastAsia="it-IT"/>
        </w:rPr>
        <w:t xml:space="preserve"> “</w:t>
      </w:r>
      <w:r w:rsidRPr="00A42098">
        <w:rPr>
          <w:rFonts w:ascii="Calibri" w:hAnsi="Calibri" w:cs="HelveticaNeueLTCom-Bd"/>
          <w:i/>
          <w:sz w:val="20"/>
          <w:lang w:eastAsia="it-IT"/>
        </w:rPr>
        <w:t>No redress: Somalia’s forgotten minorities</w:t>
      </w:r>
      <w:r w:rsidRPr="00A42098">
        <w:rPr>
          <w:rFonts w:ascii="Calibri" w:hAnsi="Calibri" w:cs="HelveticaNeueLTCom-Bd"/>
          <w:sz w:val="20"/>
          <w:lang w:eastAsia="it-IT"/>
        </w:rPr>
        <w:t>”, Martin Hill</w:t>
      </w:r>
      <w:r w:rsidRPr="00A42098">
        <w:rPr>
          <w:rFonts w:ascii="Calibri" w:hAnsi="Calibri"/>
          <w:sz w:val="20"/>
          <w:lang w:eastAsia="it-IT"/>
        </w:rPr>
        <w:t>, 2010</w:t>
      </w:r>
    </w:p>
  </w:footnote>
  <w:footnote w:id="92">
    <w:p w:rsidR="006E6AAA" w:rsidRDefault="006E6AAA" w:rsidP="006E6AAA">
      <w:pPr>
        <w:pStyle w:val="FootnoteText"/>
        <w:jc w:val="both"/>
      </w:pPr>
      <w:r>
        <w:rPr>
          <w:rStyle w:val="FootnoteReference"/>
        </w:rPr>
        <w:footnoteRef/>
      </w:r>
      <w:r>
        <w:t xml:space="preserve"> T</w:t>
      </w:r>
      <w:r w:rsidRPr="00564C27">
        <w:t>raining Workshop</w:t>
      </w:r>
      <w:r>
        <w:t xml:space="preserve"> report “ </w:t>
      </w:r>
      <w:r w:rsidRPr="00564C27">
        <w:t>improvement of Mobile Court Services and Court Case Management system</w:t>
      </w:r>
      <w:r>
        <w:t xml:space="preserve">” </w:t>
      </w:r>
      <w:r w:rsidRPr="00564C27">
        <w:t>30th Sept. to 3rd Oct. 2012, Borama, Somaliland</w:t>
      </w:r>
    </w:p>
  </w:footnote>
  <w:footnote w:id="93">
    <w:p w:rsidR="006E6AAA" w:rsidRDefault="006E6AAA" w:rsidP="006E6AAA">
      <w:pPr>
        <w:pStyle w:val="FootnoteText"/>
        <w:jc w:val="both"/>
      </w:pPr>
      <w:r>
        <w:rPr>
          <w:rStyle w:val="FootnoteReference"/>
        </w:rPr>
        <w:footnoteRef/>
      </w:r>
      <w:r>
        <w:t xml:space="preserve"> </w:t>
      </w:r>
      <w:hyperlink r:id="rId3" w:history="1">
        <w:r w:rsidRPr="006817B2">
          <w:t>Agency for Technical Cooperation and Development</w:t>
        </w:r>
      </w:hyperlink>
      <w:r>
        <w:t>, January 2013</w:t>
      </w:r>
    </w:p>
  </w:footnote>
  <w:footnote w:id="94">
    <w:p w:rsidR="006E6AAA" w:rsidRDefault="006E6AAA" w:rsidP="006E6AAA">
      <w:pPr>
        <w:pStyle w:val="FootnoteText"/>
        <w:jc w:val="both"/>
      </w:pPr>
      <w:r>
        <w:rPr>
          <w:rStyle w:val="FootnoteReference"/>
        </w:rPr>
        <w:footnoteRef/>
      </w:r>
      <w:r>
        <w:t xml:space="preserve"> Baseline Study, </w:t>
      </w:r>
      <w:r w:rsidRPr="00766A05">
        <w:rPr>
          <w:i/>
        </w:rPr>
        <w:t xml:space="preserve">supra </w:t>
      </w:r>
      <w:r>
        <w:t>note 9</w:t>
      </w:r>
    </w:p>
  </w:footnote>
  <w:footnote w:id="95">
    <w:p w:rsidR="006E6AAA" w:rsidRPr="006C50E4" w:rsidRDefault="006E6AAA" w:rsidP="006E6AAA">
      <w:pPr>
        <w:autoSpaceDE w:val="0"/>
        <w:autoSpaceDN w:val="0"/>
        <w:adjustRightInd w:val="0"/>
        <w:spacing w:line="240" w:lineRule="auto"/>
        <w:jc w:val="both"/>
        <w:rPr>
          <w:rFonts w:ascii="Calibri" w:hAnsi="Calibri" w:cs="AGaramondPro-Regular"/>
          <w:sz w:val="20"/>
          <w:lang w:eastAsia="it-IT"/>
        </w:rPr>
      </w:pPr>
      <w:r w:rsidRPr="007E3968">
        <w:rPr>
          <w:rStyle w:val="FootnoteReference"/>
          <w:rFonts w:ascii="Calibri" w:hAnsi="Calibri"/>
          <w:sz w:val="20"/>
        </w:rPr>
        <w:footnoteRef/>
      </w:r>
      <w:r w:rsidRPr="006C50E4">
        <w:rPr>
          <w:rFonts w:ascii="Calibri" w:hAnsi="Calibri"/>
          <w:sz w:val="20"/>
        </w:rPr>
        <w:t xml:space="preserve"> </w:t>
      </w:r>
      <w:r w:rsidRPr="006C50E4">
        <w:rPr>
          <w:rFonts w:ascii="Calibri" w:hAnsi="Calibri" w:cs="Arial"/>
          <w:b/>
          <w:sz w:val="20"/>
          <w:lang w:eastAsia="it-IT"/>
        </w:rPr>
        <w:t xml:space="preserve">Bendaña and Chopra, </w:t>
      </w:r>
      <w:r w:rsidRPr="006C50E4">
        <w:rPr>
          <w:rFonts w:ascii="Calibri" w:hAnsi="Calibri" w:cs="Arial"/>
          <w:i/>
          <w:sz w:val="20"/>
          <w:lang w:eastAsia="it-IT"/>
        </w:rPr>
        <w:t>supra</w:t>
      </w:r>
      <w:r w:rsidRPr="006C50E4">
        <w:rPr>
          <w:rFonts w:ascii="Calibri" w:hAnsi="Calibri" w:cs="Arial"/>
          <w:sz w:val="20"/>
          <w:lang w:eastAsia="it-IT"/>
        </w:rPr>
        <w:t xml:space="preserve"> note 8</w:t>
      </w:r>
    </w:p>
  </w:footnote>
  <w:footnote w:id="96">
    <w:p w:rsidR="006E6AAA" w:rsidRPr="006C50E4" w:rsidRDefault="006E6AAA" w:rsidP="006E6AAA">
      <w:pPr>
        <w:pStyle w:val="CommentText"/>
        <w:jc w:val="both"/>
        <w:rPr>
          <w:rFonts w:ascii="Calibri" w:hAnsi="Calibri"/>
        </w:rPr>
      </w:pPr>
      <w:r w:rsidRPr="006C50E4">
        <w:rPr>
          <w:rStyle w:val="FootnoteReference"/>
          <w:rFonts w:ascii="Calibri" w:hAnsi="Calibri"/>
        </w:rPr>
        <w:footnoteRef/>
      </w:r>
      <w:r w:rsidRPr="006C50E4">
        <w:rPr>
          <w:rFonts w:ascii="Calibri" w:hAnsi="Calibri"/>
        </w:rPr>
        <w:t xml:space="preserve"> Currently over 60 women legal professionals are working with SWLA and SOLLA, which is a remarkable achievement, considered that they were only 5 in 2008.</w:t>
      </w:r>
    </w:p>
  </w:footnote>
  <w:footnote w:id="97">
    <w:p w:rsidR="006E6AAA" w:rsidRPr="00D221BD" w:rsidRDefault="006E6AAA" w:rsidP="006E6AAA">
      <w:pPr>
        <w:pStyle w:val="FootnoteText"/>
        <w:jc w:val="both"/>
        <w:rPr>
          <w:rFonts w:ascii="Calibri" w:hAnsi="Calibri"/>
          <w:lang w:val="en-US"/>
        </w:rPr>
      </w:pPr>
      <w:r w:rsidRPr="007E3968">
        <w:rPr>
          <w:rStyle w:val="FootnoteReference"/>
          <w:rFonts w:ascii="Calibri" w:hAnsi="Calibri"/>
        </w:rPr>
        <w:footnoteRef/>
      </w:r>
      <w:r w:rsidRPr="00D221BD">
        <w:rPr>
          <w:rFonts w:ascii="Calibri" w:hAnsi="Calibri"/>
          <w:lang w:val="en-US"/>
        </w:rPr>
        <w:t xml:space="preserve"> </w:t>
      </w:r>
      <w:r w:rsidRPr="00DD0DE7">
        <w:rPr>
          <w:rFonts w:ascii="Calibri" w:hAnsi="Calibri" w:cs="Arial"/>
          <w:b/>
          <w:lang w:val="en-US" w:eastAsia="it-IT"/>
        </w:rPr>
        <w:t>Be</w:t>
      </w:r>
      <w:r>
        <w:rPr>
          <w:rFonts w:ascii="Calibri" w:hAnsi="Calibri" w:cs="Arial"/>
          <w:b/>
          <w:lang w:val="en-US" w:eastAsia="it-IT"/>
        </w:rPr>
        <w:t xml:space="preserve">ndaña and </w:t>
      </w:r>
      <w:r w:rsidRPr="00DD0DE7">
        <w:rPr>
          <w:rFonts w:ascii="Calibri" w:hAnsi="Calibri" w:cs="Arial"/>
          <w:b/>
          <w:lang w:val="en-US" w:eastAsia="it-IT"/>
        </w:rPr>
        <w:t>Chopra</w:t>
      </w:r>
      <w:r>
        <w:rPr>
          <w:rFonts w:ascii="Calibri" w:hAnsi="Calibri" w:cs="Arial"/>
          <w:b/>
          <w:lang w:val="en-US" w:eastAsia="it-IT"/>
        </w:rPr>
        <w:t xml:space="preserve">, </w:t>
      </w:r>
      <w:r>
        <w:rPr>
          <w:rFonts w:ascii="Calibri" w:hAnsi="Calibri" w:cs="Arial"/>
          <w:lang w:val="en-US" w:eastAsia="it-IT"/>
        </w:rPr>
        <w:t>supra note 8</w:t>
      </w:r>
    </w:p>
  </w:footnote>
  <w:footnote w:id="98">
    <w:p w:rsidR="006E6AAA" w:rsidRPr="006C50E4" w:rsidRDefault="006E6AAA" w:rsidP="006E6AAA">
      <w:pPr>
        <w:jc w:val="both"/>
        <w:rPr>
          <w:rFonts w:ascii="Calibri" w:hAnsi="Calibri"/>
          <w:sz w:val="20"/>
        </w:rPr>
      </w:pPr>
      <w:r w:rsidRPr="00D221BD">
        <w:rPr>
          <w:rStyle w:val="FootnoteReference"/>
          <w:rFonts w:ascii="Calibri" w:hAnsi="Calibri"/>
          <w:sz w:val="20"/>
        </w:rPr>
        <w:footnoteRef/>
      </w:r>
      <w:r w:rsidRPr="00D221BD">
        <w:rPr>
          <w:rFonts w:ascii="Calibri" w:hAnsi="Calibri"/>
          <w:sz w:val="20"/>
        </w:rPr>
        <w:t xml:space="preserve"> “</w:t>
      </w:r>
      <w:r w:rsidRPr="00D221BD">
        <w:rPr>
          <w:rFonts w:ascii="Calibri" w:hAnsi="Calibri"/>
          <w:i/>
          <w:sz w:val="20"/>
          <w:lang w:eastAsia="it-IT"/>
        </w:rPr>
        <w:t>The mobile court in these cases would fundamentally be called upon to address issues of individual impunity for serious crimes including SGBV, and if appropriate, act as a gender mobile court with the corresponding expertise</w:t>
      </w:r>
      <w:r w:rsidRPr="00D221BD">
        <w:rPr>
          <w:rFonts w:ascii="Calibri" w:hAnsi="Calibri"/>
          <w:sz w:val="20"/>
          <w:lang w:eastAsia="it-IT"/>
        </w:rPr>
        <w:t>”.</w:t>
      </w:r>
      <w:r>
        <w:rPr>
          <w:rFonts w:ascii="Calibri" w:hAnsi="Calibri"/>
          <w:sz w:val="20"/>
          <w:lang w:eastAsia="it-IT"/>
        </w:rPr>
        <w:t xml:space="preserve"> </w:t>
      </w:r>
      <w:r w:rsidRPr="00AD110D">
        <w:rPr>
          <w:rFonts w:ascii="Calibri" w:hAnsi="Calibri"/>
          <w:sz w:val="20"/>
        </w:rPr>
        <w:t>UNDP Somalia, Governance and rule of law programme document (2012</w:t>
      </w:r>
      <w:r>
        <w:rPr>
          <w:rFonts w:ascii="Calibri" w:hAnsi="Calibri"/>
          <w:sz w:val="20"/>
        </w:rPr>
        <w:t>-2015)</w:t>
      </w:r>
    </w:p>
  </w:footnote>
  <w:footnote w:id="99">
    <w:p w:rsidR="006E6AAA" w:rsidRPr="00D221BD" w:rsidRDefault="006E6AAA" w:rsidP="006E6AAA">
      <w:pPr>
        <w:pStyle w:val="FootnoteText"/>
        <w:jc w:val="both"/>
        <w:rPr>
          <w:rFonts w:ascii="Calibri" w:hAnsi="Calibri"/>
          <w:i/>
        </w:rPr>
      </w:pPr>
      <w:r w:rsidRPr="007E3968">
        <w:rPr>
          <w:rStyle w:val="FootnoteReference"/>
          <w:rFonts w:ascii="Calibri" w:hAnsi="Calibri"/>
        </w:rPr>
        <w:footnoteRef/>
      </w:r>
      <w:r>
        <w:rPr>
          <w:rFonts w:ascii="Calibri" w:hAnsi="Calibri"/>
        </w:rPr>
        <w:t xml:space="preserve"> One of the Hargeisa based Prosecutors reported</w:t>
      </w:r>
      <w:r w:rsidRPr="007E3968">
        <w:rPr>
          <w:rFonts w:ascii="Calibri" w:hAnsi="Calibri"/>
        </w:rPr>
        <w:t xml:space="preserve"> that “</w:t>
      </w:r>
      <w:r w:rsidRPr="00D221BD">
        <w:rPr>
          <w:rFonts w:ascii="Calibri" w:hAnsi="Calibri"/>
          <w:i/>
        </w:rPr>
        <w:t xml:space="preserve">the 6 female prosecutors work mainly in Hargeisa as </w:t>
      </w:r>
      <w:r>
        <w:rPr>
          <w:rFonts w:ascii="Calibri" w:hAnsi="Calibri"/>
          <w:i/>
        </w:rPr>
        <w:t>they</w:t>
      </w:r>
      <w:r w:rsidRPr="00D221BD">
        <w:rPr>
          <w:rFonts w:ascii="Calibri" w:hAnsi="Calibri"/>
          <w:i/>
        </w:rPr>
        <w:t xml:space="preserve"> are not yet accepted in rural areas</w:t>
      </w:r>
      <w:r>
        <w:rPr>
          <w:rFonts w:ascii="Calibri" w:hAnsi="Calibri"/>
          <w:i/>
        </w:rPr>
        <w:t>”</w:t>
      </w:r>
    </w:p>
  </w:footnote>
  <w:footnote w:id="100">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67 minors</w:t>
      </w:r>
      <w:r w:rsidRPr="007E3968">
        <w:rPr>
          <w:rFonts w:ascii="Calibri" w:hAnsi="Calibri"/>
        </w:rPr>
        <w:t xml:space="preserve"> were parti</w:t>
      </w:r>
      <w:r>
        <w:rPr>
          <w:rFonts w:ascii="Calibri" w:hAnsi="Calibri"/>
        </w:rPr>
        <w:t>es</w:t>
      </w:r>
      <w:r w:rsidRPr="007E3968">
        <w:rPr>
          <w:rFonts w:ascii="Calibri" w:hAnsi="Calibri"/>
        </w:rPr>
        <w:t xml:space="preserve"> to the MC cases in 2011</w:t>
      </w:r>
    </w:p>
  </w:footnote>
  <w:footnote w:id="101">
    <w:p w:rsidR="006E6AAA" w:rsidRPr="00E03D46" w:rsidRDefault="006E6AAA" w:rsidP="006E6AAA">
      <w:pPr>
        <w:pStyle w:val="Default"/>
        <w:jc w:val="both"/>
        <w:rPr>
          <w:rFonts w:cs="Times New Roman"/>
          <w:sz w:val="20"/>
          <w:szCs w:val="20"/>
          <w:lang w:val="en-US"/>
        </w:rPr>
      </w:pPr>
      <w:r w:rsidRPr="006F14EC">
        <w:rPr>
          <w:rStyle w:val="FootnoteReference"/>
          <w:sz w:val="20"/>
          <w:szCs w:val="20"/>
        </w:rPr>
        <w:footnoteRef/>
      </w:r>
      <w:r w:rsidRPr="00E03D46">
        <w:rPr>
          <w:sz w:val="20"/>
          <w:szCs w:val="20"/>
          <w:lang w:val="en-US"/>
        </w:rPr>
        <w:t xml:space="preserve"> On this point “</w:t>
      </w:r>
      <w:r w:rsidRPr="00E03D46">
        <w:rPr>
          <w:i/>
          <w:sz w:val="20"/>
          <w:szCs w:val="20"/>
          <w:lang w:val="en-US"/>
        </w:rPr>
        <w:t>The Independent Expert conveyed his dismay to the Minister for Justice that, despite his earlier calls, both young girls and boys were still being put in jail for disobedience to their parents</w:t>
      </w:r>
      <w:r w:rsidRPr="00E03D46">
        <w:rPr>
          <w:sz w:val="20"/>
          <w:szCs w:val="20"/>
          <w:lang w:val="en-US"/>
        </w:rPr>
        <w:t>”, Report of the Independent Expert on the situation of human rights in Somalia, Shamsul Bari, 22 August 2012.</w:t>
      </w:r>
    </w:p>
  </w:footnote>
  <w:footnote w:id="102">
    <w:p w:rsidR="006E6AAA" w:rsidRPr="006F14EC" w:rsidRDefault="006E6AAA" w:rsidP="006E6AAA">
      <w:pPr>
        <w:jc w:val="both"/>
        <w:rPr>
          <w:rFonts w:ascii="Calibri" w:hAnsi="Calibri"/>
          <w:sz w:val="20"/>
        </w:rPr>
      </w:pPr>
      <w:r w:rsidRPr="006F14EC">
        <w:rPr>
          <w:rStyle w:val="FootnoteReference"/>
          <w:rFonts w:ascii="Calibri" w:hAnsi="Calibri"/>
          <w:sz w:val="20"/>
        </w:rPr>
        <w:footnoteRef/>
      </w:r>
      <w:r>
        <w:t xml:space="preserve"> </w:t>
      </w:r>
      <w:r w:rsidRPr="006F14EC">
        <w:rPr>
          <w:rFonts w:ascii="Calibri" w:hAnsi="Calibri"/>
          <w:sz w:val="20"/>
        </w:rPr>
        <w:t>Somaliland Mobile Courts: procedural guidelines for implementation</w:t>
      </w:r>
      <w:r>
        <w:rPr>
          <w:rFonts w:ascii="Calibri" w:hAnsi="Calibri"/>
          <w:sz w:val="20"/>
        </w:rPr>
        <w:t>, UNDP and Judiciary</w:t>
      </w:r>
    </w:p>
  </w:footnote>
  <w:footnote w:id="103">
    <w:p w:rsidR="006E6AAA" w:rsidRPr="007E3968" w:rsidRDefault="006E6AAA" w:rsidP="006E6AAA">
      <w:pPr>
        <w:tabs>
          <w:tab w:val="left" w:pos="540"/>
          <w:tab w:val="left" w:pos="8460"/>
        </w:tabs>
        <w:spacing w:line="280" w:lineRule="exact"/>
        <w:jc w:val="both"/>
        <w:rPr>
          <w:rFonts w:ascii="Calibri" w:hAnsi="Calibri"/>
          <w:sz w:val="20"/>
        </w:rPr>
      </w:pPr>
      <w:r w:rsidRPr="006F14EC">
        <w:rPr>
          <w:rStyle w:val="FootnoteReference"/>
          <w:rFonts w:ascii="Calibri" w:hAnsi="Calibri"/>
          <w:sz w:val="20"/>
        </w:rPr>
        <w:footnoteRef/>
      </w:r>
      <w:r w:rsidRPr="006F14EC">
        <w:rPr>
          <w:rFonts w:ascii="Calibri" w:hAnsi="Calibri"/>
          <w:sz w:val="20"/>
        </w:rPr>
        <w:t xml:space="preserve"> </w:t>
      </w:r>
      <w:r w:rsidRPr="00DD0DE7">
        <w:rPr>
          <w:rFonts w:ascii="Calibri" w:hAnsi="Calibri"/>
          <w:i/>
          <w:sz w:val="20"/>
        </w:rPr>
        <w:t>Report of the 2</w:t>
      </w:r>
      <w:r w:rsidRPr="00DD0DE7">
        <w:rPr>
          <w:rFonts w:ascii="Calibri" w:hAnsi="Calibri"/>
          <w:i/>
          <w:sz w:val="20"/>
          <w:vertAlign w:val="superscript"/>
        </w:rPr>
        <w:t>nd</w:t>
      </w:r>
      <w:r w:rsidRPr="00DD0DE7">
        <w:rPr>
          <w:rFonts w:ascii="Calibri" w:hAnsi="Calibri"/>
          <w:i/>
          <w:sz w:val="20"/>
        </w:rPr>
        <w:t xml:space="preserve"> Mobile Courts review workshop</w:t>
      </w:r>
      <w:r w:rsidRPr="00DD0DE7">
        <w:rPr>
          <w:rFonts w:ascii="Calibri" w:hAnsi="Calibri"/>
          <w:sz w:val="20"/>
        </w:rPr>
        <w:t>, 14</w:t>
      </w:r>
      <w:r w:rsidRPr="00DD0DE7">
        <w:rPr>
          <w:rFonts w:ascii="Calibri" w:hAnsi="Calibri"/>
          <w:sz w:val="20"/>
          <w:vertAlign w:val="superscript"/>
        </w:rPr>
        <w:t>th</w:t>
      </w:r>
      <w:r w:rsidRPr="00DD0DE7">
        <w:rPr>
          <w:rFonts w:ascii="Calibri" w:hAnsi="Calibri"/>
          <w:sz w:val="20"/>
        </w:rPr>
        <w:t xml:space="preserve"> to 18</w:t>
      </w:r>
      <w:r w:rsidRPr="00DD0DE7">
        <w:rPr>
          <w:rFonts w:ascii="Calibri" w:hAnsi="Calibri"/>
          <w:sz w:val="20"/>
          <w:vertAlign w:val="superscript"/>
        </w:rPr>
        <w:t>th</w:t>
      </w:r>
      <w:r w:rsidRPr="00DD0DE7">
        <w:rPr>
          <w:rFonts w:ascii="Calibri" w:hAnsi="Calibri"/>
          <w:sz w:val="20"/>
        </w:rPr>
        <w:t xml:space="preserve"> July 2012, Burao, Somaliland</w:t>
      </w:r>
    </w:p>
  </w:footnote>
  <w:footnote w:id="104">
    <w:p w:rsidR="006E6AAA" w:rsidRPr="006F14EC" w:rsidRDefault="006E6AAA" w:rsidP="006E6AAA">
      <w:pPr>
        <w:tabs>
          <w:tab w:val="left" w:pos="540"/>
          <w:tab w:val="left" w:pos="8460"/>
        </w:tabs>
        <w:jc w:val="both"/>
        <w:rPr>
          <w:rFonts w:ascii="Calibri" w:hAnsi="Calibri"/>
          <w:color w:val="FF0000"/>
          <w:sz w:val="20"/>
        </w:rPr>
      </w:pPr>
      <w:r w:rsidRPr="007E3968">
        <w:rPr>
          <w:rStyle w:val="FootnoteReference"/>
          <w:rFonts w:ascii="Calibri" w:hAnsi="Calibri"/>
          <w:sz w:val="20"/>
        </w:rPr>
        <w:footnoteRef/>
      </w:r>
      <w:r>
        <w:rPr>
          <w:rFonts w:ascii="Calibri" w:hAnsi="Calibri"/>
          <w:sz w:val="20"/>
        </w:rPr>
        <w:t xml:space="preserve"> </w:t>
      </w:r>
      <w:r w:rsidRPr="00DD0DE7">
        <w:rPr>
          <w:rFonts w:ascii="Calibri" w:hAnsi="Calibri"/>
          <w:i/>
          <w:sz w:val="20"/>
        </w:rPr>
        <w:t>2</w:t>
      </w:r>
      <w:r w:rsidRPr="00DD0DE7">
        <w:rPr>
          <w:rFonts w:ascii="Calibri" w:hAnsi="Calibri"/>
          <w:i/>
          <w:sz w:val="20"/>
          <w:vertAlign w:val="superscript"/>
        </w:rPr>
        <w:t>nd</w:t>
      </w:r>
      <w:r w:rsidRPr="00DD0DE7">
        <w:rPr>
          <w:rFonts w:ascii="Calibri" w:hAnsi="Calibri"/>
          <w:i/>
          <w:sz w:val="20"/>
        </w:rPr>
        <w:t xml:space="preserve"> Mobile Courts review workshop</w:t>
      </w:r>
      <w:r>
        <w:rPr>
          <w:rFonts w:ascii="Calibri" w:hAnsi="Calibri"/>
          <w:i/>
          <w:sz w:val="20"/>
        </w:rPr>
        <w:t xml:space="preserve">, </w:t>
      </w:r>
      <w:r>
        <w:rPr>
          <w:rFonts w:ascii="Calibri" w:hAnsi="Calibri"/>
          <w:sz w:val="20"/>
        </w:rPr>
        <w:t>supra note 15</w:t>
      </w:r>
    </w:p>
  </w:footnote>
  <w:footnote w:id="105">
    <w:p w:rsidR="006E6AAA" w:rsidRPr="006F14EC" w:rsidRDefault="006E6AAA" w:rsidP="006E6AAA">
      <w:pPr>
        <w:jc w:val="both"/>
        <w:rPr>
          <w:rFonts w:ascii="Calibri" w:hAnsi="Calibri"/>
          <w:sz w:val="20"/>
        </w:rPr>
      </w:pPr>
      <w:r w:rsidRPr="007E3968">
        <w:rPr>
          <w:rStyle w:val="FootnoteReference"/>
          <w:rFonts w:ascii="Calibri" w:hAnsi="Calibri"/>
          <w:sz w:val="20"/>
        </w:rPr>
        <w:footnoteRef/>
      </w:r>
      <w:r w:rsidRPr="007E3968">
        <w:t xml:space="preserve"> </w:t>
      </w:r>
      <w:r w:rsidRPr="006F14EC">
        <w:rPr>
          <w:rFonts w:ascii="Calibri" w:hAnsi="Calibri"/>
          <w:sz w:val="20"/>
        </w:rPr>
        <w:t>UNDP Somalia, Governance and rule of law programme document (2012-2015)</w:t>
      </w:r>
    </w:p>
  </w:footnote>
  <w:footnote w:id="106">
    <w:p w:rsidR="006E6AAA" w:rsidRPr="0064395F" w:rsidRDefault="006E6AAA" w:rsidP="006E6AAA">
      <w:pPr>
        <w:pStyle w:val="FootnoteText"/>
        <w:spacing w:line="240" w:lineRule="auto"/>
        <w:jc w:val="both"/>
        <w:rPr>
          <w:rFonts w:ascii="Calibri" w:hAnsi="Calibri"/>
          <w:sz w:val="18"/>
          <w:szCs w:val="18"/>
        </w:rPr>
      </w:pPr>
      <w:r w:rsidRPr="007E3968">
        <w:rPr>
          <w:rStyle w:val="FootnoteReference"/>
          <w:rFonts w:ascii="Calibri" w:hAnsi="Calibri"/>
        </w:rPr>
        <w:footnoteRef/>
      </w:r>
      <w:r>
        <w:rPr>
          <w:rFonts w:ascii="Calibri" w:hAnsi="Calibri"/>
        </w:rPr>
        <w:t xml:space="preserve"> </w:t>
      </w:r>
      <w:r w:rsidRPr="0064395F">
        <w:rPr>
          <w:rFonts w:ascii="Calibri" w:hAnsi="Calibri"/>
          <w:sz w:val="18"/>
          <w:szCs w:val="18"/>
        </w:rPr>
        <w:t xml:space="preserve">For a best practice in using mobile courts to address pre-trial detentions, see the </w:t>
      </w:r>
      <w:r w:rsidRPr="0064395F">
        <w:rPr>
          <w:rFonts w:ascii="Calibri" w:hAnsi="Calibri"/>
          <w:b/>
          <w:sz w:val="18"/>
          <w:szCs w:val="18"/>
        </w:rPr>
        <w:t>“court camps in prison” experience in Malawi</w:t>
      </w:r>
      <w:r w:rsidRPr="0064395F">
        <w:rPr>
          <w:rFonts w:ascii="Calibri" w:hAnsi="Calibri"/>
          <w:sz w:val="18"/>
          <w:szCs w:val="18"/>
        </w:rPr>
        <w:t xml:space="preserve"> implemented by PASI: “</w:t>
      </w:r>
      <w:r w:rsidRPr="0064395F">
        <w:rPr>
          <w:rFonts w:ascii="Calibri" w:hAnsi="Calibri"/>
          <w:i/>
          <w:sz w:val="18"/>
          <w:szCs w:val="18"/>
        </w:rPr>
        <w:t>The Paralegals draw up lists of those on remand that have overstayed, are held unlawfully or have been granted bail but cannot afford the terms set by the court. They discuss the lists in advance with the prosecuting authorities. Magistrates attend court with the court clerk, police prosecutor and work through the list: they grant bail to some, reduce the amount set by an earlier court by way of bond or surety for bail and dismiss cases where the accused has overstayed, or set a date when the accused must appear for trial. The camp court is not a trial court, since the public cannot attend and witnesses are not produced</w:t>
      </w:r>
      <w:r w:rsidRPr="0064395F">
        <w:rPr>
          <w:rFonts w:ascii="Calibri" w:hAnsi="Calibri"/>
          <w:sz w:val="18"/>
          <w:szCs w:val="18"/>
        </w:rPr>
        <w:t>.” Open society Justice Initiative, “Improving pre-trial justice in Malawi”.</w:t>
      </w:r>
    </w:p>
  </w:footnote>
  <w:footnote w:id="107">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w:t>
      </w:r>
      <w:r w:rsidRPr="00DD0DE7">
        <w:rPr>
          <w:rFonts w:ascii="Calibri" w:hAnsi="Calibri"/>
          <w:i/>
        </w:rPr>
        <w:t>2</w:t>
      </w:r>
      <w:r w:rsidRPr="00DD0DE7">
        <w:rPr>
          <w:rFonts w:ascii="Calibri" w:hAnsi="Calibri"/>
          <w:i/>
          <w:vertAlign w:val="superscript"/>
        </w:rPr>
        <w:t>nd</w:t>
      </w:r>
      <w:r w:rsidRPr="00DD0DE7">
        <w:rPr>
          <w:rFonts w:ascii="Calibri" w:hAnsi="Calibri"/>
          <w:i/>
        </w:rPr>
        <w:t xml:space="preserve"> Mobile Courts review workshop</w:t>
      </w:r>
      <w:r>
        <w:rPr>
          <w:rFonts w:ascii="Calibri" w:hAnsi="Calibri"/>
          <w:i/>
        </w:rPr>
        <w:t xml:space="preserve">, </w:t>
      </w:r>
      <w:r w:rsidRPr="006C50E4">
        <w:rPr>
          <w:rFonts w:ascii="Calibri" w:hAnsi="Calibri"/>
          <w:i/>
        </w:rPr>
        <w:t>supra</w:t>
      </w:r>
      <w:r>
        <w:rPr>
          <w:rFonts w:ascii="Calibri" w:hAnsi="Calibri"/>
        </w:rPr>
        <w:t xml:space="preserve"> note 15</w:t>
      </w:r>
    </w:p>
  </w:footnote>
  <w:footnote w:id="108">
    <w:p w:rsidR="006E6AAA" w:rsidRPr="00A87984" w:rsidRDefault="006E6AAA" w:rsidP="006E6AAA">
      <w:pPr>
        <w:pStyle w:val="Default"/>
        <w:spacing w:line="280" w:lineRule="exact"/>
        <w:jc w:val="both"/>
        <w:rPr>
          <w:rFonts w:cs="Corbel"/>
          <w:i/>
          <w:sz w:val="20"/>
          <w:szCs w:val="20"/>
          <w:lang w:val="en-US"/>
        </w:rPr>
      </w:pPr>
      <w:r w:rsidRPr="007E3968">
        <w:rPr>
          <w:rStyle w:val="FootnoteReference"/>
          <w:sz w:val="20"/>
          <w:szCs w:val="20"/>
        </w:rPr>
        <w:footnoteRef/>
      </w:r>
      <w:r w:rsidRPr="00A87984">
        <w:rPr>
          <w:lang w:val="en-US"/>
        </w:rPr>
        <w:t xml:space="preserve"> </w:t>
      </w:r>
      <w:r w:rsidRPr="00A87984">
        <w:rPr>
          <w:sz w:val="20"/>
          <w:szCs w:val="20"/>
          <w:lang w:val="en-US"/>
        </w:rPr>
        <w:t>In line with this approach, the current ROL project recommends “</w:t>
      </w:r>
      <w:r w:rsidRPr="00A87984">
        <w:rPr>
          <w:i/>
          <w:sz w:val="20"/>
          <w:szCs w:val="20"/>
          <w:lang w:val="en-US"/>
        </w:rPr>
        <w:t>instituting a more proactive and regular circuit for district courts to reach villages</w:t>
      </w:r>
      <w:r w:rsidRPr="00A87984">
        <w:rPr>
          <w:sz w:val="20"/>
          <w:szCs w:val="20"/>
          <w:lang w:val="en-US"/>
        </w:rPr>
        <w:t>” and that “</w:t>
      </w:r>
      <w:r w:rsidRPr="00A87984">
        <w:rPr>
          <w:i/>
          <w:sz w:val="20"/>
          <w:szCs w:val="20"/>
          <w:lang w:val="en-US"/>
        </w:rPr>
        <w:t>The programme will also expand support to focus on district courts rather than regional and appeals courts</w:t>
      </w:r>
      <w:r w:rsidRPr="00A87984">
        <w:rPr>
          <w:sz w:val="20"/>
          <w:szCs w:val="20"/>
          <w:lang w:val="en-US"/>
        </w:rPr>
        <w:t>”</w:t>
      </w:r>
    </w:p>
  </w:footnote>
  <w:footnote w:id="109">
    <w:p w:rsidR="006E6AAA" w:rsidRPr="0064395F" w:rsidRDefault="006E6AAA" w:rsidP="006E6AAA">
      <w:pPr>
        <w:pStyle w:val="CommentText"/>
        <w:jc w:val="both"/>
      </w:pPr>
      <w:r w:rsidRPr="0064395F">
        <w:rPr>
          <w:rStyle w:val="FootnoteReference"/>
        </w:rPr>
        <w:footnoteRef/>
      </w:r>
      <w:r w:rsidRPr="0064395F">
        <w:t xml:space="preserve"> Sool is the only Region where UNDP is currently not supporting MC; the main reason being that the unstable security situation does not allow UNDP staff to visit the area to monitor the activities.</w:t>
      </w:r>
    </w:p>
    <w:p w:rsidR="006E6AAA" w:rsidRPr="00076049" w:rsidRDefault="006E6AAA" w:rsidP="006E6AAA">
      <w:pPr>
        <w:pStyle w:val="FootnoteText"/>
        <w:jc w:val="both"/>
        <w:rPr>
          <w:color w:val="FF0000"/>
        </w:rPr>
      </w:pPr>
    </w:p>
  </w:footnote>
  <w:footnote w:id="110">
    <w:p w:rsidR="006E6AAA" w:rsidRPr="00A87984" w:rsidRDefault="006E6AAA" w:rsidP="006E6AAA">
      <w:pPr>
        <w:pStyle w:val="FootnoteText"/>
        <w:jc w:val="both"/>
        <w:rPr>
          <w:rFonts w:ascii="Calibri" w:hAnsi="Calibri"/>
        </w:rPr>
      </w:pPr>
      <w:r w:rsidRPr="00A87984">
        <w:rPr>
          <w:rStyle w:val="FootnoteReference"/>
          <w:rFonts w:ascii="Calibri" w:hAnsi="Calibri"/>
        </w:rPr>
        <w:footnoteRef/>
      </w:r>
      <w:r w:rsidRPr="00A87984">
        <w:rPr>
          <w:rFonts w:ascii="Calibri" w:hAnsi="Calibri"/>
        </w:rPr>
        <w:t xml:space="preserve"> This was also one of the recommendations presented at one of the MC workshops “</w:t>
      </w:r>
      <w:r w:rsidRPr="00A87984">
        <w:rPr>
          <w:rFonts w:ascii="Calibri" w:hAnsi="Calibri" w:cs="Tahoma"/>
          <w:i/>
        </w:rPr>
        <w:t>The Reports should have a column indicating if a lawyer was present or not so we can raise with lawyer associations if they fail to abide by the terms and conditions of the MCG</w:t>
      </w:r>
      <w:r>
        <w:rPr>
          <w:rFonts w:ascii="Calibri" w:hAnsi="Calibri" w:cs="Tahoma"/>
        </w:rPr>
        <w:t xml:space="preserve">”, in </w:t>
      </w:r>
      <w:r w:rsidRPr="00DD0DE7">
        <w:rPr>
          <w:rFonts w:ascii="Calibri" w:hAnsi="Calibri"/>
          <w:i/>
        </w:rPr>
        <w:t>Report: training Workshop on the improvement of Mobile Court Services and Court Case Management system</w:t>
      </w:r>
      <w:r w:rsidRPr="00DD0DE7">
        <w:rPr>
          <w:rFonts w:ascii="Calibri" w:hAnsi="Calibri"/>
        </w:rPr>
        <w:t xml:space="preserve"> 30th Sept. to 3rd Oct. 2012, Borama, Somaliland</w:t>
      </w:r>
    </w:p>
  </w:footnote>
  <w:footnote w:id="111">
    <w:p w:rsidR="006E6AAA" w:rsidRPr="007E3968" w:rsidRDefault="006E6AAA" w:rsidP="006E6AAA">
      <w:pPr>
        <w:jc w:val="both"/>
        <w:rPr>
          <w:rFonts w:ascii="Calibri" w:hAnsi="Calibri"/>
          <w:sz w:val="20"/>
        </w:rPr>
      </w:pPr>
      <w:r w:rsidRPr="00A87984">
        <w:rPr>
          <w:rStyle w:val="FootnoteReference"/>
          <w:rFonts w:ascii="Calibri" w:hAnsi="Calibri"/>
          <w:sz w:val="20"/>
        </w:rPr>
        <w:footnoteRef/>
      </w:r>
      <w:r w:rsidRPr="00A87984">
        <w:rPr>
          <w:rFonts w:ascii="Calibri" w:hAnsi="Calibri"/>
          <w:sz w:val="20"/>
        </w:rPr>
        <w:t xml:space="preserve"> Further information on this methodology is available on : </w:t>
      </w:r>
      <w:hyperlink r:id="rId4" w:tgtFrame="_blank" w:history="1">
        <w:r w:rsidRPr="00A87984">
          <w:rPr>
            <w:rStyle w:val="Hyperlink"/>
            <w:sz w:val="20"/>
          </w:rPr>
          <w:t>http://www.kobotoolbox.org/about/take-tour</w:t>
        </w:r>
      </w:hyperlink>
      <w:r w:rsidRPr="00A87984">
        <w:rPr>
          <w:rFonts w:ascii="Calibri" w:hAnsi="Calibri"/>
          <w:sz w:val="20"/>
        </w:rPr>
        <w:t>. Methodologies that use mobile phones are a</w:t>
      </w:r>
      <w:r w:rsidRPr="007E3968">
        <w:rPr>
          <w:rFonts w:ascii="Calibri" w:hAnsi="Calibri"/>
          <w:sz w:val="20"/>
        </w:rPr>
        <w:t>lso available (e.g Frontline SMS or Texttochange)</w:t>
      </w:r>
    </w:p>
  </w:footnote>
  <w:footnote w:id="112">
    <w:p w:rsidR="006E6AAA" w:rsidRPr="00FE7119" w:rsidRDefault="006E6AAA" w:rsidP="006E6AAA">
      <w:pPr>
        <w:autoSpaceDE w:val="0"/>
        <w:autoSpaceDN w:val="0"/>
        <w:adjustRightInd w:val="0"/>
        <w:spacing w:line="240" w:lineRule="auto"/>
        <w:jc w:val="both"/>
        <w:rPr>
          <w:rFonts w:ascii="Calibri" w:hAnsi="Calibri"/>
          <w:sz w:val="20"/>
          <w:lang w:val="fr-FR"/>
        </w:rPr>
      </w:pPr>
      <w:r w:rsidRPr="007E3968">
        <w:rPr>
          <w:rStyle w:val="FootnoteReference"/>
          <w:rFonts w:ascii="Calibri" w:hAnsi="Calibri"/>
          <w:sz w:val="20"/>
        </w:rPr>
        <w:footnoteRef/>
      </w:r>
      <w:r w:rsidRPr="007E3968">
        <w:rPr>
          <w:rFonts w:ascii="Calibri" w:hAnsi="Calibri"/>
          <w:sz w:val="20"/>
          <w:lang w:val="fr-FR"/>
        </w:rPr>
        <w:t xml:space="preserve"> </w:t>
      </w:r>
      <w:r w:rsidRPr="00FE7119">
        <w:rPr>
          <w:rFonts w:ascii="Calibri" w:hAnsi="Calibri"/>
          <w:b/>
          <w:sz w:val="20"/>
          <w:lang w:val="fr-FR"/>
        </w:rPr>
        <w:t>Avocats sans Frontières</w:t>
      </w:r>
      <w:r w:rsidRPr="00FE7119">
        <w:rPr>
          <w:rFonts w:ascii="Calibri" w:hAnsi="Calibri"/>
          <w:sz w:val="20"/>
          <w:lang w:val="fr-FR"/>
        </w:rPr>
        <w:t>, « </w:t>
      </w:r>
      <w:r w:rsidRPr="00FE7119">
        <w:rPr>
          <w:rFonts w:ascii="Calibri" w:hAnsi="Calibri"/>
          <w:i/>
          <w:sz w:val="20"/>
          <w:lang w:val="fr-FR"/>
        </w:rPr>
        <w:t>Une justice équitable en RDC : Les audiences foraines une expérience pilote réussie</w:t>
      </w:r>
      <w:r w:rsidRPr="00FE7119">
        <w:rPr>
          <w:rFonts w:ascii="Calibri" w:hAnsi="Calibri"/>
          <w:sz w:val="20"/>
          <w:lang w:val="fr-FR"/>
        </w:rPr>
        <w:t> », 200</w:t>
      </w:r>
      <w:r>
        <w:rPr>
          <w:rFonts w:ascii="Calibri" w:hAnsi="Calibri"/>
          <w:sz w:val="20"/>
          <w:lang w:val="fr-FR"/>
        </w:rPr>
        <w:t xml:space="preserve">6. </w:t>
      </w:r>
      <w:r w:rsidRPr="007E3968">
        <w:rPr>
          <w:rFonts w:ascii="Calibri" w:hAnsi="Calibri"/>
          <w:sz w:val="20"/>
          <w:lang w:val="fr-FR"/>
        </w:rPr>
        <w:t>See</w:t>
      </w:r>
      <w:r>
        <w:rPr>
          <w:rFonts w:ascii="Calibri" w:hAnsi="Calibri"/>
          <w:sz w:val="20"/>
          <w:lang w:val="fr-FR"/>
        </w:rPr>
        <w:t xml:space="preserve"> also </w:t>
      </w:r>
      <w:r w:rsidRPr="007E3968">
        <w:rPr>
          <w:rFonts w:ascii="Calibri" w:hAnsi="Calibri"/>
          <w:sz w:val="20"/>
          <w:lang w:val="fr-FR"/>
        </w:rPr>
        <w:t xml:space="preserve">: </w:t>
      </w:r>
      <w:r w:rsidRPr="007E3968">
        <w:rPr>
          <w:rFonts w:ascii="Calibri" w:hAnsi="Calibri"/>
          <w:b/>
          <w:sz w:val="20"/>
          <w:lang w:val="fr-FR"/>
        </w:rPr>
        <w:t>Global Rights</w:t>
      </w:r>
      <w:r w:rsidRPr="007E3968">
        <w:rPr>
          <w:rFonts w:ascii="Calibri" w:hAnsi="Calibri"/>
          <w:sz w:val="20"/>
          <w:lang w:val="fr-FR"/>
        </w:rPr>
        <w:t>,</w:t>
      </w:r>
      <w:r w:rsidRPr="007E3968">
        <w:rPr>
          <w:rFonts w:ascii="Calibri" w:hAnsi="Calibri" w:cs="Frutiger-Bold"/>
          <w:bCs/>
          <w:sz w:val="20"/>
          <w:lang w:val="fr-FR"/>
        </w:rPr>
        <w:t xml:space="preserve"> « </w:t>
      </w:r>
      <w:r w:rsidRPr="00FE7119">
        <w:rPr>
          <w:rFonts w:ascii="Calibri" w:hAnsi="Calibri" w:cs="Frutiger-Bold"/>
          <w:bCs/>
          <w:i/>
          <w:sz w:val="20"/>
          <w:lang w:val="fr-FR"/>
        </w:rPr>
        <w:t>Le Monitoring</w:t>
      </w:r>
      <w:r w:rsidRPr="00FE7119">
        <w:rPr>
          <w:rFonts w:ascii="Calibri" w:hAnsi="Calibri"/>
          <w:i/>
          <w:sz w:val="20"/>
          <w:lang w:val="fr-FR"/>
        </w:rPr>
        <w:t xml:space="preserve"> du Système Judiciaire Un manuel pratique à l’usage des moniteurs de la société civile congolaise</w:t>
      </w:r>
      <w:r w:rsidRPr="007E3968">
        <w:rPr>
          <w:rFonts w:ascii="Calibri" w:hAnsi="Calibri"/>
          <w:sz w:val="20"/>
          <w:lang w:val="fr-FR"/>
        </w:rPr>
        <w:t> », 2008</w:t>
      </w:r>
    </w:p>
  </w:footnote>
  <w:footnote w:id="113">
    <w:p w:rsidR="006E6AAA" w:rsidRPr="007E3968" w:rsidRDefault="006E6AAA" w:rsidP="006E6AAA">
      <w:pPr>
        <w:autoSpaceDE w:val="0"/>
        <w:autoSpaceDN w:val="0"/>
        <w:adjustRightInd w:val="0"/>
        <w:spacing w:line="240" w:lineRule="auto"/>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See</w:t>
      </w:r>
      <w:r>
        <w:rPr>
          <w:rFonts w:ascii="Calibri" w:hAnsi="Calibri"/>
          <w:sz w:val="20"/>
        </w:rPr>
        <w:t xml:space="preserve"> the report by </w:t>
      </w:r>
      <w:r w:rsidRPr="007E3968">
        <w:rPr>
          <w:rFonts w:ascii="Calibri" w:hAnsi="Calibri"/>
          <w:sz w:val="20"/>
        </w:rPr>
        <w:t>Geneva International Centre for Humanitarian Demining in “</w:t>
      </w:r>
      <w:r w:rsidRPr="007E3968">
        <w:rPr>
          <w:rFonts w:ascii="Calibri" w:hAnsi="Calibri"/>
          <w:i/>
          <w:sz w:val="20"/>
        </w:rPr>
        <w:t>Danish Demining Group Community Safety Programme. Somaliland case study</w:t>
      </w:r>
      <w:r w:rsidRPr="007E3968">
        <w:rPr>
          <w:rFonts w:ascii="Calibri" w:hAnsi="Calibri"/>
          <w:sz w:val="20"/>
        </w:rPr>
        <w:t>”, September 2012</w:t>
      </w:r>
    </w:p>
  </w:footnote>
  <w:footnote w:id="114">
    <w:p w:rsidR="006E6AAA" w:rsidRPr="00FE7119" w:rsidRDefault="006E6AAA" w:rsidP="006E6AAA">
      <w:pPr>
        <w:autoSpaceDE w:val="0"/>
        <w:autoSpaceDN w:val="0"/>
        <w:adjustRightInd w:val="0"/>
        <w:spacing w:line="240" w:lineRule="auto"/>
        <w:jc w:val="both"/>
        <w:rPr>
          <w:rFonts w:ascii="Calibri" w:hAnsi="Calibri"/>
          <w:sz w:val="20"/>
        </w:rPr>
      </w:pPr>
      <w:r w:rsidRPr="007E3968">
        <w:rPr>
          <w:rStyle w:val="FootnoteReference"/>
          <w:rFonts w:ascii="Calibri" w:hAnsi="Calibri"/>
          <w:sz w:val="20"/>
        </w:rPr>
        <w:footnoteRef/>
      </w:r>
      <w:r>
        <w:t xml:space="preserve"> </w:t>
      </w:r>
      <w:r w:rsidRPr="00FE7119">
        <w:rPr>
          <w:rFonts w:ascii="Calibri" w:hAnsi="Calibri"/>
          <w:sz w:val="20"/>
        </w:rPr>
        <w:t>MC monitoring report in Gabiley, Somaliland</w:t>
      </w:r>
    </w:p>
  </w:footnote>
  <w:footnote w:id="115">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HRW reports that “</w:t>
      </w:r>
      <w:r w:rsidRPr="007E3968">
        <w:rPr>
          <w:rFonts w:ascii="Calibri" w:hAnsi="Calibri"/>
          <w:i/>
        </w:rPr>
        <w:t>members of displaced communities in Mogadishu faced serious human rights abuses including rape, beatings, ethnic discrimination, restricted access to food and shelter, restrictions on movement, and reprisals when they dared to protest their mistreatment. The most serious abuses were committed by various militias and security forces, often affiliated with the government, operating within or near camps and settlements for the displaced. Frequently these militias were linked or controlled by managers, or “gatekeepers” as they are known, of the IDP camp</w:t>
      </w:r>
      <w:r w:rsidRPr="007E3968">
        <w:rPr>
          <w:rFonts w:ascii="Calibri" w:hAnsi="Calibri"/>
        </w:rPr>
        <w:t>”.</w:t>
      </w:r>
      <w:r>
        <w:rPr>
          <w:rFonts w:ascii="Calibri" w:hAnsi="Calibri"/>
        </w:rPr>
        <w:t xml:space="preserve"> </w:t>
      </w:r>
      <w:r w:rsidRPr="00FE7119">
        <w:rPr>
          <w:rFonts w:ascii="Calibri" w:hAnsi="Calibri"/>
          <w:b/>
        </w:rPr>
        <w:t>Human Rights Watch</w:t>
      </w:r>
      <w:r w:rsidRPr="007E3968">
        <w:rPr>
          <w:rFonts w:ascii="Calibri" w:hAnsi="Calibri"/>
        </w:rPr>
        <w:t>, in “</w:t>
      </w:r>
      <w:r w:rsidRPr="007E3968">
        <w:rPr>
          <w:rFonts w:ascii="Calibri" w:hAnsi="Calibri"/>
          <w:i/>
        </w:rPr>
        <w:t>Hostages of the gatekeepers. Abuses against Internally Displaced in Mogadishu, Somalia</w:t>
      </w:r>
      <w:r w:rsidRPr="007E3968">
        <w:rPr>
          <w:rFonts w:ascii="Calibri" w:hAnsi="Calibri"/>
        </w:rPr>
        <w:t>”, 2013</w:t>
      </w:r>
    </w:p>
  </w:footnote>
  <w:footnote w:id="116">
    <w:p w:rsidR="006E6AAA" w:rsidRPr="00FE7119" w:rsidRDefault="006E6AAA" w:rsidP="006E6AAA">
      <w:pPr>
        <w:jc w:val="both"/>
        <w:rPr>
          <w:rFonts w:ascii="Calibri" w:hAnsi="Calibri"/>
          <w:sz w:val="20"/>
        </w:rPr>
      </w:pPr>
      <w:r w:rsidRPr="007E3968">
        <w:rPr>
          <w:rStyle w:val="FootnoteReference"/>
          <w:rFonts w:ascii="Calibri" w:hAnsi="Calibri"/>
          <w:sz w:val="20"/>
        </w:rPr>
        <w:footnoteRef/>
      </w:r>
      <w:r>
        <w:t xml:space="preserve"> </w:t>
      </w:r>
      <w:r w:rsidRPr="00FE7119">
        <w:rPr>
          <w:rFonts w:ascii="Calibri" w:hAnsi="Calibri"/>
          <w:sz w:val="20"/>
        </w:rPr>
        <w:t>Somaliland Judicial reform work plan (2011-2015)</w:t>
      </w:r>
    </w:p>
  </w:footnote>
  <w:footnote w:id="117">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The percentage raises to 55% if the 71 MC organised by the Supreme Courts are included.</w:t>
      </w:r>
    </w:p>
  </w:footnote>
  <w:footnote w:id="118">
    <w:p w:rsidR="006E6AAA" w:rsidRPr="006C50E4" w:rsidRDefault="006E6AAA" w:rsidP="006E6AAA">
      <w:pPr>
        <w:jc w:val="both"/>
        <w:rPr>
          <w:rFonts w:ascii="Calibri" w:hAnsi="Calibri" w:cs="Arial"/>
          <w:sz w:val="20"/>
        </w:rPr>
      </w:pPr>
      <w:r w:rsidRPr="007E3968">
        <w:rPr>
          <w:rStyle w:val="FootnoteReference"/>
          <w:rFonts w:ascii="Calibri" w:hAnsi="Calibri"/>
          <w:sz w:val="20"/>
        </w:rPr>
        <w:footnoteRef/>
      </w:r>
      <w:r w:rsidRPr="007E3968">
        <w:rPr>
          <w:rFonts w:ascii="Calibri" w:hAnsi="Calibri"/>
          <w:sz w:val="20"/>
        </w:rPr>
        <w:t xml:space="preserve"> “</w:t>
      </w:r>
      <w:r w:rsidRPr="007E3968">
        <w:rPr>
          <w:rFonts w:ascii="Calibri" w:hAnsi="Calibri" w:cs="Arial"/>
          <w:sz w:val="20"/>
        </w:rPr>
        <w:t>Hussein Mohamed Farah</w:t>
      </w:r>
      <w:r>
        <w:rPr>
          <w:rFonts w:ascii="Calibri" w:hAnsi="Calibri"/>
          <w:sz w:val="20"/>
        </w:rPr>
        <w:t xml:space="preserve">, </w:t>
      </w:r>
      <w:r w:rsidRPr="006C50E4">
        <w:rPr>
          <w:rFonts w:ascii="Calibri" w:hAnsi="Calibri"/>
          <w:i/>
          <w:sz w:val="20"/>
        </w:rPr>
        <w:t>supra</w:t>
      </w:r>
      <w:r>
        <w:rPr>
          <w:rFonts w:ascii="Calibri" w:hAnsi="Calibri"/>
          <w:sz w:val="20"/>
        </w:rPr>
        <w:t xml:space="preserve"> note </w:t>
      </w:r>
      <w:r w:rsidRPr="006C50E4">
        <w:rPr>
          <w:rFonts w:ascii="Calibri" w:hAnsi="Calibri"/>
          <w:sz w:val="20"/>
        </w:rPr>
        <w:t>6</w:t>
      </w:r>
    </w:p>
  </w:footnote>
  <w:footnote w:id="119">
    <w:p w:rsidR="006E6AAA" w:rsidRPr="00FE7119" w:rsidRDefault="006E6AAA" w:rsidP="006E6AAA">
      <w:pPr>
        <w:spacing w:line="240" w:lineRule="auto"/>
        <w:jc w:val="both"/>
        <w:rPr>
          <w:rFonts w:ascii="Calibri" w:hAnsi="Calibri" w:cs="Arial"/>
          <w:sz w:val="20"/>
          <w:lang w:eastAsia="it-IT"/>
        </w:rPr>
      </w:pPr>
      <w:r w:rsidRPr="00FE7119">
        <w:rPr>
          <w:rStyle w:val="FootnoteReference"/>
          <w:rFonts w:ascii="Calibri" w:hAnsi="Calibri"/>
          <w:sz w:val="20"/>
        </w:rPr>
        <w:footnoteRef/>
      </w:r>
      <w:r w:rsidRPr="00FE7119">
        <w:rPr>
          <w:rFonts w:ascii="Calibri" w:hAnsi="Calibri"/>
          <w:sz w:val="20"/>
        </w:rPr>
        <w:t xml:space="preserve">  </w:t>
      </w:r>
      <w:r w:rsidRPr="00FE7119">
        <w:rPr>
          <w:rFonts w:ascii="Calibri" w:hAnsi="Calibri"/>
          <w:b/>
          <w:sz w:val="20"/>
          <w:lang w:eastAsia="it-IT"/>
        </w:rPr>
        <w:t>Academy for Peace and Development</w:t>
      </w:r>
      <w:r w:rsidRPr="00FE7119">
        <w:rPr>
          <w:rFonts w:ascii="Calibri" w:hAnsi="Calibri"/>
          <w:sz w:val="20"/>
          <w:lang w:eastAsia="it-IT"/>
        </w:rPr>
        <w:t xml:space="preserve"> “</w:t>
      </w:r>
      <w:r w:rsidRPr="00FE7119">
        <w:rPr>
          <w:rFonts w:ascii="Calibri" w:hAnsi="Calibri"/>
          <w:i/>
          <w:sz w:val="20"/>
          <w:lang w:eastAsia="it-IT"/>
        </w:rPr>
        <w:t>The Judicial System in Somaliland</w:t>
      </w:r>
      <w:r w:rsidRPr="00FE7119">
        <w:rPr>
          <w:rFonts w:ascii="Calibri" w:hAnsi="Calibri"/>
          <w:sz w:val="20"/>
          <w:lang w:eastAsia="it-IT"/>
        </w:rPr>
        <w:t>” Akaademiga Nabadda Horumarka 2002</w:t>
      </w:r>
    </w:p>
  </w:footnote>
  <w:footnote w:id="120">
    <w:p w:rsidR="006E6AAA" w:rsidRPr="007E3968" w:rsidRDefault="006E6AAA" w:rsidP="006E6AAA">
      <w:pPr>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Article 7 of the Criminal Procedure Code, requires Courts to appoint a defence counsel for persons accused of a crime punishable with a prison sentence exceeding 10 years.</w:t>
      </w:r>
    </w:p>
  </w:footnote>
  <w:footnote w:id="121">
    <w:p w:rsidR="006E6AAA" w:rsidRPr="00AB10E7" w:rsidRDefault="006E6AAA" w:rsidP="006E6AAA">
      <w:pPr>
        <w:autoSpaceDE w:val="0"/>
        <w:autoSpaceDN w:val="0"/>
        <w:adjustRightInd w:val="0"/>
        <w:spacing w:line="240" w:lineRule="auto"/>
        <w:jc w:val="both"/>
        <w:rPr>
          <w:rFonts w:ascii="Calibri" w:hAnsi="Calibri"/>
          <w:sz w:val="20"/>
        </w:rPr>
      </w:pPr>
      <w:r w:rsidRPr="007E3968">
        <w:rPr>
          <w:rStyle w:val="FootnoteReference"/>
          <w:rFonts w:ascii="Calibri" w:hAnsi="Calibri"/>
          <w:sz w:val="20"/>
        </w:rPr>
        <w:footnoteRef/>
      </w:r>
      <w:r>
        <w:t xml:space="preserve"> </w:t>
      </w:r>
      <w:r w:rsidRPr="00AB10E7">
        <w:rPr>
          <w:rFonts w:ascii="Calibri" w:hAnsi="Calibri"/>
          <w:sz w:val="20"/>
        </w:rPr>
        <w:t>MC monitoring report in Gabiley, Somaliland</w:t>
      </w:r>
    </w:p>
  </w:footnote>
  <w:footnote w:id="122">
    <w:p w:rsidR="006E6AAA" w:rsidRPr="006C50E4" w:rsidRDefault="006E6AAA" w:rsidP="006E6AAA">
      <w:pPr>
        <w:tabs>
          <w:tab w:val="left" w:pos="540"/>
          <w:tab w:val="left" w:pos="8460"/>
        </w:tabs>
        <w:spacing w:line="280" w:lineRule="exact"/>
        <w:jc w:val="both"/>
        <w:rPr>
          <w:rFonts w:ascii="Calibri" w:hAnsi="Calibri"/>
          <w:sz w:val="20"/>
        </w:rPr>
      </w:pPr>
      <w:r w:rsidRPr="007E3968">
        <w:rPr>
          <w:rStyle w:val="FootnoteReference"/>
          <w:rFonts w:ascii="Calibri" w:hAnsi="Calibri"/>
        </w:rPr>
        <w:footnoteRef/>
      </w:r>
      <w:r w:rsidRPr="007E3968">
        <w:t xml:space="preserve"> </w:t>
      </w:r>
      <w:r w:rsidRPr="006C50E4">
        <w:rPr>
          <w:rFonts w:ascii="Calibri" w:hAnsi="Calibri"/>
          <w:i/>
          <w:sz w:val="20"/>
        </w:rPr>
        <w:t>Report of the 1</w:t>
      </w:r>
      <w:r w:rsidRPr="006C50E4">
        <w:rPr>
          <w:rFonts w:ascii="Calibri" w:hAnsi="Calibri"/>
          <w:i/>
          <w:sz w:val="20"/>
          <w:vertAlign w:val="superscript"/>
        </w:rPr>
        <w:t>st</w:t>
      </w:r>
      <w:r w:rsidRPr="006C50E4">
        <w:rPr>
          <w:rFonts w:ascii="Calibri" w:hAnsi="Calibri"/>
          <w:i/>
          <w:sz w:val="20"/>
        </w:rPr>
        <w:t xml:space="preserve"> Mobile Courts review workshop</w:t>
      </w:r>
      <w:r w:rsidRPr="006C50E4">
        <w:rPr>
          <w:rFonts w:ascii="Calibri" w:hAnsi="Calibri"/>
          <w:sz w:val="20"/>
        </w:rPr>
        <w:t>, 10</w:t>
      </w:r>
      <w:r w:rsidRPr="006C50E4">
        <w:rPr>
          <w:rFonts w:ascii="Calibri" w:hAnsi="Calibri"/>
          <w:sz w:val="20"/>
          <w:vertAlign w:val="superscript"/>
        </w:rPr>
        <w:t>th</w:t>
      </w:r>
      <w:r w:rsidRPr="006C50E4">
        <w:rPr>
          <w:rFonts w:ascii="Calibri" w:hAnsi="Calibri"/>
          <w:sz w:val="20"/>
        </w:rPr>
        <w:t xml:space="preserve"> to 14</w:t>
      </w:r>
      <w:r w:rsidRPr="006C50E4">
        <w:rPr>
          <w:rFonts w:ascii="Calibri" w:hAnsi="Calibri"/>
          <w:sz w:val="20"/>
          <w:vertAlign w:val="superscript"/>
        </w:rPr>
        <w:t>th</w:t>
      </w:r>
      <w:r w:rsidRPr="006C50E4">
        <w:rPr>
          <w:rFonts w:ascii="Calibri" w:hAnsi="Calibri"/>
          <w:sz w:val="20"/>
        </w:rPr>
        <w:t xml:space="preserve"> September 2011, Hargeisa, Somaliland </w:t>
      </w:r>
    </w:p>
  </w:footnote>
  <w:footnote w:id="123">
    <w:p w:rsidR="006E6AAA" w:rsidRPr="006C50E4" w:rsidRDefault="006E6AAA" w:rsidP="006E6AAA">
      <w:pPr>
        <w:pStyle w:val="FootnoteText"/>
        <w:jc w:val="both"/>
        <w:rPr>
          <w:rFonts w:ascii="Calibri" w:hAnsi="Calibri"/>
        </w:rPr>
      </w:pPr>
      <w:r w:rsidRPr="006C50E4">
        <w:rPr>
          <w:rStyle w:val="FootnoteReference"/>
          <w:rFonts w:ascii="Calibri" w:hAnsi="Calibri"/>
        </w:rPr>
        <w:footnoteRef/>
      </w:r>
      <w:r w:rsidRPr="006C50E4">
        <w:rPr>
          <w:rFonts w:ascii="Calibri" w:hAnsi="Calibri"/>
        </w:rPr>
        <w:t xml:space="preserve"> Mobile Court review workshop, supra note 15</w:t>
      </w:r>
    </w:p>
  </w:footnote>
  <w:footnote w:id="124">
    <w:p w:rsidR="006E6AAA" w:rsidRPr="006C50E4" w:rsidRDefault="006E6AAA" w:rsidP="006E6AAA">
      <w:pPr>
        <w:pStyle w:val="FootnoteText"/>
        <w:jc w:val="both"/>
        <w:rPr>
          <w:rFonts w:ascii="Calibri" w:hAnsi="Calibri"/>
        </w:rPr>
      </w:pPr>
      <w:r w:rsidRPr="006C50E4">
        <w:rPr>
          <w:rStyle w:val="FootnoteReference"/>
          <w:rFonts w:ascii="Calibri" w:hAnsi="Calibri"/>
        </w:rPr>
        <w:footnoteRef/>
      </w:r>
      <w:r w:rsidRPr="006C50E4">
        <w:rPr>
          <w:rFonts w:ascii="Calibri" w:hAnsi="Calibri"/>
        </w:rPr>
        <w:t xml:space="preserve"> Mobile court review workshop report, Puntland, 2013</w:t>
      </w:r>
    </w:p>
  </w:footnote>
  <w:footnote w:id="125">
    <w:p w:rsidR="006E6AAA" w:rsidRPr="006C50E4" w:rsidRDefault="006E6AAA" w:rsidP="006E6AAA">
      <w:pPr>
        <w:pStyle w:val="FootnoteText"/>
        <w:jc w:val="both"/>
        <w:rPr>
          <w:rFonts w:ascii="Calibri" w:hAnsi="Calibri"/>
        </w:rPr>
      </w:pPr>
      <w:r w:rsidRPr="006C50E4">
        <w:rPr>
          <w:rStyle w:val="FootnoteReference"/>
          <w:rFonts w:ascii="Calibri" w:hAnsi="Calibri"/>
        </w:rPr>
        <w:footnoteRef/>
      </w:r>
      <w:r w:rsidRPr="006C50E4">
        <w:rPr>
          <w:rFonts w:ascii="Calibri" w:hAnsi="Calibri"/>
        </w:rPr>
        <w:t xml:space="preserve"> See for example Open Society Justice Initiative in “</w:t>
      </w:r>
      <w:r w:rsidRPr="006C50E4">
        <w:rPr>
          <w:rFonts w:ascii="Calibri" w:hAnsi="Calibri"/>
          <w:i/>
          <w:iCs/>
          <w:color w:val="000000"/>
          <w:bdr w:val="none" w:sz="0" w:space="0" w:color="auto" w:frame="1"/>
          <w:lang w:val="en"/>
        </w:rPr>
        <w:t>Community-Based Paralegals: A Practitioner’s Guide”, 2010</w:t>
      </w:r>
    </w:p>
  </w:footnote>
  <w:footnote w:id="126">
    <w:p w:rsidR="006E6AAA" w:rsidRPr="006C50E4" w:rsidRDefault="006E6AAA" w:rsidP="006E6AAA">
      <w:pPr>
        <w:pStyle w:val="FootnoteText"/>
        <w:jc w:val="both"/>
        <w:rPr>
          <w:rFonts w:ascii="Calibri" w:hAnsi="Calibri"/>
        </w:rPr>
      </w:pPr>
      <w:r w:rsidRPr="006C50E4">
        <w:rPr>
          <w:rStyle w:val="FootnoteReference"/>
          <w:rFonts w:ascii="Calibri" w:hAnsi="Calibri"/>
        </w:rPr>
        <w:footnoteRef/>
      </w:r>
      <w:r w:rsidRPr="006C50E4">
        <w:rPr>
          <w:rFonts w:ascii="Calibri" w:hAnsi="Calibri"/>
        </w:rPr>
        <w:t>“Strengthening governance and rule of law in Somalia, 2012-2015” UNDP</w:t>
      </w:r>
    </w:p>
  </w:footnote>
  <w:footnote w:id="127">
    <w:p w:rsidR="006E6AAA" w:rsidRPr="007E3968" w:rsidRDefault="006E6AAA" w:rsidP="006E6AAA">
      <w:pPr>
        <w:pStyle w:val="FootnoteText"/>
        <w:jc w:val="both"/>
        <w:rPr>
          <w:rFonts w:ascii="Calibri" w:hAnsi="Calibri"/>
        </w:rPr>
      </w:pPr>
      <w:r w:rsidRPr="006C50E4">
        <w:rPr>
          <w:rStyle w:val="FootnoteReference"/>
          <w:rFonts w:ascii="Calibri" w:hAnsi="Calibri"/>
        </w:rPr>
        <w:footnoteRef/>
      </w:r>
      <w:r w:rsidRPr="006C50E4">
        <w:rPr>
          <w:rStyle w:val="FootnoteReference"/>
          <w:rFonts w:ascii="Calibri" w:hAnsi="Calibri"/>
        </w:rPr>
        <w:t xml:space="preserve"> </w:t>
      </w:r>
      <w:r w:rsidRPr="006C50E4">
        <w:rPr>
          <w:rFonts w:ascii="Calibri" w:hAnsi="Calibri"/>
        </w:rPr>
        <w:t>One of challenges identified in the 2nd MC review workshop was that “</w:t>
      </w:r>
      <w:r w:rsidRPr="006C50E4">
        <w:rPr>
          <w:rFonts w:ascii="Calibri" w:hAnsi="Calibri"/>
          <w:i/>
        </w:rPr>
        <w:t>Legal aid lawyers do not have offices or paralegals in the</w:t>
      </w:r>
      <w:r w:rsidRPr="007E3968">
        <w:rPr>
          <w:rFonts w:ascii="Calibri" w:hAnsi="Calibri"/>
          <w:i/>
        </w:rPr>
        <w:t xml:space="preserve"> districts and villages, so they do not have enough information about the victims</w:t>
      </w:r>
      <w:r w:rsidRPr="007E3968">
        <w:rPr>
          <w:rFonts w:ascii="Calibri" w:hAnsi="Calibri"/>
        </w:rPr>
        <w:t>”.</w:t>
      </w:r>
    </w:p>
  </w:footnote>
  <w:footnote w:id="128">
    <w:p w:rsidR="006E6AAA" w:rsidRPr="007B45D7" w:rsidRDefault="006E6AAA" w:rsidP="006E6AAA">
      <w:pPr>
        <w:pStyle w:val="FootnoteText"/>
        <w:jc w:val="both"/>
        <w:rPr>
          <w:rFonts w:ascii="Calibri" w:hAnsi="Calibri"/>
          <w:lang w:val="en-US"/>
        </w:rPr>
      </w:pPr>
      <w:r w:rsidRPr="007E3968">
        <w:rPr>
          <w:rStyle w:val="FootnoteReference"/>
          <w:rFonts w:ascii="Calibri" w:hAnsi="Calibri"/>
        </w:rPr>
        <w:footnoteRef/>
      </w:r>
      <w:r w:rsidRPr="007B45D7">
        <w:rPr>
          <w:rFonts w:ascii="Calibri" w:hAnsi="Calibri"/>
          <w:lang w:val="en-US"/>
        </w:rPr>
        <w:t xml:space="preserve"> See the Timap for Justice web site:  http://www.timapforjustice.org/</w:t>
      </w:r>
    </w:p>
  </w:footnote>
  <w:footnote w:id="129">
    <w:p w:rsidR="006E6AAA" w:rsidRPr="007B45D7" w:rsidRDefault="006E6AAA" w:rsidP="006E6AAA">
      <w:pPr>
        <w:spacing w:line="280" w:lineRule="exact"/>
        <w:jc w:val="both"/>
        <w:rPr>
          <w:rFonts w:ascii="Calibri" w:hAnsi="Calibri"/>
          <w:sz w:val="20"/>
        </w:rPr>
      </w:pPr>
      <w:r w:rsidRPr="007E3968">
        <w:rPr>
          <w:rStyle w:val="FootnoteReference"/>
          <w:rFonts w:ascii="Calibri" w:hAnsi="Calibri"/>
          <w:sz w:val="20"/>
        </w:rPr>
        <w:footnoteRef/>
      </w:r>
      <w:r w:rsidRPr="007E3968">
        <w:t xml:space="preserve"> </w:t>
      </w:r>
      <w:r w:rsidRPr="007B45D7">
        <w:rPr>
          <w:rFonts w:ascii="Calibri" w:hAnsi="Calibri"/>
          <w:sz w:val="20"/>
        </w:rPr>
        <w:t xml:space="preserve">For example the MC travels to hear a land dispute, but upon arrival discover that one of the </w:t>
      </w:r>
      <w:r>
        <w:rPr>
          <w:rFonts w:ascii="Calibri" w:hAnsi="Calibri"/>
          <w:sz w:val="20"/>
        </w:rPr>
        <w:t>parties</w:t>
      </w:r>
      <w:r w:rsidRPr="007B45D7">
        <w:rPr>
          <w:rFonts w:ascii="Calibri" w:hAnsi="Calibri"/>
          <w:sz w:val="20"/>
        </w:rPr>
        <w:t xml:space="preserve"> to the case was kidnapped, so the Judges have to first settle this issue.</w:t>
      </w:r>
      <w:r w:rsidRPr="007E3968">
        <w:t xml:space="preserve"> </w:t>
      </w:r>
    </w:p>
  </w:footnote>
  <w:footnote w:id="130">
    <w:p w:rsidR="006E6AAA" w:rsidRPr="007E3968" w:rsidRDefault="006E6AAA" w:rsidP="006E6AAA">
      <w:pPr>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Baseline</w:t>
      </w:r>
      <w:r>
        <w:rPr>
          <w:rFonts w:ascii="Calibri" w:hAnsi="Calibri"/>
          <w:sz w:val="20"/>
        </w:rPr>
        <w:t xml:space="preserve"> Study, </w:t>
      </w:r>
      <w:r w:rsidRPr="006C50E4">
        <w:rPr>
          <w:rFonts w:ascii="Calibri" w:hAnsi="Calibri"/>
          <w:i/>
          <w:sz w:val="20"/>
        </w:rPr>
        <w:t>supra</w:t>
      </w:r>
      <w:r>
        <w:rPr>
          <w:rFonts w:ascii="Calibri" w:hAnsi="Calibri"/>
          <w:sz w:val="20"/>
        </w:rPr>
        <w:t xml:space="preserve"> note 6. </w:t>
      </w:r>
      <w:r w:rsidRPr="007E3968">
        <w:rPr>
          <w:rFonts w:ascii="Calibri" w:hAnsi="Calibri"/>
          <w:sz w:val="20"/>
        </w:rPr>
        <w:t>An assessment of the Justice sector conducted in 2009 found that the absence of a court exemption mechanism</w:t>
      </w:r>
      <w:r w:rsidRPr="007E3968">
        <w:rPr>
          <w:rFonts w:ascii="Calibri" w:hAnsi="Calibri"/>
          <w:i/>
          <w:sz w:val="20"/>
        </w:rPr>
        <w:t xml:space="preserve"> “paved the way for manipulation and misuse on the part of the courts. As complained by the public it becomes something common that courts exempt court fees from rich individuals who can afford to pay tit while it happened that eligible and poor individuals are refused to exempt court fee, and hence denied their right to access to justice</w:t>
      </w:r>
      <w:r w:rsidRPr="007E3968">
        <w:rPr>
          <w:rFonts w:ascii="Calibri" w:hAnsi="Calibri"/>
          <w:sz w:val="20"/>
        </w:rPr>
        <w:t>”.</w:t>
      </w:r>
    </w:p>
  </w:footnote>
  <w:footnote w:id="131">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w:t>
      </w:r>
      <w:r w:rsidRPr="007E3968">
        <w:rPr>
          <w:rFonts w:ascii="Calibri" w:hAnsi="Calibri"/>
          <w:lang w:val="en-US"/>
        </w:rPr>
        <w:t xml:space="preserve">UNDP Somalia </w:t>
      </w:r>
      <w:r w:rsidRPr="007E3968">
        <w:rPr>
          <w:rFonts w:ascii="Calibri" w:hAnsi="Calibri"/>
        </w:rPr>
        <w:t>report</w:t>
      </w:r>
      <w:r w:rsidRPr="007E3968">
        <w:rPr>
          <w:rFonts w:ascii="Calibri" w:hAnsi="Calibri"/>
          <w:lang w:val="en-US"/>
        </w:rPr>
        <w:t xml:space="preserve">, </w:t>
      </w:r>
      <w:r w:rsidRPr="007E3968">
        <w:rPr>
          <w:rFonts w:ascii="Calibri" w:hAnsi="Calibri"/>
          <w:i/>
        </w:rPr>
        <w:t xml:space="preserve">Observation on </w:t>
      </w:r>
      <w:r>
        <w:rPr>
          <w:rFonts w:ascii="Calibri" w:hAnsi="Calibri"/>
          <w:i/>
        </w:rPr>
        <w:t>the mobile court visit in Gabile</w:t>
      </w:r>
      <w:r w:rsidRPr="007E3968">
        <w:rPr>
          <w:rFonts w:ascii="Calibri" w:hAnsi="Calibri"/>
          <w:i/>
        </w:rPr>
        <w:t>y</w:t>
      </w:r>
      <w:r w:rsidRPr="007E3968">
        <w:rPr>
          <w:rFonts w:ascii="Calibri" w:hAnsi="Calibri"/>
          <w:lang w:val="en-US"/>
        </w:rPr>
        <w:t xml:space="preserve">, </w:t>
      </w:r>
      <w:r w:rsidRPr="007E3968">
        <w:rPr>
          <w:rFonts w:ascii="Calibri" w:hAnsi="Calibri"/>
        </w:rPr>
        <w:t xml:space="preserve">June 2012. </w:t>
      </w:r>
    </w:p>
  </w:footnote>
  <w:footnote w:id="132">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UNDP, Monitoring report for the </w:t>
      </w:r>
      <w:r w:rsidRPr="007E3968">
        <w:rPr>
          <w:rFonts w:ascii="Calibri" w:hAnsi="Calibri"/>
          <w:i/>
        </w:rPr>
        <w:t>mobile court vis</w:t>
      </w:r>
      <w:r>
        <w:rPr>
          <w:rFonts w:ascii="Calibri" w:hAnsi="Calibri"/>
          <w:i/>
        </w:rPr>
        <w:t>it in Gabile</w:t>
      </w:r>
      <w:r w:rsidRPr="007E3968">
        <w:rPr>
          <w:rFonts w:ascii="Calibri" w:hAnsi="Calibri"/>
          <w:i/>
        </w:rPr>
        <w:t>y</w:t>
      </w:r>
      <w:r w:rsidRPr="007E3968">
        <w:rPr>
          <w:rFonts w:ascii="Calibri" w:hAnsi="Calibri"/>
          <w:lang w:val="en-US"/>
        </w:rPr>
        <w:t xml:space="preserve">, </w:t>
      </w:r>
      <w:r>
        <w:rPr>
          <w:rFonts w:ascii="Calibri" w:hAnsi="Calibri"/>
        </w:rPr>
        <w:t>May</w:t>
      </w:r>
      <w:r w:rsidRPr="007E3968">
        <w:rPr>
          <w:rFonts w:ascii="Calibri" w:hAnsi="Calibri"/>
        </w:rPr>
        <w:t xml:space="preserve"> 201</w:t>
      </w:r>
      <w:r>
        <w:rPr>
          <w:rFonts w:ascii="Calibri" w:hAnsi="Calibri"/>
        </w:rPr>
        <w:t>3</w:t>
      </w:r>
    </w:p>
  </w:footnote>
  <w:footnote w:id="133">
    <w:p w:rsidR="006E6AAA" w:rsidRPr="007B45D7" w:rsidRDefault="006E6AAA" w:rsidP="006E6AAA">
      <w:pPr>
        <w:spacing w:line="240" w:lineRule="auto"/>
        <w:jc w:val="both"/>
        <w:rPr>
          <w:rFonts w:ascii="Calibri" w:hAnsi="Calibri" w:cs="Arial"/>
          <w:sz w:val="20"/>
          <w:lang w:eastAsia="it-IT"/>
        </w:rPr>
      </w:pPr>
      <w:r w:rsidRPr="007B45D7">
        <w:rPr>
          <w:rStyle w:val="FootnoteReference"/>
          <w:rFonts w:ascii="Calibri" w:hAnsi="Calibri"/>
          <w:sz w:val="20"/>
        </w:rPr>
        <w:footnoteRef/>
      </w:r>
      <w:r w:rsidRPr="007B45D7">
        <w:rPr>
          <w:rStyle w:val="FootnoteReference"/>
          <w:rFonts w:ascii="Calibri" w:hAnsi="Calibri"/>
        </w:rPr>
        <w:t xml:space="preserve"> </w:t>
      </w:r>
      <w:r w:rsidRPr="007B45D7">
        <w:rPr>
          <w:rFonts w:ascii="Calibri" w:hAnsi="Calibri" w:cs="Arial"/>
          <w:sz w:val="20"/>
          <w:lang w:eastAsia="it-IT"/>
        </w:rPr>
        <w:t xml:space="preserve">See </w:t>
      </w:r>
      <w:hyperlink r:id="rId5" w:history="1">
        <w:r w:rsidRPr="007B45D7">
          <w:rPr>
            <w:rFonts w:ascii="Calibri" w:hAnsi="Calibri" w:cs="Arial"/>
            <w:sz w:val="20"/>
            <w:lang w:eastAsia="it-IT"/>
          </w:rPr>
          <w:t>http://somsattv.com</w:t>
        </w:r>
      </w:hyperlink>
    </w:p>
  </w:footnote>
  <w:footnote w:id="134">
    <w:p w:rsidR="006E6AAA" w:rsidRPr="007E3968" w:rsidRDefault="006E6AAA" w:rsidP="006E6AAA">
      <w:pPr>
        <w:spacing w:line="240" w:lineRule="auto"/>
        <w:jc w:val="both"/>
        <w:rPr>
          <w:rFonts w:ascii="Calibri" w:hAnsi="Calibri"/>
          <w:sz w:val="20"/>
        </w:rPr>
      </w:pPr>
      <w:r w:rsidRPr="007B45D7">
        <w:rPr>
          <w:rStyle w:val="FootnoteReference"/>
          <w:rFonts w:ascii="Calibri" w:hAnsi="Calibri"/>
          <w:sz w:val="20"/>
        </w:rPr>
        <w:footnoteRef/>
      </w:r>
      <w:r w:rsidRPr="007B45D7">
        <w:rPr>
          <w:rStyle w:val="FootnoteReference"/>
          <w:rFonts w:ascii="Calibri" w:hAnsi="Calibri"/>
          <w:sz w:val="20"/>
        </w:rPr>
        <w:t xml:space="preserve"> </w:t>
      </w:r>
      <w:r w:rsidRPr="007B45D7">
        <w:rPr>
          <w:rFonts w:ascii="Calibri" w:hAnsi="Calibri" w:cs="Arial"/>
          <w:sz w:val="20"/>
          <w:lang w:eastAsia="it-IT"/>
        </w:rPr>
        <w:t>LoA</w:t>
      </w:r>
      <w:r w:rsidRPr="007B45D7">
        <w:rPr>
          <w:rFonts w:ascii="Calibri" w:hAnsi="Calibri"/>
          <w:sz w:val="20"/>
        </w:rPr>
        <w:t xml:space="preserve"> 2012</w:t>
      </w:r>
      <w:r w:rsidRPr="007E3968">
        <w:rPr>
          <w:rFonts w:ascii="Calibri" w:hAnsi="Calibri"/>
          <w:sz w:val="20"/>
        </w:rPr>
        <w:t>-2013 indicates “</w:t>
      </w:r>
      <w:r w:rsidRPr="007E3968">
        <w:rPr>
          <w:rFonts w:ascii="Calibri" w:hAnsi="Calibri"/>
          <w:i/>
          <w:sz w:val="20"/>
        </w:rPr>
        <w:t>monthly fuel support to the mobile services of regional mobile courts as well as that of the supreme court for 12 moths (lump sum of 5.500 per month)”</w:t>
      </w:r>
    </w:p>
  </w:footnote>
  <w:footnote w:id="135">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Such forms were introduced in Oc</w:t>
      </w:r>
      <w:r>
        <w:rPr>
          <w:rFonts w:ascii="Calibri" w:hAnsi="Calibri"/>
        </w:rPr>
        <w:t>tober 2012, during the MC training</w:t>
      </w:r>
      <w:r w:rsidRPr="007E3968">
        <w:rPr>
          <w:rFonts w:ascii="Calibri" w:hAnsi="Calibri"/>
        </w:rPr>
        <w:t xml:space="preserve"> workshop</w:t>
      </w:r>
      <w:r>
        <w:rPr>
          <w:rFonts w:ascii="Calibri" w:hAnsi="Calibri"/>
        </w:rPr>
        <w:t>, supra note 15</w:t>
      </w:r>
    </w:p>
  </w:footnote>
  <w:footnote w:id="136">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Mobile court review workshop, </w:t>
      </w:r>
      <w:r w:rsidRPr="006C50E4">
        <w:rPr>
          <w:rFonts w:ascii="Calibri" w:hAnsi="Calibri"/>
          <w:i/>
        </w:rPr>
        <w:t>supra</w:t>
      </w:r>
      <w:r>
        <w:rPr>
          <w:rFonts w:ascii="Calibri" w:hAnsi="Calibri"/>
        </w:rPr>
        <w:t xml:space="preserve"> note 15</w:t>
      </w:r>
    </w:p>
  </w:footnote>
  <w:footnote w:id="137">
    <w:p w:rsidR="006E6AAA" w:rsidRPr="007E3968" w:rsidRDefault="006E6AAA" w:rsidP="006E6AAA">
      <w:pPr>
        <w:pStyle w:val="CommentText"/>
        <w:jc w:val="both"/>
      </w:pPr>
      <w:r w:rsidRPr="007E3968">
        <w:rPr>
          <w:rStyle w:val="FootnoteReference"/>
          <w:rFonts w:ascii="Calibri" w:hAnsi="Calibri"/>
        </w:rPr>
        <w:footnoteRef/>
      </w:r>
      <w:r w:rsidRPr="007E3968">
        <w:t xml:space="preserve"> </w:t>
      </w:r>
      <w:r>
        <w:t>I</w:t>
      </w:r>
      <w:r w:rsidRPr="007B45D7">
        <w:t xml:space="preserve">n 2006 </w:t>
      </w:r>
      <w:r>
        <w:t xml:space="preserve">a </w:t>
      </w:r>
      <w:r w:rsidRPr="007E3968">
        <w:rPr>
          <w:i/>
        </w:rPr>
        <w:t>National Elders Declaration</w:t>
      </w:r>
      <w:r w:rsidRPr="007E3968">
        <w:t xml:space="preserve"> </w:t>
      </w:r>
      <w:r>
        <w:t xml:space="preserve">was </w:t>
      </w:r>
      <w:r w:rsidRPr="007B45D7">
        <w:t>drafted with</w:t>
      </w:r>
      <w:r w:rsidRPr="007E3968">
        <w:t xml:space="preserve"> UNDP’s assistance to promote a better coordination between </w:t>
      </w:r>
      <w:r>
        <w:t>the formal and informal system; elders engaged to refer serious crimes to the formal courts including rape and murder.</w:t>
      </w:r>
    </w:p>
  </w:footnote>
  <w:footnote w:id="138">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Interview with the MC judges in Hargeisa, 07/05/2013</w:t>
      </w:r>
    </w:p>
  </w:footnote>
  <w:footnote w:id="139">
    <w:p w:rsidR="006E6AAA" w:rsidRPr="007B45D7" w:rsidRDefault="006E6AAA" w:rsidP="006E6AAA">
      <w:pPr>
        <w:autoSpaceDE w:val="0"/>
        <w:autoSpaceDN w:val="0"/>
        <w:adjustRightInd w:val="0"/>
        <w:spacing w:line="240" w:lineRule="auto"/>
        <w:jc w:val="both"/>
        <w:rPr>
          <w:rFonts w:ascii="Calibri" w:hAnsi="Calibri"/>
          <w:sz w:val="20"/>
        </w:rPr>
      </w:pPr>
      <w:r w:rsidRPr="007E3968">
        <w:rPr>
          <w:rStyle w:val="FootnoteReference"/>
          <w:rFonts w:ascii="Calibri" w:hAnsi="Calibri"/>
          <w:sz w:val="20"/>
        </w:rPr>
        <w:footnoteRef/>
      </w:r>
      <w:r>
        <w:t xml:space="preserve"> </w:t>
      </w:r>
      <w:r w:rsidRPr="007B45D7">
        <w:rPr>
          <w:rFonts w:ascii="Calibri" w:hAnsi="Calibri"/>
          <w:sz w:val="20"/>
        </w:rPr>
        <w:t>MC monitoring report in Nugal, Puntland</w:t>
      </w:r>
    </w:p>
  </w:footnote>
  <w:footnote w:id="140">
    <w:p w:rsidR="006E6AAA" w:rsidRPr="006C50E4"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Mobile court review workshop, </w:t>
      </w:r>
      <w:r w:rsidRPr="006C50E4">
        <w:rPr>
          <w:rFonts w:ascii="Calibri" w:hAnsi="Calibri"/>
          <w:i/>
        </w:rPr>
        <w:t>supra</w:t>
      </w:r>
      <w:r>
        <w:rPr>
          <w:rFonts w:ascii="Calibri" w:hAnsi="Calibri"/>
        </w:rPr>
        <w:t xml:space="preserve"> note 15</w:t>
      </w:r>
    </w:p>
  </w:footnote>
  <w:footnote w:id="141">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w:t>
      </w:r>
      <w:r>
        <w:rPr>
          <w:rFonts w:ascii="Calibri" w:hAnsi="Calibri"/>
        </w:rPr>
        <w:t xml:space="preserve">Mobile court review workshop, </w:t>
      </w:r>
      <w:r w:rsidRPr="006C50E4">
        <w:rPr>
          <w:rFonts w:ascii="Calibri" w:hAnsi="Calibri"/>
          <w:i/>
        </w:rPr>
        <w:t>supra</w:t>
      </w:r>
      <w:r>
        <w:rPr>
          <w:rFonts w:ascii="Calibri" w:hAnsi="Calibri"/>
        </w:rPr>
        <w:t xml:space="preserve"> note 51</w:t>
      </w:r>
    </w:p>
  </w:footnote>
  <w:footnote w:id="142">
    <w:p w:rsidR="006E6AAA" w:rsidRPr="007B45D7" w:rsidRDefault="006E6AAA" w:rsidP="006E6AAA">
      <w:pPr>
        <w:pStyle w:val="FootnoteText"/>
        <w:jc w:val="both"/>
        <w:rPr>
          <w:rFonts w:ascii="Calibri" w:hAnsi="Calibri"/>
          <w:color w:val="FF0000"/>
        </w:rPr>
      </w:pPr>
      <w:r w:rsidRPr="007E3968">
        <w:rPr>
          <w:rStyle w:val="FootnoteReference"/>
          <w:rFonts w:ascii="Calibri" w:hAnsi="Calibri"/>
        </w:rPr>
        <w:footnoteRef/>
      </w:r>
      <w:r>
        <w:rPr>
          <w:rFonts w:ascii="Calibri" w:hAnsi="Calibri"/>
        </w:rPr>
        <w:t xml:space="preserve"> Baseline Study, </w:t>
      </w:r>
      <w:r w:rsidRPr="006C50E4">
        <w:rPr>
          <w:rFonts w:ascii="Calibri" w:hAnsi="Calibri"/>
          <w:i/>
        </w:rPr>
        <w:t>supra</w:t>
      </w:r>
      <w:r>
        <w:rPr>
          <w:rFonts w:ascii="Calibri" w:hAnsi="Calibri"/>
        </w:rPr>
        <w:t xml:space="preserve"> note 6</w:t>
      </w:r>
    </w:p>
  </w:footnote>
  <w:footnote w:id="143">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The report of the Independent Expert on Human Rights in </w:t>
      </w:r>
      <w:r w:rsidRPr="007E3968">
        <w:rPr>
          <w:rFonts w:ascii="Calibri" w:hAnsi="Calibri"/>
        </w:rPr>
        <w:t>Somalia</w:t>
      </w:r>
      <w:r>
        <w:rPr>
          <w:rFonts w:ascii="Calibri" w:hAnsi="Calibri"/>
        </w:rPr>
        <w:t xml:space="preserve"> denounces that</w:t>
      </w:r>
      <w:r w:rsidRPr="007E3968">
        <w:rPr>
          <w:rFonts w:ascii="Calibri" w:hAnsi="Calibri"/>
        </w:rPr>
        <w:t xml:space="preserve"> “</w:t>
      </w:r>
      <w:r w:rsidRPr="007E3968">
        <w:rPr>
          <w:rFonts w:ascii="Calibri" w:hAnsi="Calibri"/>
          <w:i/>
        </w:rPr>
        <w:t>Unknown assailants shot and killed the Attorney General of the Sool region under Somaliland administration, making him the second judge to be killed in northern Somalia in less than a month. Unknown gunmen armed with pistols opened fire on the judge as he was watching a football match at a location in Las</w:t>
      </w:r>
      <w:r>
        <w:rPr>
          <w:rFonts w:ascii="Calibri" w:hAnsi="Calibri"/>
          <w:i/>
        </w:rPr>
        <w:t xml:space="preserve"> </w:t>
      </w:r>
      <w:r w:rsidRPr="007E3968">
        <w:rPr>
          <w:rFonts w:ascii="Calibri" w:hAnsi="Calibri"/>
          <w:i/>
        </w:rPr>
        <w:t>caanood, the capital of the Sool region</w:t>
      </w:r>
      <w:r w:rsidRPr="007E3968">
        <w:rPr>
          <w:rFonts w:ascii="Calibri" w:hAnsi="Calibri"/>
        </w:rPr>
        <w:t>”</w:t>
      </w:r>
    </w:p>
  </w:footnote>
  <w:footnote w:id="144">
    <w:p w:rsidR="006E6AAA" w:rsidRPr="004D5D1C" w:rsidRDefault="006E6AAA" w:rsidP="006E6AAA">
      <w:pPr>
        <w:pStyle w:val="FootnoteText"/>
        <w:jc w:val="both"/>
        <w:rPr>
          <w:rFonts w:ascii="Calibri" w:hAnsi="Calibri"/>
          <w:color w:val="FF0000"/>
        </w:rPr>
      </w:pPr>
      <w:r w:rsidRPr="007E3968">
        <w:rPr>
          <w:rStyle w:val="FootnoteReference"/>
          <w:rFonts w:ascii="Calibri" w:hAnsi="Calibri"/>
        </w:rPr>
        <w:footnoteRef/>
      </w:r>
      <w:r w:rsidRPr="007E3968">
        <w:rPr>
          <w:rFonts w:ascii="Calibri" w:hAnsi="Calibri"/>
        </w:rPr>
        <w:t xml:space="preserve"> Puntland workshop</w:t>
      </w:r>
      <w:r>
        <w:rPr>
          <w:rFonts w:ascii="Calibri" w:hAnsi="Calibri"/>
        </w:rPr>
        <w:t xml:space="preserve">, </w:t>
      </w:r>
      <w:r w:rsidRPr="006C50E4">
        <w:rPr>
          <w:rFonts w:ascii="Calibri" w:hAnsi="Calibri"/>
          <w:i/>
        </w:rPr>
        <w:t>supra</w:t>
      </w:r>
      <w:r>
        <w:rPr>
          <w:rFonts w:ascii="Calibri" w:hAnsi="Calibri"/>
        </w:rPr>
        <w:t xml:space="preserve"> note 53.</w:t>
      </w:r>
    </w:p>
  </w:footnote>
  <w:footnote w:id="145">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UNDP monitoring report </w:t>
      </w:r>
      <w:r>
        <w:rPr>
          <w:rFonts w:ascii="Calibri" w:hAnsi="Calibri"/>
        </w:rPr>
        <w:t>NAGAL, Puntland</w:t>
      </w:r>
    </w:p>
  </w:footnote>
  <w:footnote w:id="146">
    <w:p w:rsidR="006E6AAA" w:rsidRPr="007E3968" w:rsidRDefault="006E6AAA" w:rsidP="006E6AAA">
      <w:pPr>
        <w:tabs>
          <w:tab w:val="left" w:pos="540"/>
          <w:tab w:val="left" w:pos="8460"/>
        </w:tabs>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Direct</w:t>
      </w:r>
      <w:r>
        <w:rPr>
          <w:rFonts w:ascii="Calibri" w:hAnsi="Calibri"/>
          <w:sz w:val="20"/>
        </w:rPr>
        <w:t>or of the</w:t>
      </w:r>
      <w:r w:rsidRPr="007E3968">
        <w:rPr>
          <w:rFonts w:ascii="Calibri" w:hAnsi="Calibri"/>
          <w:sz w:val="20"/>
        </w:rPr>
        <w:t xml:space="preserve"> prison </w:t>
      </w:r>
      <w:r>
        <w:rPr>
          <w:rFonts w:ascii="Calibri" w:hAnsi="Calibri"/>
          <w:sz w:val="20"/>
        </w:rPr>
        <w:t xml:space="preserve">of Gabiley referred that </w:t>
      </w:r>
      <w:r w:rsidRPr="007E3968">
        <w:rPr>
          <w:rFonts w:ascii="Calibri" w:hAnsi="Calibri"/>
          <w:sz w:val="20"/>
        </w:rPr>
        <w:t>“</w:t>
      </w:r>
      <w:r w:rsidRPr="004D5D1C">
        <w:rPr>
          <w:rFonts w:ascii="Calibri" w:hAnsi="Calibri"/>
          <w:i/>
          <w:sz w:val="20"/>
        </w:rPr>
        <w:t>before the MC, 3 years ago, there were many appeals but nobody came</w:t>
      </w:r>
      <w:r w:rsidRPr="007E3968">
        <w:rPr>
          <w:rFonts w:ascii="Calibri" w:hAnsi="Calibri"/>
          <w:sz w:val="20"/>
        </w:rPr>
        <w:t>”</w:t>
      </w:r>
    </w:p>
  </w:footnote>
  <w:footnote w:id="147">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w:t>
      </w:r>
      <w:r>
        <w:rPr>
          <w:rFonts w:ascii="Calibri" w:hAnsi="Calibri"/>
        </w:rPr>
        <w:t xml:space="preserve">Mobile court review workshop, </w:t>
      </w:r>
      <w:r w:rsidRPr="006C50E4">
        <w:rPr>
          <w:rFonts w:ascii="Calibri" w:hAnsi="Calibri"/>
          <w:i/>
        </w:rPr>
        <w:t>supra</w:t>
      </w:r>
      <w:r>
        <w:rPr>
          <w:rFonts w:ascii="Calibri" w:hAnsi="Calibri"/>
        </w:rPr>
        <w:t xml:space="preserve"> note 51</w:t>
      </w:r>
    </w:p>
  </w:footnote>
  <w:footnote w:id="148">
    <w:p w:rsidR="006E6AAA" w:rsidRPr="007E3968" w:rsidRDefault="006E6AAA" w:rsidP="006E6AAA">
      <w:pPr>
        <w:autoSpaceDE w:val="0"/>
        <w:autoSpaceDN w:val="0"/>
        <w:adjustRightInd w:val="0"/>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w:t>
      </w:r>
      <w:r w:rsidRPr="00EE339D">
        <w:rPr>
          <w:rFonts w:ascii="Calibri" w:hAnsi="Calibri"/>
          <w:sz w:val="20"/>
        </w:rPr>
        <w:t>UNDP promotes an integrated approach to transitional justice, which focuses on developing the capacities of national institutions to investigate and prosecute international crimes in complementarity with the ICC.</w:t>
      </w:r>
      <w:r w:rsidRPr="007E3968">
        <w:rPr>
          <w:rFonts w:ascii="Calibri" w:hAnsi="Calibri"/>
          <w:sz w:val="20"/>
        </w:rPr>
        <w:t xml:space="preserve"> “</w:t>
      </w:r>
      <w:r w:rsidRPr="007E3968">
        <w:rPr>
          <w:rFonts w:ascii="Calibri" w:hAnsi="Calibri"/>
          <w:i/>
          <w:sz w:val="20"/>
        </w:rPr>
        <w:t>Positive complementarity refers to all activities whereby national jurisdictions are strengthened and enabled to conduct genuine national investigations and trials of crimes included in the Rome Statute</w:t>
      </w:r>
      <w:r w:rsidRPr="007E3968">
        <w:rPr>
          <w:rFonts w:ascii="Calibri" w:hAnsi="Calibri"/>
          <w:sz w:val="20"/>
        </w:rPr>
        <w:t>” in UNDP «</w:t>
      </w:r>
      <w:r w:rsidRPr="007E3968">
        <w:rPr>
          <w:rFonts w:ascii="Calibri" w:hAnsi="Calibri"/>
          <w:i/>
          <w:sz w:val="20"/>
        </w:rPr>
        <w:t>Discussion paper: Complementarity and Transitional Justice: Synthesis of Key Emerging Issues for Development</w:t>
      </w:r>
      <w:r w:rsidRPr="007E3968">
        <w:rPr>
          <w:rFonts w:ascii="Calibri" w:hAnsi="Calibri"/>
          <w:sz w:val="20"/>
        </w:rPr>
        <w:t>”, 2012</w:t>
      </w:r>
    </w:p>
  </w:footnote>
  <w:footnote w:id="149">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w:t>
      </w:r>
      <w:r w:rsidRPr="007E3968">
        <w:rPr>
          <w:rFonts w:ascii="Calibri" w:hAnsi="Calibri"/>
          <w:lang w:val="en"/>
        </w:rPr>
        <w:t xml:space="preserve">For example the Ugandan International Crime Division is </w:t>
      </w:r>
      <w:r w:rsidRPr="007E3968">
        <w:rPr>
          <w:rFonts w:ascii="Calibri" w:hAnsi="Calibri" w:cs="MetaPro-Norm"/>
          <w:lang w:val="en-US" w:eastAsia="it-IT"/>
        </w:rPr>
        <w:t>mandated to hear cases of “</w:t>
      </w:r>
      <w:r w:rsidRPr="007E3968">
        <w:rPr>
          <w:rFonts w:ascii="Calibri" w:hAnsi="Calibri" w:cs="MetaPro-Norm"/>
          <w:i/>
          <w:lang w:val="en-US" w:eastAsia="it-IT"/>
        </w:rPr>
        <w:t>terrorism, human trafficking, piracy</w:t>
      </w:r>
      <w:r w:rsidRPr="007E3968">
        <w:rPr>
          <w:rFonts w:ascii="Calibri" w:hAnsi="Calibri" w:cs="MetaPro-Norm"/>
          <w:lang w:val="en-US" w:eastAsia="it-IT"/>
        </w:rPr>
        <w:t>” in addition to the Rome statute crimes</w:t>
      </w:r>
      <w:r>
        <w:rPr>
          <w:rFonts w:ascii="Calibri" w:hAnsi="Calibri"/>
        </w:rPr>
        <w:t>. Human Rights Watch, “</w:t>
      </w:r>
      <w:r w:rsidRPr="004D5D1C">
        <w:rPr>
          <w:rFonts w:ascii="Calibri" w:hAnsi="Calibri"/>
          <w:i/>
        </w:rPr>
        <w:t>Justice for serious crimes: Uganda’s international crimes division</w:t>
      </w:r>
      <w:r>
        <w:rPr>
          <w:rFonts w:ascii="Calibri" w:hAnsi="Calibri"/>
        </w:rPr>
        <w:t>”, 2012</w:t>
      </w:r>
    </w:p>
  </w:footnote>
  <w:footnote w:id="150">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Pr>
          <w:rFonts w:ascii="Calibri" w:hAnsi="Calibri"/>
        </w:rPr>
        <w:t xml:space="preserve"> Interview with MC judges in Hargeisa</w:t>
      </w:r>
    </w:p>
  </w:footnote>
  <w:footnote w:id="151">
    <w:p w:rsidR="006E6AAA" w:rsidRPr="007E3968" w:rsidRDefault="006E6AAA" w:rsidP="006E6AAA">
      <w:pPr>
        <w:jc w:val="both"/>
        <w:rPr>
          <w:rFonts w:ascii="Calibri" w:hAnsi="Calibri"/>
          <w:sz w:val="20"/>
        </w:rPr>
      </w:pPr>
      <w:r w:rsidRPr="007E3968">
        <w:rPr>
          <w:rStyle w:val="FootnoteReference"/>
          <w:rFonts w:ascii="Calibri" w:hAnsi="Calibri"/>
          <w:sz w:val="20"/>
        </w:rPr>
        <w:footnoteRef/>
      </w:r>
      <w:r w:rsidRPr="007E3968">
        <w:rPr>
          <w:rFonts w:ascii="Calibri" w:hAnsi="Calibri"/>
          <w:sz w:val="20"/>
        </w:rPr>
        <w:t xml:space="preserve"> </w:t>
      </w:r>
      <w:r w:rsidRPr="007E3968">
        <w:rPr>
          <w:rFonts w:ascii="Calibri" w:hAnsi="Calibri"/>
          <w:bCs/>
          <w:sz w:val="20"/>
        </w:rPr>
        <w:t>Sool</w:t>
      </w:r>
      <w:r w:rsidRPr="007E3968">
        <w:rPr>
          <w:rFonts w:ascii="Calibri" w:hAnsi="Calibri"/>
          <w:sz w:val="20"/>
        </w:rPr>
        <w:t xml:space="preserve"> is a disputed </w:t>
      </w:r>
      <w:r w:rsidRPr="007E3968">
        <w:rPr>
          <w:rFonts w:ascii="Calibri" w:hAnsi="Calibri"/>
          <w:bCs/>
          <w:sz w:val="20"/>
        </w:rPr>
        <w:t xml:space="preserve">region between Somaliland and Puntland: the security situation is fragile and </w:t>
      </w:r>
      <w:r w:rsidRPr="007E3968">
        <w:rPr>
          <w:rFonts w:ascii="Calibri" w:hAnsi="Calibri"/>
          <w:sz w:val="20"/>
        </w:rPr>
        <w:t>very limited justice and security institutions are available compared to the rest of country (see map</w:t>
      </w:r>
      <w:r>
        <w:rPr>
          <w:rFonts w:ascii="Calibri" w:hAnsi="Calibri"/>
          <w:sz w:val="20"/>
        </w:rPr>
        <w:t xml:space="preserve"> in Annex 4</w:t>
      </w:r>
      <w:r w:rsidRPr="007E3968">
        <w:rPr>
          <w:rFonts w:ascii="Calibri" w:hAnsi="Calibri"/>
          <w:sz w:val="20"/>
        </w:rPr>
        <w:t xml:space="preserve">), so it is considered to be </w:t>
      </w:r>
      <w:r w:rsidRPr="007E3968">
        <w:rPr>
          <w:rFonts w:ascii="Calibri" w:hAnsi="Calibri"/>
          <w:sz w:val="20"/>
          <w:lang w:val="en"/>
        </w:rPr>
        <w:t xml:space="preserve">the region where most international crimes occur. </w:t>
      </w:r>
    </w:p>
  </w:footnote>
  <w:footnote w:id="152">
    <w:p w:rsidR="006E6AAA" w:rsidRPr="007E3968" w:rsidRDefault="006E6AAA" w:rsidP="006E6AAA">
      <w:pPr>
        <w:pStyle w:val="FootnoteText"/>
        <w:jc w:val="both"/>
        <w:rPr>
          <w:rFonts w:ascii="Calibri" w:hAnsi="Calibri"/>
        </w:rPr>
      </w:pPr>
      <w:r w:rsidRPr="007E3968">
        <w:rPr>
          <w:rStyle w:val="FootnoteReference"/>
          <w:rFonts w:ascii="Calibri" w:hAnsi="Calibri"/>
        </w:rPr>
        <w:footnoteRef/>
      </w:r>
      <w:r w:rsidRPr="007E3968">
        <w:rPr>
          <w:rFonts w:ascii="Calibri" w:hAnsi="Calibri"/>
        </w:rPr>
        <w:t xml:space="preserve"> One appeal case involved a group of Al Shabab suspects sentenced to death in first instance for killing 2 police officers and a 14 years old girl because they believe the latter had discovered information about Al Shabab operations.</w:t>
      </w:r>
    </w:p>
  </w:footnote>
  <w:footnote w:id="153">
    <w:p w:rsidR="006E6AAA" w:rsidRPr="007E3968" w:rsidRDefault="006E6AAA" w:rsidP="006E6AAA">
      <w:pPr>
        <w:autoSpaceDE w:val="0"/>
        <w:autoSpaceDN w:val="0"/>
        <w:adjustRightInd w:val="0"/>
        <w:spacing w:line="240" w:lineRule="auto"/>
        <w:jc w:val="both"/>
        <w:rPr>
          <w:rFonts w:ascii="Calibri" w:hAnsi="Calibri" w:cs="TimesNewRomanPSMT"/>
          <w:sz w:val="20"/>
          <w:lang w:eastAsia="it-IT"/>
        </w:rPr>
      </w:pPr>
      <w:r w:rsidRPr="007E3968">
        <w:rPr>
          <w:rStyle w:val="FootnoteReference"/>
          <w:rFonts w:ascii="Calibri" w:hAnsi="Calibri"/>
          <w:sz w:val="20"/>
        </w:rPr>
        <w:footnoteRef/>
      </w:r>
      <w:r w:rsidRPr="007E3968">
        <w:rPr>
          <w:rFonts w:ascii="Calibri" w:hAnsi="Calibri"/>
          <w:sz w:val="20"/>
        </w:rPr>
        <w:t xml:space="preserve"> </w:t>
      </w:r>
      <w:r>
        <w:rPr>
          <w:rFonts w:ascii="Calibri" w:hAnsi="Calibri" w:cs="TimesNewRomanPSMT"/>
          <w:sz w:val="20"/>
          <w:lang w:eastAsia="it-IT"/>
        </w:rPr>
        <w:t>Human Rights Watch,</w:t>
      </w:r>
      <w:r w:rsidRPr="007E3968">
        <w:rPr>
          <w:rFonts w:ascii="Calibri" w:hAnsi="Calibri" w:cs="TimesNewRomanPSMT"/>
          <w:sz w:val="20"/>
          <w:lang w:eastAsia="it-IT"/>
        </w:rPr>
        <w:t xml:space="preserve"> </w:t>
      </w:r>
      <w:r>
        <w:rPr>
          <w:rFonts w:ascii="Calibri" w:hAnsi="Calibri" w:cs="TimesNewRomanPSMT"/>
          <w:sz w:val="20"/>
          <w:lang w:eastAsia="it-IT"/>
        </w:rPr>
        <w:t>“</w:t>
      </w:r>
      <w:r w:rsidRPr="004D5D1C">
        <w:rPr>
          <w:rFonts w:ascii="Calibri" w:hAnsi="Calibri" w:cs="TimesNewRomanPSMT"/>
          <w:i/>
          <w:sz w:val="20"/>
          <w:lang w:eastAsia="it-IT"/>
        </w:rPr>
        <w:t>London conference on Somalia</w:t>
      </w:r>
      <w:r>
        <w:rPr>
          <w:rFonts w:ascii="Calibri" w:hAnsi="Calibri" w:cs="TimesNewRomanPSMT"/>
          <w:i/>
          <w:sz w:val="20"/>
          <w:lang w:eastAsia="it-IT"/>
        </w:rPr>
        <w:t xml:space="preserve"> - </w:t>
      </w:r>
      <w:r w:rsidRPr="004D5D1C">
        <w:rPr>
          <w:rFonts w:ascii="Calibri" w:hAnsi="Calibri" w:cs="TimesNewRomanPSMT"/>
          <w:i/>
          <w:sz w:val="20"/>
          <w:lang w:eastAsia="it-IT"/>
        </w:rPr>
        <w:t xml:space="preserve"> briefing paper</w:t>
      </w:r>
      <w:r>
        <w:rPr>
          <w:rFonts w:ascii="Calibri" w:hAnsi="Calibri" w:cs="TimesNewRomanPSMT"/>
          <w:sz w:val="20"/>
          <w:lang w:eastAsia="it-IT"/>
        </w:rPr>
        <w:t>”, May</w:t>
      </w:r>
      <w:r w:rsidRPr="007E3968">
        <w:rPr>
          <w:rFonts w:ascii="Calibri" w:hAnsi="Calibri" w:cs="TimesNewRomanPSMT"/>
          <w:sz w:val="20"/>
          <w:lang w:eastAsia="it-IT"/>
        </w:rPr>
        <w:t xml:space="preserve"> 2013</w:t>
      </w:r>
    </w:p>
    <w:p w:rsidR="006E6AAA" w:rsidRPr="00500052" w:rsidRDefault="006E6AAA" w:rsidP="006E6AAA">
      <w:pPr>
        <w:pStyle w:val="FootnoteText"/>
        <w:jc w:val="both"/>
        <w:rPr>
          <w:lang w:val="en-US"/>
        </w:rPr>
      </w:pPr>
    </w:p>
  </w:footnote>
  <w:footnote w:id="154">
    <w:p w:rsidR="006E6AAA" w:rsidRPr="001B2F0C" w:rsidRDefault="006E6AAA" w:rsidP="006E6AAA">
      <w:pPr>
        <w:jc w:val="both"/>
        <w:rPr>
          <w:rFonts w:ascii="Calibri" w:hAnsi="Calibri"/>
          <w:sz w:val="20"/>
          <w:szCs w:val="20"/>
          <w:lang w:val="fr-FR"/>
        </w:rPr>
      </w:pPr>
      <w:r w:rsidRPr="001B2F0C">
        <w:rPr>
          <w:rStyle w:val="FootnoteReference"/>
          <w:rFonts w:ascii="Calibri" w:hAnsi="Calibri"/>
          <w:sz w:val="20"/>
          <w:szCs w:val="20"/>
        </w:rPr>
        <w:footnoteRef/>
      </w:r>
      <w:r w:rsidRPr="001B2F0C">
        <w:rPr>
          <w:rFonts w:ascii="Calibri" w:hAnsi="Calibri"/>
          <w:sz w:val="20"/>
          <w:szCs w:val="20"/>
        </w:rPr>
        <w:t xml:space="preserve"> Dans le cadre de la présente évaluation les audiences foraines sont définies comme « des audiences judiciaires tenues par un Tribunal dans son ressort géographique mais en dehors de son siège ordinaire, normalement dans des localités éloignées où les services de justice ne sont pas disponibles».</w:t>
      </w:r>
    </w:p>
  </w:footnote>
  <w:footnote w:id="15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Voire la liste des documents consulté</w:t>
      </w:r>
      <w:r>
        <w:rPr>
          <w:rFonts w:ascii="Calibri" w:hAnsi="Calibri"/>
        </w:rPr>
        <w:t>s</w:t>
      </w:r>
      <w:r w:rsidRPr="005465C4">
        <w:rPr>
          <w:rFonts w:ascii="Calibri" w:hAnsi="Calibri"/>
        </w:rPr>
        <w:t xml:space="preserve"> (Annexe 1)</w:t>
      </w:r>
    </w:p>
  </w:footnote>
  <w:footnote w:id="15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Voir la lis</w:t>
      </w:r>
      <w:r>
        <w:rPr>
          <w:rFonts w:ascii="Calibri" w:hAnsi="Calibri"/>
        </w:rPr>
        <w:t>te des personnes rencontrées (A</w:t>
      </w:r>
      <w:r w:rsidRPr="005465C4">
        <w:rPr>
          <w:rFonts w:ascii="Calibri" w:hAnsi="Calibri"/>
        </w:rPr>
        <w:t>nnexe</w:t>
      </w:r>
      <w:r>
        <w:rPr>
          <w:rFonts w:ascii="Calibri" w:hAnsi="Calibri"/>
        </w:rPr>
        <w:t xml:space="preserve"> 2)</w:t>
      </w:r>
    </w:p>
  </w:footnote>
  <w:footnote w:id="157">
    <w:p w:rsidR="006E6AAA" w:rsidRPr="00810D08" w:rsidRDefault="006E6AAA" w:rsidP="006E6AAA">
      <w:pPr>
        <w:pStyle w:val="FootnoteText"/>
        <w:rPr>
          <w:rFonts w:ascii="Calibri" w:hAnsi="Calibri"/>
        </w:rPr>
      </w:pPr>
      <w:r w:rsidRPr="00810D08">
        <w:rPr>
          <w:rStyle w:val="FootnoteReference"/>
          <w:rFonts w:ascii="Calibri" w:hAnsi="Calibri"/>
        </w:rPr>
        <w:footnoteRef/>
      </w:r>
      <w:r w:rsidRPr="00810D08">
        <w:rPr>
          <w:rFonts w:ascii="Calibri" w:hAnsi="Calibri"/>
        </w:rPr>
        <w:t xml:space="preserve"> Pour une description du mandat des ces structures voir la note n. 41.</w:t>
      </w:r>
    </w:p>
  </w:footnote>
  <w:footnote w:id="158">
    <w:p w:rsidR="006E6AAA" w:rsidRPr="005465C4" w:rsidRDefault="006E6AAA" w:rsidP="006E6AAA">
      <w:pPr>
        <w:pStyle w:val="FootnoteText"/>
        <w:rPr>
          <w:rFonts w:ascii="Calibri" w:hAnsi="Calibri"/>
          <w:lang w:val="en-US"/>
        </w:rPr>
      </w:pPr>
      <w:r w:rsidRPr="005465C4">
        <w:rPr>
          <w:rStyle w:val="FootnoteReference"/>
          <w:rFonts w:ascii="Calibri" w:hAnsi="Calibri"/>
        </w:rPr>
        <w:footnoteRef/>
      </w:r>
      <w:r w:rsidRPr="005465C4">
        <w:rPr>
          <w:rFonts w:ascii="Calibri" w:hAnsi="Calibri"/>
          <w:lang w:val="en-US"/>
        </w:rPr>
        <w:t xml:space="preserve"> </w:t>
      </w:r>
      <w:r>
        <w:rPr>
          <w:rFonts w:ascii="Calibri" w:hAnsi="Calibri"/>
          <w:lang w:val="en-US"/>
        </w:rPr>
        <w:t>Voir par exemple les</w:t>
      </w:r>
      <w:r w:rsidRPr="005465C4">
        <w:rPr>
          <w:rFonts w:ascii="Calibri" w:hAnsi="Calibri"/>
          <w:lang w:val="en-US"/>
        </w:rPr>
        <w:t xml:space="preserve"> “</w:t>
      </w:r>
      <w:r w:rsidRPr="005465C4">
        <w:rPr>
          <w:rFonts w:ascii="Calibri" w:hAnsi="Calibri"/>
          <w:i/>
          <w:lang w:val="en-US"/>
        </w:rPr>
        <w:t xml:space="preserve">Letter of Agreement between UNDP and the Judiciary of </w:t>
      </w:r>
      <w:smartTag w:uri="urn:schemas-microsoft-com:office:smarttags" w:element="place">
        <w:smartTag w:uri="urn:schemas-microsoft-com:office:smarttags" w:element="country-region">
          <w:r w:rsidRPr="005465C4">
            <w:rPr>
              <w:rFonts w:ascii="Calibri" w:hAnsi="Calibri"/>
              <w:i/>
              <w:lang w:val="en-US"/>
            </w:rPr>
            <w:t>Sierra Leone</w:t>
          </w:r>
        </w:smartTag>
      </w:smartTag>
      <w:r w:rsidRPr="005465C4">
        <w:rPr>
          <w:rFonts w:ascii="Calibri" w:hAnsi="Calibri"/>
          <w:i/>
          <w:lang w:val="en-US"/>
        </w:rPr>
        <w:t xml:space="preserve"> regarding itinerant courts</w:t>
      </w:r>
      <w:r w:rsidRPr="005465C4">
        <w:rPr>
          <w:rFonts w:ascii="Calibri" w:hAnsi="Calibri"/>
          <w:lang w:val="en-US"/>
        </w:rPr>
        <w:t>”, 2010 and 2012.</w:t>
      </w:r>
    </w:p>
  </w:footnote>
  <w:footnote w:id="159">
    <w:p w:rsidR="006E6AAA" w:rsidRPr="00810D08" w:rsidRDefault="006E6AAA" w:rsidP="006E6AAA">
      <w:pPr>
        <w:pStyle w:val="FootnoteText"/>
        <w:rPr>
          <w:rFonts w:ascii="Calibri" w:hAnsi="Calibri"/>
        </w:rPr>
      </w:pPr>
      <w:r w:rsidRPr="00810D08">
        <w:rPr>
          <w:rStyle w:val="FootnoteReference"/>
          <w:rFonts w:ascii="Calibri" w:hAnsi="Calibri"/>
        </w:rPr>
        <w:footnoteRef/>
      </w:r>
      <w:r w:rsidRPr="00810D08">
        <w:rPr>
          <w:rFonts w:ascii="Calibri" w:hAnsi="Calibri"/>
        </w:rPr>
        <w:t xml:space="preserve"> Pour une description des</w:t>
      </w:r>
      <w:r>
        <w:rPr>
          <w:rFonts w:ascii="Calibri" w:hAnsi="Calibri"/>
        </w:rPr>
        <w:t xml:space="preserve"> activités préliminaires voir</w:t>
      </w:r>
      <w:r w:rsidRPr="00810D08">
        <w:rPr>
          <w:rFonts w:ascii="Calibri" w:hAnsi="Calibri"/>
        </w:rPr>
        <w:t xml:space="preserve"> § 5.1</w:t>
      </w:r>
    </w:p>
  </w:footnote>
  <w:footnote w:id="160">
    <w:p w:rsidR="006E6AAA" w:rsidRPr="005465C4" w:rsidRDefault="006E6AAA" w:rsidP="006E6AAA">
      <w:pPr>
        <w:autoSpaceDE w:val="0"/>
        <w:autoSpaceDN w:val="0"/>
        <w:adjustRightInd w:val="0"/>
        <w:rPr>
          <w:rFonts w:ascii="Calibri" w:hAnsi="Calibri"/>
          <w:sz w:val="20"/>
          <w:szCs w:val="20"/>
        </w:rPr>
      </w:pPr>
      <w:r w:rsidRPr="005465C4">
        <w:rPr>
          <w:rStyle w:val="FootnoteReference"/>
          <w:rFonts w:ascii="Calibri" w:hAnsi="Calibri"/>
          <w:sz w:val="20"/>
          <w:szCs w:val="20"/>
        </w:rPr>
        <w:footnoteRef/>
      </w:r>
      <w:r w:rsidRPr="005465C4">
        <w:rPr>
          <w:rFonts w:ascii="Calibri" w:hAnsi="Calibri"/>
          <w:sz w:val="20"/>
          <w:szCs w:val="20"/>
        </w:rPr>
        <w:t xml:space="preserve"> Voir par exemple : Amnesty International, « </w:t>
      </w:r>
      <w:r w:rsidRPr="005465C4">
        <w:rPr>
          <w:rFonts w:ascii="Calibri" w:hAnsi="Calibri"/>
          <w:i/>
          <w:sz w:val="20"/>
          <w:szCs w:val="20"/>
        </w:rPr>
        <w:t xml:space="preserve">The time for justice is now: New strategy needed in the </w:t>
      </w:r>
      <w:smartTag w:uri="urn:schemas-microsoft-com:office:smarttags" w:element="place">
        <w:smartTag w:uri="urn:schemas-microsoft-com:office:smarttags" w:element="country-region">
          <w:r w:rsidRPr="005465C4">
            <w:rPr>
              <w:rFonts w:ascii="Calibri" w:hAnsi="Calibri"/>
              <w:i/>
              <w:sz w:val="20"/>
              <w:szCs w:val="20"/>
            </w:rPr>
            <w:t>Democratic Republic of the Congo</w:t>
          </w:r>
        </w:smartTag>
      </w:smartTag>
      <w:r w:rsidRPr="005465C4">
        <w:rPr>
          <w:rFonts w:ascii="Calibri" w:hAnsi="Calibri"/>
          <w:sz w:val="20"/>
          <w:szCs w:val="20"/>
        </w:rPr>
        <w:t>”, 2011</w:t>
      </w:r>
    </w:p>
  </w:footnote>
  <w:footnote w:id="161">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Pour des cartes avec la répartition géographique des juridictions dans l’est de la RDC, voir le rapport PNUD « M</w:t>
      </w:r>
      <w:r>
        <w:rPr>
          <w:rFonts w:ascii="Calibri" w:hAnsi="Calibri"/>
        </w:rPr>
        <w:t xml:space="preserve">onitoring Judiciaire 2010-2011, </w:t>
      </w:r>
      <w:r w:rsidRPr="005465C4">
        <w:rPr>
          <w:rFonts w:ascii="Calibri" w:hAnsi="Calibri"/>
          <w:i/>
        </w:rPr>
        <w:t>infra</w:t>
      </w:r>
      <w:r>
        <w:rPr>
          <w:rFonts w:ascii="Calibri" w:hAnsi="Calibri"/>
        </w:rPr>
        <w:t xml:space="preserve"> n.13</w:t>
      </w:r>
      <w:r w:rsidRPr="005465C4">
        <w:rPr>
          <w:rFonts w:ascii="Calibri" w:hAnsi="Calibri"/>
        </w:rPr>
        <w:t xml:space="preserve">. </w:t>
      </w:r>
    </w:p>
  </w:footnote>
  <w:footnote w:id="162">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Dans l’est de la RDC le Tribunal pour Enfants est opérationnel à Goma et à Bunia</w:t>
      </w:r>
    </w:p>
  </w:footnote>
  <w:footnote w:id="163">
    <w:p w:rsidR="006E6AAA" w:rsidRPr="00D36D4C" w:rsidRDefault="006E6AAA" w:rsidP="006E6AAA">
      <w:pPr>
        <w:pStyle w:val="FootnoteText"/>
      </w:pPr>
      <w:r>
        <w:rPr>
          <w:rStyle w:val="FootnoteReference"/>
        </w:rPr>
        <w:footnoteRef/>
      </w:r>
      <w:r>
        <w:t xml:space="preserve"> </w:t>
      </w:r>
      <w:r w:rsidRPr="005465C4">
        <w:rPr>
          <w:rFonts w:ascii="Calibri" w:hAnsi="Calibri"/>
        </w:rPr>
        <w:t>Titre II  de la loi N° 024/2002 du 18 novembre 2002 portant code pénal militaire congolais</w:t>
      </w:r>
    </w:p>
  </w:footnote>
  <w:footnote w:id="164">
    <w:p w:rsidR="006E6AAA" w:rsidRPr="00E23F43" w:rsidRDefault="006E6AAA" w:rsidP="006E6AAA">
      <w:pPr>
        <w:pStyle w:val="FootnoteText"/>
        <w:rPr>
          <w:rFonts w:ascii="Calibri" w:eastAsia="DFKai-SB" w:hAnsi="Calibri"/>
        </w:rPr>
      </w:pPr>
      <w:r w:rsidRPr="00A37E96">
        <w:rPr>
          <w:rStyle w:val="FootnoteReference"/>
          <w:rFonts w:ascii="Calibri" w:eastAsia="DFKai-SB" w:hAnsi="Calibri"/>
        </w:rPr>
        <w:footnoteRef/>
      </w:r>
      <w:r w:rsidRPr="00A37E96">
        <w:rPr>
          <w:rFonts w:ascii="Calibri" w:eastAsia="DFKai-SB" w:hAnsi="Calibri"/>
        </w:rPr>
        <w:t xml:space="preserve"> Article 91 de la </w:t>
      </w:r>
      <w:r w:rsidRPr="00E23F43">
        <w:rPr>
          <w:rFonts w:ascii="Calibri" w:eastAsia="DFKai-SB" w:hAnsi="Calibri"/>
        </w:rPr>
        <w:t>loi organique n.13/011-B</w:t>
      </w:r>
      <w:r>
        <w:rPr>
          <w:rFonts w:ascii="Calibri" w:eastAsia="DFKai-SB" w:hAnsi="Calibri"/>
        </w:rPr>
        <w:t xml:space="preserve"> du 13 Avril 2013 portant «</w:t>
      </w:r>
      <w:r w:rsidRPr="00E23F43">
        <w:rPr>
          <w:rFonts w:ascii="Calibri" w:eastAsia="DFKai-SB" w:hAnsi="Calibri"/>
          <w:i/>
        </w:rPr>
        <w:t>organisation fonctionnement et compétences des juridictions de l’ordre judiciaire </w:t>
      </w:r>
      <w:r w:rsidRPr="00E23F43">
        <w:rPr>
          <w:rFonts w:ascii="Calibri" w:eastAsia="DFKai-SB" w:hAnsi="Calibri"/>
        </w:rPr>
        <w:t>»</w:t>
      </w:r>
    </w:p>
  </w:footnote>
  <w:footnote w:id="16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ORDONNANCE-LOI 82-020 portant « </w:t>
      </w:r>
      <w:r w:rsidRPr="005465C4">
        <w:rPr>
          <w:rFonts w:ascii="Calibri" w:hAnsi="Calibri"/>
          <w:i/>
        </w:rPr>
        <w:t>Code de l'organisation et de la compétence judiciaires</w:t>
      </w:r>
      <w:r w:rsidRPr="005465C4">
        <w:rPr>
          <w:rFonts w:ascii="Calibri" w:hAnsi="Calibri"/>
        </w:rPr>
        <w:t> ».</w:t>
      </w:r>
    </w:p>
  </w:footnote>
  <w:footnote w:id="166">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PNUD, « </w:t>
      </w:r>
      <w:r w:rsidRPr="005465C4">
        <w:rPr>
          <w:rFonts w:ascii="Calibri" w:hAnsi="Calibri"/>
          <w:i/>
          <w:sz w:val="20"/>
          <w:szCs w:val="20"/>
          <w:lang w:val="fr-FR"/>
        </w:rPr>
        <w:t>Monitoring judiciaire 2010-2011. Rapport sur les données relatives à la réponse judiciaire aux cas de violences sexuelles à l’Est de la République démocratique du Congo</w:t>
      </w:r>
      <w:r w:rsidRPr="005465C4">
        <w:rPr>
          <w:rFonts w:ascii="Calibri" w:hAnsi="Calibri"/>
          <w:sz w:val="20"/>
          <w:szCs w:val="20"/>
          <w:lang w:val="fr-FR"/>
        </w:rPr>
        <w:t> », 2010</w:t>
      </w:r>
    </w:p>
  </w:footnote>
  <w:footnote w:id="167">
    <w:p w:rsidR="006E6AAA" w:rsidRPr="005465C4" w:rsidRDefault="006E6AAA" w:rsidP="006E6AAA">
      <w:pPr>
        <w:pStyle w:val="FootnoteText"/>
        <w:rPr>
          <w:rFonts w:ascii="Calibri" w:hAnsi="Calibri"/>
        </w:rPr>
      </w:pPr>
      <w:r w:rsidRPr="005465C4">
        <w:rPr>
          <w:rStyle w:val="FootnoteReference"/>
          <w:rFonts w:ascii="Calibri" w:hAnsi="Calibri"/>
        </w:rPr>
        <w:footnoteRef/>
      </w:r>
      <w:r>
        <w:rPr>
          <w:rFonts w:ascii="Calibri" w:hAnsi="Calibri"/>
        </w:rPr>
        <w:t xml:space="preserve"> Art 86, </w:t>
      </w:r>
      <w:r w:rsidRPr="005465C4">
        <w:rPr>
          <w:rFonts w:ascii="Calibri" w:hAnsi="Calibri"/>
        </w:rPr>
        <w:t>ORDONNANCE-LOI 82-020 portant « </w:t>
      </w:r>
      <w:r w:rsidRPr="005465C4">
        <w:rPr>
          <w:rFonts w:ascii="Calibri" w:hAnsi="Calibri"/>
          <w:i/>
        </w:rPr>
        <w:t>Code de l'organisation et de la compétence judiciaires</w:t>
      </w:r>
      <w:r w:rsidRPr="005465C4">
        <w:rPr>
          <w:rFonts w:ascii="Calibri" w:hAnsi="Calibri"/>
        </w:rPr>
        <w:t> ».</w:t>
      </w:r>
    </w:p>
  </w:footnote>
  <w:footnote w:id="168">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 170 (viol), Code pénal congolais, modifié par la Loi no 06/018 du 20 juillet 2006</w:t>
      </w:r>
    </w:p>
  </w:footnote>
  <w:footnote w:id="169">
    <w:p w:rsidR="006E6AAA" w:rsidRPr="00810D08" w:rsidRDefault="006E6AAA" w:rsidP="006E6AAA">
      <w:pPr>
        <w:pStyle w:val="FootnoteText"/>
        <w:rPr>
          <w:rFonts w:ascii="Calibri" w:hAnsi="Calibri"/>
        </w:rPr>
      </w:pPr>
      <w:r w:rsidRPr="005465C4">
        <w:rPr>
          <w:rStyle w:val="FootnoteReference"/>
          <w:rFonts w:ascii="Calibri" w:hAnsi="Calibri"/>
        </w:rPr>
        <w:footnoteRef/>
      </w:r>
      <w:r w:rsidRPr="00810D08">
        <w:rPr>
          <w:rFonts w:ascii="Calibri" w:hAnsi="Calibri"/>
        </w:rPr>
        <w:t xml:space="preserve"> Art 91, </w:t>
      </w:r>
      <w:r w:rsidRPr="005465C4">
        <w:rPr>
          <w:rFonts w:ascii="Calibri" w:hAnsi="Calibri"/>
        </w:rPr>
        <w:t>ORDONNANCE-LOI 82-020 portant « </w:t>
      </w:r>
      <w:r w:rsidRPr="005465C4">
        <w:rPr>
          <w:rFonts w:ascii="Calibri" w:hAnsi="Calibri"/>
          <w:i/>
        </w:rPr>
        <w:t>Code de l'organisation et de la compétence judiciaires</w:t>
      </w:r>
      <w:r>
        <w:rPr>
          <w:rFonts w:ascii="Calibri" w:hAnsi="Calibri"/>
        </w:rPr>
        <w:t> »</w:t>
      </w:r>
    </w:p>
  </w:footnote>
  <w:footnote w:id="170">
    <w:p w:rsidR="006E6AAA" w:rsidRPr="00810D08" w:rsidRDefault="006E6AAA" w:rsidP="006E6AAA">
      <w:pPr>
        <w:pStyle w:val="FootnoteText"/>
        <w:rPr>
          <w:rFonts w:ascii="Calibri" w:hAnsi="Calibri"/>
        </w:rPr>
      </w:pPr>
      <w:r w:rsidRPr="005465C4">
        <w:rPr>
          <w:rStyle w:val="FootnoteReference"/>
          <w:rFonts w:ascii="Calibri" w:hAnsi="Calibri"/>
        </w:rPr>
        <w:footnoteRef/>
      </w:r>
      <w:r w:rsidRPr="00810D08">
        <w:rPr>
          <w:rFonts w:ascii="Calibri" w:hAnsi="Calibri"/>
        </w:rPr>
        <w:t xml:space="preserve"> Art 92, </w:t>
      </w:r>
      <w:r w:rsidRPr="005465C4">
        <w:rPr>
          <w:rFonts w:ascii="Calibri" w:hAnsi="Calibri"/>
        </w:rPr>
        <w:t>ORDONNANCE-LOI 82-020 portant « </w:t>
      </w:r>
      <w:r w:rsidRPr="005465C4">
        <w:rPr>
          <w:rFonts w:ascii="Calibri" w:hAnsi="Calibri"/>
          <w:i/>
        </w:rPr>
        <w:t>Code de l'organisation et de la compétence judiciaires</w:t>
      </w:r>
      <w:r>
        <w:rPr>
          <w:rFonts w:ascii="Calibri" w:hAnsi="Calibri"/>
        </w:rPr>
        <w:t> »</w:t>
      </w:r>
    </w:p>
  </w:footnote>
  <w:footnote w:id="171">
    <w:p w:rsidR="006E6AAA" w:rsidRPr="00810D08" w:rsidRDefault="006E6AAA" w:rsidP="006E6AAA">
      <w:pPr>
        <w:pStyle w:val="FootnoteText"/>
        <w:rPr>
          <w:rFonts w:ascii="Calibri" w:hAnsi="Calibri"/>
        </w:rPr>
      </w:pPr>
      <w:r w:rsidRPr="005465C4">
        <w:rPr>
          <w:rStyle w:val="FootnoteReference"/>
          <w:rFonts w:ascii="Calibri" w:hAnsi="Calibri"/>
        </w:rPr>
        <w:footnoteRef/>
      </w:r>
      <w:r w:rsidRPr="00810D08">
        <w:rPr>
          <w:rFonts w:ascii="Calibri" w:hAnsi="Calibri"/>
        </w:rPr>
        <w:t xml:space="preserve"> Art 68, </w:t>
      </w:r>
      <w:r w:rsidRPr="005465C4">
        <w:rPr>
          <w:rFonts w:ascii="Calibri" w:hAnsi="Calibri"/>
        </w:rPr>
        <w:t>ORDONNANCE-LOI 82-020 portant « </w:t>
      </w:r>
      <w:r w:rsidRPr="005465C4">
        <w:rPr>
          <w:rFonts w:ascii="Calibri" w:hAnsi="Calibri"/>
          <w:i/>
        </w:rPr>
        <w:t>Code de l'organisation et de la compétence judiciaires</w:t>
      </w:r>
      <w:r>
        <w:rPr>
          <w:rFonts w:ascii="Calibri" w:hAnsi="Calibri"/>
        </w:rPr>
        <w:t> »</w:t>
      </w:r>
    </w:p>
  </w:footnote>
  <w:footnote w:id="172">
    <w:p w:rsidR="006E6AAA" w:rsidRPr="00810D08" w:rsidRDefault="006E6AAA" w:rsidP="006E6AAA">
      <w:pPr>
        <w:pStyle w:val="FootnoteText"/>
        <w:rPr>
          <w:rFonts w:ascii="Calibri" w:hAnsi="Calibri"/>
        </w:rPr>
      </w:pPr>
      <w:r w:rsidRPr="005465C4">
        <w:rPr>
          <w:rStyle w:val="FootnoteReference"/>
          <w:rFonts w:ascii="Calibri" w:hAnsi="Calibri"/>
        </w:rPr>
        <w:footnoteRef/>
      </w:r>
      <w:r>
        <w:rPr>
          <w:rFonts w:ascii="Calibri" w:hAnsi="Calibri"/>
        </w:rPr>
        <w:t xml:space="preserve"> Art 94, </w:t>
      </w:r>
      <w:r w:rsidRPr="005465C4">
        <w:rPr>
          <w:rFonts w:ascii="Calibri" w:hAnsi="Calibri"/>
        </w:rPr>
        <w:t>ORDONNANCE-LOI 82-020 portant « </w:t>
      </w:r>
      <w:r w:rsidRPr="005465C4">
        <w:rPr>
          <w:rFonts w:ascii="Calibri" w:hAnsi="Calibri"/>
          <w:i/>
        </w:rPr>
        <w:t>Code de l'organisation et de la compétence judiciaires</w:t>
      </w:r>
      <w:r>
        <w:rPr>
          <w:rFonts w:ascii="Calibri" w:hAnsi="Calibri"/>
        </w:rPr>
        <w:t> »</w:t>
      </w:r>
    </w:p>
  </w:footnote>
  <w:footnote w:id="173">
    <w:p w:rsidR="006E6AAA" w:rsidRPr="005465C4" w:rsidRDefault="006E6AAA" w:rsidP="006E6AAA">
      <w:pPr>
        <w:pStyle w:val="FootnoteText"/>
        <w:rPr>
          <w:rFonts w:ascii="Calibri" w:hAnsi="Calibri"/>
        </w:rPr>
      </w:pPr>
      <w:r w:rsidRPr="005465C4">
        <w:rPr>
          <w:rStyle w:val="FootnoteReference"/>
          <w:rFonts w:ascii="Calibri" w:hAnsi="Calibri"/>
        </w:rPr>
        <w:footnoteRef/>
      </w:r>
      <w:r>
        <w:rPr>
          <w:rFonts w:ascii="Calibri" w:hAnsi="Calibri"/>
        </w:rPr>
        <w:t xml:space="preserve"> Art 36, </w:t>
      </w:r>
      <w:r w:rsidRPr="005465C4">
        <w:rPr>
          <w:rFonts w:ascii="Calibri" w:hAnsi="Calibri"/>
        </w:rPr>
        <w:t>ORDONNANCE-LOI 82-020 portant « </w:t>
      </w:r>
      <w:r w:rsidRPr="005465C4">
        <w:rPr>
          <w:rFonts w:ascii="Calibri" w:hAnsi="Calibri"/>
          <w:i/>
        </w:rPr>
        <w:t>Code de l'organisation et de la compétence judiciaires</w:t>
      </w:r>
      <w:r w:rsidRPr="005465C4">
        <w:rPr>
          <w:rFonts w:ascii="Calibri" w:hAnsi="Calibri"/>
        </w:rPr>
        <w:t> ».</w:t>
      </w:r>
    </w:p>
  </w:footnote>
  <w:footnote w:id="174">
    <w:p w:rsidR="006E6AAA" w:rsidRPr="009A520F" w:rsidRDefault="006E6AAA" w:rsidP="006E6AAA">
      <w:pPr>
        <w:pStyle w:val="Default"/>
        <w:rPr>
          <w:rFonts w:ascii="Calibri" w:hAnsi="Calibri" w:cs="Book Antiqua"/>
          <w:sz w:val="20"/>
          <w:szCs w:val="20"/>
          <w:lang w:val="fr-FR"/>
        </w:rPr>
      </w:pPr>
      <w:r w:rsidRPr="00E920E9">
        <w:rPr>
          <w:rStyle w:val="FootnoteReference"/>
          <w:rFonts w:ascii="Calibri" w:hAnsi="Calibri"/>
          <w:sz w:val="20"/>
          <w:szCs w:val="20"/>
        </w:rPr>
        <w:footnoteRef/>
      </w:r>
      <w:r>
        <w:rPr>
          <w:rFonts w:ascii="Calibri" w:hAnsi="Calibri"/>
          <w:sz w:val="20"/>
          <w:szCs w:val="20"/>
          <w:lang w:val="fr-FR"/>
        </w:rPr>
        <w:t xml:space="preserve"> Section 4 (Du p</w:t>
      </w:r>
      <w:r w:rsidRPr="009A520F">
        <w:rPr>
          <w:rFonts w:ascii="Calibri" w:hAnsi="Calibri"/>
          <w:sz w:val="20"/>
          <w:szCs w:val="20"/>
          <w:lang w:val="fr-FR"/>
        </w:rPr>
        <w:t>ouvoir judiciaire) de la Constitution de la RDC, modifiée par Loi no 11/002 du 20 janvier 2011.</w:t>
      </w:r>
    </w:p>
  </w:footnote>
  <w:footnote w:id="175">
    <w:p w:rsidR="006E6AAA" w:rsidRPr="009A520F" w:rsidRDefault="006E6AAA" w:rsidP="006E6AAA">
      <w:pPr>
        <w:pStyle w:val="Default"/>
        <w:rPr>
          <w:rFonts w:ascii="Calibri" w:hAnsi="Calibri" w:cs="Book Antiqua"/>
          <w:sz w:val="20"/>
          <w:szCs w:val="20"/>
          <w:lang w:val="fr-FR"/>
        </w:rPr>
      </w:pPr>
      <w:r w:rsidRPr="009A520F">
        <w:rPr>
          <w:rStyle w:val="FootnoteReference"/>
          <w:rFonts w:ascii="Calibri" w:hAnsi="Calibri"/>
          <w:sz w:val="20"/>
          <w:szCs w:val="20"/>
        </w:rPr>
        <w:footnoteRef/>
      </w:r>
      <w:r w:rsidRPr="009A520F">
        <w:rPr>
          <w:rFonts w:ascii="Calibri" w:hAnsi="Calibri"/>
          <w:sz w:val="20"/>
          <w:szCs w:val="20"/>
          <w:lang w:val="fr-FR"/>
        </w:rPr>
        <w:t xml:space="preserve"> Loi 023/2002 du 18 novembre 2002 portant « </w:t>
      </w:r>
      <w:r w:rsidRPr="009A520F">
        <w:rPr>
          <w:rFonts w:ascii="Calibri" w:hAnsi="Calibri"/>
          <w:i/>
          <w:sz w:val="20"/>
          <w:szCs w:val="20"/>
          <w:lang w:val="fr-FR"/>
        </w:rPr>
        <w:t>code judiciaire militaire</w:t>
      </w:r>
      <w:r w:rsidRPr="009A520F">
        <w:rPr>
          <w:rFonts w:ascii="Calibri" w:hAnsi="Calibri"/>
          <w:sz w:val="20"/>
          <w:szCs w:val="20"/>
          <w:lang w:val="fr-FR"/>
        </w:rPr>
        <w:t> ».</w:t>
      </w:r>
    </w:p>
  </w:footnote>
  <w:footnote w:id="17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23,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77">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90,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78">
    <w:p w:rsidR="006E6AAA" w:rsidRPr="00FB7ADE" w:rsidRDefault="006E6AAA" w:rsidP="006E6AAA">
      <w:pPr>
        <w:pStyle w:val="FootnoteText"/>
      </w:pPr>
      <w:r>
        <w:rPr>
          <w:rStyle w:val="FootnoteReference"/>
        </w:rPr>
        <w:footnoteRef/>
      </w:r>
      <w:r>
        <w:t xml:space="preserve"> Article 122,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79">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21,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0">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88,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1">
    <w:p w:rsidR="006E6AAA" w:rsidRPr="00D36D4C" w:rsidRDefault="006E6AAA" w:rsidP="006E6AAA">
      <w:pPr>
        <w:pStyle w:val="FootnoteText"/>
      </w:pPr>
      <w:r>
        <w:rPr>
          <w:rStyle w:val="FootnoteReference"/>
        </w:rPr>
        <w:footnoteRef/>
      </w:r>
      <w:r>
        <w:t xml:space="preserve"> Article 122,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2">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12,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3">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84,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4">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Articles 18 </w:t>
      </w:r>
      <w:r>
        <w:rPr>
          <w:rFonts w:ascii="Calibri" w:hAnsi="Calibri"/>
        </w:rPr>
        <w:t xml:space="preserve">et 87,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Articles</w:t>
      </w:r>
      <w:r>
        <w:rPr>
          <w:rFonts w:ascii="Calibri" w:hAnsi="Calibri"/>
        </w:rPr>
        <w:t xml:space="preserve"> 6 et 7, </w:t>
      </w:r>
      <w:r w:rsidRPr="009A520F">
        <w:rPr>
          <w:rFonts w:ascii="Calibri" w:hAnsi="Calibri"/>
        </w:rPr>
        <w:t>Loi 023/2002 du 18 novembre 2002 portant « </w:t>
      </w:r>
      <w:r w:rsidRPr="009A520F">
        <w:rPr>
          <w:rFonts w:ascii="Calibri" w:hAnsi="Calibri"/>
          <w:i/>
        </w:rPr>
        <w:t>code judiciaire militaire</w:t>
      </w:r>
      <w:r w:rsidRPr="009A520F">
        <w:rPr>
          <w:rFonts w:ascii="Calibri" w:hAnsi="Calibri"/>
        </w:rPr>
        <w:t> »</w:t>
      </w:r>
    </w:p>
  </w:footnote>
  <w:footnote w:id="18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Pour un cadre complet des statistiques des AF voir le</w:t>
      </w:r>
      <w:r w:rsidRPr="005465C4">
        <w:rPr>
          <w:rFonts w:ascii="Calibri" w:hAnsi="Calibri"/>
          <w:color w:val="FF0000"/>
        </w:rPr>
        <w:t xml:space="preserve"> </w:t>
      </w:r>
      <w:r>
        <w:rPr>
          <w:rFonts w:ascii="Calibri" w:hAnsi="Calibri"/>
        </w:rPr>
        <w:t>tableau au § 6.2</w:t>
      </w:r>
    </w:p>
  </w:footnote>
  <w:footnote w:id="187">
    <w:p w:rsidR="006E6AAA" w:rsidRPr="005465C4" w:rsidRDefault="006E6AAA" w:rsidP="006E6AAA">
      <w:pPr>
        <w:jc w:val="both"/>
        <w:rPr>
          <w:rFonts w:ascii="Calibri" w:hAnsi="Calibri" w:cs="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Arrêté d’Organisation Judiciaire 299/79 portant règlement intérieur des cours, tribunaux et parquets.</w:t>
      </w:r>
    </w:p>
  </w:footnote>
  <w:footnote w:id="188">
    <w:p w:rsidR="006E6AAA" w:rsidRPr="005465C4" w:rsidRDefault="006E6AAA" w:rsidP="006E6AAA">
      <w:pPr>
        <w:pStyle w:val="FootnoteText"/>
        <w:jc w:val="both"/>
        <w:rPr>
          <w:rFonts w:ascii="Calibri" w:hAnsi="Calibri"/>
          <w:color w:val="FF0000"/>
        </w:rPr>
      </w:pPr>
      <w:r w:rsidRPr="005465C4">
        <w:rPr>
          <w:rStyle w:val="FootnoteReference"/>
          <w:rFonts w:ascii="Calibri" w:hAnsi="Calibri"/>
        </w:rPr>
        <w:footnoteRef/>
      </w:r>
      <w:r w:rsidRPr="005465C4">
        <w:rPr>
          <w:rFonts w:ascii="Calibri" w:hAnsi="Calibri"/>
        </w:rPr>
        <w:t xml:space="preserve"> </w:t>
      </w:r>
      <w:r w:rsidRPr="00E23F43">
        <w:rPr>
          <w:rFonts w:ascii="Calibri" w:hAnsi="Calibri"/>
        </w:rPr>
        <w:t>Voir le Chapitre III de la</w:t>
      </w:r>
      <w:r w:rsidRPr="00886D3D">
        <w:rPr>
          <w:rFonts w:ascii="Calibri" w:hAnsi="Calibri"/>
        </w:rPr>
        <w:t xml:space="preserve"> Loi 023/2002 du 18 novembre 2002 portant « </w:t>
      </w:r>
      <w:r w:rsidRPr="00886D3D">
        <w:rPr>
          <w:rFonts w:ascii="Calibri" w:hAnsi="Calibri"/>
          <w:i/>
        </w:rPr>
        <w:t>code judiciaire militaire</w:t>
      </w:r>
      <w:r w:rsidRPr="00886D3D">
        <w:rPr>
          <w:rFonts w:ascii="Calibri" w:hAnsi="Calibri"/>
        </w:rPr>
        <w:t> ». Par e</w:t>
      </w:r>
      <w:r>
        <w:rPr>
          <w:rFonts w:ascii="Calibri" w:hAnsi="Calibri"/>
        </w:rPr>
        <w:t>xemple p</w:t>
      </w:r>
      <w:r w:rsidRPr="00886D3D">
        <w:rPr>
          <w:rFonts w:ascii="Calibri" w:hAnsi="Calibri"/>
        </w:rPr>
        <w:t>our la CM l’Article 13 établit que « </w:t>
      </w:r>
      <w:r w:rsidRPr="00886D3D">
        <w:rPr>
          <w:rFonts w:ascii="Calibri" w:hAnsi="Calibri" w:cs="JBFLLP+ArialNarrow"/>
          <w:i/>
          <w:color w:val="000000"/>
        </w:rPr>
        <w:t>La Cour Militaire peut se réunir en tous lieux de son ressort</w:t>
      </w:r>
      <w:r w:rsidRPr="00886D3D">
        <w:rPr>
          <w:rFonts w:ascii="Calibri" w:hAnsi="Calibri" w:cs="JBFLLP+ArialNarrow"/>
          <w:color w:val="000000"/>
        </w:rPr>
        <w:t xml:space="preserve"> ». </w:t>
      </w:r>
      <w:r w:rsidRPr="00886D3D">
        <w:rPr>
          <w:rFonts w:ascii="Calibri" w:hAnsi="Calibri"/>
          <w:color w:val="FF0000"/>
        </w:rPr>
        <w:t xml:space="preserve"> </w:t>
      </w:r>
    </w:p>
  </w:footnote>
  <w:footnote w:id="189">
    <w:p w:rsidR="006E6AAA" w:rsidRPr="00C21710" w:rsidRDefault="006E6AAA" w:rsidP="006E6AAA">
      <w:pPr>
        <w:pStyle w:val="FootnoteText"/>
        <w:jc w:val="both"/>
      </w:pPr>
      <w:r>
        <w:rPr>
          <w:rStyle w:val="FootnoteReference"/>
        </w:rPr>
        <w:footnoteRef/>
      </w:r>
      <w:r>
        <w:t xml:space="preserve"> </w:t>
      </w:r>
      <w:r w:rsidRPr="00E23F43">
        <w:rPr>
          <w:rFonts w:ascii="Calibri" w:eastAsia="DFKai-SB" w:hAnsi="Calibri"/>
        </w:rPr>
        <w:t>Loi n.13/011-B du 13 Avril 2013 portant « </w:t>
      </w:r>
      <w:r w:rsidRPr="00E23F43">
        <w:rPr>
          <w:rFonts w:ascii="Calibri" w:eastAsia="DFKai-SB" w:hAnsi="Calibri"/>
          <w:i/>
        </w:rPr>
        <w:t>organisation fonctionnement et compétences des juridictions de l’ordre judiciaire</w:t>
      </w:r>
      <w:r w:rsidRPr="00E23F43">
        <w:rPr>
          <w:rFonts w:ascii="Calibri" w:eastAsia="DFKai-SB" w:hAnsi="Calibri"/>
        </w:rPr>
        <w:t> ». Les articles suivants traitent de la justice itinérante : «</w:t>
      </w:r>
      <w:r>
        <w:rPr>
          <w:rFonts w:ascii="Calibri" w:eastAsia="DFKai-SB" w:hAnsi="Calibri"/>
          <w:color w:val="FF0000"/>
        </w:rPr>
        <w:t> </w:t>
      </w:r>
      <w:r>
        <w:t> </w:t>
      </w:r>
      <w:r w:rsidRPr="00C21710">
        <w:rPr>
          <w:b/>
          <w:i/>
        </w:rPr>
        <w:t>Article 45</w:t>
      </w:r>
      <w:r w:rsidRPr="00C21710">
        <w:rPr>
          <w:i/>
        </w:rPr>
        <w:t xml:space="preserve"> : s’ils l’estiment nécessaire pour la bonne administration de la justice, les courts et les tribunaux peuvent siéger dans toutes les localités de leur ressort ». </w:t>
      </w:r>
      <w:r w:rsidRPr="00C21710">
        <w:rPr>
          <w:b/>
          <w:i/>
        </w:rPr>
        <w:t>Article 46</w:t>
      </w:r>
      <w:r w:rsidRPr="00C21710">
        <w:rPr>
          <w:i/>
        </w:rPr>
        <w:t xml:space="preserve"> : le Ministre ayant la justice dans ses attributions peut établir pour toutes les juridictions des sièges secondaires dans la même localité ou les localités de leur ressort autres que celles ou sont établis leur sièges ordinaires (..) </w:t>
      </w:r>
      <w:r w:rsidRPr="00C21710">
        <w:rPr>
          <w:b/>
          <w:i/>
        </w:rPr>
        <w:t>Article 47</w:t>
      </w:r>
      <w:r w:rsidRPr="00C21710">
        <w:rPr>
          <w:i/>
        </w:rPr>
        <w:t> : l’itinérance ne peut empêcher le fonctionnement de la juridiction au siège ordinaire</w:t>
      </w:r>
      <w:r>
        <w:rPr>
          <w:i/>
        </w:rPr>
        <w:t> »</w:t>
      </w:r>
    </w:p>
  </w:footnote>
  <w:footnote w:id="190">
    <w:p w:rsidR="006E6AAA" w:rsidRPr="005465C4" w:rsidRDefault="006E6AAA" w:rsidP="006E6AAA">
      <w:pPr>
        <w:pStyle w:val="FootnoteText"/>
        <w:jc w:val="both"/>
        <w:rPr>
          <w:rFonts w:ascii="Calibri" w:hAnsi="Calibri"/>
        </w:rPr>
      </w:pPr>
      <w:r w:rsidRPr="005465C4">
        <w:rPr>
          <w:rStyle w:val="FootnoteReference"/>
          <w:rFonts w:ascii="Calibri" w:hAnsi="Calibri"/>
        </w:rPr>
        <w:footnoteRef/>
      </w:r>
      <w:r w:rsidRPr="005465C4">
        <w:rPr>
          <w:rFonts w:ascii="Calibri" w:hAnsi="Calibri"/>
        </w:rPr>
        <w:t xml:space="preserve"> Le</w:t>
      </w:r>
      <w:r>
        <w:rPr>
          <w:rFonts w:ascii="Calibri" w:hAnsi="Calibri"/>
        </w:rPr>
        <w:t xml:space="preserve"> PNUD appuie les AF depuis 2010 ;</w:t>
      </w:r>
      <w:r w:rsidRPr="005465C4">
        <w:rPr>
          <w:rFonts w:ascii="Calibri" w:hAnsi="Calibri"/>
        </w:rPr>
        <w:t xml:space="preserve"> ASF depuis 2004.</w:t>
      </w:r>
    </w:p>
  </w:footnote>
  <w:footnote w:id="191">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ASF prends en charge aussi l</w:t>
      </w:r>
      <w:r>
        <w:rPr>
          <w:rFonts w:ascii="Calibri" w:hAnsi="Calibri"/>
        </w:rPr>
        <w:t>es dossiers civils. Le bureau PNUD en</w:t>
      </w:r>
      <w:r w:rsidRPr="005465C4">
        <w:rPr>
          <w:rFonts w:ascii="Calibri" w:hAnsi="Calibri"/>
        </w:rPr>
        <w:t xml:space="preserve"> Ituri a organisé</w:t>
      </w:r>
      <w:r>
        <w:rPr>
          <w:rFonts w:ascii="Calibri" w:hAnsi="Calibri"/>
        </w:rPr>
        <w:t xml:space="preserve"> du </w:t>
      </w:r>
      <w:r w:rsidRPr="005465C4">
        <w:rPr>
          <w:rFonts w:ascii="Calibri" w:hAnsi="Calibri"/>
        </w:rPr>
        <w:t>16 au 29 septembre 2011 une AF avec le TGI de Bunia où 26 dossiers civils en appel ont été traités.</w:t>
      </w:r>
    </w:p>
  </w:footnote>
  <w:footnote w:id="192">
    <w:p w:rsidR="006E6AAA" w:rsidRPr="004E477D" w:rsidRDefault="006E6AAA" w:rsidP="006E6AAA">
      <w:pPr>
        <w:pStyle w:val="FootnoteText"/>
      </w:pPr>
      <w:r>
        <w:rPr>
          <w:rStyle w:val="FootnoteReference"/>
        </w:rPr>
        <w:footnoteRef/>
      </w:r>
      <w:r>
        <w:t xml:space="preserve"> Sur ce point voir le § 6.4</w:t>
      </w:r>
    </w:p>
  </w:footnote>
  <w:footnote w:id="193">
    <w:p w:rsidR="006E6AAA" w:rsidRPr="005465C4" w:rsidRDefault="006E6AAA" w:rsidP="006E6AAA">
      <w:pPr>
        <w:jc w:val="both"/>
        <w:rPr>
          <w:rFonts w:ascii="Calibri" w:eastAsia="MS Mincho" w:hAnsi="Calibri"/>
          <w:sz w:val="20"/>
          <w:szCs w:val="20"/>
          <w:lang w:val="fr-FR" w:eastAsia="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eastAsia="MS Mincho" w:hAnsi="Calibri"/>
          <w:sz w:val="20"/>
          <w:szCs w:val="20"/>
          <w:lang w:val="fr-FR" w:eastAsia="fr-FR"/>
        </w:rPr>
        <w:t>« </w:t>
      </w:r>
      <w:r w:rsidRPr="005465C4">
        <w:rPr>
          <w:rFonts w:ascii="Calibri" w:eastAsia="MS Mincho" w:hAnsi="Calibri"/>
          <w:i/>
          <w:sz w:val="20"/>
          <w:szCs w:val="20"/>
          <w:lang w:val="fr-FR" w:eastAsia="fr-FR"/>
        </w:rPr>
        <w:t>Les critères suivants déterminent le choix du lieu où l’audience foraine devra se tenir : 1) la prévalence des cas des violences sexuelles; 2) les facilités d’accès à différentes preuves notamment les certificats médicaux et les témoignages ; 3) la disponibilité des locaux ayant une capacité d’accueil acceptable des auteurs présumés;  4) la disponibilité des infrastructures devant abriter l’audience dans la mesure du possible ; 5) la sécurité sur le lieu</w:t>
      </w:r>
      <w:r w:rsidRPr="005465C4">
        <w:rPr>
          <w:rFonts w:ascii="Calibri" w:eastAsia="MS Mincho" w:hAnsi="Calibri"/>
          <w:sz w:val="20"/>
          <w:szCs w:val="20"/>
          <w:lang w:val="fr-FR" w:eastAsia="fr-FR"/>
        </w:rPr>
        <w:t> »</w:t>
      </w:r>
      <w:r>
        <w:rPr>
          <w:rFonts w:ascii="Calibri" w:eastAsia="MS Mincho" w:hAnsi="Calibri"/>
          <w:sz w:val="20"/>
          <w:szCs w:val="20"/>
          <w:lang w:val="fr-FR" w:eastAsia="fr-FR"/>
        </w:rPr>
        <w:t xml:space="preserve">. Termes de référence des AF pour le </w:t>
      </w:r>
      <w:r w:rsidRPr="005465C4">
        <w:rPr>
          <w:rFonts w:ascii="Calibri" w:eastAsia="MS Mincho" w:hAnsi="Calibri"/>
          <w:sz w:val="20"/>
          <w:szCs w:val="20"/>
          <w:lang w:val="fr-FR" w:eastAsia="fr-FR"/>
        </w:rPr>
        <w:t>projet PNUD 1888.</w:t>
      </w:r>
    </w:p>
  </w:footnote>
  <w:footnote w:id="194">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Ces </w:t>
      </w:r>
      <w:r w:rsidRPr="005465C4">
        <w:rPr>
          <w:rFonts w:ascii="Calibri" w:hAnsi="Calibri"/>
          <w:i/>
        </w:rPr>
        <w:t>fora</w:t>
      </w:r>
      <w:r w:rsidRPr="005465C4">
        <w:rPr>
          <w:rFonts w:ascii="Calibri" w:hAnsi="Calibri"/>
        </w:rPr>
        <w:t xml:space="preserve"> sont actifs dans les 3 zones d’intervention du projet PNUD, et sont nommés respectivement « </w:t>
      </w:r>
      <w:r w:rsidRPr="005465C4">
        <w:rPr>
          <w:rFonts w:ascii="Calibri" w:hAnsi="Calibri"/>
          <w:i/>
        </w:rPr>
        <w:t>cadre de concertation justice militaire</w:t>
      </w:r>
      <w:r w:rsidRPr="005465C4">
        <w:rPr>
          <w:rFonts w:ascii="Calibri" w:hAnsi="Calibri"/>
        </w:rPr>
        <w:t>» au Nord kivu, « </w:t>
      </w:r>
      <w:r w:rsidRPr="005465C4">
        <w:rPr>
          <w:rFonts w:ascii="Calibri" w:hAnsi="Calibri"/>
          <w:i/>
        </w:rPr>
        <w:t>comite d’appui aux audiences foraines</w:t>
      </w:r>
      <w:r w:rsidRPr="005465C4">
        <w:rPr>
          <w:rFonts w:ascii="Calibri" w:hAnsi="Calibri"/>
        </w:rPr>
        <w:t> » en Ituri et « </w:t>
      </w:r>
      <w:r w:rsidRPr="005465C4">
        <w:rPr>
          <w:rFonts w:ascii="Calibri" w:hAnsi="Calibri"/>
          <w:i/>
        </w:rPr>
        <w:t>task force justice</w:t>
      </w:r>
      <w:r w:rsidRPr="005465C4">
        <w:rPr>
          <w:rFonts w:ascii="Calibri" w:hAnsi="Calibri"/>
        </w:rPr>
        <w:t> » au sud Kivu. Au Nord Kivu les AF civiles sont discutées dans le cadre du « </w:t>
      </w:r>
      <w:r w:rsidRPr="005465C4">
        <w:rPr>
          <w:rFonts w:ascii="Calibri" w:hAnsi="Calibri"/>
          <w:i/>
        </w:rPr>
        <w:t>Groupe de travail lutte contre l’impunité</w:t>
      </w:r>
      <w:r w:rsidRPr="005465C4">
        <w:rPr>
          <w:rFonts w:ascii="Calibri" w:hAnsi="Calibri"/>
        </w:rPr>
        <w:t> »</w:t>
      </w:r>
      <w:r>
        <w:rPr>
          <w:rFonts w:ascii="Calibri" w:hAnsi="Calibri"/>
        </w:rPr>
        <w:t xml:space="preserve">. </w:t>
      </w:r>
    </w:p>
  </w:footnote>
  <w:footnote w:id="19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Un seul magistrat pour les dossiers civils.</w:t>
      </w:r>
    </w:p>
  </w:footnote>
  <w:footnote w:id="19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Au Sud Kivu le PNUD envoie une voiture ou rembourse les frais de transport.</w:t>
      </w:r>
    </w:p>
  </w:footnote>
  <w:footnote w:id="197">
    <w:p w:rsidR="006E6AAA" w:rsidRPr="00841844" w:rsidRDefault="006E6AAA" w:rsidP="006E6AAA">
      <w:pPr>
        <w:rPr>
          <w:rFonts w:ascii="Calibri" w:hAnsi="Calibri"/>
          <w:sz w:val="20"/>
          <w:szCs w:val="20"/>
          <w:lang w:val="fr-FR"/>
        </w:rPr>
      </w:pPr>
      <w:r w:rsidRPr="005465C4">
        <w:rPr>
          <w:rStyle w:val="FootnoteReference"/>
          <w:rFonts w:ascii="Calibri" w:hAnsi="Calibri"/>
          <w:sz w:val="20"/>
          <w:szCs w:val="20"/>
        </w:rPr>
        <w:footnoteRef/>
      </w:r>
      <w:r w:rsidRPr="00841844">
        <w:rPr>
          <w:rFonts w:ascii="Calibri" w:hAnsi="Calibri"/>
          <w:sz w:val="20"/>
          <w:szCs w:val="20"/>
          <w:lang w:val="fr-FR"/>
        </w:rPr>
        <w:t xml:space="preserve"> Le PNUD appuie la majorité des AF dans le cadre du projet « </w:t>
      </w:r>
      <w:r w:rsidRPr="00841844">
        <w:rPr>
          <w:rFonts w:ascii="Calibri" w:hAnsi="Calibri"/>
          <w:i/>
          <w:sz w:val="20"/>
          <w:szCs w:val="20"/>
          <w:lang w:val="fr-FR"/>
        </w:rPr>
        <w:t>Strengthening Investigation and Prosecution Capacity  of the Military Justice System on Sexual Violence in eastern DRC</w:t>
      </w:r>
      <w:r w:rsidRPr="00841844">
        <w:rPr>
          <w:rFonts w:ascii="Calibri" w:hAnsi="Calibri"/>
          <w:sz w:val="20"/>
          <w:szCs w:val="20"/>
          <w:lang w:val="fr-FR"/>
        </w:rPr>
        <w:t xml:space="preserve"> ».  </w:t>
      </w:r>
    </w:p>
  </w:footnote>
  <w:footnote w:id="198">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Les CAP sont établies par la résolution du Conseil de Sécurité 1925 (2010)</w:t>
      </w:r>
      <w:r>
        <w:rPr>
          <w:rFonts w:ascii="Calibri" w:hAnsi="Calibri"/>
        </w:rPr>
        <w:t>.</w:t>
      </w:r>
      <w:r w:rsidRPr="005465C4">
        <w:rPr>
          <w:rFonts w:ascii="Calibri" w:hAnsi="Calibri"/>
        </w:rPr>
        <w:t xml:space="preserve"> </w:t>
      </w:r>
    </w:p>
  </w:footnote>
  <w:footnote w:id="199">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Titre II  de la loi N° 024/2002 du 18 novembre 2002 portant code pénal militaire congolais.</w:t>
      </w:r>
    </w:p>
  </w:footnote>
  <w:footnote w:id="200">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Voir par exemple « </w:t>
      </w:r>
      <w:r w:rsidRPr="005465C4">
        <w:rPr>
          <w:rFonts w:ascii="Calibri" w:hAnsi="Calibri"/>
          <w:i/>
          <w:sz w:val="20"/>
          <w:szCs w:val="20"/>
          <w:lang w:val="fr-FR"/>
        </w:rPr>
        <w:t>La justice militaire et le respect des droits de l’homme – L’urgence du parachèvement de la réforme</w:t>
      </w:r>
      <w:r w:rsidRPr="005465C4">
        <w:rPr>
          <w:rFonts w:ascii="Calibri" w:hAnsi="Calibri"/>
          <w:sz w:val="20"/>
          <w:szCs w:val="20"/>
          <w:lang w:val="fr-FR"/>
        </w:rPr>
        <w:t> », AfriMAP et Open Society Initiative for Southern Africa, 2009</w:t>
      </w:r>
    </w:p>
  </w:footnote>
  <w:footnote w:id="201">
    <w:p w:rsidR="006E6AAA" w:rsidRPr="005465C4" w:rsidRDefault="006E6AAA" w:rsidP="006E6AAA">
      <w:pPr>
        <w:autoSpaceDE w:val="0"/>
        <w:autoSpaceDN w:val="0"/>
        <w:adjustRightInd w:val="0"/>
        <w:rPr>
          <w:rFonts w:ascii="Calibri" w:hAnsi="Calibri" w:cs="ScalaPro-Regular"/>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hAnsi="Calibri" w:cs="ScalaPro-Regular"/>
          <w:sz w:val="20"/>
          <w:szCs w:val="20"/>
          <w:lang w:val="fr-FR"/>
        </w:rPr>
        <w:t xml:space="preserve">Les Directives et principes sur le droit à un procès équitable et à l’assistance judiciaire en Afrique prévoient </w:t>
      </w:r>
      <w:r w:rsidRPr="005465C4">
        <w:rPr>
          <w:rFonts w:ascii="Calibri" w:hAnsi="Calibri"/>
          <w:sz w:val="20"/>
          <w:szCs w:val="20"/>
          <w:lang w:val="fr-FR"/>
        </w:rPr>
        <w:t xml:space="preserve">que « </w:t>
      </w:r>
      <w:r w:rsidRPr="005465C4">
        <w:rPr>
          <w:rFonts w:ascii="Calibri" w:hAnsi="Calibri"/>
          <w:i/>
          <w:sz w:val="20"/>
          <w:szCs w:val="20"/>
          <w:lang w:val="fr-FR"/>
        </w:rPr>
        <w:t>les tribunaux militaires ne peuvent, en aucune circonstance, juger des civils </w:t>
      </w:r>
      <w:r w:rsidRPr="005465C4">
        <w:rPr>
          <w:rFonts w:ascii="Calibri" w:hAnsi="Calibri"/>
          <w:sz w:val="20"/>
          <w:szCs w:val="20"/>
          <w:lang w:val="fr-FR"/>
        </w:rPr>
        <w:t>».</w:t>
      </w:r>
    </w:p>
  </w:footnote>
  <w:footnote w:id="202">
    <w:p w:rsidR="006E6AAA" w:rsidRPr="005465C4" w:rsidRDefault="006E6AAA" w:rsidP="006E6AAA">
      <w:pPr>
        <w:autoSpaceDE w:val="0"/>
        <w:autoSpaceDN w:val="0"/>
        <w:adjustRightInd w:val="0"/>
        <w:rPr>
          <w:rFonts w:ascii="Calibri" w:hAnsi="Calibri" w:cs="ScalaPro-Regular"/>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hAnsi="Calibri" w:cs="ScalaPro-Regular"/>
          <w:sz w:val="20"/>
          <w:szCs w:val="20"/>
          <w:lang w:val="fr-FR"/>
        </w:rPr>
        <w:t>Article 156 de la Constitution: “</w:t>
      </w:r>
      <w:r w:rsidRPr="005465C4">
        <w:rPr>
          <w:rFonts w:ascii="Calibri" w:hAnsi="Calibri" w:cs="ScalaPro-Regular"/>
          <w:i/>
          <w:sz w:val="20"/>
          <w:szCs w:val="20"/>
          <w:lang w:val="fr-FR"/>
        </w:rPr>
        <w:t>Les juridictions militaires connaissent des infractions commises par les membres des Forces armées et de la Police nationale</w:t>
      </w:r>
      <w:r w:rsidRPr="005465C4">
        <w:rPr>
          <w:rFonts w:ascii="Calibri" w:hAnsi="Calibri" w:cs="ScalaPro-Regular"/>
          <w:sz w:val="20"/>
          <w:szCs w:val="20"/>
          <w:lang w:val="fr-FR"/>
        </w:rPr>
        <w:t> ».</w:t>
      </w:r>
    </w:p>
  </w:footnote>
  <w:footnote w:id="203">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Par exe</w:t>
      </w:r>
      <w:r>
        <w:rPr>
          <w:rFonts w:ascii="Calibri" w:hAnsi="Calibri"/>
        </w:rPr>
        <w:t xml:space="preserve">mple le rapport de l’AF du TMG á Komanda signale: </w:t>
      </w:r>
      <w:r w:rsidRPr="005465C4">
        <w:rPr>
          <w:rFonts w:ascii="Calibri" w:hAnsi="Calibri"/>
        </w:rPr>
        <w:t>« </w:t>
      </w:r>
      <w:r w:rsidRPr="005465C4">
        <w:rPr>
          <w:rFonts w:ascii="Calibri" w:hAnsi="Calibri"/>
          <w:i/>
        </w:rPr>
        <w:t>Un prévenu a été renvoyé devant son juge nature</w:t>
      </w:r>
      <w:r>
        <w:rPr>
          <w:rFonts w:ascii="Calibri" w:hAnsi="Calibri"/>
          <w:i/>
        </w:rPr>
        <w:t>l</w:t>
      </w:r>
      <w:r w:rsidRPr="005465C4">
        <w:rPr>
          <w:rFonts w:ascii="Calibri" w:hAnsi="Calibri"/>
          <w:i/>
        </w:rPr>
        <w:t>:  le Tribunal a décliné sa compétence par un jugement avant dire droit, le prévenu n’étant  pas militaire ni policier</w:t>
      </w:r>
      <w:r w:rsidRPr="005465C4">
        <w:rPr>
          <w:rFonts w:ascii="Calibri" w:hAnsi="Calibri"/>
        </w:rPr>
        <w:t> ».</w:t>
      </w:r>
    </w:p>
  </w:footnote>
  <w:footnote w:id="204">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Article 161 du code judiciaire militaire: « </w:t>
      </w:r>
      <w:r w:rsidRPr="005465C4">
        <w:rPr>
          <w:rFonts w:ascii="Calibri" w:hAnsi="Calibri"/>
          <w:i/>
        </w:rPr>
        <w:t>En cas d’indivisibilité ou de connexité d’infractions avec des crimes de génocide, des crimes de guerre ou des crimes contre l’humanité, les juri</w:t>
      </w:r>
      <w:r>
        <w:rPr>
          <w:rFonts w:ascii="Calibri" w:hAnsi="Calibri"/>
          <w:i/>
        </w:rPr>
        <w:t xml:space="preserve">dictions militaires sont seules </w:t>
      </w:r>
      <w:r w:rsidRPr="005465C4">
        <w:rPr>
          <w:rFonts w:ascii="Calibri" w:hAnsi="Calibri"/>
          <w:i/>
        </w:rPr>
        <w:t>compétentes</w:t>
      </w:r>
      <w:r w:rsidRPr="005465C4">
        <w:rPr>
          <w:rFonts w:ascii="Calibri" w:hAnsi="Calibri"/>
        </w:rPr>
        <w:t> ».</w:t>
      </w:r>
    </w:p>
  </w:footnote>
  <w:footnote w:id="205">
    <w:p w:rsidR="006E6AAA" w:rsidRPr="00E23F43" w:rsidRDefault="006E6AAA" w:rsidP="006E6AAA">
      <w:pPr>
        <w:pStyle w:val="FootnoteText"/>
      </w:pPr>
      <w:r>
        <w:rPr>
          <w:rStyle w:val="FootnoteReference"/>
        </w:rPr>
        <w:footnoteRef/>
      </w:r>
      <w:r>
        <w:t xml:space="preserve"> </w:t>
      </w:r>
      <w:r w:rsidRPr="00311D28">
        <w:t xml:space="preserve">Article 91, </w:t>
      </w:r>
      <w:r w:rsidRPr="00E23F43">
        <w:rPr>
          <w:rFonts w:ascii="Calibri" w:eastAsia="DFKai-SB" w:hAnsi="Calibri"/>
        </w:rPr>
        <w:t>Loi n.13/011-B du 13 Avril 2013 portant « </w:t>
      </w:r>
      <w:r w:rsidRPr="00E23F43">
        <w:rPr>
          <w:rFonts w:ascii="Calibri" w:eastAsia="DFKai-SB" w:hAnsi="Calibri"/>
          <w:i/>
        </w:rPr>
        <w:t>organisation fonctionnement et compétences des juridictions de l’ordre judiciaire </w:t>
      </w:r>
      <w:r w:rsidRPr="00E23F43">
        <w:rPr>
          <w:rFonts w:ascii="Calibri" w:eastAsia="DFKai-SB" w:hAnsi="Calibri"/>
        </w:rPr>
        <w:t>»</w:t>
      </w:r>
    </w:p>
  </w:footnote>
  <w:footnote w:id="206">
    <w:p w:rsidR="006E6AAA" w:rsidRDefault="006E6AAA" w:rsidP="006E6AAA">
      <w:pPr>
        <w:pStyle w:val="FootnoteText"/>
      </w:pPr>
      <w:r>
        <w:rPr>
          <w:rStyle w:val="FootnoteReference"/>
        </w:rPr>
        <w:footnoteRef/>
      </w:r>
      <w:r>
        <w:t xml:space="preserve"> La proposition</w:t>
      </w:r>
      <w:r w:rsidRPr="00610579">
        <w:t xml:space="preserve"> de loi a été déposé</w:t>
      </w:r>
      <w:r>
        <w:t xml:space="preserve">e au Parlement en Mars 2008 et examinée en Commission en Juin 2011, mais elle n’a pas atteint le stade de la discussion en plénière. En Novembre 2012 la proposition a été reproposée et est actuellement en examen devant la commission parlementaire compétente pour les affaires judiciaires. </w:t>
      </w:r>
    </w:p>
    <w:p w:rsidR="006E6AAA" w:rsidRPr="00E23F43" w:rsidRDefault="006E6AAA" w:rsidP="006E6AAA">
      <w:pPr>
        <w:pStyle w:val="FootnoteText"/>
      </w:pPr>
      <w:r w:rsidRPr="00E23F43">
        <w:rPr>
          <w:rFonts w:ascii="Calibri" w:hAnsi="Calibri"/>
        </w:rPr>
        <w:t xml:space="preserve">Pour un aperçu des 3 projets de loi qui ont été soumis au Parlement depuis 2003 pour la réception du Statut de Rome en droit congolais voir : </w:t>
      </w:r>
      <w:r w:rsidRPr="00E23F43">
        <w:rPr>
          <w:rFonts w:ascii="Calibri" w:hAnsi="Calibri"/>
          <w:iCs/>
        </w:rPr>
        <w:t>Joseph Kazadi Mpiana,</w:t>
      </w:r>
      <w:r w:rsidRPr="00E23F43">
        <w:rPr>
          <w:rFonts w:ascii="Calibri" w:hAnsi="Calibri"/>
          <w:i/>
          <w:iCs/>
        </w:rPr>
        <w:t xml:space="preserve"> «  La cour Pénale Internationale et la République Démocratique du Congo : 10 ans après. Etude de l’impact du Statut de Rome dans le droit interne congolais » </w:t>
      </w:r>
      <w:r w:rsidRPr="00E23F43">
        <w:rPr>
          <w:rFonts w:ascii="Calibri" w:hAnsi="Calibri"/>
          <w:iCs/>
        </w:rPr>
        <w:t>in Revue Québécoise de droit international, volume 25.1/2012</w:t>
      </w:r>
    </w:p>
  </w:footnote>
  <w:footnote w:id="207">
    <w:p w:rsidR="006E6AAA" w:rsidRPr="00841844" w:rsidRDefault="006E6AAA" w:rsidP="006E6AAA">
      <w:pPr>
        <w:pStyle w:val="FootnoteText"/>
        <w:rPr>
          <w:lang w:val="it-IT"/>
        </w:rPr>
      </w:pPr>
      <w:r>
        <w:rPr>
          <w:rStyle w:val="FootnoteReference"/>
        </w:rPr>
        <w:footnoteRef/>
      </w:r>
      <w:r w:rsidRPr="00020A84">
        <w:rPr>
          <w:lang w:val="it-IT"/>
        </w:rPr>
        <w:t xml:space="preserve"> </w:t>
      </w:r>
      <w:r w:rsidRPr="00841844">
        <w:rPr>
          <w:rFonts w:ascii="Calibri" w:hAnsi="Calibri"/>
          <w:iCs/>
          <w:lang w:val="it-IT"/>
        </w:rPr>
        <w:t xml:space="preserve">Joseph Kazadi Mpiana, </w:t>
      </w:r>
      <w:r w:rsidRPr="00841844">
        <w:rPr>
          <w:rFonts w:ascii="Calibri" w:hAnsi="Calibri"/>
          <w:i/>
          <w:iCs/>
          <w:lang w:val="it-IT"/>
        </w:rPr>
        <w:t xml:space="preserve">supra </w:t>
      </w:r>
      <w:r w:rsidRPr="00841844">
        <w:rPr>
          <w:rFonts w:ascii="Calibri" w:hAnsi="Calibri"/>
          <w:iCs/>
          <w:lang w:val="it-IT"/>
        </w:rPr>
        <w:t>n. 53</w:t>
      </w:r>
    </w:p>
  </w:footnote>
  <w:footnote w:id="208">
    <w:p w:rsidR="006E6AAA" w:rsidRPr="005465C4" w:rsidRDefault="006E6AAA" w:rsidP="006E6AAA">
      <w:pPr>
        <w:pStyle w:val="FootnoteText"/>
        <w:rPr>
          <w:rFonts w:ascii="Calibri" w:hAnsi="Calibri"/>
          <w:lang w:val="en-US"/>
        </w:rPr>
      </w:pPr>
      <w:r w:rsidRPr="005465C4">
        <w:rPr>
          <w:rStyle w:val="FootnoteReference"/>
          <w:rFonts w:ascii="Calibri" w:hAnsi="Calibri"/>
        </w:rPr>
        <w:footnoteRef/>
      </w:r>
      <w:r w:rsidRPr="005465C4">
        <w:rPr>
          <w:rFonts w:ascii="Calibri" w:hAnsi="Calibri"/>
          <w:lang w:val="en-US"/>
        </w:rPr>
        <w:t xml:space="preserve"> Voir</w:t>
      </w:r>
      <w:r>
        <w:rPr>
          <w:rFonts w:ascii="Calibri" w:hAnsi="Calibri"/>
          <w:lang w:val="en-US"/>
        </w:rPr>
        <w:t xml:space="preserve">e </w:t>
      </w:r>
      <w:r w:rsidRPr="00421ED5">
        <w:rPr>
          <w:rFonts w:ascii="Calibri" w:hAnsi="Calibri"/>
          <w:i/>
          <w:lang w:val="en-US"/>
        </w:rPr>
        <w:t>supra</w:t>
      </w:r>
      <w:r>
        <w:rPr>
          <w:rFonts w:ascii="Calibri" w:hAnsi="Calibri"/>
          <w:lang w:val="en-US"/>
        </w:rPr>
        <w:t>, n. 45</w:t>
      </w:r>
    </w:p>
  </w:footnote>
  <w:footnote w:id="209">
    <w:p w:rsidR="006E6AAA" w:rsidRPr="005465C4" w:rsidRDefault="006E6AAA" w:rsidP="006E6AAA">
      <w:pPr>
        <w:tabs>
          <w:tab w:val="left" w:pos="540"/>
          <w:tab w:val="left" w:pos="720"/>
          <w:tab w:val="left" w:pos="8460"/>
        </w:tabs>
        <w:rPr>
          <w:rFonts w:ascii="Calibri" w:hAnsi="Calibri"/>
          <w:b/>
          <w:color w:val="000080"/>
          <w:sz w:val="20"/>
          <w:szCs w:val="20"/>
        </w:rPr>
      </w:pPr>
      <w:r w:rsidRPr="005465C4">
        <w:rPr>
          <w:rStyle w:val="FootnoteReference"/>
          <w:rFonts w:ascii="Calibri" w:hAnsi="Calibri"/>
          <w:sz w:val="20"/>
          <w:szCs w:val="20"/>
        </w:rPr>
        <w:footnoteRef/>
      </w:r>
      <w:r w:rsidRPr="005465C4">
        <w:rPr>
          <w:rFonts w:ascii="Calibri" w:hAnsi="Calibri"/>
          <w:sz w:val="20"/>
          <w:szCs w:val="20"/>
        </w:rPr>
        <w:t xml:space="preserve"> </w:t>
      </w:r>
      <w:r w:rsidRPr="00E96AB3">
        <w:rPr>
          <w:rFonts w:ascii="Calibri" w:hAnsi="Calibri"/>
          <w:sz w:val="20"/>
          <w:szCs w:val="20"/>
        </w:rPr>
        <w:t>Un rapport de Freedom House souligne</w:t>
      </w:r>
      <w:r>
        <w:rPr>
          <w:rFonts w:ascii="Calibri" w:hAnsi="Calibri"/>
          <w:sz w:val="20"/>
          <w:szCs w:val="20"/>
        </w:rPr>
        <w:t xml:space="preserve">: </w:t>
      </w:r>
      <w:r w:rsidRPr="005465C4">
        <w:rPr>
          <w:rFonts w:ascii="Calibri" w:hAnsi="Calibri"/>
          <w:sz w:val="20"/>
          <w:szCs w:val="20"/>
        </w:rPr>
        <w:t>“</w:t>
      </w:r>
      <w:r w:rsidRPr="005465C4">
        <w:rPr>
          <w:rFonts w:ascii="Calibri" w:hAnsi="Calibri" w:cs="Arial"/>
          <w:i/>
          <w:sz w:val="20"/>
          <w:szCs w:val="20"/>
          <w:lang w:val="en"/>
        </w:rPr>
        <w:t>Military judges can be influenced by their military hierarchies, especially when the accused are high-ranking military officers, as Congolese law stipulates that officers can only be judged by their superiors. In several cases the government has interfered in prosecutions, as in January 2009, when the minister of justice wrote to bar military prosecutors from investigating abuses committed by CNDP soldiers</w:t>
      </w:r>
      <w:r w:rsidRPr="005465C4">
        <w:rPr>
          <w:rFonts w:ascii="Calibri" w:hAnsi="Calibri" w:cs="Arial"/>
          <w:sz w:val="20"/>
          <w:szCs w:val="20"/>
          <w:lang w:val="en"/>
        </w:rPr>
        <w:t>”</w:t>
      </w:r>
      <w:r>
        <w:rPr>
          <w:rFonts w:ascii="Calibri" w:hAnsi="Calibri" w:cs="Arial"/>
          <w:sz w:val="20"/>
          <w:szCs w:val="20"/>
          <w:lang w:val="en"/>
        </w:rPr>
        <w:t>. Freedom House, “</w:t>
      </w:r>
      <w:r>
        <w:rPr>
          <w:rFonts w:ascii="Calibri" w:hAnsi="Calibri" w:cs="Arial"/>
          <w:i/>
          <w:sz w:val="20"/>
          <w:szCs w:val="20"/>
          <w:lang w:val="en"/>
        </w:rPr>
        <w:t xml:space="preserve">Countries at the crossroad, </w:t>
      </w:r>
      <w:r w:rsidRPr="005465C4">
        <w:rPr>
          <w:rFonts w:ascii="Calibri" w:hAnsi="Calibri" w:cs="Arial"/>
          <w:i/>
          <w:sz w:val="20"/>
          <w:szCs w:val="20"/>
          <w:lang w:val="en"/>
        </w:rPr>
        <w:t>DRC</w:t>
      </w:r>
      <w:r>
        <w:rPr>
          <w:rFonts w:ascii="Calibri" w:hAnsi="Calibri" w:cs="Arial"/>
          <w:i/>
          <w:sz w:val="20"/>
          <w:szCs w:val="20"/>
          <w:lang w:val="en"/>
        </w:rPr>
        <w:t xml:space="preserve"> report</w:t>
      </w:r>
      <w:r>
        <w:rPr>
          <w:rFonts w:ascii="Calibri" w:hAnsi="Calibri" w:cs="Arial"/>
          <w:sz w:val="20"/>
          <w:szCs w:val="20"/>
          <w:lang w:val="en"/>
        </w:rPr>
        <w:t>”, 2012</w:t>
      </w:r>
    </w:p>
  </w:footnote>
  <w:footnote w:id="210">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hAnsi="Calibri"/>
          <w:bCs/>
          <w:sz w:val="20"/>
          <w:szCs w:val="20"/>
          <w:lang w:val="fr-FR"/>
        </w:rPr>
        <w:t>RCN Justice &amp; Démocratie</w:t>
      </w:r>
      <w:r w:rsidRPr="005465C4">
        <w:rPr>
          <w:rFonts w:ascii="Calibri" w:hAnsi="Calibri"/>
          <w:sz w:val="20"/>
          <w:szCs w:val="20"/>
          <w:lang w:val="fr-FR"/>
        </w:rPr>
        <w:t xml:space="preserve"> “</w:t>
      </w:r>
      <w:r w:rsidRPr="005465C4">
        <w:rPr>
          <w:rFonts w:ascii="Calibri" w:hAnsi="Calibri"/>
          <w:i/>
          <w:sz w:val="20"/>
          <w:szCs w:val="20"/>
          <w:lang w:val="fr-FR"/>
        </w:rPr>
        <w:t>La justice de proximité au Bas-Congo</w:t>
      </w:r>
      <w:r w:rsidRPr="005465C4">
        <w:rPr>
          <w:rFonts w:ascii="Calibri" w:hAnsi="Calibri"/>
          <w:sz w:val="20"/>
          <w:szCs w:val="20"/>
          <w:lang w:val="fr-FR"/>
        </w:rPr>
        <w:t>”, 2009</w:t>
      </w:r>
    </w:p>
  </w:footnote>
  <w:footnote w:id="211">
    <w:p w:rsidR="006E6AAA" w:rsidRPr="005465C4" w:rsidRDefault="006E6AAA" w:rsidP="006E6AAA">
      <w:pPr>
        <w:pStyle w:val="FootnoteText"/>
        <w:rPr>
          <w:rFonts w:ascii="Calibri" w:hAnsi="Calibri"/>
          <w:bCs/>
          <w:lang w:val="en-US" w:eastAsia="it-IT"/>
        </w:rPr>
      </w:pPr>
      <w:r w:rsidRPr="005465C4">
        <w:rPr>
          <w:rStyle w:val="FootnoteReference"/>
          <w:rFonts w:ascii="Calibri" w:hAnsi="Calibri"/>
        </w:rPr>
        <w:footnoteRef/>
      </w:r>
      <w:r w:rsidRPr="005465C4">
        <w:rPr>
          <w:rFonts w:ascii="Calibri" w:hAnsi="Calibri"/>
          <w:lang w:val="en-US"/>
        </w:rPr>
        <w:t xml:space="preserve"> </w:t>
      </w:r>
      <w:r w:rsidRPr="005465C4">
        <w:rPr>
          <w:rFonts w:ascii="Calibri" w:hAnsi="Calibri"/>
          <w:bCs/>
          <w:lang w:val="en-US" w:eastAsia="it-IT"/>
        </w:rPr>
        <w:t>Voir par exemple “</w:t>
      </w:r>
      <w:r w:rsidRPr="005465C4">
        <w:rPr>
          <w:rFonts w:ascii="Calibri" w:hAnsi="Calibri"/>
          <w:bCs/>
          <w:i/>
          <w:lang w:val="en-US" w:eastAsia="it-IT"/>
        </w:rPr>
        <w:t>Fact Sheet: Democratic Republic of Congo Mobile Gender Courts</w:t>
      </w:r>
      <w:r w:rsidRPr="005465C4">
        <w:rPr>
          <w:rFonts w:ascii="Calibri" w:hAnsi="Calibri"/>
          <w:bCs/>
          <w:lang w:val="en-US" w:eastAsia="it-IT"/>
        </w:rPr>
        <w:t>”, open Society justice Initiative, July 2011</w:t>
      </w:r>
    </w:p>
  </w:footnote>
  <w:footnote w:id="212">
    <w:p w:rsidR="006E6AAA" w:rsidRPr="005465C4" w:rsidRDefault="006E6AAA" w:rsidP="006E6AAA">
      <w:pPr>
        <w:autoSpaceDE w:val="0"/>
        <w:autoSpaceDN w:val="0"/>
        <w:adjustRightInd w:val="0"/>
        <w:rPr>
          <w:rFonts w:ascii="Calibri" w:hAnsi="Calibri"/>
          <w:sz w:val="20"/>
          <w:szCs w:val="20"/>
        </w:rPr>
      </w:pPr>
      <w:r w:rsidRPr="005465C4">
        <w:rPr>
          <w:rStyle w:val="FootnoteReference"/>
          <w:rFonts w:ascii="Calibri" w:hAnsi="Calibri"/>
          <w:sz w:val="20"/>
          <w:szCs w:val="20"/>
        </w:rPr>
        <w:footnoteRef/>
      </w:r>
      <w:r w:rsidRPr="003F5A82">
        <w:rPr>
          <w:rFonts w:ascii="Calibri" w:hAnsi="Calibri"/>
          <w:sz w:val="20"/>
          <w:szCs w:val="20"/>
          <w:lang w:val="fr-FR"/>
        </w:rPr>
        <w:t xml:space="preserve"> Sur ce point voir Wageningen University, « </w:t>
      </w:r>
      <w:r w:rsidRPr="003F5A82">
        <w:rPr>
          <w:rFonts w:ascii="Calibri" w:hAnsi="Calibri"/>
          <w:i/>
          <w:sz w:val="20"/>
          <w:szCs w:val="20"/>
          <w:lang w:val="fr-FR"/>
        </w:rPr>
        <w:t xml:space="preserve">Fond de commerce? </w:t>
      </w:r>
      <w:r w:rsidRPr="005465C4">
        <w:rPr>
          <w:rFonts w:ascii="Calibri" w:hAnsi="Calibri"/>
          <w:i/>
          <w:sz w:val="20"/>
          <w:szCs w:val="20"/>
        </w:rPr>
        <w:t xml:space="preserve">Sexual violence assistance in the Democratic </w:t>
      </w:r>
      <w:smartTag w:uri="urn:schemas-microsoft-com:office:smarttags" w:element="place">
        <w:smartTag w:uri="urn:schemas-microsoft-com:office:smarttags" w:element="PlaceType">
          <w:r w:rsidRPr="005465C4">
            <w:rPr>
              <w:rFonts w:ascii="Calibri" w:hAnsi="Calibri"/>
              <w:i/>
              <w:sz w:val="20"/>
              <w:szCs w:val="20"/>
            </w:rPr>
            <w:t>Republic</w:t>
          </w:r>
        </w:smartTag>
        <w:r w:rsidRPr="005465C4">
          <w:rPr>
            <w:rFonts w:ascii="Calibri" w:hAnsi="Calibri"/>
            <w:i/>
            <w:sz w:val="20"/>
            <w:szCs w:val="20"/>
          </w:rPr>
          <w:t xml:space="preserve"> of </w:t>
        </w:r>
        <w:smartTag w:uri="urn:schemas-microsoft-com:office:smarttags" w:element="PlaceName">
          <w:r w:rsidRPr="005465C4">
            <w:rPr>
              <w:rFonts w:ascii="Calibri" w:hAnsi="Calibri"/>
              <w:i/>
              <w:sz w:val="20"/>
              <w:szCs w:val="20"/>
            </w:rPr>
            <w:t>Congo</w:t>
          </w:r>
        </w:smartTag>
      </w:smartTag>
      <w:r w:rsidRPr="005465C4">
        <w:rPr>
          <w:rFonts w:ascii="Calibri" w:hAnsi="Calibri"/>
          <w:sz w:val="20"/>
          <w:szCs w:val="20"/>
        </w:rPr>
        <w:t>”, 2012</w:t>
      </w:r>
    </w:p>
  </w:footnote>
  <w:footnote w:id="213">
    <w:p w:rsidR="006E6AAA" w:rsidRPr="005465C4" w:rsidRDefault="006E6AAA" w:rsidP="006E6AAA">
      <w:pPr>
        <w:pStyle w:val="FootnoteText"/>
        <w:rPr>
          <w:rFonts w:ascii="Calibri" w:hAnsi="Calibri"/>
        </w:rPr>
      </w:pPr>
      <w:r w:rsidRPr="005465C4">
        <w:rPr>
          <w:rStyle w:val="FootnoteReference"/>
          <w:rFonts w:ascii="Calibri" w:hAnsi="Calibri"/>
        </w:rPr>
        <w:footnoteRef/>
      </w:r>
      <w:r>
        <w:rPr>
          <w:rFonts w:ascii="Calibri" w:hAnsi="Calibri"/>
        </w:rPr>
        <w:t xml:space="preserve"> Le Plan d’action est d</w:t>
      </w:r>
      <w:r w:rsidRPr="005465C4">
        <w:rPr>
          <w:rFonts w:ascii="Calibri" w:hAnsi="Calibri"/>
        </w:rPr>
        <w:t xml:space="preserve">isponible sur : </w:t>
      </w:r>
      <w:hyperlink r:id="rId6" w:history="1">
        <w:r w:rsidRPr="005465C4">
          <w:rPr>
            <w:rStyle w:val="Hyperlink"/>
            <w:rFonts w:ascii="Calibri" w:hAnsi="Calibri"/>
          </w:rPr>
          <w:t>http://www.justice.gov.cd/files/systeme_judiciaire_rdc.html</w:t>
        </w:r>
      </w:hyperlink>
    </w:p>
  </w:footnote>
  <w:footnote w:id="214">
    <w:p w:rsidR="006E6AAA" w:rsidRPr="00AE2817" w:rsidRDefault="006E6AAA" w:rsidP="006E6AAA">
      <w:pPr>
        <w:autoSpaceDE w:val="0"/>
        <w:autoSpaceDN w:val="0"/>
        <w:adjustRightInd w:val="0"/>
        <w:rPr>
          <w:rFonts w:ascii="Calibri" w:hAnsi="Calibri"/>
          <w:sz w:val="20"/>
          <w:szCs w:val="20"/>
          <w:lang w:val="fr-FR"/>
        </w:rPr>
      </w:pPr>
      <w:r w:rsidRPr="00AE2817">
        <w:rPr>
          <w:rStyle w:val="FootnoteReference"/>
          <w:rFonts w:ascii="Calibri" w:hAnsi="Calibri"/>
          <w:sz w:val="20"/>
          <w:szCs w:val="20"/>
        </w:rPr>
        <w:footnoteRef/>
      </w:r>
      <w:r w:rsidRPr="00AE2817">
        <w:rPr>
          <w:rFonts w:ascii="Calibri" w:hAnsi="Calibri"/>
          <w:sz w:val="20"/>
          <w:szCs w:val="20"/>
          <w:lang w:val="fr-FR"/>
        </w:rPr>
        <w:t xml:space="preserve"> Rapport de monitoring judiciaire de l’AF du TMG de Bukavu á Kalehe (Sud Kivu, 2011)</w:t>
      </w:r>
    </w:p>
  </w:footnote>
  <w:footnote w:id="21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Cette approche a été adoptée par la Court d’Appel de Bukavu pour l’AF auprès du siège secondaire du TGI d’Uvira à Kamituga. La chambre foraine a jugé les affaires en appel et a aussi procédé à inspecter la juridiction inferieure. </w:t>
      </w:r>
    </w:p>
  </w:footnote>
  <w:footnote w:id="216">
    <w:p w:rsidR="006E6AAA" w:rsidRPr="005465C4" w:rsidRDefault="006E6AAA" w:rsidP="006E6AAA">
      <w:pPr>
        <w:autoSpaceDE w:val="0"/>
        <w:autoSpaceDN w:val="0"/>
        <w:adjustRightInd w:val="0"/>
        <w:rPr>
          <w:rFonts w:ascii="Calibri" w:hAnsi="Calibri"/>
          <w:sz w:val="20"/>
          <w:szCs w:val="20"/>
        </w:rPr>
      </w:pPr>
      <w:r w:rsidRPr="005465C4">
        <w:rPr>
          <w:rStyle w:val="FootnoteReference"/>
          <w:rFonts w:ascii="Calibri" w:hAnsi="Calibri"/>
          <w:sz w:val="20"/>
          <w:szCs w:val="20"/>
        </w:rPr>
        <w:footnoteRef/>
      </w:r>
      <w:r w:rsidRPr="005465C4">
        <w:rPr>
          <w:rFonts w:ascii="Calibri" w:hAnsi="Calibri"/>
          <w:sz w:val="20"/>
          <w:szCs w:val="20"/>
        </w:rPr>
        <w:t xml:space="preserve"> Un rapport de ABA conclu</w:t>
      </w:r>
      <w:r>
        <w:rPr>
          <w:rFonts w:ascii="Calibri" w:hAnsi="Calibri"/>
          <w:sz w:val="20"/>
          <w:szCs w:val="20"/>
        </w:rPr>
        <w:t>t</w:t>
      </w:r>
      <w:r w:rsidRPr="005465C4">
        <w:rPr>
          <w:rFonts w:ascii="Calibri" w:hAnsi="Calibri"/>
          <w:sz w:val="20"/>
          <w:szCs w:val="20"/>
        </w:rPr>
        <w:t xml:space="preserve"> que  “</w:t>
      </w:r>
      <w:r w:rsidRPr="005465C4">
        <w:rPr>
          <w:rFonts w:ascii="Calibri" w:hAnsi="Calibri"/>
          <w:i/>
          <w:sz w:val="20"/>
          <w:szCs w:val="20"/>
        </w:rPr>
        <w:t>it is these violent crimes – by intimates and civilians – that predominate today, as the portrait of the rapist no longer requires that he be wearing a military uniform</w:t>
      </w:r>
      <w:r w:rsidRPr="005465C4">
        <w:rPr>
          <w:rFonts w:ascii="Calibri" w:hAnsi="Calibri"/>
          <w:sz w:val="20"/>
          <w:szCs w:val="20"/>
        </w:rPr>
        <w:t xml:space="preserve">”. In </w:t>
      </w:r>
      <w:r w:rsidRPr="005465C4">
        <w:rPr>
          <w:rFonts w:ascii="Calibri" w:hAnsi="Calibri" w:cs="Whitney-Light"/>
          <w:sz w:val="20"/>
          <w:szCs w:val="20"/>
        </w:rPr>
        <w:t xml:space="preserve">Open Society Initiative for </w:t>
      </w:r>
      <w:smartTag w:uri="urn:schemas-microsoft-com:office:smarttags" w:element="place">
        <w:r w:rsidRPr="005465C4">
          <w:rPr>
            <w:rFonts w:ascii="Calibri" w:hAnsi="Calibri" w:cs="Whitney-Light"/>
            <w:sz w:val="20"/>
            <w:szCs w:val="20"/>
          </w:rPr>
          <w:t>Southern Africa</w:t>
        </w:r>
      </w:smartTag>
      <w:r w:rsidRPr="005465C4">
        <w:rPr>
          <w:rFonts w:ascii="Calibri" w:hAnsi="Calibri" w:cs="Whitney-Bold"/>
          <w:i/>
          <w:sz w:val="20"/>
          <w:szCs w:val="20"/>
        </w:rPr>
        <w:t xml:space="preserve">, Helping to combat impunity for sexual crimes in DRC: </w:t>
      </w:r>
      <w:r w:rsidRPr="005465C4">
        <w:rPr>
          <w:rFonts w:ascii="Calibri" w:hAnsi="Calibri" w:cs="Whitney-Light"/>
          <w:i/>
          <w:sz w:val="20"/>
          <w:szCs w:val="20"/>
        </w:rPr>
        <w:t>An evaluation of the mobile</w:t>
      </w:r>
      <w:r w:rsidRPr="005465C4">
        <w:rPr>
          <w:rFonts w:ascii="Calibri" w:hAnsi="Calibri" w:cs="Whitney-Bold"/>
          <w:i/>
          <w:sz w:val="20"/>
          <w:szCs w:val="20"/>
        </w:rPr>
        <w:t xml:space="preserve"> </w:t>
      </w:r>
      <w:r w:rsidRPr="005465C4">
        <w:rPr>
          <w:rFonts w:ascii="Calibri" w:hAnsi="Calibri" w:cs="Whitney-Light"/>
          <w:i/>
          <w:sz w:val="20"/>
          <w:szCs w:val="20"/>
        </w:rPr>
        <w:t>gender justice courts</w:t>
      </w:r>
      <w:r w:rsidRPr="005465C4">
        <w:rPr>
          <w:rFonts w:ascii="Calibri" w:hAnsi="Calibri" w:cs="Whitney-Light"/>
          <w:sz w:val="20"/>
          <w:szCs w:val="20"/>
        </w:rPr>
        <w:t>”, 2012</w:t>
      </w:r>
    </w:p>
  </w:footnote>
  <w:footnote w:id="217">
    <w:p w:rsidR="006E6AAA" w:rsidRPr="00AE2817" w:rsidRDefault="006E6AAA" w:rsidP="006E6AAA">
      <w:pPr>
        <w:autoSpaceDE w:val="0"/>
        <w:autoSpaceDN w:val="0"/>
        <w:adjustRightInd w:val="0"/>
        <w:rPr>
          <w:rFonts w:ascii="Calibri" w:hAnsi="Calibri"/>
          <w:sz w:val="20"/>
          <w:szCs w:val="20"/>
        </w:rPr>
      </w:pPr>
      <w:r w:rsidRPr="005465C4">
        <w:rPr>
          <w:rStyle w:val="FootnoteReference"/>
          <w:rFonts w:ascii="Calibri" w:hAnsi="Calibri"/>
          <w:sz w:val="20"/>
          <w:szCs w:val="20"/>
        </w:rPr>
        <w:footnoteRef/>
      </w:r>
      <w:r w:rsidRPr="005465C4">
        <w:rPr>
          <w:rFonts w:ascii="Calibri" w:hAnsi="Calibri"/>
          <w:sz w:val="20"/>
          <w:szCs w:val="20"/>
        </w:rPr>
        <w:t xml:space="preserve"> “</w:t>
      </w:r>
      <w:r w:rsidRPr="005465C4">
        <w:rPr>
          <w:rFonts w:ascii="Calibri" w:hAnsi="Calibri"/>
          <w:i/>
          <w:sz w:val="20"/>
          <w:szCs w:val="20"/>
        </w:rPr>
        <w:t>The analysis also demonstrated a civilian adoption of rape. From 2004 to 2008, the number of civilian rapes increased by an astounding 1733% or 17-fold, while the number of rapes by armed combatants decreased by 77%. These findings imply a normalization of rape among the civilian population</w:t>
      </w:r>
      <w:r w:rsidRPr="005465C4">
        <w:rPr>
          <w:rFonts w:ascii="Calibri" w:hAnsi="Calibri"/>
          <w:sz w:val="20"/>
          <w:szCs w:val="20"/>
        </w:rPr>
        <w:t xml:space="preserve">”, </w:t>
      </w:r>
      <w:r w:rsidRPr="00AE2817">
        <w:rPr>
          <w:rFonts w:ascii="Calibri" w:hAnsi="Calibri"/>
          <w:sz w:val="20"/>
          <w:szCs w:val="20"/>
        </w:rPr>
        <w:t>OXFAM America and Harvard Humanitarian Initiative, “</w:t>
      </w:r>
      <w:r w:rsidRPr="00AE2817">
        <w:rPr>
          <w:rFonts w:ascii="Calibri" w:hAnsi="Calibri"/>
          <w:i/>
          <w:sz w:val="20"/>
          <w:szCs w:val="20"/>
        </w:rPr>
        <w:t xml:space="preserve">’Now, the world is without me: an investigation of Sexual Violence in </w:t>
      </w:r>
      <w:smartTag w:uri="urn:schemas-microsoft-com:office:smarttags" w:element="place">
        <w:r w:rsidRPr="00AE2817">
          <w:rPr>
            <w:rFonts w:ascii="Calibri" w:hAnsi="Calibri"/>
            <w:i/>
            <w:sz w:val="20"/>
            <w:szCs w:val="20"/>
          </w:rPr>
          <w:t>Eastern DRC</w:t>
        </w:r>
      </w:smartTag>
      <w:r w:rsidRPr="00AE2817">
        <w:rPr>
          <w:rFonts w:ascii="Calibri" w:hAnsi="Calibri"/>
          <w:sz w:val="20"/>
          <w:szCs w:val="20"/>
        </w:rPr>
        <w:t>”</w:t>
      </w:r>
      <w:r>
        <w:rPr>
          <w:rFonts w:ascii="Calibri" w:hAnsi="Calibri"/>
          <w:sz w:val="20"/>
          <w:szCs w:val="20"/>
        </w:rPr>
        <w:t>,</w:t>
      </w:r>
      <w:r w:rsidRPr="00AE2817">
        <w:rPr>
          <w:rFonts w:ascii="Calibri" w:hAnsi="Calibri"/>
          <w:sz w:val="20"/>
          <w:szCs w:val="20"/>
        </w:rPr>
        <w:t>2010.</w:t>
      </w:r>
    </w:p>
  </w:footnote>
  <w:footnote w:id="218">
    <w:p w:rsidR="006E6AAA" w:rsidRPr="00E96AB3" w:rsidRDefault="006E6AAA" w:rsidP="006E6AAA">
      <w:pPr>
        <w:pStyle w:val="FootnoteText"/>
        <w:rPr>
          <w:rFonts w:ascii="Calibri" w:hAnsi="Calibri"/>
        </w:rPr>
      </w:pPr>
      <w:r w:rsidRPr="005465C4">
        <w:rPr>
          <w:rStyle w:val="FootnoteReference"/>
          <w:rFonts w:ascii="Calibri" w:hAnsi="Calibri"/>
        </w:rPr>
        <w:footnoteRef/>
      </w:r>
      <w:r w:rsidRPr="00E96AB3">
        <w:rPr>
          <w:rFonts w:ascii="Calibri" w:hAnsi="Calibri"/>
        </w:rPr>
        <w:t xml:space="preserve"> Wageningen University, </w:t>
      </w:r>
      <w:r w:rsidRPr="00E96AB3">
        <w:rPr>
          <w:rFonts w:ascii="Calibri" w:hAnsi="Calibri"/>
          <w:i/>
        </w:rPr>
        <w:t>supra</w:t>
      </w:r>
      <w:r w:rsidRPr="00E96AB3">
        <w:rPr>
          <w:rFonts w:ascii="Calibri" w:hAnsi="Calibri"/>
        </w:rPr>
        <w:t xml:space="preserve"> n. 59.</w:t>
      </w:r>
    </w:p>
  </w:footnote>
  <w:footnote w:id="219">
    <w:p w:rsidR="006E6AAA" w:rsidRPr="00962A6D" w:rsidRDefault="006E6AAA" w:rsidP="006E6AAA">
      <w:pPr>
        <w:pStyle w:val="FootnoteText"/>
        <w:rPr>
          <w:rFonts w:ascii="Calibri" w:hAnsi="Calibri"/>
          <w:color w:val="FF0000"/>
        </w:rPr>
      </w:pPr>
      <w:r w:rsidRPr="005465C4">
        <w:rPr>
          <w:rStyle w:val="FootnoteReference"/>
          <w:rFonts w:ascii="Calibri" w:hAnsi="Calibri"/>
        </w:rPr>
        <w:footnoteRef/>
      </w:r>
      <w:r w:rsidRPr="00962A6D">
        <w:rPr>
          <w:rFonts w:ascii="Calibri" w:hAnsi="Calibri"/>
        </w:rPr>
        <w:t xml:space="preserve"> Wageningen University, </w:t>
      </w:r>
      <w:r w:rsidRPr="00962A6D">
        <w:rPr>
          <w:rFonts w:ascii="Calibri" w:hAnsi="Calibri"/>
          <w:i/>
        </w:rPr>
        <w:t>supra</w:t>
      </w:r>
      <w:r>
        <w:rPr>
          <w:rFonts w:ascii="Calibri" w:hAnsi="Calibri"/>
        </w:rPr>
        <w:t xml:space="preserve"> n. 5</w:t>
      </w:r>
      <w:r w:rsidRPr="00962A6D">
        <w:rPr>
          <w:rFonts w:ascii="Calibri" w:hAnsi="Calibri"/>
        </w:rPr>
        <w:t>9.</w:t>
      </w:r>
    </w:p>
  </w:footnote>
  <w:footnote w:id="220">
    <w:p w:rsidR="006E6AAA" w:rsidRPr="005465C4" w:rsidRDefault="006E6AAA" w:rsidP="006E6AAA">
      <w:pPr>
        <w:pStyle w:val="FootnoteText"/>
        <w:rPr>
          <w:rFonts w:ascii="Calibri" w:hAnsi="Calibri" w:cs="ScalaSans-Regular"/>
        </w:rPr>
      </w:pPr>
      <w:r w:rsidRPr="005465C4">
        <w:rPr>
          <w:rStyle w:val="FootnoteReference"/>
          <w:rFonts w:ascii="Calibri" w:hAnsi="Calibri"/>
        </w:rPr>
        <w:footnoteRef/>
      </w:r>
      <w:r w:rsidRPr="005465C4">
        <w:rPr>
          <w:rFonts w:ascii="Calibri" w:hAnsi="Calibri"/>
        </w:rPr>
        <w:t xml:space="preserve"> </w:t>
      </w:r>
      <w:r w:rsidRPr="005465C4">
        <w:rPr>
          <w:rFonts w:ascii="Calibri" w:hAnsi="Calibri" w:cs="ScalaSans-Regular"/>
        </w:rPr>
        <w:t>Le documentaire “</w:t>
      </w:r>
      <w:r w:rsidRPr="005465C4">
        <w:rPr>
          <w:rFonts w:ascii="Calibri" w:hAnsi="Calibri" w:cs="ScalaSans-Regular"/>
          <w:i/>
        </w:rPr>
        <w:t>Justice for sale</w:t>
      </w:r>
      <w:r w:rsidRPr="005465C4">
        <w:rPr>
          <w:rFonts w:ascii="Calibri" w:hAnsi="Calibri" w:cs="ScalaSans-Regular"/>
        </w:rPr>
        <w:t xml:space="preserve">” illustre les faiblesses du système judiciaire en suivant le cas d’un militaire injustement condamné pour viol au cours d’une audience foraine au Sud Kivu.  </w:t>
      </w:r>
      <w:r w:rsidRPr="005465C4">
        <w:rPr>
          <w:rFonts w:ascii="Calibri" w:hAnsi="Calibri" w:cs="ScalaSans-Regular"/>
          <w:lang w:val="en-US"/>
        </w:rPr>
        <w:t>“</w:t>
      </w:r>
      <w:r w:rsidRPr="005465C4">
        <w:rPr>
          <w:rFonts w:ascii="Calibri" w:hAnsi="Calibri" w:cs="ScalaSans-Regular"/>
          <w:i/>
          <w:lang w:val="en-US"/>
        </w:rPr>
        <w:t>Justice for sale</w:t>
      </w:r>
      <w:r w:rsidRPr="005465C4">
        <w:rPr>
          <w:rFonts w:ascii="Calibri" w:hAnsi="Calibri" w:cs="ScalaSans-Regular"/>
          <w:lang w:val="en-US"/>
        </w:rPr>
        <w:t>” by</w:t>
      </w:r>
      <w:r w:rsidRPr="005465C4">
        <w:rPr>
          <w:rFonts w:ascii="Calibri" w:hAnsi="Calibri" w:cs="Verdana-Bold"/>
          <w:bCs/>
          <w:lang w:val="en-US"/>
        </w:rPr>
        <w:t xml:space="preserve"> Ilse and Femke van Velzen, IFPRODUCTIONS, 2011.</w:t>
      </w:r>
      <w:r w:rsidRPr="005465C4">
        <w:rPr>
          <w:rFonts w:ascii="Calibri" w:hAnsi="Calibri" w:cs="Verdana-Bold"/>
          <w:b/>
          <w:bCs/>
          <w:lang w:val="en-US"/>
        </w:rPr>
        <w:t xml:space="preserve"> </w:t>
      </w:r>
      <w:r w:rsidRPr="005465C4">
        <w:rPr>
          <w:rFonts w:ascii="Calibri" w:hAnsi="Calibri" w:cs="ScalaSans-Regular"/>
        </w:rPr>
        <w:t xml:space="preserve">Disponible sur </w:t>
      </w:r>
      <w:hyperlink r:id="rId7" w:history="1">
        <w:r w:rsidRPr="005465C4">
          <w:rPr>
            <w:rStyle w:val="Hyperlink"/>
            <w:rFonts w:ascii="Calibri" w:hAnsi="Calibri" w:cs="ScalaSans-Regular"/>
          </w:rPr>
          <w:t>http://ifproductions.nl/justiceforsale.nl/</w:t>
        </w:r>
      </w:hyperlink>
      <w:r w:rsidRPr="005465C4">
        <w:rPr>
          <w:rFonts w:ascii="Calibri" w:hAnsi="Calibri" w:cs="ScalaSans-Regular"/>
        </w:rPr>
        <w:t xml:space="preserve"> </w:t>
      </w:r>
    </w:p>
    <w:p w:rsidR="006E6AAA" w:rsidRPr="00EB334E" w:rsidRDefault="006E6AAA" w:rsidP="006E6AAA">
      <w:pPr>
        <w:pStyle w:val="FootnoteText"/>
        <w:rPr>
          <w:rFonts w:ascii="Calibri" w:hAnsi="Calibri" w:cs="ScalaSans-Regular"/>
          <w:lang w:val="en-US"/>
        </w:rPr>
      </w:pPr>
      <w:r w:rsidRPr="005465C4">
        <w:rPr>
          <w:rFonts w:ascii="Calibri" w:hAnsi="Calibri"/>
        </w:rPr>
        <w:t>L’analyse de 30 jugements pour des dossiers de viol menée par Wageninen University auprès des juridictions du Nord et Sud Kivu conclu que: « </w:t>
      </w:r>
      <w:r w:rsidRPr="005465C4">
        <w:rPr>
          <w:rFonts w:ascii="Calibri" w:hAnsi="Calibri"/>
          <w:i/>
        </w:rPr>
        <w:t xml:space="preserve">None of the 19 conviction files contained the legally required medical report as evidence. </w:t>
      </w:r>
      <w:r w:rsidRPr="005465C4">
        <w:rPr>
          <w:rFonts w:ascii="Calibri" w:hAnsi="Calibri"/>
          <w:i/>
          <w:lang w:val="en-US"/>
        </w:rPr>
        <w:t>Only one file made mention of the presence of physical proof. The legal examination of the cases resulted in the conclusion that 50% of the convictions lacked sufficient evidence. The cases concluded in acquittal are well argued, possibly out of fear on the side of judges to be criticised by public opinion. The convictions (19 out of 30 cases) all concern lower-class suspects and are much less motivated</w:t>
      </w:r>
      <w:r w:rsidRPr="005465C4">
        <w:rPr>
          <w:rFonts w:ascii="Calibri" w:hAnsi="Calibri"/>
          <w:lang w:val="en-US"/>
        </w:rPr>
        <w:t xml:space="preserve">. </w:t>
      </w:r>
      <w:r w:rsidRPr="00E96AB3">
        <w:rPr>
          <w:rFonts w:ascii="Calibri" w:hAnsi="Calibri"/>
        </w:rPr>
        <w:t xml:space="preserve">Wageningen University, </w:t>
      </w:r>
      <w:r w:rsidRPr="00E96AB3">
        <w:rPr>
          <w:rFonts w:ascii="Calibri" w:hAnsi="Calibri"/>
          <w:i/>
        </w:rPr>
        <w:t>supra</w:t>
      </w:r>
      <w:r w:rsidRPr="00E96AB3">
        <w:rPr>
          <w:rFonts w:ascii="Calibri" w:hAnsi="Calibri"/>
        </w:rPr>
        <w:t xml:space="preserve"> n. 59</w:t>
      </w:r>
    </w:p>
  </w:footnote>
  <w:footnote w:id="221">
    <w:p w:rsidR="006E6AAA" w:rsidRPr="005465C4" w:rsidRDefault="006E6AAA" w:rsidP="006E6AAA">
      <w:pPr>
        <w:tabs>
          <w:tab w:val="left" w:pos="540"/>
          <w:tab w:val="left" w:pos="720"/>
          <w:tab w:val="left" w:pos="8460"/>
        </w:tabs>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Un diagnostic des besoins de justice mené en 2008 par l’Université de Berkely identifie les crimes récurrents dans l’Est de la RDC comme suit : disparitions de personnes (60%), travaux forcées ou esclavage (53%), assassinats (61%); violences sexuelles (16%).  </w:t>
      </w:r>
    </w:p>
  </w:footnote>
  <w:footnote w:id="222">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w:t>
      </w:r>
      <w:r>
        <w:rPr>
          <w:rFonts w:ascii="Calibri" w:hAnsi="Calibri"/>
        </w:rPr>
        <w:t xml:space="preserve">PNUD, </w:t>
      </w:r>
      <w:r w:rsidRPr="005C1D19">
        <w:rPr>
          <w:rFonts w:ascii="Calibri" w:hAnsi="Calibri"/>
          <w:i/>
        </w:rPr>
        <w:t>s</w:t>
      </w:r>
      <w:r w:rsidRPr="005C1D19">
        <w:rPr>
          <w:rFonts w:ascii="Calibri" w:hAnsi="Calibri" w:cs="Arial"/>
          <w:i/>
        </w:rPr>
        <w:t xml:space="preserve">upra </w:t>
      </w:r>
      <w:r>
        <w:rPr>
          <w:rFonts w:ascii="Calibri" w:hAnsi="Calibri" w:cs="Arial"/>
        </w:rPr>
        <w:t>n. 13.</w:t>
      </w:r>
    </w:p>
  </w:footnote>
  <w:footnote w:id="223">
    <w:p w:rsidR="006E6AAA" w:rsidRPr="00E23F43" w:rsidRDefault="006E6AAA" w:rsidP="006E6AAA">
      <w:pPr>
        <w:pStyle w:val="FootnoteText"/>
        <w:rPr>
          <w:rFonts w:ascii="Calibri" w:hAnsi="Calibri"/>
          <w:lang w:eastAsia="it-IT"/>
        </w:rPr>
      </w:pPr>
      <w:r>
        <w:rPr>
          <w:rStyle w:val="FootnoteReference"/>
        </w:rPr>
        <w:footnoteRef/>
      </w:r>
      <w:r>
        <w:t xml:space="preserve"> </w:t>
      </w:r>
      <w:r w:rsidRPr="00E23F43">
        <w:rPr>
          <w:rFonts w:ascii="Calibri" w:hAnsi="Calibri"/>
          <w:lang w:eastAsia="it-IT"/>
        </w:rPr>
        <w:t>Cela n’a toutefois pas affecté les résultats du projet vu qu’ils étaient centrés sur la lutte aux VBG</w:t>
      </w:r>
      <w:r w:rsidRPr="00E23F43">
        <w:rPr>
          <w:rFonts w:ascii="Calibri" w:hAnsi="Calibri"/>
          <w:lang w:eastAsia="it-IT"/>
        </w:rPr>
        <w:t/>
      </w:r>
      <w:r w:rsidRPr="00E23F43">
        <w:rPr>
          <w:rFonts w:ascii="Calibri" w:hAnsi="Calibri"/>
          <w:lang w:eastAsia="it-IT"/>
        </w:rPr>
        <w:t>.</w:t>
      </w:r>
    </w:p>
  </w:footnote>
  <w:footnote w:id="224">
    <w:p w:rsidR="006E6AAA" w:rsidRPr="00E27C49" w:rsidRDefault="006E6AAA" w:rsidP="006E6AAA">
      <w:pPr>
        <w:pStyle w:val="FootnoteText"/>
      </w:pPr>
      <w:r>
        <w:rPr>
          <w:rStyle w:val="FootnoteReference"/>
        </w:rPr>
        <w:footnoteRef/>
      </w:r>
      <w:r>
        <w:t xml:space="preserve"> Pour plus de détails sur les fora de coordination des AF voir le § 5.1</w:t>
      </w:r>
    </w:p>
  </w:footnote>
  <w:footnote w:id="22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Par exemple au Sierra Leone et en Somalie les juridictions envoient régulièrement des rapports de suivi des AF au PNUD avec des statistiques et un narratif.</w:t>
      </w:r>
    </w:p>
  </w:footnote>
  <w:footnote w:id="22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Un modèle de référence pourrait être le Protocole d’entente rédigé par le PNUD en Sierra Leone.</w:t>
      </w:r>
    </w:p>
  </w:footnote>
  <w:footnote w:id="227">
    <w:p w:rsidR="006E6AAA" w:rsidRPr="00403207" w:rsidRDefault="006E6AAA" w:rsidP="006E6AAA">
      <w:pPr>
        <w:pStyle w:val="FootnoteText"/>
        <w:rPr>
          <w:rFonts w:ascii="Calibri" w:hAnsi="Calibri"/>
        </w:rPr>
      </w:pPr>
      <w:r w:rsidRPr="00403207">
        <w:rPr>
          <w:rStyle w:val="FootnoteReference"/>
          <w:rFonts w:ascii="Calibri" w:hAnsi="Calibri"/>
        </w:rPr>
        <w:footnoteRef/>
      </w:r>
      <w:r w:rsidRPr="00403207">
        <w:rPr>
          <w:rFonts w:ascii="Calibri" w:hAnsi="Calibri"/>
        </w:rPr>
        <w:t xml:space="preserve"> </w:t>
      </w:r>
      <w:r>
        <w:rPr>
          <w:rFonts w:ascii="Calibri" w:hAnsi="Calibri"/>
        </w:rPr>
        <w:t>« </w:t>
      </w:r>
      <w:r w:rsidRPr="00403207">
        <w:rPr>
          <w:rFonts w:ascii="Calibri" w:hAnsi="Calibri" w:cs="Calibri"/>
          <w:i/>
        </w:rPr>
        <w:t>Renforcement de la capacité du système judiciaire militaire d’enquêter et de poursuivre les crimes des violences sexuelles dans l’est de la RDC</w:t>
      </w:r>
      <w:r>
        <w:rPr>
          <w:rFonts w:ascii="Calibri" w:hAnsi="Calibri" w:cs="Calibri"/>
          <w:i/>
        </w:rPr>
        <w:t> »</w:t>
      </w:r>
    </w:p>
  </w:footnote>
  <w:footnote w:id="228">
    <w:p w:rsidR="006E6AAA" w:rsidRPr="00403207" w:rsidRDefault="006E6AAA" w:rsidP="006E6AAA">
      <w:pPr>
        <w:pStyle w:val="FootnoteText"/>
        <w:rPr>
          <w:rFonts w:ascii="Calibri" w:hAnsi="Calibri"/>
        </w:rPr>
      </w:pPr>
      <w:r w:rsidRPr="00403207">
        <w:rPr>
          <w:rStyle w:val="FootnoteReference"/>
          <w:rFonts w:ascii="Calibri" w:hAnsi="Calibri"/>
        </w:rPr>
        <w:footnoteRef/>
      </w:r>
      <w:r w:rsidRPr="00403207">
        <w:rPr>
          <w:rFonts w:ascii="Calibri" w:hAnsi="Calibri"/>
        </w:rPr>
        <w:t xml:space="preserve"> </w:t>
      </w:r>
      <w:r>
        <w:rPr>
          <w:rFonts w:ascii="Calibri" w:hAnsi="Calibri"/>
        </w:rPr>
        <w:t>« </w:t>
      </w:r>
      <w:r w:rsidRPr="00403207">
        <w:rPr>
          <w:rFonts w:ascii="Calibri" w:hAnsi="Calibri" w:cs="Calibri"/>
          <w:i/>
        </w:rPr>
        <w:t xml:space="preserve">Renforcement de l'accès des femmes à la justice : </w:t>
      </w:r>
      <w:r w:rsidRPr="00403207">
        <w:rPr>
          <w:rFonts w:ascii="Calibri" w:hAnsi="Calibri" w:cs="Calibri"/>
          <w:i/>
          <w:iCs/>
        </w:rPr>
        <w:t>sécurisation et autonomisation des populations dans les Kivus et en Ituri</w:t>
      </w:r>
      <w:r>
        <w:rPr>
          <w:rFonts w:ascii="Calibri" w:hAnsi="Calibri" w:cs="Calibri"/>
          <w:i/>
          <w:iCs/>
        </w:rPr>
        <w:t> »</w:t>
      </w:r>
    </w:p>
  </w:footnote>
  <w:footnote w:id="229">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Rapport de monitoring judiciaire de l’AF du TMG de Bukavu á Kalehe (Sud Kivu, 2011)</w:t>
      </w:r>
    </w:p>
  </w:footnote>
  <w:footnote w:id="230">
    <w:p w:rsidR="006E6AAA" w:rsidRPr="005A4F0F"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Une bonne pratique dans une approche de </w:t>
      </w:r>
      <w:r w:rsidRPr="005A4F0F">
        <w:rPr>
          <w:rFonts w:ascii="Calibri" w:hAnsi="Calibri"/>
          <w:i/>
          <w:sz w:val="20"/>
          <w:szCs w:val="20"/>
          <w:lang w:val="fr-FR"/>
        </w:rPr>
        <w:t>legal empowerment</w:t>
      </w:r>
      <w:r>
        <w:rPr>
          <w:rFonts w:ascii="Calibri" w:hAnsi="Calibri"/>
          <w:sz w:val="20"/>
          <w:szCs w:val="20"/>
          <w:lang w:val="fr-FR"/>
        </w:rPr>
        <w:t xml:space="preserve"> </w:t>
      </w:r>
      <w:r w:rsidRPr="005465C4">
        <w:rPr>
          <w:rFonts w:ascii="Calibri" w:hAnsi="Calibri"/>
          <w:sz w:val="20"/>
          <w:szCs w:val="20"/>
          <w:lang w:val="fr-FR"/>
        </w:rPr>
        <w:t xml:space="preserve">est développée par ASF avec les « observatoires des procès issus des relais communautaires ». </w:t>
      </w:r>
      <w:r w:rsidRPr="005A4F0F">
        <w:rPr>
          <w:rFonts w:ascii="Calibri" w:hAnsi="Calibri"/>
          <w:sz w:val="20"/>
          <w:szCs w:val="20"/>
          <w:lang w:val="fr-FR"/>
        </w:rPr>
        <w:t>Avocats sans Frontières, « </w:t>
      </w:r>
      <w:r w:rsidRPr="005A4F0F">
        <w:rPr>
          <w:rFonts w:ascii="Calibri" w:hAnsi="Calibri"/>
          <w:i/>
          <w:sz w:val="20"/>
          <w:szCs w:val="20"/>
          <w:lang w:val="fr-FR"/>
        </w:rPr>
        <w:t>Une justice équitable en RDC : Les audiences foraines une expérience pilote réussie </w:t>
      </w:r>
      <w:r w:rsidRPr="005A4F0F">
        <w:rPr>
          <w:rFonts w:ascii="Calibri" w:hAnsi="Calibri"/>
          <w:sz w:val="20"/>
          <w:szCs w:val="20"/>
          <w:lang w:val="fr-FR"/>
        </w:rPr>
        <w:t>», 2006 </w:t>
      </w:r>
    </w:p>
  </w:footnote>
  <w:footnote w:id="231">
    <w:p w:rsidR="006E6AAA" w:rsidRPr="00C62A98" w:rsidRDefault="006E6AAA" w:rsidP="006E6AAA">
      <w:pPr>
        <w:pStyle w:val="FootnoteText"/>
        <w:rPr>
          <w:rFonts w:ascii="Calibri" w:hAnsi="Calibri"/>
        </w:rPr>
      </w:pPr>
      <w:r w:rsidRPr="00C62A98">
        <w:rPr>
          <w:rStyle w:val="FootnoteReference"/>
          <w:rFonts w:ascii="Calibri" w:hAnsi="Calibri"/>
        </w:rPr>
        <w:footnoteRef/>
      </w:r>
      <w:r w:rsidRPr="00C62A98">
        <w:rPr>
          <w:rFonts w:ascii="Calibri" w:hAnsi="Calibri"/>
        </w:rPr>
        <w:t xml:space="preserve"> « </w:t>
      </w:r>
      <w:r w:rsidRPr="00C62A98">
        <w:rPr>
          <w:rFonts w:ascii="Calibri" w:hAnsi="Calibri" w:cs="Calibri"/>
          <w:i/>
        </w:rPr>
        <w:t xml:space="preserve">Renforcement de l'accès des femmes à la justice : </w:t>
      </w:r>
      <w:r w:rsidRPr="00C62A98">
        <w:rPr>
          <w:rFonts w:ascii="Calibri" w:hAnsi="Calibri" w:cs="Calibri"/>
          <w:i/>
          <w:iCs/>
        </w:rPr>
        <w:t>sécurisation et autonomisation des populations dans les Kivus et en Ituri »</w:t>
      </w:r>
    </w:p>
  </w:footnote>
  <w:footnote w:id="232">
    <w:p w:rsidR="006E6AAA" w:rsidRPr="005465C4" w:rsidRDefault="006E6AAA" w:rsidP="006E6AAA">
      <w:pPr>
        <w:jc w:val="both"/>
        <w:rPr>
          <w:rFonts w:ascii="Calibri" w:hAnsi="Calibri" w:cs="Whitney-Bold"/>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eastAsia="MS Mincho" w:hAnsi="Calibri"/>
          <w:sz w:val="20"/>
          <w:szCs w:val="20"/>
          <w:lang w:val="fr-FR" w:eastAsia="fr-FR"/>
        </w:rPr>
        <w:t>Avocats sans Frontières, “</w:t>
      </w:r>
      <w:r w:rsidRPr="005A4F0F">
        <w:rPr>
          <w:rFonts w:ascii="Calibri" w:eastAsia="MS Mincho" w:hAnsi="Calibri"/>
          <w:i/>
          <w:sz w:val="20"/>
          <w:szCs w:val="20"/>
          <w:lang w:val="fr-FR" w:eastAsia="fr-FR"/>
        </w:rPr>
        <w:t>Rapport d’évaluation externe des projets support aux audiences foraines et boutiques de droit dans les provinces de l’Equateur et du Maniema en République Démocratique du Congo</w:t>
      </w:r>
      <w:r w:rsidRPr="005465C4">
        <w:rPr>
          <w:rFonts w:ascii="Calibri" w:eastAsia="MS Mincho" w:hAnsi="Calibri"/>
          <w:sz w:val="20"/>
          <w:szCs w:val="20"/>
          <w:lang w:val="fr-FR" w:eastAsia="fr-FR"/>
        </w:rPr>
        <w:t> », 2008</w:t>
      </w:r>
    </w:p>
  </w:footnote>
  <w:footnote w:id="233">
    <w:p w:rsidR="006E6AAA" w:rsidRPr="00FC71AD" w:rsidRDefault="006E6AAA" w:rsidP="006E6AAA">
      <w:pPr>
        <w:tabs>
          <w:tab w:val="left" w:pos="540"/>
        </w:tabs>
        <w:outlineLvl w:val="0"/>
        <w:rPr>
          <w:rFonts w:ascii="Calibri" w:hAnsi="Calibri"/>
          <w:color w:val="FF0000"/>
          <w:sz w:val="20"/>
          <w:szCs w:val="20"/>
        </w:rPr>
      </w:pPr>
      <w:r w:rsidRPr="00197BAF">
        <w:rPr>
          <w:rStyle w:val="FootnoteReference"/>
          <w:rFonts w:ascii="Calibri" w:hAnsi="Calibri"/>
          <w:sz w:val="20"/>
          <w:szCs w:val="20"/>
          <w:lang w:val="fr-FR"/>
        </w:rPr>
        <w:footnoteRef/>
      </w:r>
      <w:r w:rsidRPr="00197BAF">
        <w:rPr>
          <w:rFonts w:ascii="Calibri" w:hAnsi="Calibri"/>
          <w:sz w:val="20"/>
          <w:szCs w:val="20"/>
        </w:rPr>
        <w:t xml:space="preserve"> </w:t>
      </w:r>
      <w:r w:rsidRPr="00197BAF">
        <w:rPr>
          <w:rFonts w:ascii="Calibri" w:hAnsi="Calibri"/>
          <w:sz w:val="20"/>
          <w:szCs w:val="20"/>
          <w:lang w:val="fr-FR"/>
        </w:rPr>
        <w:t>Sur ce point le rapport de l’Univerisite de Wageningen conclut que</w:t>
      </w:r>
      <w:r w:rsidRPr="005465C4">
        <w:rPr>
          <w:rFonts w:ascii="Calibri" w:hAnsi="Calibri"/>
          <w:sz w:val="20"/>
          <w:szCs w:val="20"/>
        </w:rPr>
        <w:t xml:space="preserve"> « </w:t>
      </w:r>
      <w:r w:rsidRPr="005465C4">
        <w:rPr>
          <w:rFonts w:ascii="Calibri" w:hAnsi="Calibri"/>
          <w:i/>
          <w:sz w:val="20"/>
          <w:szCs w:val="20"/>
        </w:rPr>
        <w:t>NGOs pay for lawyers on the side of victims, while suspects are usually left with unpaid, and hence unmotivated, public defenders</w:t>
      </w:r>
      <w:r>
        <w:rPr>
          <w:rFonts w:ascii="Calibri" w:hAnsi="Calibri"/>
          <w:sz w:val="20"/>
          <w:szCs w:val="20"/>
        </w:rPr>
        <w:t xml:space="preserve">.”, </w:t>
      </w:r>
      <w:r w:rsidRPr="00FC71AD">
        <w:rPr>
          <w:rFonts w:ascii="Calibri" w:hAnsi="Calibri"/>
          <w:i/>
          <w:sz w:val="20"/>
          <w:szCs w:val="20"/>
        </w:rPr>
        <w:t>Supra</w:t>
      </w:r>
      <w:r>
        <w:rPr>
          <w:rFonts w:ascii="Calibri" w:hAnsi="Calibri"/>
          <w:sz w:val="20"/>
          <w:szCs w:val="20"/>
        </w:rPr>
        <w:t xml:space="preserve"> n. 59.</w:t>
      </w:r>
    </w:p>
  </w:footnote>
  <w:footnote w:id="234">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L’état congolais paye les avocats d’office seulement pour les dossiers de meurtre.  </w:t>
      </w:r>
    </w:p>
  </w:footnote>
  <w:footnote w:id="235">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Rapport de monitoring judiciaire de l’AF du TMG de Bukavu a Kalehe (Sud Kivu, 2011)</w:t>
      </w:r>
    </w:p>
  </w:footnote>
  <w:footnote w:id="23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Réunion avec le Gouverneur du Sud Kivu et les autorités judiciaires et de police pour la formulation du projet PNUD 2013-2018, Bukvu, 25/03/2013</w:t>
      </w:r>
    </w:p>
  </w:footnote>
  <w:footnote w:id="237">
    <w:p w:rsidR="006E6AAA" w:rsidRPr="005465C4" w:rsidRDefault="006E6AAA" w:rsidP="006E6AAA">
      <w:pPr>
        <w:pStyle w:val="Paragraphedeliste"/>
        <w:ind w:left="0"/>
        <w:rPr>
          <w:rFonts w:ascii="Calibri" w:hAnsi="Calibri"/>
          <w:sz w:val="20"/>
          <w:szCs w:val="20"/>
        </w:rPr>
      </w:pPr>
      <w:r w:rsidRPr="005465C4">
        <w:rPr>
          <w:rStyle w:val="FootnoteReference"/>
          <w:rFonts w:ascii="Calibri" w:hAnsi="Calibri"/>
          <w:sz w:val="20"/>
          <w:szCs w:val="20"/>
        </w:rPr>
        <w:footnoteRef/>
      </w:r>
      <w:r w:rsidRPr="005465C4">
        <w:rPr>
          <w:rFonts w:ascii="Calibri" w:hAnsi="Calibri"/>
          <w:sz w:val="20"/>
          <w:szCs w:val="20"/>
        </w:rPr>
        <w:t xml:space="preserve"> Par exemple le Rapport de monitoring pour l’AF du TGM de Bukavu á Walungu signale que « </w:t>
      </w:r>
      <w:r w:rsidRPr="005465C4">
        <w:rPr>
          <w:rFonts w:ascii="Calibri" w:hAnsi="Calibri"/>
          <w:i/>
          <w:sz w:val="20"/>
          <w:szCs w:val="20"/>
        </w:rPr>
        <w:t>Les Avocats ont déclaré avoir pris connaissance des dossiers qui sont passés le premier jour d’audience que 10 minutes avant l’audience</w:t>
      </w:r>
      <w:r w:rsidRPr="005465C4">
        <w:rPr>
          <w:rFonts w:ascii="Calibri" w:hAnsi="Calibri"/>
          <w:sz w:val="20"/>
          <w:szCs w:val="20"/>
        </w:rPr>
        <w:t> »</w:t>
      </w:r>
    </w:p>
  </w:footnote>
  <w:footnote w:id="238">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Rapport de monitoring judiciaire de l’AF du TMG de Bunia a Mamabasa (Ituri, 2012)</w:t>
      </w:r>
    </w:p>
  </w:footnote>
  <w:footnote w:id="239">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Rapport de monitoring judiciaire de l’AF du TMG de Bukavu a Walungu (Sud Kivu, 2011)</w:t>
      </w:r>
    </w:p>
  </w:footnote>
  <w:footnote w:id="240">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w:t>
      </w:r>
      <w:r>
        <w:rPr>
          <w:rFonts w:ascii="Calibri" w:hAnsi="Calibri"/>
        </w:rPr>
        <w:t xml:space="preserve">RCN, </w:t>
      </w:r>
      <w:r w:rsidRPr="00FC71AD">
        <w:rPr>
          <w:rFonts w:ascii="Calibri" w:hAnsi="Calibri"/>
          <w:i/>
        </w:rPr>
        <w:t>Supra</w:t>
      </w:r>
      <w:r>
        <w:rPr>
          <w:rFonts w:ascii="Calibri" w:hAnsi="Calibri"/>
        </w:rPr>
        <w:t xml:space="preserve"> n. 57.</w:t>
      </w:r>
    </w:p>
  </w:footnote>
  <w:footnote w:id="241">
    <w:p w:rsidR="006E6AAA" w:rsidRPr="005465C4" w:rsidRDefault="006E6AAA" w:rsidP="006E6AAA">
      <w:pPr>
        <w:tabs>
          <w:tab w:val="left" w:pos="12402"/>
        </w:tabs>
        <w:jc w:val="both"/>
        <w:rPr>
          <w:rFonts w:ascii="Calibri" w:hAnsi="Calibri"/>
          <w:b/>
          <w: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Certains magistrats ont exprimé des réserves sur cette pratique, comme illustré par le rapport de l’AF à Bunia de la CM de Kisangani en 2013</w:t>
      </w:r>
      <w:r w:rsidRPr="005465C4">
        <w:rPr>
          <w:rFonts w:ascii="Calibri" w:hAnsi="Calibri"/>
          <w:i/>
          <w:sz w:val="20"/>
          <w:szCs w:val="20"/>
          <w:lang w:val="fr-FR"/>
        </w:rPr>
        <w:t xml:space="preserve"> « Le premier juge avait pris une mesure en attribuant un code à la victime comme mécanisme de</w:t>
      </w:r>
      <w:r w:rsidRPr="005465C4">
        <w:rPr>
          <w:rFonts w:ascii="Calibri" w:hAnsi="Calibri"/>
          <w:b/>
          <w:i/>
          <w:sz w:val="20"/>
          <w:szCs w:val="20"/>
          <w:lang w:val="fr-FR"/>
        </w:rPr>
        <w:t xml:space="preserve"> </w:t>
      </w:r>
      <w:r w:rsidRPr="005465C4">
        <w:rPr>
          <w:rFonts w:ascii="Calibri" w:hAnsi="Calibri"/>
          <w:i/>
          <w:sz w:val="20"/>
          <w:szCs w:val="20"/>
          <w:lang w:val="fr-FR"/>
        </w:rPr>
        <w:t>protection.</w:t>
      </w:r>
      <w:r>
        <w:rPr>
          <w:rFonts w:ascii="Calibri" w:hAnsi="Calibri"/>
          <w:b/>
          <w:i/>
          <w:sz w:val="20"/>
          <w:szCs w:val="20"/>
          <w:lang w:val="fr-FR"/>
        </w:rPr>
        <w:t xml:space="preserve"> </w:t>
      </w:r>
      <w:r w:rsidRPr="00FC71AD">
        <w:rPr>
          <w:rFonts w:ascii="Calibri" w:hAnsi="Calibri"/>
          <w:i/>
          <w:sz w:val="20"/>
          <w:szCs w:val="20"/>
          <w:lang w:val="fr-FR"/>
        </w:rPr>
        <w:t>L</w:t>
      </w:r>
      <w:r w:rsidRPr="005465C4">
        <w:rPr>
          <w:rFonts w:ascii="Calibri" w:hAnsi="Calibri"/>
          <w:i/>
          <w:sz w:val="20"/>
          <w:szCs w:val="20"/>
          <w:lang w:val="fr-FR"/>
        </w:rPr>
        <w:t>a cour militaire a estimé que cette mesure n’était envisageable qu’à la phase de l’instruction pré juridictionnelle. Le faire au niveau de l’instruction juridictionnelle, risquerait de poser un sérieux préjudice à la victime, lorsqu’elle devra réclamer des g qui lui ont été alloués, car elle n’est pas clairement identifiée dans la décision judiciaire</w:t>
      </w:r>
      <w:r w:rsidRPr="005465C4">
        <w:rPr>
          <w:rFonts w:ascii="Calibri" w:hAnsi="Calibri"/>
          <w:sz w:val="20"/>
          <w:szCs w:val="20"/>
          <w:lang w:val="fr-FR"/>
        </w:rPr>
        <w:t xml:space="preserve"> ». </w:t>
      </w:r>
    </w:p>
  </w:footnote>
  <w:footnote w:id="242">
    <w:p w:rsidR="006E6AAA" w:rsidRPr="005465C4" w:rsidRDefault="006E6AAA" w:rsidP="006E6AAA">
      <w:pPr>
        <w:jc w:val="both"/>
        <w:rPr>
          <w:rFonts w:ascii="Calibri" w:eastAsia="MS Mincho" w:hAnsi="Calibri"/>
          <w:sz w:val="20"/>
          <w:szCs w:val="20"/>
          <w:lang w:val="fr-FR" w:eastAsia="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eastAsia="MS Mincho" w:hAnsi="Calibri"/>
          <w:sz w:val="20"/>
          <w:szCs w:val="20"/>
          <w:lang w:val="fr-FR" w:eastAsia="fr-FR"/>
        </w:rPr>
        <w:t xml:space="preserve">Un représentant du PNUD précise que les AF organisées dans les prisons pour rendre des jugements (et non seulement pour valider les détentions préventives) sont objet de débat: la sécurité n’est pas bien garantie pour les parties au procès et les acteurs judiciaires ; la publicité des débats est mise en cause  vue que le public ne fréquente pas volontiers les prisons. Par contre d’autres collègues PNUD soulignent que les AF dans les prisons offrent une solution efficace au problème du manque de transport pour transférer les détenus des prisons aux tribunaux et aux conséquents reports des procès. </w:t>
      </w:r>
    </w:p>
  </w:footnote>
  <w:footnote w:id="243">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En novembre 2012 au </w:t>
      </w:r>
      <w:r>
        <w:rPr>
          <w:rFonts w:ascii="Calibri" w:hAnsi="Calibri"/>
        </w:rPr>
        <w:t>cours de l’attaque des M23</w:t>
      </w:r>
      <w:r w:rsidRPr="005465C4">
        <w:rPr>
          <w:rFonts w:ascii="Calibri" w:hAnsi="Calibri"/>
        </w:rPr>
        <w:t xml:space="preserve"> les 1.600 détenus de la prison centrale de Goma se sont évades</w:t>
      </w:r>
    </w:p>
  </w:footnote>
  <w:footnote w:id="244">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MONUSCO, « </w:t>
      </w:r>
      <w:r w:rsidRPr="005465C4">
        <w:rPr>
          <w:rFonts w:ascii="Calibri" w:hAnsi="Calibri"/>
          <w:i/>
          <w:sz w:val="20"/>
          <w:szCs w:val="20"/>
          <w:lang w:val="fr-FR"/>
        </w:rPr>
        <w:t>Rapport sur la détention dans les prisons et cachots de la RDC</w:t>
      </w:r>
      <w:r w:rsidRPr="005465C4">
        <w:rPr>
          <w:rFonts w:ascii="Calibri" w:hAnsi="Calibri"/>
          <w:sz w:val="20"/>
          <w:szCs w:val="20"/>
          <w:lang w:val="fr-FR"/>
        </w:rPr>
        <w:t> », 2004</w:t>
      </w:r>
    </w:p>
  </w:footnote>
  <w:footnote w:id="245">
    <w:p w:rsidR="006E6AAA" w:rsidRPr="00FC71AD" w:rsidRDefault="006E6AAA" w:rsidP="006E6AAA">
      <w:pPr>
        <w:pStyle w:val="FootnoteText"/>
        <w:rPr>
          <w:rFonts w:ascii="Calibri" w:hAnsi="Calibri"/>
          <w:color w:val="FF0000"/>
          <w:lang w:val="it-IT"/>
        </w:rPr>
      </w:pPr>
      <w:r w:rsidRPr="005465C4">
        <w:rPr>
          <w:rStyle w:val="FootnoteReference"/>
          <w:rFonts w:ascii="Calibri" w:hAnsi="Calibri"/>
        </w:rPr>
        <w:footnoteRef/>
      </w:r>
      <w:r w:rsidRPr="00FC71AD">
        <w:rPr>
          <w:rFonts w:ascii="Calibri" w:hAnsi="Calibri"/>
          <w:lang w:val="it-IT"/>
        </w:rPr>
        <w:t xml:space="preserve"> MONUSCO, s</w:t>
      </w:r>
      <w:r>
        <w:rPr>
          <w:rFonts w:ascii="Calibri" w:hAnsi="Calibri" w:cs="ScalaPro-Regular"/>
          <w:lang w:val="it-IT"/>
        </w:rPr>
        <w:t>upra n. 91.</w:t>
      </w:r>
    </w:p>
  </w:footnote>
  <w:footnote w:id="246">
    <w:p w:rsidR="006E6AAA" w:rsidRPr="00E23F43" w:rsidRDefault="006E6AAA" w:rsidP="006E6AAA">
      <w:pPr>
        <w:spacing w:line="280" w:lineRule="exact"/>
        <w:jc w:val="both"/>
        <w:rPr>
          <w:rFonts w:ascii="Calibri" w:hAnsi="Calibri"/>
          <w:sz w:val="20"/>
          <w:szCs w:val="20"/>
          <w:lang w:val="fr-FR"/>
        </w:rPr>
      </w:pPr>
      <w:r w:rsidRPr="00E23F43">
        <w:rPr>
          <w:rStyle w:val="FootnoteReference"/>
          <w:rFonts w:ascii="Calibri" w:hAnsi="Calibri"/>
          <w:sz w:val="20"/>
          <w:szCs w:val="20"/>
        </w:rPr>
        <w:footnoteRef/>
      </w:r>
      <w:r w:rsidRPr="00E23F43">
        <w:rPr>
          <w:rFonts w:ascii="Calibri" w:hAnsi="Calibri"/>
          <w:sz w:val="20"/>
          <w:szCs w:val="20"/>
          <w:lang w:val="fr-FR"/>
        </w:rPr>
        <w:t xml:space="preserve"> L’équipe de monitoring judiciaire du PNUD est entrain de mener une étude sur les causes de non recouvrement des dommages et intérêts sur 80 dossiers (au Nord et Sud Kivu et en Ituri). </w:t>
      </w:r>
    </w:p>
  </w:footnote>
  <w:footnote w:id="247">
    <w:p w:rsidR="006E6AAA" w:rsidRPr="008B549C" w:rsidRDefault="006E6AAA" w:rsidP="006E6AAA">
      <w:pPr>
        <w:pStyle w:val="FootnoteText"/>
        <w:rPr>
          <w:rFonts w:ascii="Calibri" w:hAnsi="Calibri"/>
        </w:rPr>
      </w:pPr>
      <w:r w:rsidRPr="005465C4">
        <w:rPr>
          <w:rStyle w:val="FootnoteReference"/>
          <w:rFonts w:ascii="Calibri" w:hAnsi="Calibri"/>
        </w:rPr>
        <w:footnoteRef/>
      </w:r>
      <w:r w:rsidRPr="008B549C">
        <w:rPr>
          <w:rFonts w:ascii="Calibri" w:hAnsi="Calibri"/>
        </w:rPr>
        <w:t xml:space="preserve"> ABA-ROLI, </w:t>
      </w:r>
      <w:r>
        <w:rPr>
          <w:rFonts w:ascii="Calibri" w:hAnsi="Calibri"/>
        </w:rPr>
        <w:t>s</w:t>
      </w:r>
      <w:r w:rsidRPr="008B549C">
        <w:rPr>
          <w:rFonts w:ascii="Calibri" w:hAnsi="Calibri"/>
          <w:i/>
        </w:rPr>
        <w:t>upra</w:t>
      </w:r>
      <w:r>
        <w:rPr>
          <w:rFonts w:ascii="Calibri" w:hAnsi="Calibri"/>
        </w:rPr>
        <w:t xml:space="preserve"> n. 6</w:t>
      </w:r>
      <w:r w:rsidRPr="008B549C">
        <w:rPr>
          <w:rFonts w:ascii="Calibri" w:hAnsi="Calibri"/>
        </w:rPr>
        <w:t>3</w:t>
      </w:r>
    </w:p>
  </w:footnote>
  <w:footnote w:id="248">
    <w:p w:rsidR="006E6AAA" w:rsidRPr="00996868" w:rsidRDefault="006E6AAA" w:rsidP="006E6AAA">
      <w:pPr>
        <w:pStyle w:val="Default"/>
        <w:rPr>
          <w:rFonts w:ascii="Calibri" w:hAnsi="Calibri" w:cs="Frutiger-Black"/>
          <w:color w:val="auto"/>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Office of the UN High Commissioner for Human Rights</w:t>
      </w:r>
      <w:r w:rsidRPr="005465C4">
        <w:rPr>
          <w:rFonts w:ascii="Calibri" w:hAnsi="Calibri" w:cs="Frutiger-Black"/>
          <w:sz w:val="20"/>
          <w:szCs w:val="20"/>
          <w:lang w:val="fr-FR"/>
        </w:rPr>
        <w:t xml:space="preserve"> , « </w:t>
      </w:r>
      <w:r w:rsidRPr="00D53B15">
        <w:rPr>
          <w:rFonts w:ascii="Calibri" w:hAnsi="Calibri" w:cs="Frutiger-Black"/>
          <w:i/>
          <w:sz w:val="20"/>
          <w:szCs w:val="20"/>
          <w:lang w:val="fr-FR"/>
        </w:rPr>
        <w:t>Rapport du Panel à la Haut Commissaire aux Droits de l'Homme sur les moyens de recours et de réparation pour les victimes de violences sexuelles en République Démocratique du Congo </w:t>
      </w:r>
      <w:r w:rsidRPr="005465C4">
        <w:rPr>
          <w:rFonts w:ascii="Calibri" w:hAnsi="Calibri" w:cs="Frutiger-Black"/>
          <w:sz w:val="20"/>
          <w:szCs w:val="20"/>
          <w:lang w:val="fr-FR"/>
        </w:rPr>
        <w:t xml:space="preserve">», </w:t>
      </w:r>
      <w:r w:rsidRPr="00996868">
        <w:rPr>
          <w:rFonts w:ascii="Calibri" w:hAnsi="Calibri" w:cs="Frutiger-Black"/>
          <w:sz w:val="20"/>
          <w:szCs w:val="20"/>
          <w:lang w:val="fr-FR"/>
        </w:rPr>
        <w:t xml:space="preserve">2011. Voir aussi </w:t>
      </w:r>
      <w:r w:rsidRPr="00996868">
        <w:rPr>
          <w:rFonts w:ascii="Calibri" w:hAnsi="Calibri"/>
          <w:sz w:val="20"/>
          <w:szCs w:val="20"/>
          <w:lang w:val="fr-FR"/>
        </w:rPr>
        <w:t>l’étude en cours par Physicians for Human Rights sur l’analyse réparations pour les survivantes de viol dans la jurisprudence congolaise</w:t>
      </w:r>
      <w:r>
        <w:rPr>
          <w:rFonts w:ascii="Calibri" w:hAnsi="Calibri"/>
          <w:sz w:val="20"/>
          <w:szCs w:val="20"/>
          <w:lang w:val="fr-FR"/>
        </w:rPr>
        <w:t>.</w:t>
      </w:r>
    </w:p>
  </w:footnote>
  <w:footnote w:id="249">
    <w:p w:rsidR="006E6AAA" w:rsidRPr="006445B3" w:rsidRDefault="006E6AAA" w:rsidP="006E6AAA">
      <w:pPr>
        <w:autoSpaceDE w:val="0"/>
        <w:autoSpaceDN w:val="0"/>
        <w:adjustRightInd w:val="0"/>
        <w:rPr>
          <w:rFonts w:ascii="Calibri" w:hAnsi="Calibri"/>
          <w:sz w:val="20"/>
          <w:szCs w:val="20"/>
        </w:rPr>
      </w:pPr>
      <w:r w:rsidRPr="005465C4">
        <w:rPr>
          <w:rStyle w:val="FootnoteReference"/>
          <w:rFonts w:ascii="Calibri" w:hAnsi="Calibri"/>
          <w:sz w:val="20"/>
          <w:szCs w:val="20"/>
        </w:rPr>
        <w:footnoteRef/>
      </w:r>
      <w:r w:rsidRPr="005465C4">
        <w:rPr>
          <w:rFonts w:ascii="Calibri" w:hAnsi="Calibri"/>
          <w:sz w:val="20"/>
          <w:szCs w:val="20"/>
          <w:lang w:val="fr-FR"/>
        </w:rPr>
        <w:t xml:space="preserve"> Avocats sans Frontières, </w:t>
      </w:r>
      <w:r w:rsidRPr="00FC71AD">
        <w:rPr>
          <w:rFonts w:ascii="Calibri" w:hAnsi="Calibri"/>
          <w:i/>
          <w:sz w:val="20"/>
          <w:szCs w:val="20"/>
          <w:lang w:val="fr-FR"/>
        </w:rPr>
        <w:t>supra</w:t>
      </w:r>
      <w:r>
        <w:rPr>
          <w:rFonts w:ascii="Calibri" w:hAnsi="Calibri"/>
          <w:sz w:val="20"/>
          <w:szCs w:val="20"/>
          <w:lang w:val="fr-FR"/>
        </w:rPr>
        <w:t xml:space="preserve"> note n. </w:t>
      </w:r>
      <w:r w:rsidRPr="005465C4">
        <w:rPr>
          <w:rFonts w:ascii="Calibri" w:hAnsi="Calibri"/>
          <w:sz w:val="20"/>
          <w:szCs w:val="20"/>
          <w:lang w:val="fr-FR"/>
        </w:rPr>
        <w:t> </w:t>
      </w:r>
      <w:r w:rsidRPr="006445B3">
        <w:rPr>
          <w:rFonts w:ascii="Calibri" w:hAnsi="Calibri"/>
          <w:sz w:val="20"/>
          <w:szCs w:val="20"/>
        </w:rPr>
        <w:t>75</w:t>
      </w:r>
    </w:p>
  </w:footnote>
  <w:footnote w:id="250">
    <w:p w:rsidR="006E6AAA" w:rsidRPr="006445B3" w:rsidRDefault="006E6AAA" w:rsidP="006E6AAA">
      <w:pPr>
        <w:pStyle w:val="FootnoteText"/>
        <w:rPr>
          <w:rFonts w:ascii="Calibri" w:hAnsi="Calibri"/>
          <w:lang w:val="en-US"/>
        </w:rPr>
      </w:pPr>
      <w:r w:rsidRPr="005465C4">
        <w:rPr>
          <w:rStyle w:val="FootnoteReference"/>
          <w:rFonts w:ascii="Calibri" w:hAnsi="Calibri"/>
        </w:rPr>
        <w:footnoteRef/>
      </w:r>
      <w:r w:rsidRPr="006445B3">
        <w:rPr>
          <w:rFonts w:ascii="Calibri" w:hAnsi="Calibri"/>
          <w:lang w:val="en-US"/>
        </w:rPr>
        <w:t xml:space="preserve"> PNUD, </w:t>
      </w:r>
      <w:r w:rsidRPr="006445B3">
        <w:rPr>
          <w:rFonts w:ascii="Calibri" w:hAnsi="Calibri"/>
          <w:i/>
          <w:lang w:val="en-US"/>
        </w:rPr>
        <w:t>supra</w:t>
      </w:r>
      <w:r w:rsidRPr="006445B3">
        <w:rPr>
          <w:rFonts w:ascii="Calibri" w:hAnsi="Calibri"/>
          <w:lang w:val="en-US"/>
        </w:rPr>
        <w:t xml:space="preserve"> n. 1</w:t>
      </w:r>
      <w:r>
        <w:rPr>
          <w:rFonts w:ascii="Calibri" w:hAnsi="Calibri"/>
          <w:lang w:val="en-US"/>
        </w:rPr>
        <w:t>3</w:t>
      </w:r>
    </w:p>
  </w:footnote>
  <w:footnote w:id="251">
    <w:p w:rsidR="006E6AAA" w:rsidRPr="005465C4" w:rsidRDefault="006E6AAA" w:rsidP="006E6AAA">
      <w:pPr>
        <w:autoSpaceDE w:val="0"/>
        <w:autoSpaceDN w:val="0"/>
        <w:adjustRightInd w:val="0"/>
        <w:rPr>
          <w:rFonts w:ascii="Calibri" w:hAnsi="Calibri"/>
          <w:sz w:val="20"/>
          <w:szCs w:val="20"/>
        </w:rPr>
      </w:pPr>
      <w:r w:rsidRPr="005465C4">
        <w:rPr>
          <w:rStyle w:val="FootnoteReference"/>
          <w:rFonts w:ascii="Calibri" w:hAnsi="Calibri"/>
          <w:sz w:val="20"/>
          <w:szCs w:val="20"/>
        </w:rPr>
        <w:footnoteRef/>
      </w:r>
      <w:r w:rsidRPr="005465C4">
        <w:rPr>
          <w:rFonts w:ascii="Calibri" w:hAnsi="Calibri"/>
          <w:sz w:val="20"/>
          <w:szCs w:val="20"/>
        </w:rPr>
        <w:t xml:space="preserve"> “</w:t>
      </w:r>
      <w:r w:rsidRPr="005465C4">
        <w:rPr>
          <w:rFonts w:ascii="Calibri" w:hAnsi="Calibri"/>
          <w:i/>
          <w:sz w:val="20"/>
          <w:szCs w:val="20"/>
        </w:rPr>
        <w:t>Positive complementarity refers to all activities whereby national jurisdictions are strengthened and enabled to conduct genuine national investigations and trials of crimes included in the Rome Statute</w:t>
      </w:r>
      <w:r w:rsidRPr="005465C4">
        <w:rPr>
          <w:rFonts w:ascii="Calibri" w:hAnsi="Calibri"/>
          <w:sz w:val="20"/>
          <w:szCs w:val="20"/>
        </w:rPr>
        <w:t>” in UNDP «</w:t>
      </w:r>
      <w:r w:rsidRPr="005465C4">
        <w:rPr>
          <w:rFonts w:ascii="Calibri" w:hAnsi="Calibri"/>
          <w:i/>
          <w:sz w:val="20"/>
          <w:szCs w:val="20"/>
        </w:rPr>
        <w:t>Discussion paper: Complementarity and Transitional Justice: Synthesis of Key Emerging Issues for Development</w:t>
      </w:r>
      <w:r w:rsidRPr="005465C4">
        <w:rPr>
          <w:rFonts w:ascii="Calibri" w:hAnsi="Calibri"/>
          <w:sz w:val="20"/>
          <w:szCs w:val="20"/>
        </w:rPr>
        <w:t>”, 2012</w:t>
      </w:r>
    </w:p>
  </w:footnote>
  <w:footnote w:id="252">
    <w:p w:rsidR="006E6AAA" w:rsidRPr="005465C4" w:rsidRDefault="006E6AAA" w:rsidP="006E6AAA">
      <w:pPr>
        <w:rPr>
          <w:rFonts w:ascii="Calibri" w:eastAsia="MS Mincho" w:hAnsi="Calibri"/>
          <w:sz w:val="20"/>
          <w:szCs w:val="20"/>
          <w:lang w:val="fr-FR" w:eastAsia="fr-FR"/>
        </w:rPr>
      </w:pPr>
      <w:r w:rsidRPr="005465C4">
        <w:rPr>
          <w:rStyle w:val="FootnoteReference"/>
          <w:rFonts w:ascii="Calibri" w:hAnsi="Calibri"/>
          <w:sz w:val="20"/>
          <w:szCs w:val="20"/>
        </w:rPr>
        <w:footnoteRef/>
      </w:r>
      <w:r w:rsidRPr="005465C4">
        <w:rPr>
          <w:rFonts w:ascii="Calibri" w:hAnsi="Calibri"/>
          <w:sz w:val="20"/>
          <w:szCs w:val="20"/>
          <w:lang w:val="fr-FR"/>
        </w:rPr>
        <w:t xml:space="preserve"> 6 dossiers pour crimes de guerre commis dans l’est de la DRC (principalement en Ituri) ont été ouverts auprès de la CPI</w:t>
      </w:r>
    </w:p>
  </w:footnote>
  <w:footnote w:id="253">
    <w:p w:rsidR="006E6AAA" w:rsidRPr="006445B3" w:rsidRDefault="006E6AAA" w:rsidP="006E6AAA">
      <w:pPr>
        <w:autoSpaceDE w:val="0"/>
        <w:autoSpaceDN w:val="0"/>
        <w:adjustRightInd w:val="0"/>
        <w:rPr>
          <w:rFonts w:ascii="Calibri" w:hAnsi="Calibri"/>
          <w:i/>
          <w:sz w:val="20"/>
          <w:szCs w:val="20"/>
          <w:lang w:val="fr-FR"/>
        </w:rPr>
      </w:pPr>
      <w:r w:rsidRPr="005465C4">
        <w:rPr>
          <w:rStyle w:val="FootnoteReference"/>
          <w:rFonts w:ascii="Calibri" w:hAnsi="Calibri"/>
          <w:sz w:val="20"/>
          <w:szCs w:val="20"/>
        </w:rPr>
        <w:footnoteRef/>
      </w:r>
      <w:r w:rsidRPr="005465C4">
        <w:rPr>
          <w:rFonts w:ascii="Calibri" w:hAnsi="Calibri"/>
          <w:i/>
          <w:sz w:val="20"/>
          <w:szCs w:val="20"/>
          <w:lang w:val="fr-FR"/>
        </w:rPr>
        <w:t xml:space="preserve"> </w:t>
      </w:r>
      <w:r w:rsidRPr="006445B3">
        <w:rPr>
          <w:rFonts w:ascii="Calibri" w:hAnsi="Calibri"/>
          <w:sz w:val="20"/>
          <w:szCs w:val="20"/>
          <w:lang w:val="fr-FR"/>
        </w:rPr>
        <w:t>Les CAP sont établies par la résolution du Conseil de Sécurité 1925 (2010)</w:t>
      </w:r>
    </w:p>
  </w:footnote>
  <w:footnote w:id="254">
    <w:p w:rsidR="006E6AAA" w:rsidRPr="005465C4" w:rsidRDefault="006E6AAA" w:rsidP="006E6AAA">
      <w:pPr>
        <w:autoSpaceDE w:val="0"/>
        <w:autoSpaceDN w:val="0"/>
        <w:adjustRightInd w:val="0"/>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Avocats sans Frontières, «</w:t>
      </w:r>
      <w:r w:rsidRPr="005465C4">
        <w:rPr>
          <w:rFonts w:ascii="Calibri" w:hAnsi="Calibri"/>
          <w:i/>
          <w:sz w:val="20"/>
          <w:szCs w:val="20"/>
          <w:lang w:val="fr-FR"/>
        </w:rPr>
        <w:t>Etude de jurisprudence : l’application du statut de Rome de la cour pénale internationale par les juridictions de la république démocratique du Congo</w:t>
      </w:r>
      <w:r w:rsidRPr="005465C4">
        <w:rPr>
          <w:rFonts w:ascii="Calibri" w:hAnsi="Calibri"/>
          <w:sz w:val="20"/>
          <w:szCs w:val="20"/>
          <w:lang w:val="fr-FR"/>
        </w:rPr>
        <w:t> », 2009</w:t>
      </w:r>
    </w:p>
  </w:footnote>
  <w:footnote w:id="255">
    <w:p w:rsidR="006E6AAA" w:rsidRPr="00AA73A3" w:rsidRDefault="006E6AAA" w:rsidP="006E6AAA">
      <w:pPr>
        <w:autoSpaceDE w:val="0"/>
        <w:autoSpaceDN w:val="0"/>
        <w:adjustRightInd w:val="0"/>
        <w:rPr>
          <w:rFonts w:ascii="Calibri" w:hAnsi="Calibri" w:cs="AmnestyTradeGothic-Cn18"/>
          <w:sz w:val="20"/>
          <w:szCs w:val="20"/>
          <w:lang w:val="fr-FR"/>
        </w:rPr>
      </w:pPr>
      <w:r w:rsidRPr="005465C4">
        <w:rPr>
          <w:rStyle w:val="FootnoteReference"/>
          <w:rFonts w:ascii="Calibri" w:hAnsi="Calibri"/>
          <w:sz w:val="20"/>
          <w:szCs w:val="20"/>
        </w:rPr>
        <w:footnoteRef/>
      </w:r>
      <w:r w:rsidRPr="005465C4">
        <w:rPr>
          <w:rFonts w:ascii="Calibri" w:hAnsi="Calibri"/>
          <w:sz w:val="20"/>
          <w:szCs w:val="20"/>
        </w:rPr>
        <w:t xml:space="preserve"> Un rapport de Amnesty International confirme que</w:t>
      </w:r>
      <w:r w:rsidRPr="005465C4">
        <w:rPr>
          <w:rFonts w:ascii="Calibri" w:hAnsi="Calibri"/>
          <w:i/>
          <w:sz w:val="20"/>
          <w:szCs w:val="20"/>
        </w:rPr>
        <w:t> </w:t>
      </w:r>
      <w:r w:rsidRPr="005465C4">
        <w:rPr>
          <w:rFonts w:ascii="Calibri" w:hAnsi="Calibri" w:cs="AmnestyTradeGothic-Cn18"/>
          <w:sz w:val="20"/>
          <w:szCs w:val="20"/>
        </w:rPr>
        <w:t>« </w:t>
      </w:r>
      <w:r w:rsidRPr="005465C4">
        <w:rPr>
          <w:rFonts w:ascii="Calibri" w:hAnsi="Calibri" w:cs="AmnestyTradeGothic-Cn18"/>
          <w:i/>
          <w:sz w:val="20"/>
          <w:szCs w:val="20"/>
        </w:rPr>
        <w:t>Most of the trials for crimes under international law in the DRC have taken place before mobile military courts</w:t>
      </w:r>
      <w:r>
        <w:rPr>
          <w:rFonts w:ascii="Calibri" w:hAnsi="Calibri" w:cs="AmnestyTradeGothic-Cn18"/>
          <w:sz w:val="20"/>
          <w:szCs w:val="20"/>
        </w:rPr>
        <w:t xml:space="preserve">”. </w:t>
      </w:r>
      <w:r w:rsidRPr="00AA73A3">
        <w:rPr>
          <w:rFonts w:ascii="Calibri" w:hAnsi="Calibri" w:cs="AmnestyTradeGothic-Cn18"/>
          <w:sz w:val="20"/>
          <w:szCs w:val="20"/>
          <w:lang w:val="fr-FR"/>
        </w:rPr>
        <w:t xml:space="preserve">Amnesty International, </w:t>
      </w:r>
      <w:r w:rsidRPr="00AA73A3">
        <w:rPr>
          <w:rFonts w:ascii="Calibri" w:hAnsi="Calibri" w:cs="AmnestyTradeGothic-Cn18"/>
          <w:i/>
          <w:sz w:val="20"/>
          <w:szCs w:val="20"/>
          <w:lang w:val="fr-FR"/>
        </w:rPr>
        <w:t>supra</w:t>
      </w:r>
      <w:r>
        <w:rPr>
          <w:rFonts w:ascii="Calibri" w:hAnsi="Calibri" w:cs="AmnestyTradeGothic-Cn18"/>
          <w:sz w:val="20"/>
          <w:szCs w:val="20"/>
          <w:lang w:val="fr-FR"/>
        </w:rPr>
        <w:t xml:space="preserve"> n.7</w:t>
      </w:r>
    </w:p>
  </w:footnote>
  <w:footnote w:id="256">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Par exemple le rapport de monitoring de l’AF de Mambasa explique que: « </w:t>
      </w:r>
      <w:r w:rsidRPr="005465C4">
        <w:rPr>
          <w:rFonts w:ascii="Calibri" w:hAnsi="Calibri"/>
          <w:i/>
        </w:rPr>
        <w:t>les faits présentés par le ministère public sont constitutifs de crimes contre l’humanité conformément aux prescrits de l’article 7 du statut de Rome. C’est pour quoi, déjà au cours de l’audience introductive, les avocats que ce soit de la défense ou des parties civiles avaient demandé au tribunal de pourvoir appliquer, tout au long de cette procédure, le statut de Rome en lieu et place des codes pénales et code de justice militaire congolais</w:t>
      </w:r>
      <w:r w:rsidRPr="005465C4">
        <w:rPr>
          <w:rFonts w:ascii="Calibri" w:hAnsi="Calibri"/>
        </w:rPr>
        <w:t> ».</w:t>
      </w:r>
    </w:p>
  </w:footnote>
  <w:footnote w:id="257">
    <w:p w:rsidR="006E6AAA" w:rsidRPr="005465C4" w:rsidRDefault="006E6AAA" w:rsidP="006E6AAA">
      <w:pPr>
        <w:rPr>
          <w:rFonts w:ascii="Calibri" w:hAnsi="Calibri"/>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Le PNUD a participé á cette AF avec une contribution de 8.059 USD.</w:t>
      </w:r>
    </w:p>
  </w:footnote>
  <w:footnote w:id="258">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AF organisée avec l’appui du PNUD, BCNUDH, ABA, MONUSCO/CAP et ASF. Coû</w:t>
      </w:r>
      <w:r>
        <w:rPr>
          <w:rFonts w:ascii="Calibri" w:hAnsi="Calibri"/>
        </w:rPr>
        <w:t>t</w:t>
      </w:r>
      <w:r w:rsidRPr="005465C4">
        <w:rPr>
          <w:rFonts w:ascii="Calibri" w:hAnsi="Calibri"/>
        </w:rPr>
        <w:t xml:space="preserve"> total : 19.773 USD.</w:t>
      </w:r>
    </w:p>
  </w:footnote>
  <w:footnote w:id="259">
    <w:p w:rsidR="006E6AAA" w:rsidRPr="00AA73A3" w:rsidRDefault="006E6AAA" w:rsidP="006E6AAA">
      <w:pPr>
        <w:pStyle w:val="FootnoteText"/>
        <w:rPr>
          <w:rFonts w:ascii="Calibri" w:hAnsi="Calibri"/>
          <w:lang w:val="en-US"/>
        </w:rPr>
      </w:pPr>
      <w:r w:rsidRPr="005465C4">
        <w:rPr>
          <w:rStyle w:val="FootnoteReference"/>
          <w:rFonts w:ascii="Calibri" w:hAnsi="Calibri"/>
        </w:rPr>
        <w:footnoteRef/>
      </w:r>
      <w:r w:rsidRPr="005465C4">
        <w:rPr>
          <w:rFonts w:ascii="Calibri" w:hAnsi="Calibri"/>
        </w:rPr>
        <w:t xml:space="preserve"> AF organis</w:t>
      </w:r>
      <w:r>
        <w:rPr>
          <w:rFonts w:ascii="Calibri" w:hAnsi="Calibri"/>
        </w:rPr>
        <w:t>é</w:t>
      </w:r>
      <w:r w:rsidRPr="005465C4">
        <w:rPr>
          <w:rFonts w:ascii="Calibri" w:hAnsi="Calibri"/>
        </w:rPr>
        <w:t xml:space="preserve">e avec l’appui du PNUD, ASF, Monusco (CAP et SAJ). </w:t>
      </w:r>
      <w:r w:rsidRPr="00F17741">
        <w:rPr>
          <w:rFonts w:ascii="Calibri" w:hAnsi="Calibri"/>
        </w:rPr>
        <w:t>Cout</w:t>
      </w:r>
      <w:r w:rsidRPr="00AA73A3">
        <w:rPr>
          <w:rFonts w:ascii="Calibri" w:hAnsi="Calibri"/>
          <w:lang w:val="en-US"/>
        </w:rPr>
        <w:t xml:space="preserve"> total : 24.909 USD</w:t>
      </w:r>
    </w:p>
  </w:footnote>
  <w:footnote w:id="260">
    <w:p w:rsidR="006E6AAA" w:rsidRPr="00975F80" w:rsidRDefault="006E6AAA" w:rsidP="006E6AAA">
      <w:pPr>
        <w:pStyle w:val="FootnoteText"/>
        <w:rPr>
          <w:rFonts w:ascii="Calibri" w:hAnsi="Calibri"/>
          <w:lang w:val="en-US"/>
        </w:rPr>
      </w:pPr>
      <w:r w:rsidRPr="005465C4">
        <w:rPr>
          <w:rStyle w:val="FootnoteReference"/>
          <w:rFonts w:ascii="Calibri" w:hAnsi="Calibri"/>
        </w:rPr>
        <w:footnoteRef/>
      </w:r>
      <w:r w:rsidRPr="00975F80">
        <w:rPr>
          <w:rFonts w:ascii="Calibri" w:hAnsi="Calibri"/>
          <w:lang w:val="en-US"/>
        </w:rPr>
        <w:t xml:space="preserve"> ABA-ROLI, </w:t>
      </w:r>
      <w:r w:rsidRPr="00975F80">
        <w:rPr>
          <w:rFonts w:ascii="Calibri" w:hAnsi="Calibri"/>
          <w:i/>
          <w:lang w:val="en-US"/>
        </w:rPr>
        <w:t>supra</w:t>
      </w:r>
      <w:r>
        <w:rPr>
          <w:rFonts w:ascii="Calibri" w:hAnsi="Calibri"/>
          <w:lang w:val="en-US"/>
        </w:rPr>
        <w:t xml:space="preserve"> n. 6</w:t>
      </w:r>
      <w:r w:rsidRPr="00975F80">
        <w:rPr>
          <w:rFonts w:ascii="Calibri" w:hAnsi="Calibri"/>
          <w:lang w:val="en-US"/>
        </w:rPr>
        <w:t>3</w:t>
      </w:r>
    </w:p>
  </w:footnote>
  <w:footnote w:id="261">
    <w:p w:rsidR="006E6AAA" w:rsidRPr="005465C4" w:rsidRDefault="006E6AAA" w:rsidP="006E6AAA">
      <w:pPr>
        <w:autoSpaceDE w:val="0"/>
        <w:autoSpaceDN w:val="0"/>
        <w:adjustRightInd w:val="0"/>
        <w:rPr>
          <w:rFonts w:ascii="Calibri" w:eastAsia="MS Mincho" w:hAnsi="Calibri"/>
          <w:sz w:val="20"/>
          <w:szCs w:val="20"/>
          <w:lang w:eastAsia="fr-FR"/>
        </w:rPr>
      </w:pPr>
      <w:r w:rsidRPr="005465C4">
        <w:rPr>
          <w:rStyle w:val="FootnoteReference"/>
          <w:rFonts w:ascii="Calibri" w:eastAsia="MS Mincho" w:hAnsi="Calibri"/>
          <w:sz w:val="20"/>
          <w:szCs w:val="20"/>
          <w:lang w:val="fr-FR" w:eastAsia="fr-FR"/>
        </w:rPr>
        <w:footnoteRef/>
      </w:r>
      <w:r w:rsidRPr="005465C4">
        <w:rPr>
          <w:rFonts w:ascii="Calibri" w:hAnsi="Calibri"/>
          <w:sz w:val="20"/>
          <w:szCs w:val="20"/>
        </w:rPr>
        <w:t xml:space="preserve"> </w:t>
      </w:r>
      <w:r w:rsidRPr="005465C4">
        <w:rPr>
          <w:rFonts w:ascii="Calibri" w:eastAsia="MS Mincho" w:hAnsi="Calibri"/>
          <w:sz w:val="20"/>
          <w:szCs w:val="20"/>
          <w:lang w:eastAsia="fr-FR"/>
        </w:rPr>
        <w:t>Voir par exemple Human Rigths Watch “</w:t>
      </w:r>
      <w:r w:rsidRPr="005465C4">
        <w:rPr>
          <w:rFonts w:ascii="Calibri" w:eastAsia="MS Mincho" w:hAnsi="Calibri"/>
          <w:i/>
          <w:sz w:val="20"/>
          <w:szCs w:val="20"/>
          <w:lang w:eastAsia="fr-FR"/>
        </w:rPr>
        <w:t xml:space="preserve">Justice for Serious Crimes before National Courts : </w:t>
      </w:r>
      <w:smartTag w:uri="urn:schemas-microsoft-com:office:smarttags" w:element="country-region">
        <w:r w:rsidRPr="005465C4">
          <w:rPr>
            <w:rFonts w:ascii="Calibri" w:eastAsia="MS Mincho" w:hAnsi="Calibri"/>
            <w:i/>
            <w:sz w:val="20"/>
            <w:szCs w:val="20"/>
            <w:lang w:eastAsia="fr-FR"/>
          </w:rPr>
          <w:t>Uganda</w:t>
        </w:r>
      </w:smartTag>
      <w:r w:rsidRPr="005465C4">
        <w:rPr>
          <w:rFonts w:ascii="Calibri" w:eastAsia="MS Mincho" w:hAnsi="Calibri"/>
          <w:i/>
          <w:sz w:val="20"/>
          <w:szCs w:val="20"/>
          <w:lang w:eastAsia="fr-FR"/>
        </w:rPr>
        <w:t xml:space="preserve">’s International Crimes Division » 2012 ; ou </w:t>
      </w:r>
      <w:r w:rsidRPr="005465C4">
        <w:rPr>
          <w:rFonts w:ascii="Calibri" w:eastAsia="MS Mincho" w:hAnsi="Calibri"/>
          <w:sz w:val="20"/>
          <w:szCs w:val="20"/>
          <w:lang w:eastAsia="fr-FR"/>
        </w:rPr>
        <w:t>Open Society Foundations, « </w:t>
      </w:r>
      <w:r w:rsidRPr="005465C4">
        <w:rPr>
          <w:rFonts w:ascii="Calibri" w:eastAsia="MS Mincho" w:hAnsi="Calibri"/>
          <w:i/>
          <w:sz w:val="20"/>
          <w:szCs w:val="20"/>
          <w:lang w:eastAsia="fr-FR"/>
        </w:rPr>
        <w:t>Putting Complementarity into Practice: Domestic Justice for International Crimes</w:t>
      </w:r>
      <w:r>
        <w:rPr>
          <w:rFonts w:ascii="Calibri" w:eastAsia="MS Mincho" w:hAnsi="Calibri"/>
          <w:i/>
          <w:sz w:val="20"/>
          <w:szCs w:val="20"/>
          <w:lang w:eastAsia="fr-FR"/>
        </w:rPr>
        <w:t xml:space="preserve"> </w:t>
      </w:r>
      <w:r w:rsidRPr="005465C4">
        <w:rPr>
          <w:rFonts w:ascii="Calibri" w:eastAsia="MS Mincho" w:hAnsi="Calibri"/>
          <w:i/>
          <w:sz w:val="20"/>
          <w:szCs w:val="20"/>
          <w:lang w:eastAsia="fr-FR"/>
        </w:rPr>
        <w:t xml:space="preserve">in DRC, </w:t>
      </w:r>
      <w:smartTag w:uri="urn:schemas-microsoft-com:office:smarttags" w:element="country-region">
        <w:r w:rsidRPr="005465C4">
          <w:rPr>
            <w:rFonts w:ascii="Calibri" w:eastAsia="MS Mincho" w:hAnsi="Calibri"/>
            <w:i/>
            <w:sz w:val="20"/>
            <w:szCs w:val="20"/>
            <w:lang w:eastAsia="fr-FR"/>
          </w:rPr>
          <w:t>Uganda</w:t>
        </w:r>
      </w:smartTag>
      <w:r w:rsidRPr="005465C4">
        <w:rPr>
          <w:rFonts w:ascii="Calibri" w:eastAsia="MS Mincho" w:hAnsi="Calibri"/>
          <w:i/>
          <w:sz w:val="20"/>
          <w:szCs w:val="20"/>
          <w:lang w:eastAsia="fr-FR"/>
        </w:rPr>
        <w:t xml:space="preserve">, and </w:t>
      </w:r>
      <w:smartTag w:uri="urn:schemas-microsoft-com:office:smarttags" w:element="place">
        <w:smartTag w:uri="urn:schemas-microsoft-com:office:smarttags" w:element="country-region">
          <w:r w:rsidRPr="005465C4">
            <w:rPr>
              <w:rFonts w:ascii="Calibri" w:eastAsia="MS Mincho" w:hAnsi="Calibri"/>
              <w:i/>
              <w:sz w:val="20"/>
              <w:szCs w:val="20"/>
              <w:lang w:eastAsia="fr-FR"/>
            </w:rPr>
            <w:t>Kenya</w:t>
          </w:r>
        </w:smartTag>
      </w:smartTag>
      <w:r>
        <w:rPr>
          <w:rFonts w:ascii="Calibri" w:eastAsia="MS Mincho" w:hAnsi="Calibri"/>
          <w:sz w:val="20"/>
          <w:szCs w:val="20"/>
          <w:lang w:eastAsia="fr-FR"/>
        </w:rPr>
        <w:t xml:space="preserve">”, 2011 </w:t>
      </w:r>
    </w:p>
  </w:footnote>
  <w:footnote w:id="262">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Style w:val="FootnoteReference"/>
          <w:rFonts w:ascii="Calibri" w:hAnsi="Calibri"/>
        </w:rPr>
        <w:t xml:space="preserve"> </w:t>
      </w:r>
      <w:r>
        <w:rPr>
          <w:rFonts w:ascii="Calibri" w:hAnsi="Calibri"/>
        </w:rPr>
        <w:t xml:space="preserve">AfriMAP et OSJI, </w:t>
      </w:r>
      <w:r w:rsidRPr="005C1D19">
        <w:rPr>
          <w:rFonts w:ascii="Calibri" w:hAnsi="Calibri"/>
          <w:i/>
        </w:rPr>
        <w:t>supra</w:t>
      </w:r>
      <w:r>
        <w:rPr>
          <w:rFonts w:ascii="Calibri" w:hAnsi="Calibri"/>
        </w:rPr>
        <w:t xml:space="preserve"> n. 47</w:t>
      </w:r>
    </w:p>
  </w:footnote>
  <w:footnote w:id="263">
    <w:p w:rsidR="006E6AAA" w:rsidRPr="005465C4" w:rsidRDefault="006E6AAA" w:rsidP="006E6AAA">
      <w:pPr>
        <w:pStyle w:val="Default"/>
        <w:rPr>
          <w:rFonts w:ascii="Calibri" w:hAnsi="Calibri" w:cs="MiloLF-Regular"/>
          <w:sz w:val="20"/>
          <w:szCs w:val="20"/>
          <w:lang w:val="fr-FR"/>
        </w:rPr>
      </w:pPr>
      <w:r w:rsidRPr="005465C4">
        <w:rPr>
          <w:rStyle w:val="FootnoteReference"/>
          <w:rFonts w:ascii="Calibri" w:hAnsi="Calibri"/>
          <w:sz w:val="20"/>
          <w:szCs w:val="20"/>
        </w:rPr>
        <w:footnoteRef/>
      </w:r>
      <w:r w:rsidRPr="005465C4">
        <w:rPr>
          <w:rFonts w:ascii="Calibri" w:hAnsi="Calibri"/>
          <w:sz w:val="20"/>
          <w:szCs w:val="20"/>
          <w:lang w:val="fr-FR"/>
        </w:rPr>
        <w:t xml:space="preserve"> </w:t>
      </w:r>
      <w:r w:rsidRPr="005465C4">
        <w:rPr>
          <w:rFonts w:ascii="Calibri" w:hAnsi="Calibri" w:cs="MiloLF-Regular"/>
          <w:sz w:val="20"/>
          <w:szCs w:val="20"/>
          <w:lang w:val="fr-FR"/>
        </w:rPr>
        <w:t>Une proposition de loi de mise en œuvre du Statut de Rome a été déposée devant l’Assemblée nationale en mars 2008, mais elle</w:t>
      </w:r>
      <w:r w:rsidRPr="005465C4">
        <w:rPr>
          <w:rFonts w:ascii="Calibri" w:hAnsi="Calibri"/>
          <w:sz w:val="20"/>
          <w:szCs w:val="20"/>
          <w:lang w:val="fr-FR"/>
        </w:rPr>
        <w:t xml:space="preserve"> mais n’a toujours pas fait l’objet d’examen et d’adoption.</w:t>
      </w:r>
      <w:r>
        <w:rPr>
          <w:rFonts w:ascii="Calibri" w:hAnsi="Calibri"/>
          <w:sz w:val="20"/>
          <w:szCs w:val="20"/>
          <w:lang w:val="fr-FR"/>
        </w:rPr>
        <w:t xml:space="preserve"> Sur ce point voir </w:t>
      </w:r>
      <w:r w:rsidRPr="008C5A1F">
        <w:rPr>
          <w:rFonts w:ascii="Calibri" w:hAnsi="Calibri"/>
          <w:i/>
          <w:sz w:val="20"/>
          <w:szCs w:val="20"/>
          <w:lang w:val="fr-FR"/>
        </w:rPr>
        <w:t>supra</w:t>
      </w:r>
      <w:r>
        <w:rPr>
          <w:rFonts w:ascii="Calibri" w:hAnsi="Calibri"/>
          <w:sz w:val="20"/>
          <w:szCs w:val="20"/>
          <w:lang w:val="fr-FR"/>
        </w:rPr>
        <w:t>, n. 53</w:t>
      </w:r>
    </w:p>
  </w:footnote>
  <w:footnote w:id="264">
    <w:p w:rsidR="006E6AAA" w:rsidRPr="00975F80" w:rsidRDefault="006E6AAA" w:rsidP="006E6AAA">
      <w:pPr>
        <w:autoSpaceDE w:val="0"/>
        <w:autoSpaceDN w:val="0"/>
        <w:adjustRightInd w:val="0"/>
        <w:rPr>
          <w:rFonts w:ascii="Calibri" w:hAnsi="Calibri"/>
          <w:sz w:val="20"/>
          <w:szCs w:val="20"/>
          <w:lang w:val="fr-FR"/>
        </w:rPr>
      </w:pPr>
      <w:r w:rsidRPr="00975F80">
        <w:rPr>
          <w:rStyle w:val="FootnoteReference"/>
          <w:rFonts w:ascii="Calibri" w:hAnsi="Calibri"/>
          <w:sz w:val="20"/>
          <w:szCs w:val="20"/>
        </w:rPr>
        <w:footnoteRef/>
      </w:r>
      <w:r w:rsidRPr="00975F80">
        <w:rPr>
          <w:rFonts w:ascii="Calibri" w:hAnsi="Calibri"/>
          <w:sz w:val="20"/>
          <w:szCs w:val="20"/>
          <w:lang w:val="fr-FR"/>
        </w:rPr>
        <w:t xml:space="preserve"> Rapport de monitoring judiciaire de l’AF du TMG de Bunia á Mamabasa (Ituri, 2012)</w:t>
      </w:r>
    </w:p>
  </w:footnote>
  <w:footnote w:id="265">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w:t>
      </w:r>
      <w:r>
        <w:rPr>
          <w:rFonts w:ascii="Calibri" w:hAnsi="Calibri"/>
        </w:rPr>
        <w:t xml:space="preserve">Avocats sans Frontières, </w:t>
      </w:r>
      <w:r w:rsidRPr="005C1D19">
        <w:rPr>
          <w:rFonts w:ascii="Calibri" w:hAnsi="Calibri"/>
          <w:i/>
        </w:rPr>
        <w:t>supra</w:t>
      </w:r>
      <w:r>
        <w:rPr>
          <w:rFonts w:ascii="Calibri" w:hAnsi="Calibri"/>
        </w:rPr>
        <w:t xml:space="preserve"> n. 102</w:t>
      </w:r>
    </w:p>
  </w:footnote>
  <w:footnote w:id="266">
    <w:p w:rsidR="006E6AAA" w:rsidRPr="002323F2" w:rsidRDefault="006E6AAA" w:rsidP="006E6AAA">
      <w:pPr>
        <w:pStyle w:val="FootnoteText"/>
      </w:pPr>
      <w:r>
        <w:rPr>
          <w:rStyle w:val="FootnoteReference"/>
        </w:rPr>
        <w:footnoteRef/>
      </w:r>
      <w:r>
        <w:t xml:space="preserve"> </w:t>
      </w:r>
      <w:r w:rsidRPr="00311D28">
        <w:t xml:space="preserve">Article 91, </w:t>
      </w:r>
      <w:r w:rsidRPr="002323F2">
        <w:rPr>
          <w:rFonts w:ascii="Calibri" w:eastAsia="DFKai-SB" w:hAnsi="Calibri"/>
        </w:rPr>
        <w:t>Loi n.13/011-B du 13 Avril 2013 portant « </w:t>
      </w:r>
      <w:r w:rsidRPr="002323F2">
        <w:rPr>
          <w:rFonts w:ascii="Calibri" w:eastAsia="DFKai-SB" w:hAnsi="Calibri"/>
          <w:i/>
        </w:rPr>
        <w:t>organisation fonctionnement et compétences des juridictions de l’ordre judiciaire </w:t>
      </w:r>
      <w:r w:rsidRPr="002323F2">
        <w:rPr>
          <w:rFonts w:ascii="Calibri" w:eastAsia="DFKai-SB" w:hAnsi="Calibri"/>
        </w:rPr>
        <w:t>»</w:t>
      </w:r>
    </w:p>
  </w:footnote>
  <w:footnote w:id="267">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w:t>
      </w:r>
      <w:r>
        <w:rPr>
          <w:rFonts w:ascii="Calibri" w:hAnsi="Calibri"/>
        </w:rPr>
        <w:t xml:space="preserve">Avocats sans Frontières, </w:t>
      </w:r>
      <w:r w:rsidRPr="005C1D19">
        <w:rPr>
          <w:rFonts w:ascii="Calibri" w:hAnsi="Calibri"/>
          <w:i/>
        </w:rPr>
        <w:t>supra</w:t>
      </w:r>
      <w:r>
        <w:rPr>
          <w:rFonts w:ascii="Calibri" w:hAnsi="Calibri"/>
        </w:rPr>
        <w:t xml:space="preserve"> n. 102</w:t>
      </w:r>
    </w:p>
  </w:footnote>
  <w:footnote w:id="268">
    <w:p w:rsidR="006E6AAA" w:rsidRPr="002323F2" w:rsidRDefault="006E6AAA" w:rsidP="006E6AAA">
      <w:pPr>
        <w:pStyle w:val="FootnoteText"/>
        <w:rPr>
          <w:rFonts w:ascii="Calibri" w:hAnsi="Calibri"/>
        </w:rPr>
      </w:pPr>
      <w:r w:rsidRPr="002323F2">
        <w:rPr>
          <w:rStyle w:val="FootnoteReference"/>
          <w:rFonts w:ascii="Calibri" w:hAnsi="Calibri"/>
        </w:rPr>
        <w:footnoteRef/>
      </w:r>
      <w:r w:rsidRPr="002323F2">
        <w:rPr>
          <w:rFonts w:ascii="Calibri" w:hAnsi="Calibri"/>
        </w:rPr>
        <w:t xml:space="preserve"> Cellule d’a</w:t>
      </w:r>
      <w:r>
        <w:rPr>
          <w:rFonts w:ascii="Calibri" w:hAnsi="Calibri"/>
        </w:rPr>
        <w:t xml:space="preserve">ppui aux poursuites. Voir </w:t>
      </w:r>
      <w:r w:rsidRPr="00981AE5">
        <w:rPr>
          <w:rFonts w:ascii="Calibri" w:hAnsi="Calibri"/>
          <w:i/>
        </w:rPr>
        <w:t>supra</w:t>
      </w:r>
      <w:r>
        <w:rPr>
          <w:rFonts w:ascii="Calibri" w:hAnsi="Calibri"/>
        </w:rPr>
        <w:t>, n. 100</w:t>
      </w:r>
    </w:p>
  </w:footnote>
  <w:footnote w:id="269">
    <w:p w:rsidR="006E6AAA" w:rsidRPr="005465C4" w:rsidRDefault="006E6AAA" w:rsidP="006E6AAA">
      <w:pPr>
        <w:pStyle w:val="FootnoteText"/>
        <w:rPr>
          <w:rFonts w:ascii="Calibri" w:hAnsi="Calibri"/>
        </w:rPr>
      </w:pPr>
      <w:r w:rsidRPr="005465C4">
        <w:rPr>
          <w:rStyle w:val="FootnoteReference"/>
          <w:rFonts w:ascii="Calibri" w:hAnsi="Calibri"/>
        </w:rPr>
        <w:footnoteRef/>
      </w:r>
      <w:r w:rsidRPr="005465C4">
        <w:rPr>
          <w:rFonts w:ascii="Calibri" w:hAnsi="Calibri"/>
        </w:rPr>
        <w:t xml:space="preserve"> Entretien avec l</w:t>
      </w:r>
      <w:r>
        <w:rPr>
          <w:rFonts w:ascii="Calibri" w:hAnsi="Calibri"/>
        </w:rPr>
        <w:t>e Président de la CA de Bukavu, 26/03/13</w:t>
      </w:r>
    </w:p>
  </w:footnote>
  <w:footnote w:id="270">
    <w:p w:rsidR="006E6AAA" w:rsidRPr="00981AE5" w:rsidRDefault="006E6AAA" w:rsidP="006E6AAA">
      <w:pPr>
        <w:pStyle w:val="FootnoteText"/>
        <w:rPr>
          <w:rFonts w:ascii="Calibri" w:hAnsi="Calibri"/>
        </w:rPr>
      </w:pPr>
      <w:r w:rsidRPr="002323F2">
        <w:rPr>
          <w:rStyle w:val="FootnoteReference"/>
          <w:rFonts w:ascii="Calibri" w:hAnsi="Calibri"/>
        </w:rPr>
        <w:footnoteRef/>
      </w:r>
      <w:r>
        <w:rPr>
          <w:rFonts w:ascii="Calibri" w:hAnsi="Calibri"/>
        </w:rPr>
        <w:t xml:space="preserve"> Voir, supra note 53</w:t>
      </w:r>
    </w:p>
  </w:footnote>
  <w:footnote w:id="271">
    <w:p w:rsidR="006E6AAA" w:rsidRPr="00981AE5" w:rsidRDefault="006E6AAA" w:rsidP="006E6AAA">
      <w:pPr>
        <w:pStyle w:val="FootnoteText"/>
        <w:rPr>
          <w:rFonts w:ascii="Calibri" w:hAnsi="Calibri"/>
        </w:rPr>
      </w:pPr>
      <w:r w:rsidRPr="00981AE5">
        <w:rPr>
          <w:rStyle w:val="FootnoteReference"/>
          <w:rFonts w:ascii="Calibri" w:hAnsi="Calibri"/>
        </w:rPr>
        <w:footnoteRef/>
      </w:r>
      <w:r w:rsidRPr="00981AE5">
        <w:rPr>
          <w:rFonts w:ascii="Calibri" w:hAnsi="Calibri"/>
        </w:rPr>
        <w:t xml:space="preserve"> Pour une définition des ces deux modèles voir § 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4B" w:rsidRDefault="00C116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Pr="00291BDE" w:rsidRDefault="006E6AAA" w:rsidP="00291BDE">
    <w:pPr>
      <w:pStyle w:val="Header"/>
      <w:jc w:val="right"/>
      <w:rPr>
        <w:rFonts w:ascii="Calibri" w:hAnsi="Calibri"/>
        <w:i/>
        <w:sz w:val="18"/>
        <w:szCs w:val="18"/>
        <w:lang w:val="fr-FR"/>
      </w:rPr>
    </w:pPr>
    <w:r w:rsidRPr="00291BDE">
      <w:rPr>
        <w:rFonts w:ascii="Calibri" w:hAnsi="Calibri"/>
        <w:i/>
        <w:sz w:val="18"/>
        <w:szCs w:val="18"/>
        <w:lang w:val="fr-FR"/>
      </w:rPr>
      <w:t xml:space="preserve">Rapport pays n.2: </w:t>
    </w:r>
    <w:r w:rsidRPr="00291BDE">
      <w:rPr>
        <w:rFonts w:ascii="Calibri" w:hAnsi="Calibri"/>
        <w:i/>
        <w:sz w:val="18"/>
        <w:szCs w:val="18"/>
        <w:u w:val="single"/>
        <w:lang w:val="fr-FR"/>
      </w:rPr>
      <w:t>Les audiences foraines en RDC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4B" w:rsidRDefault="00C116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4B" w:rsidRDefault="00C116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Pr="0053263E" w:rsidRDefault="006E6AAA" w:rsidP="0053263E">
    <w:pPr>
      <w:pStyle w:val="Header"/>
      <w:jc w:val="right"/>
      <w:rPr>
        <w:rFonts w:ascii="Calibri" w:hAnsi="Calibri"/>
        <w:i/>
        <w:color w:val="000080"/>
        <w:sz w:val="18"/>
        <w:szCs w:val="18"/>
        <w:u w:val="single"/>
      </w:rPr>
    </w:pPr>
    <w:r w:rsidRPr="0053263E">
      <w:rPr>
        <w:rFonts w:ascii="Calibri" w:hAnsi="Calibri"/>
        <w:i/>
        <w:color w:val="000080"/>
        <w:sz w:val="18"/>
        <w:szCs w:val="18"/>
        <w:u w:val="single"/>
      </w:rPr>
      <w:t>Country report n.1: the circuit courts of Sierra Leone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A" w:rsidRDefault="006E6A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5" type="#_x0000_t75" style="width:3in;height:3in" o:bullet="t"/>
    </w:pict>
  </w:numPicBullet>
  <w:numPicBullet w:numPicBulletId="1">
    <w:pict>
      <v:shape id="_x0000_i1326" type="#_x0000_t75" style="width:3in;height:3in" o:bullet="t"/>
    </w:pict>
  </w:numPicBullet>
  <w:numPicBullet w:numPicBulletId="2">
    <w:pict>
      <v:shape id="_x0000_i1327" type="#_x0000_t75" style="width:3in;height:3in" o:bullet="t"/>
    </w:pict>
  </w:numPicBullet>
  <w:numPicBullet w:numPicBulletId="3">
    <w:pict>
      <v:shape id="_x0000_i1328" type="#_x0000_t75" style="width:3in;height:3in" o:bullet="t"/>
    </w:pict>
  </w:numPicBullet>
  <w:numPicBullet w:numPicBulletId="4">
    <w:pict>
      <v:shape id="_x0000_i1329" type="#_x0000_t75" style="width:3in;height:3in" o:bullet="t"/>
    </w:pict>
  </w:numPicBullet>
  <w:numPicBullet w:numPicBulletId="5">
    <w:pict>
      <v:shape id="_x0000_i1330" type="#_x0000_t75" style="width:3in;height:3in" o:bullet="t"/>
    </w:pict>
  </w:numPicBullet>
  <w:numPicBullet w:numPicBulletId="6">
    <w:pict>
      <v:shape id="_x0000_i1331" type="#_x0000_t75" style="width:3in;height:3in" o:bullet="t"/>
    </w:pict>
  </w:numPicBullet>
  <w:numPicBullet w:numPicBulletId="7">
    <w:pict>
      <v:shape id="_x0000_i1332" type="#_x0000_t75" style="width:3in;height:3in" o:bullet="t"/>
    </w:pict>
  </w:numPicBullet>
  <w:numPicBullet w:numPicBulletId="8">
    <w:pict>
      <v:shape id="_x0000_i1333" type="#_x0000_t75" style="width:3in;height:3in" o:bullet="t"/>
    </w:pict>
  </w:numPicBullet>
  <w:numPicBullet w:numPicBulletId="9">
    <w:pict>
      <v:shape id="_x0000_i1334" type="#_x0000_t75" style="width:3in;height:3in" o:bullet="t"/>
    </w:pict>
  </w:numPicBullet>
  <w:numPicBullet w:numPicBulletId="10">
    <w:pict>
      <v:shape id="_x0000_i1335" type="#_x0000_t75" style="width:3in;height:3in" o:bullet="t"/>
    </w:pict>
  </w:numPicBullet>
  <w:numPicBullet w:numPicBulletId="11">
    <w:pict>
      <v:shape id="_x0000_i1336" type="#_x0000_t75" style="width:3in;height:3in" o:bullet="t"/>
    </w:pict>
  </w:numPicBullet>
  <w:numPicBullet w:numPicBulletId="12">
    <w:pict>
      <v:shape id="_x0000_i1337" type="#_x0000_t75" style="width:3in;height:3in" o:bullet="t"/>
    </w:pict>
  </w:numPicBullet>
  <w:numPicBullet w:numPicBulletId="13">
    <w:pict>
      <v:shape id="_x0000_i1338" type="#_x0000_t75" style="width:3in;height:3in" o:bullet="t"/>
    </w:pict>
  </w:numPicBullet>
  <w:numPicBullet w:numPicBulletId="14">
    <w:pict>
      <v:shape id="_x0000_i1339" type="#_x0000_t75" style="width:3in;height:3in" o:bullet="t"/>
    </w:pict>
  </w:numPicBullet>
  <w:numPicBullet w:numPicBulletId="15">
    <w:pict>
      <v:shape id="_x0000_i1340" type="#_x0000_t75" style="width:3in;height:3in" o:bullet="t"/>
    </w:pict>
  </w:numPicBullet>
  <w:numPicBullet w:numPicBulletId="16">
    <w:pict>
      <v:shape id="_x0000_i1341" type="#_x0000_t75" style="width:3in;height:3in" o:bullet="t"/>
    </w:pict>
  </w:numPicBullet>
  <w:numPicBullet w:numPicBulletId="17">
    <w:pict>
      <v:shape id="_x0000_i1342" type="#_x0000_t75" style="width:3in;height:3in" o:bullet="t"/>
    </w:pict>
  </w:numPicBullet>
  <w:numPicBullet w:numPicBulletId="18">
    <w:pict>
      <v:shape id="_x0000_i1343" type="#_x0000_t75" style="width:3in;height:3in" o:bullet="t"/>
    </w:pict>
  </w:numPicBullet>
  <w:numPicBullet w:numPicBulletId="19">
    <w:pict>
      <v:shape id="_x0000_i1344" type="#_x0000_t75" style="width:3in;height:3in" o:bullet="t"/>
    </w:pict>
  </w:numPicBullet>
  <w:numPicBullet w:numPicBulletId="20">
    <w:pict>
      <v:shape id="_x0000_i1345" type="#_x0000_t75" style="width:3in;height:3in" o:bullet="t"/>
    </w:pict>
  </w:numPicBullet>
  <w:numPicBullet w:numPicBulletId="21">
    <w:pict>
      <v:shape id="_x0000_i1346" type="#_x0000_t75" style="width:3in;height:3in" o:bullet="t"/>
    </w:pict>
  </w:numPicBullet>
  <w:numPicBullet w:numPicBulletId="22">
    <w:pict>
      <v:shape id="_x0000_i1347" type="#_x0000_t75" style="width:3in;height:3in" o:bullet="t"/>
    </w:pict>
  </w:numPicBullet>
  <w:numPicBullet w:numPicBulletId="23">
    <w:pict>
      <v:shape id="_x0000_i1348" type="#_x0000_t75" style="width:3in;height:3in" o:bullet="t"/>
    </w:pict>
  </w:numPicBullet>
  <w:numPicBullet w:numPicBulletId="24">
    <w:pict>
      <v:shape id="_x0000_i1349" type="#_x0000_t75" style="width:3in;height:3in" o:bullet="t"/>
    </w:pict>
  </w:numPicBullet>
  <w:numPicBullet w:numPicBulletId="25">
    <w:pict>
      <v:shape id="_x0000_i1350" type="#_x0000_t75" style="width:3in;height:3in" o:bullet="t"/>
    </w:pict>
  </w:numPicBullet>
  <w:numPicBullet w:numPicBulletId="26">
    <w:pict>
      <v:shape id="_x0000_i1351" type="#_x0000_t75" style="width:3in;height:3in" o:bullet="t"/>
    </w:pict>
  </w:numPicBullet>
  <w:abstractNum w:abstractNumId="0">
    <w:nsid w:val="00E87B5C"/>
    <w:multiLevelType w:val="hybridMultilevel"/>
    <w:tmpl w:val="A126D5DC"/>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1745E81"/>
    <w:multiLevelType w:val="hybridMultilevel"/>
    <w:tmpl w:val="AC36144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19A215A"/>
    <w:multiLevelType w:val="hybridMultilevel"/>
    <w:tmpl w:val="3F4E0180"/>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33652FC"/>
    <w:multiLevelType w:val="hybridMultilevel"/>
    <w:tmpl w:val="83A0F59A"/>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4391D42"/>
    <w:multiLevelType w:val="hybridMultilevel"/>
    <w:tmpl w:val="5CC8B90E"/>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4CF2AE3"/>
    <w:multiLevelType w:val="hybridMultilevel"/>
    <w:tmpl w:val="EF4CDDC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5776023"/>
    <w:multiLevelType w:val="hybridMultilevel"/>
    <w:tmpl w:val="B9F68CDA"/>
    <w:lvl w:ilvl="0" w:tplc="21A62D16">
      <w:start w:val="1"/>
      <w:numFmt w:val="decimal"/>
      <w:lvlText w:val="%1)"/>
      <w:lvlJc w:val="left"/>
      <w:pPr>
        <w:tabs>
          <w:tab w:val="num" w:pos="576"/>
        </w:tabs>
        <w:ind w:left="576" w:hanging="576"/>
      </w:pPr>
      <w:rPr>
        <w:rFonts w:ascii="Calibri" w:hAnsi="Calibri" w:hint="default"/>
        <w:b/>
        <w:i w:val="0"/>
        <w:color w:val="000080"/>
        <w:sz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06F47CC5"/>
    <w:multiLevelType w:val="hybridMultilevel"/>
    <w:tmpl w:val="B09E3042"/>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07295176"/>
    <w:multiLevelType w:val="hybridMultilevel"/>
    <w:tmpl w:val="A95249BA"/>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08BC3FE7"/>
    <w:multiLevelType w:val="hybridMultilevel"/>
    <w:tmpl w:val="9C98E74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9041A82"/>
    <w:multiLevelType w:val="hybridMultilevel"/>
    <w:tmpl w:val="5A6A2236"/>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099A0834"/>
    <w:multiLevelType w:val="multilevel"/>
    <w:tmpl w:val="D56E85B6"/>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DB3C36"/>
    <w:multiLevelType w:val="hybridMultilevel"/>
    <w:tmpl w:val="24925B64"/>
    <w:lvl w:ilvl="0" w:tplc="442A6634">
      <w:start w:val="1"/>
      <w:numFmt w:val="bullet"/>
      <w:lvlText w:val="●"/>
      <w:lvlJc w:val="left"/>
      <w:pPr>
        <w:tabs>
          <w:tab w:val="num" w:pos="432"/>
        </w:tabs>
        <w:ind w:left="432" w:hanging="432"/>
      </w:pPr>
      <w:rPr>
        <w:rFonts w:ascii="Verdana" w:hAnsi="Verdana" w:hint="default"/>
        <w:color w:val="auto"/>
        <w:sz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CC64404"/>
    <w:multiLevelType w:val="hybridMultilevel"/>
    <w:tmpl w:val="28D84E04"/>
    <w:lvl w:ilvl="0" w:tplc="21A62D16">
      <w:start w:val="1"/>
      <w:numFmt w:val="decimal"/>
      <w:lvlText w:val="%1)"/>
      <w:lvlJc w:val="left"/>
      <w:pPr>
        <w:tabs>
          <w:tab w:val="num" w:pos="576"/>
        </w:tabs>
        <w:ind w:left="576" w:hanging="576"/>
      </w:pPr>
      <w:rPr>
        <w:rFonts w:ascii="Calibri" w:hAnsi="Calibri" w:hint="default"/>
        <w:b/>
        <w:i w:val="0"/>
        <w:color w:val="000080"/>
        <w:sz w:val="24"/>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0CF24462"/>
    <w:multiLevelType w:val="hybridMultilevel"/>
    <w:tmpl w:val="26D4F39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0FB25B14"/>
    <w:multiLevelType w:val="hybridMultilevel"/>
    <w:tmpl w:val="A6FED51C"/>
    <w:lvl w:ilvl="0" w:tplc="21A62D16">
      <w:start w:val="1"/>
      <w:numFmt w:val="decimal"/>
      <w:lvlText w:val="%1)"/>
      <w:lvlJc w:val="left"/>
      <w:pPr>
        <w:tabs>
          <w:tab w:val="num" w:pos="576"/>
        </w:tabs>
        <w:ind w:left="576" w:hanging="576"/>
      </w:pPr>
      <w:rPr>
        <w:rFonts w:ascii="Calibri" w:hAnsi="Calibri" w:hint="default"/>
        <w:b/>
        <w:i w:val="0"/>
        <w:color w:val="000080"/>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2BE36B1"/>
    <w:multiLevelType w:val="hybridMultilevel"/>
    <w:tmpl w:val="CDE087A8"/>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13060DD6"/>
    <w:multiLevelType w:val="hybridMultilevel"/>
    <w:tmpl w:val="0A6C142E"/>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16370265"/>
    <w:multiLevelType w:val="multilevel"/>
    <w:tmpl w:val="FDF09D9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B94031"/>
    <w:multiLevelType w:val="hybridMultilevel"/>
    <w:tmpl w:val="C59C9274"/>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186B0416"/>
    <w:multiLevelType w:val="hybridMultilevel"/>
    <w:tmpl w:val="F08CEFF0"/>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9AC0168"/>
    <w:multiLevelType w:val="hybridMultilevel"/>
    <w:tmpl w:val="2E863974"/>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1AE447E8"/>
    <w:multiLevelType w:val="hybridMultilevel"/>
    <w:tmpl w:val="9EA48984"/>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1BC20873"/>
    <w:multiLevelType w:val="hybridMultilevel"/>
    <w:tmpl w:val="BADAC97A"/>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1C787094"/>
    <w:multiLevelType w:val="hybridMultilevel"/>
    <w:tmpl w:val="6BC02878"/>
    <w:lvl w:ilvl="0" w:tplc="0CA6A430">
      <w:start w:val="1"/>
      <w:numFmt w:val="bullet"/>
      <w:lvlText w:val="■"/>
      <w:lvlJc w:val="left"/>
      <w:pPr>
        <w:tabs>
          <w:tab w:val="num" w:pos="288"/>
        </w:tabs>
        <w:ind w:left="288" w:hanging="288"/>
      </w:pPr>
      <w:rPr>
        <w:rFonts w:ascii="Arial" w:hAnsi="Arial" w:hint="default"/>
        <w:color w:val="000080"/>
        <w:sz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1D713BF8"/>
    <w:multiLevelType w:val="hybridMultilevel"/>
    <w:tmpl w:val="8F1A81C0"/>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1DB315F0"/>
    <w:multiLevelType w:val="hybridMultilevel"/>
    <w:tmpl w:val="893A1CCC"/>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1F64044F"/>
    <w:multiLevelType w:val="hybridMultilevel"/>
    <w:tmpl w:val="CE3EB404"/>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202C64F0"/>
    <w:multiLevelType w:val="hybridMultilevel"/>
    <w:tmpl w:val="5268F4E2"/>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0B2118F"/>
    <w:multiLevelType w:val="hybridMultilevel"/>
    <w:tmpl w:val="FBE88C6C"/>
    <w:lvl w:ilvl="0" w:tplc="15863D04">
      <w:start w:val="1"/>
      <w:numFmt w:val="decimal"/>
      <w:lvlText w:val="%1."/>
      <w:lvlJc w:val="left"/>
      <w:pPr>
        <w:tabs>
          <w:tab w:val="num" w:pos="360"/>
        </w:tabs>
        <w:ind w:left="360" w:hanging="360"/>
      </w:pPr>
      <w:rPr>
        <w:rFonts w:hint="default"/>
        <w:b/>
        <w:i w:val="0"/>
        <w:color w:val="000080"/>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218F2837"/>
    <w:multiLevelType w:val="hybridMultilevel"/>
    <w:tmpl w:val="14AED14E"/>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2152D71"/>
    <w:multiLevelType w:val="hybridMultilevel"/>
    <w:tmpl w:val="0BAAC94E"/>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3187D39"/>
    <w:multiLevelType w:val="hybridMultilevel"/>
    <w:tmpl w:val="80B667F6"/>
    <w:lvl w:ilvl="0" w:tplc="442A6634">
      <w:start w:val="1"/>
      <w:numFmt w:val="bullet"/>
      <w:lvlText w:val="●"/>
      <w:lvlJc w:val="left"/>
      <w:pPr>
        <w:tabs>
          <w:tab w:val="num" w:pos="432"/>
        </w:tabs>
        <w:ind w:left="432" w:hanging="432"/>
      </w:pPr>
      <w:rPr>
        <w:rFonts w:ascii="Verdana" w:hAnsi="Verdana" w:hint="default"/>
        <w:color w:val="auto"/>
        <w:sz w:val="18"/>
      </w:rPr>
    </w:lvl>
    <w:lvl w:ilvl="1" w:tplc="3F087D62">
      <w:start w:val="7"/>
      <w:numFmt w:val="bullet"/>
      <w:lvlText w:val="►"/>
      <w:lvlJc w:val="left"/>
      <w:pPr>
        <w:tabs>
          <w:tab w:val="num" w:pos="504"/>
        </w:tabs>
        <w:ind w:left="504" w:hanging="360"/>
      </w:pPr>
      <w:rPr>
        <w:rFonts w:ascii="Arial" w:hAnsi="Arial" w:hint="default"/>
        <w:color w:val="000080"/>
        <w:sz w:val="18"/>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23332714"/>
    <w:multiLevelType w:val="singleLevel"/>
    <w:tmpl w:val="E0D2553A"/>
    <w:lvl w:ilvl="0">
      <w:start w:val="1"/>
      <w:numFmt w:val="bullet"/>
      <w:pStyle w:val="Bullets"/>
      <w:lvlText w:val=""/>
      <w:lvlJc w:val="left"/>
      <w:pPr>
        <w:tabs>
          <w:tab w:val="num" w:pos="360"/>
        </w:tabs>
        <w:ind w:left="216" w:hanging="216"/>
      </w:pPr>
      <w:rPr>
        <w:rFonts w:ascii="Symbol" w:hAnsi="Symbol" w:hint="default"/>
        <w:sz w:val="18"/>
      </w:rPr>
    </w:lvl>
  </w:abstractNum>
  <w:abstractNum w:abstractNumId="34">
    <w:nsid w:val="25B70F07"/>
    <w:multiLevelType w:val="hybridMultilevel"/>
    <w:tmpl w:val="FDA8C94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28C2553D"/>
    <w:multiLevelType w:val="hybridMultilevel"/>
    <w:tmpl w:val="B7A85EAC"/>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29C05EDC"/>
    <w:multiLevelType w:val="hybridMultilevel"/>
    <w:tmpl w:val="E1A62532"/>
    <w:lvl w:ilvl="0" w:tplc="E814FC60">
      <w:start w:val="1"/>
      <w:numFmt w:val="decimal"/>
      <w:lvlText w:val="%1."/>
      <w:lvlJc w:val="left"/>
      <w:pPr>
        <w:tabs>
          <w:tab w:val="num" w:pos="360"/>
        </w:tabs>
        <w:ind w:left="360" w:hanging="360"/>
      </w:pPr>
      <w:rPr>
        <w:rFonts w:hint="default"/>
        <w:b/>
        <w:i w:val="0"/>
        <w:color w:val="000080"/>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2A8E3404"/>
    <w:multiLevelType w:val="hybridMultilevel"/>
    <w:tmpl w:val="6A56BC54"/>
    <w:lvl w:ilvl="0" w:tplc="8716C698">
      <w:start w:val="1"/>
      <w:numFmt w:val="lowerRoman"/>
      <w:lvlText w:val="%1)"/>
      <w:lvlJc w:val="left"/>
      <w:pPr>
        <w:tabs>
          <w:tab w:val="num" w:pos="1080"/>
        </w:tabs>
        <w:ind w:left="1080" w:hanging="72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nsid w:val="2CD63C10"/>
    <w:multiLevelType w:val="hybridMultilevel"/>
    <w:tmpl w:val="CE9CAD14"/>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2DB704D9"/>
    <w:multiLevelType w:val="hybridMultilevel"/>
    <w:tmpl w:val="4ADA16D6"/>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2E3E406D"/>
    <w:multiLevelType w:val="hybridMultilevel"/>
    <w:tmpl w:val="92F0A702"/>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3034068D"/>
    <w:multiLevelType w:val="hybridMultilevel"/>
    <w:tmpl w:val="5C6064F6"/>
    <w:lvl w:ilvl="0" w:tplc="0CA6A430">
      <w:start w:val="1"/>
      <w:numFmt w:val="bullet"/>
      <w:lvlText w:val="■"/>
      <w:lvlJc w:val="left"/>
      <w:pPr>
        <w:tabs>
          <w:tab w:val="num" w:pos="576"/>
        </w:tabs>
        <w:ind w:left="576" w:hanging="288"/>
      </w:pPr>
      <w:rPr>
        <w:rFonts w:ascii="Arial" w:hAnsi="Arial" w:hint="default"/>
        <w:color w:val="000080"/>
        <w:sz w:val="18"/>
      </w:rPr>
    </w:lvl>
    <w:lvl w:ilvl="1" w:tplc="04100003" w:tentative="1">
      <w:start w:val="1"/>
      <w:numFmt w:val="bullet"/>
      <w:lvlText w:val="o"/>
      <w:lvlJc w:val="left"/>
      <w:pPr>
        <w:tabs>
          <w:tab w:val="num" w:pos="1728"/>
        </w:tabs>
        <w:ind w:left="1728" w:hanging="360"/>
      </w:pPr>
      <w:rPr>
        <w:rFonts w:ascii="Courier New" w:hAnsi="Courier New" w:cs="Courier New" w:hint="default"/>
      </w:rPr>
    </w:lvl>
    <w:lvl w:ilvl="2" w:tplc="04100005" w:tentative="1">
      <w:start w:val="1"/>
      <w:numFmt w:val="bullet"/>
      <w:lvlText w:val=""/>
      <w:lvlJc w:val="left"/>
      <w:pPr>
        <w:tabs>
          <w:tab w:val="num" w:pos="2448"/>
        </w:tabs>
        <w:ind w:left="2448" w:hanging="360"/>
      </w:pPr>
      <w:rPr>
        <w:rFonts w:ascii="Wingdings" w:hAnsi="Wingdings" w:hint="default"/>
      </w:rPr>
    </w:lvl>
    <w:lvl w:ilvl="3" w:tplc="04100001" w:tentative="1">
      <w:start w:val="1"/>
      <w:numFmt w:val="bullet"/>
      <w:lvlText w:val=""/>
      <w:lvlJc w:val="left"/>
      <w:pPr>
        <w:tabs>
          <w:tab w:val="num" w:pos="3168"/>
        </w:tabs>
        <w:ind w:left="3168" w:hanging="360"/>
      </w:pPr>
      <w:rPr>
        <w:rFonts w:ascii="Symbol" w:hAnsi="Symbol" w:hint="default"/>
      </w:rPr>
    </w:lvl>
    <w:lvl w:ilvl="4" w:tplc="04100003" w:tentative="1">
      <w:start w:val="1"/>
      <w:numFmt w:val="bullet"/>
      <w:lvlText w:val="o"/>
      <w:lvlJc w:val="left"/>
      <w:pPr>
        <w:tabs>
          <w:tab w:val="num" w:pos="3888"/>
        </w:tabs>
        <w:ind w:left="3888" w:hanging="360"/>
      </w:pPr>
      <w:rPr>
        <w:rFonts w:ascii="Courier New" w:hAnsi="Courier New" w:cs="Courier New" w:hint="default"/>
      </w:rPr>
    </w:lvl>
    <w:lvl w:ilvl="5" w:tplc="04100005" w:tentative="1">
      <w:start w:val="1"/>
      <w:numFmt w:val="bullet"/>
      <w:lvlText w:val=""/>
      <w:lvlJc w:val="left"/>
      <w:pPr>
        <w:tabs>
          <w:tab w:val="num" w:pos="4608"/>
        </w:tabs>
        <w:ind w:left="4608" w:hanging="360"/>
      </w:pPr>
      <w:rPr>
        <w:rFonts w:ascii="Wingdings" w:hAnsi="Wingdings" w:hint="default"/>
      </w:rPr>
    </w:lvl>
    <w:lvl w:ilvl="6" w:tplc="04100001" w:tentative="1">
      <w:start w:val="1"/>
      <w:numFmt w:val="bullet"/>
      <w:lvlText w:val=""/>
      <w:lvlJc w:val="left"/>
      <w:pPr>
        <w:tabs>
          <w:tab w:val="num" w:pos="5328"/>
        </w:tabs>
        <w:ind w:left="5328" w:hanging="360"/>
      </w:pPr>
      <w:rPr>
        <w:rFonts w:ascii="Symbol" w:hAnsi="Symbol" w:hint="default"/>
      </w:rPr>
    </w:lvl>
    <w:lvl w:ilvl="7" w:tplc="04100003" w:tentative="1">
      <w:start w:val="1"/>
      <w:numFmt w:val="bullet"/>
      <w:lvlText w:val="o"/>
      <w:lvlJc w:val="left"/>
      <w:pPr>
        <w:tabs>
          <w:tab w:val="num" w:pos="6048"/>
        </w:tabs>
        <w:ind w:left="6048" w:hanging="360"/>
      </w:pPr>
      <w:rPr>
        <w:rFonts w:ascii="Courier New" w:hAnsi="Courier New" w:cs="Courier New" w:hint="default"/>
      </w:rPr>
    </w:lvl>
    <w:lvl w:ilvl="8" w:tplc="04100005" w:tentative="1">
      <w:start w:val="1"/>
      <w:numFmt w:val="bullet"/>
      <w:lvlText w:val=""/>
      <w:lvlJc w:val="left"/>
      <w:pPr>
        <w:tabs>
          <w:tab w:val="num" w:pos="6768"/>
        </w:tabs>
        <w:ind w:left="6768" w:hanging="360"/>
      </w:pPr>
      <w:rPr>
        <w:rFonts w:ascii="Wingdings" w:hAnsi="Wingdings" w:hint="default"/>
      </w:rPr>
    </w:lvl>
  </w:abstractNum>
  <w:abstractNum w:abstractNumId="42">
    <w:nsid w:val="3065615F"/>
    <w:multiLevelType w:val="multilevel"/>
    <w:tmpl w:val="87FEBAC0"/>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o"/>
      <w:lvlPicBulletId w:val="22"/>
      <w:lvlJc w:val="left"/>
      <w:pPr>
        <w:tabs>
          <w:tab w:val="num" w:pos="1440"/>
        </w:tabs>
        <w:ind w:left="1440" w:hanging="360"/>
      </w:pPr>
      <w:rPr>
        <w:rFonts w:ascii="Courier New" w:hAnsi="Courier New" w:hint="default"/>
        <w:sz w:val="20"/>
      </w:rPr>
    </w:lvl>
    <w:lvl w:ilvl="2" w:tentative="1">
      <w:start w:val="1"/>
      <w:numFmt w:val="bullet"/>
      <w:lvlText w:val=""/>
      <w:lvlPicBulletId w:val="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4E56879"/>
    <w:multiLevelType w:val="hybridMultilevel"/>
    <w:tmpl w:val="556A2EC0"/>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36824ED8"/>
    <w:multiLevelType w:val="hybridMultilevel"/>
    <w:tmpl w:val="BD9EFD4A"/>
    <w:lvl w:ilvl="0" w:tplc="4182933A">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378232DF"/>
    <w:multiLevelType w:val="hybridMultilevel"/>
    <w:tmpl w:val="AF84F242"/>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395648E5"/>
    <w:multiLevelType w:val="hybridMultilevel"/>
    <w:tmpl w:val="7CC64176"/>
    <w:lvl w:ilvl="0" w:tplc="3F087D62">
      <w:start w:val="7"/>
      <w:numFmt w:val="bullet"/>
      <w:lvlText w:val="►"/>
      <w:lvlJc w:val="left"/>
      <w:pPr>
        <w:tabs>
          <w:tab w:val="num" w:pos="360"/>
        </w:tabs>
        <w:ind w:left="360" w:hanging="360"/>
      </w:pPr>
      <w:rPr>
        <w:rFonts w:ascii="Arial" w:hAnsi="Arial" w:hint="default"/>
        <w:color w:val="000080"/>
        <w:sz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3A6E400F"/>
    <w:multiLevelType w:val="hybridMultilevel"/>
    <w:tmpl w:val="A5E6DE00"/>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3BBA1B4E"/>
    <w:multiLevelType w:val="hybridMultilevel"/>
    <w:tmpl w:val="7E88BEDE"/>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3C392538"/>
    <w:multiLevelType w:val="hybridMultilevel"/>
    <w:tmpl w:val="3EB07B06"/>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3FD22D9C"/>
    <w:multiLevelType w:val="hybridMultilevel"/>
    <w:tmpl w:val="D18EAC1C"/>
    <w:lvl w:ilvl="0" w:tplc="321EF7C0">
      <w:start w:val="7"/>
      <w:numFmt w:val="bullet"/>
      <w:lvlText w:val="■"/>
      <w:lvlJc w:val="left"/>
      <w:pPr>
        <w:tabs>
          <w:tab w:val="num" w:pos="360"/>
        </w:tabs>
        <w:ind w:left="432" w:hanging="432"/>
      </w:pPr>
      <w:rPr>
        <w:rFonts w:ascii="Arial" w:hAnsi="Arial" w:hint="default"/>
        <w:b/>
        <w:i w:val="0"/>
        <w:color w:val="0000FF"/>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412329E0"/>
    <w:multiLevelType w:val="hybridMultilevel"/>
    <w:tmpl w:val="82D800E0"/>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nsid w:val="412F5770"/>
    <w:multiLevelType w:val="hybridMultilevel"/>
    <w:tmpl w:val="477CDAF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43D3358B"/>
    <w:multiLevelType w:val="hybridMultilevel"/>
    <w:tmpl w:val="BD9A5664"/>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46DF2D6A"/>
    <w:multiLevelType w:val="hybridMultilevel"/>
    <w:tmpl w:val="F98E7F14"/>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47F66316"/>
    <w:multiLevelType w:val="hybridMultilevel"/>
    <w:tmpl w:val="1638A71C"/>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48A94967"/>
    <w:multiLevelType w:val="hybridMultilevel"/>
    <w:tmpl w:val="578C172E"/>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nsid w:val="490D3E7F"/>
    <w:multiLevelType w:val="hybridMultilevel"/>
    <w:tmpl w:val="0F628600"/>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49934B34"/>
    <w:multiLevelType w:val="hybridMultilevel"/>
    <w:tmpl w:val="81761C5E"/>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nsid w:val="4BFB0E43"/>
    <w:multiLevelType w:val="hybridMultilevel"/>
    <w:tmpl w:val="818C3E28"/>
    <w:lvl w:ilvl="0" w:tplc="3F087D62">
      <w:start w:val="7"/>
      <w:numFmt w:val="bullet"/>
      <w:lvlText w:val="►"/>
      <w:lvlJc w:val="left"/>
      <w:pPr>
        <w:tabs>
          <w:tab w:val="num" w:pos="360"/>
        </w:tabs>
        <w:ind w:left="360" w:hanging="360"/>
      </w:pPr>
      <w:rPr>
        <w:rFonts w:ascii="Arial" w:hAnsi="Arial" w:hint="default"/>
        <w:color w:val="000080"/>
        <w:sz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4CB73CB2"/>
    <w:multiLevelType w:val="hybridMultilevel"/>
    <w:tmpl w:val="9760BF5C"/>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4E3C2B26"/>
    <w:multiLevelType w:val="multilevel"/>
    <w:tmpl w:val="16680DFC"/>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EAF56EC"/>
    <w:multiLevelType w:val="hybridMultilevel"/>
    <w:tmpl w:val="CDCEF098"/>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4F3D2B02"/>
    <w:multiLevelType w:val="hybridMultilevel"/>
    <w:tmpl w:val="6096CBE6"/>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nsid w:val="4F900126"/>
    <w:multiLevelType w:val="multilevel"/>
    <w:tmpl w:val="8FBCC420"/>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1667246"/>
    <w:multiLevelType w:val="hybridMultilevel"/>
    <w:tmpl w:val="74685D8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57163632"/>
    <w:multiLevelType w:val="hybridMultilevel"/>
    <w:tmpl w:val="AA0E5E84"/>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nsid w:val="57E700C7"/>
    <w:multiLevelType w:val="hybridMultilevel"/>
    <w:tmpl w:val="8D3248FA"/>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5AFE09D0"/>
    <w:multiLevelType w:val="hybridMultilevel"/>
    <w:tmpl w:val="68B42140"/>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5C4E718F"/>
    <w:multiLevelType w:val="hybridMultilevel"/>
    <w:tmpl w:val="A9DE49EE"/>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nsid w:val="5C976246"/>
    <w:multiLevelType w:val="hybridMultilevel"/>
    <w:tmpl w:val="D8143840"/>
    <w:lvl w:ilvl="0" w:tplc="7CD0C80A">
      <w:start w:val="1"/>
      <w:numFmt w:val="lowerLetter"/>
      <w:lvlText w:val="%1)"/>
      <w:lvlJc w:val="left"/>
      <w:pPr>
        <w:tabs>
          <w:tab w:val="num" w:pos="720"/>
        </w:tabs>
        <w:ind w:left="720" w:hanging="360"/>
      </w:pPr>
      <w:rPr>
        <w:rFonts w:hint="default"/>
        <w:b/>
        <w:i w:val="0"/>
        <w:caps/>
        <w:sz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nsid w:val="5EA948C6"/>
    <w:multiLevelType w:val="hybridMultilevel"/>
    <w:tmpl w:val="3F92460A"/>
    <w:lvl w:ilvl="0" w:tplc="15863D04">
      <w:start w:val="1"/>
      <w:numFmt w:val="decimal"/>
      <w:lvlText w:val="%1."/>
      <w:lvlJc w:val="left"/>
      <w:pPr>
        <w:tabs>
          <w:tab w:val="num" w:pos="360"/>
        </w:tabs>
        <w:ind w:left="360" w:hanging="360"/>
      </w:pPr>
      <w:rPr>
        <w:rFonts w:hint="default"/>
        <w:b/>
        <w:i w:val="0"/>
        <w:color w:val="000080"/>
        <w:sz w:val="22"/>
      </w:rPr>
    </w:lvl>
    <w:lvl w:ilvl="1" w:tplc="15863D04">
      <w:start w:val="1"/>
      <w:numFmt w:val="decimal"/>
      <w:lvlText w:val="%2."/>
      <w:lvlJc w:val="left"/>
      <w:pPr>
        <w:tabs>
          <w:tab w:val="num" w:pos="1440"/>
        </w:tabs>
        <w:ind w:left="1440" w:hanging="360"/>
      </w:pPr>
      <w:rPr>
        <w:rFonts w:hint="default"/>
        <w:b/>
        <w:i w:val="0"/>
        <w:color w:val="000080"/>
        <w:sz w:val="22"/>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2">
    <w:nsid w:val="5EFA57AD"/>
    <w:multiLevelType w:val="hybridMultilevel"/>
    <w:tmpl w:val="858488A2"/>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6006194B"/>
    <w:multiLevelType w:val="hybridMultilevel"/>
    <w:tmpl w:val="11428BFE"/>
    <w:lvl w:ilvl="0" w:tplc="321EF7C0">
      <w:start w:val="7"/>
      <w:numFmt w:val="bullet"/>
      <w:lvlText w:val="■"/>
      <w:lvlJc w:val="left"/>
      <w:pPr>
        <w:tabs>
          <w:tab w:val="num" w:pos="360"/>
        </w:tabs>
        <w:ind w:left="432" w:hanging="432"/>
      </w:pPr>
      <w:rPr>
        <w:rFonts w:ascii="Arial" w:hAnsi="Arial" w:hint="default"/>
        <w:color w:val="0000FF"/>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nsid w:val="632A1BDB"/>
    <w:multiLevelType w:val="hybridMultilevel"/>
    <w:tmpl w:val="CE6EE906"/>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63E758FF"/>
    <w:multiLevelType w:val="hybridMultilevel"/>
    <w:tmpl w:val="016AA636"/>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nsid w:val="650E293F"/>
    <w:multiLevelType w:val="hybridMultilevel"/>
    <w:tmpl w:val="0FCC5804"/>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65251A84"/>
    <w:multiLevelType w:val="hybridMultilevel"/>
    <w:tmpl w:val="F26C9A9A"/>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661E54FB"/>
    <w:multiLevelType w:val="hybridMultilevel"/>
    <w:tmpl w:val="CE949BCE"/>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666F7795"/>
    <w:multiLevelType w:val="hybridMultilevel"/>
    <w:tmpl w:val="C512F566"/>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673B0E25"/>
    <w:multiLevelType w:val="hybridMultilevel"/>
    <w:tmpl w:val="C58633FC"/>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nsid w:val="67894661"/>
    <w:multiLevelType w:val="multilevel"/>
    <w:tmpl w:val="92703EE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B62647B"/>
    <w:multiLevelType w:val="hybridMultilevel"/>
    <w:tmpl w:val="39B417B2"/>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nsid w:val="6BAF5DC7"/>
    <w:multiLevelType w:val="hybridMultilevel"/>
    <w:tmpl w:val="CD4C5D76"/>
    <w:lvl w:ilvl="0" w:tplc="4D80A428">
      <w:start w:val="1"/>
      <w:numFmt w:val="decimal"/>
      <w:lvlText w:val="%1)"/>
      <w:lvlJc w:val="left"/>
      <w:pPr>
        <w:tabs>
          <w:tab w:val="num" w:pos="576"/>
        </w:tabs>
        <w:ind w:left="576" w:hanging="576"/>
      </w:pPr>
      <w:rPr>
        <w:rFonts w:ascii="Calibri" w:hAnsi="Calibri" w:hint="default"/>
        <w:b/>
        <w:i w:val="0"/>
        <w:color w:val="auto"/>
        <w:sz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nsid w:val="6BC407A8"/>
    <w:multiLevelType w:val="hybridMultilevel"/>
    <w:tmpl w:val="CDFE452C"/>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5">
    <w:nsid w:val="6C8F0ACE"/>
    <w:multiLevelType w:val="multilevel"/>
    <w:tmpl w:val="5CDAA304"/>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9976B7"/>
    <w:multiLevelType w:val="hybridMultilevel"/>
    <w:tmpl w:val="390AC332"/>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nsid w:val="6EC41DC4"/>
    <w:multiLevelType w:val="hybridMultilevel"/>
    <w:tmpl w:val="5ABC7600"/>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8">
    <w:nsid w:val="6F100D93"/>
    <w:multiLevelType w:val="hybridMultilevel"/>
    <w:tmpl w:val="FF180262"/>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nsid w:val="712B57AE"/>
    <w:multiLevelType w:val="hybridMultilevel"/>
    <w:tmpl w:val="40347C9E"/>
    <w:lvl w:ilvl="0" w:tplc="0CA6A430">
      <w:start w:val="1"/>
      <w:numFmt w:val="bullet"/>
      <w:lvlText w:val="■"/>
      <w:lvlJc w:val="left"/>
      <w:pPr>
        <w:tabs>
          <w:tab w:val="num" w:pos="288"/>
        </w:tabs>
        <w:ind w:left="288" w:hanging="288"/>
      </w:pPr>
      <w:rPr>
        <w:rFonts w:ascii="Arial" w:hAnsi="Arial" w:hint="default"/>
        <w:color w:val="000080"/>
        <w:sz w:val="18"/>
      </w:rPr>
    </w:lvl>
    <w:lvl w:ilvl="1" w:tplc="15863D04">
      <w:start w:val="1"/>
      <w:numFmt w:val="decimal"/>
      <w:lvlText w:val="%2."/>
      <w:lvlJc w:val="left"/>
      <w:pPr>
        <w:tabs>
          <w:tab w:val="num" w:pos="1440"/>
        </w:tabs>
        <w:ind w:left="1440" w:hanging="360"/>
      </w:pPr>
      <w:rPr>
        <w:rFonts w:hint="default"/>
        <w:b/>
        <w:i w:val="0"/>
        <w:color w:val="000080"/>
        <w:sz w:val="22"/>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nsid w:val="71D95414"/>
    <w:multiLevelType w:val="hybridMultilevel"/>
    <w:tmpl w:val="85ACA0AC"/>
    <w:lvl w:ilvl="0" w:tplc="B67A1788">
      <w:start w:val="1"/>
      <w:numFmt w:val="bullet"/>
      <w:lvlText w:val="●"/>
      <w:lvlJc w:val="left"/>
      <w:pPr>
        <w:tabs>
          <w:tab w:val="num" w:pos="432"/>
        </w:tabs>
        <w:ind w:left="432" w:hanging="432"/>
      </w:pPr>
      <w:rPr>
        <w:rFonts w:ascii="Verdana" w:hAnsi="Verdana"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728939D7"/>
    <w:multiLevelType w:val="hybridMultilevel"/>
    <w:tmpl w:val="5A90C6FC"/>
    <w:lvl w:ilvl="0" w:tplc="A0CE8DC2">
      <w:start w:val="1"/>
      <w:numFmt w:val="bullet"/>
      <w:lvlText w:val="●"/>
      <w:lvlJc w:val="left"/>
      <w:pPr>
        <w:tabs>
          <w:tab w:val="num" w:pos="432"/>
        </w:tabs>
        <w:ind w:left="432" w:hanging="432"/>
      </w:pPr>
      <w:rPr>
        <w:rFonts w:ascii="Verdana" w:hAnsi="Verdana"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74A10A1D"/>
    <w:multiLevelType w:val="hybridMultilevel"/>
    <w:tmpl w:val="4836C918"/>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nsid w:val="75230C25"/>
    <w:multiLevelType w:val="hybridMultilevel"/>
    <w:tmpl w:val="276CB91E"/>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nsid w:val="754F2E66"/>
    <w:multiLevelType w:val="hybridMultilevel"/>
    <w:tmpl w:val="834211D4"/>
    <w:lvl w:ilvl="0" w:tplc="CBB8D556">
      <w:start w:val="1"/>
      <w:numFmt w:val="bullet"/>
      <w:lvlText w:val="→"/>
      <w:lvlJc w:val="left"/>
      <w:pPr>
        <w:tabs>
          <w:tab w:val="num" w:pos="432"/>
        </w:tabs>
        <w:ind w:left="432" w:hanging="432"/>
      </w:pPr>
      <w:rPr>
        <w:rFonts w:ascii="Calibri" w:hAnsi="Calibri"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5">
    <w:nsid w:val="766A068B"/>
    <w:multiLevelType w:val="multilevel"/>
    <w:tmpl w:val="667C1556"/>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PicBulletId w:val="16"/>
      <w:lvlJc w:val="left"/>
      <w:pPr>
        <w:tabs>
          <w:tab w:val="num" w:pos="1440"/>
        </w:tabs>
        <w:ind w:left="1440" w:hanging="360"/>
      </w:pPr>
      <w:rPr>
        <w:rFonts w:ascii="Courier New" w:hAnsi="Courier New"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7666170"/>
    <w:multiLevelType w:val="hybridMultilevel"/>
    <w:tmpl w:val="C582C022"/>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7">
    <w:nsid w:val="78E3735C"/>
    <w:multiLevelType w:val="hybridMultilevel"/>
    <w:tmpl w:val="CF3479C6"/>
    <w:lvl w:ilvl="0" w:tplc="B67A1788">
      <w:start w:val="1"/>
      <w:numFmt w:val="bullet"/>
      <w:lvlText w:val="●"/>
      <w:lvlJc w:val="left"/>
      <w:pPr>
        <w:tabs>
          <w:tab w:val="num" w:pos="432"/>
        </w:tabs>
        <w:ind w:left="432" w:hanging="432"/>
      </w:pPr>
      <w:rPr>
        <w:rFonts w:ascii="Verdana" w:hAnsi="Verdana"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8">
    <w:nsid w:val="791A2788"/>
    <w:multiLevelType w:val="hybridMultilevel"/>
    <w:tmpl w:val="7EF61D40"/>
    <w:lvl w:ilvl="0" w:tplc="3F087D62">
      <w:start w:val="7"/>
      <w:numFmt w:val="bullet"/>
      <w:lvlText w:val="►"/>
      <w:lvlJc w:val="left"/>
      <w:pPr>
        <w:tabs>
          <w:tab w:val="num" w:pos="360"/>
        </w:tabs>
        <w:ind w:left="360" w:hanging="360"/>
      </w:pPr>
      <w:rPr>
        <w:rFonts w:ascii="Arial" w:hAnsi="Arial" w:hint="default"/>
        <w:color w:val="000080"/>
        <w:sz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9">
    <w:nsid w:val="792439F8"/>
    <w:multiLevelType w:val="hybridMultilevel"/>
    <w:tmpl w:val="34645FBE"/>
    <w:lvl w:ilvl="0" w:tplc="4182933A">
      <w:start w:val="1"/>
      <w:numFmt w:val="bullet"/>
      <w:lvlText w:val="■"/>
      <w:lvlJc w:val="left"/>
      <w:pPr>
        <w:tabs>
          <w:tab w:val="num" w:pos="288"/>
        </w:tabs>
        <w:ind w:left="288" w:hanging="288"/>
      </w:pPr>
      <w:rPr>
        <w:rFonts w:ascii="Arial" w:hAnsi="Arial" w:hint="default"/>
        <w:b/>
        <w:i w:val="0"/>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0">
    <w:nsid w:val="7CD66E09"/>
    <w:multiLevelType w:val="hybridMultilevel"/>
    <w:tmpl w:val="3AB2503C"/>
    <w:lvl w:ilvl="0" w:tplc="7CD0C80A">
      <w:start w:val="1"/>
      <w:numFmt w:val="lowerLetter"/>
      <w:lvlText w:val="%1)"/>
      <w:lvlJc w:val="left"/>
      <w:pPr>
        <w:tabs>
          <w:tab w:val="num" w:pos="720"/>
        </w:tabs>
        <w:ind w:left="720" w:hanging="360"/>
      </w:pPr>
      <w:rPr>
        <w:rFonts w:hint="default"/>
        <w:b/>
        <w:i w:val="0"/>
        <w:caps/>
        <w:sz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1">
    <w:nsid w:val="7D8225FA"/>
    <w:multiLevelType w:val="multilevel"/>
    <w:tmpl w:val="53B0DD92"/>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DDC43CC"/>
    <w:multiLevelType w:val="hybridMultilevel"/>
    <w:tmpl w:val="74844C80"/>
    <w:lvl w:ilvl="0" w:tplc="0CA6A430">
      <w:start w:val="1"/>
      <w:numFmt w:val="bullet"/>
      <w:lvlText w:val="■"/>
      <w:lvlJc w:val="left"/>
      <w:pPr>
        <w:tabs>
          <w:tab w:val="num" w:pos="288"/>
        </w:tabs>
        <w:ind w:left="288" w:hanging="288"/>
      </w:pPr>
      <w:rPr>
        <w:rFonts w:ascii="Arial" w:hAnsi="Arial" w:hint="default"/>
        <w:color w:val="000080"/>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3">
    <w:nsid w:val="7E607F9E"/>
    <w:multiLevelType w:val="hybridMultilevel"/>
    <w:tmpl w:val="27707F78"/>
    <w:lvl w:ilvl="0" w:tplc="D3ACEB32">
      <w:start w:val="1"/>
      <w:numFmt w:val="bullet"/>
      <w:lvlText w:val="−"/>
      <w:lvlJc w:val="left"/>
      <w:pPr>
        <w:tabs>
          <w:tab w:val="num" w:pos="288"/>
        </w:tabs>
        <w:ind w:left="288" w:hanging="288"/>
      </w:pPr>
      <w:rPr>
        <w:rFonts w:ascii="Arial" w:hAnsi="Arial"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77"/>
  </w:num>
  <w:num w:numId="2">
    <w:abstractNumId w:val="19"/>
  </w:num>
  <w:num w:numId="3">
    <w:abstractNumId w:val="93"/>
  </w:num>
  <w:num w:numId="4">
    <w:abstractNumId w:val="47"/>
  </w:num>
  <w:num w:numId="5">
    <w:abstractNumId w:val="31"/>
  </w:num>
  <w:num w:numId="6">
    <w:abstractNumId w:val="78"/>
  </w:num>
  <w:num w:numId="7">
    <w:abstractNumId w:val="13"/>
  </w:num>
  <w:num w:numId="8">
    <w:abstractNumId w:val="39"/>
  </w:num>
  <w:num w:numId="9">
    <w:abstractNumId w:val="3"/>
  </w:num>
  <w:num w:numId="10">
    <w:abstractNumId w:val="52"/>
  </w:num>
  <w:num w:numId="11">
    <w:abstractNumId w:val="5"/>
  </w:num>
  <w:num w:numId="12">
    <w:abstractNumId w:val="74"/>
  </w:num>
  <w:num w:numId="13">
    <w:abstractNumId w:val="102"/>
  </w:num>
  <w:num w:numId="14">
    <w:abstractNumId w:val="96"/>
  </w:num>
  <w:num w:numId="15">
    <w:abstractNumId w:val="57"/>
  </w:num>
  <w:num w:numId="16">
    <w:abstractNumId w:val="84"/>
  </w:num>
  <w:num w:numId="17">
    <w:abstractNumId w:val="67"/>
  </w:num>
  <w:num w:numId="18">
    <w:abstractNumId w:val="24"/>
  </w:num>
  <w:num w:numId="19">
    <w:abstractNumId w:val="45"/>
  </w:num>
  <w:num w:numId="20">
    <w:abstractNumId w:val="55"/>
  </w:num>
  <w:num w:numId="21">
    <w:abstractNumId w:val="4"/>
  </w:num>
  <w:num w:numId="22">
    <w:abstractNumId w:val="38"/>
  </w:num>
  <w:num w:numId="23">
    <w:abstractNumId w:val="41"/>
  </w:num>
  <w:num w:numId="24">
    <w:abstractNumId w:val="48"/>
  </w:num>
  <w:num w:numId="25">
    <w:abstractNumId w:val="14"/>
  </w:num>
  <w:num w:numId="26">
    <w:abstractNumId w:val="87"/>
  </w:num>
  <w:num w:numId="27">
    <w:abstractNumId w:val="32"/>
  </w:num>
  <w:num w:numId="28">
    <w:abstractNumId w:val="81"/>
  </w:num>
  <w:num w:numId="29">
    <w:abstractNumId w:val="101"/>
  </w:num>
  <w:num w:numId="30">
    <w:abstractNumId w:val="11"/>
  </w:num>
  <w:num w:numId="31">
    <w:abstractNumId w:val="18"/>
  </w:num>
  <w:num w:numId="32">
    <w:abstractNumId w:val="61"/>
  </w:num>
  <w:num w:numId="33">
    <w:abstractNumId w:val="95"/>
  </w:num>
  <w:num w:numId="34">
    <w:abstractNumId w:val="64"/>
  </w:num>
  <w:num w:numId="35">
    <w:abstractNumId w:val="42"/>
  </w:num>
  <w:num w:numId="36">
    <w:abstractNumId w:val="85"/>
  </w:num>
  <w:num w:numId="37">
    <w:abstractNumId w:val="65"/>
  </w:num>
  <w:num w:numId="38">
    <w:abstractNumId w:val="1"/>
  </w:num>
  <w:num w:numId="39">
    <w:abstractNumId w:val="89"/>
  </w:num>
  <w:num w:numId="40">
    <w:abstractNumId w:val="27"/>
  </w:num>
  <w:num w:numId="41">
    <w:abstractNumId w:val="86"/>
  </w:num>
  <w:num w:numId="42">
    <w:abstractNumId w:val="71"/>
  </w:num>
  <w:num w:numId="43">
    <w:abstractNumId w:val="17"/>
  </w:num>
  <w:num w:numId="44">
    <w:abstractNumId w:val="68"/>
  </w:num>
  <w:num w:numId="45">
    <w:abstractNumId w:val="46"/>
  </w:num>
  <w:num w:numId="46">
    <w:abstractNumId w:val="98"/>
  </w:num>
  <w:num w:numId="47">
    <w:abstractNumId w:val="59"/>
  </w:num>
  <w:num w:numId="48">
    <w:abstractNumId w:val="8"/>
  </w:num>
  <w:num w:numId="49">
    <w:abstractNumId w:val="75"/>
  </w:num>
  <w:num w:numId="50">
    <w:abstractNumId w:val="53"/>
  </w:num>
  <w:num w:numId="51">
    <w:abstractNumId w:val="60"/>
  </w:num>
  <w:num w:numId="52">
    <w:abstractNumId w:val="40"/>
  </w:num>
  <w:num w:numId="53">
    <w:abstractNumId w:val="35"/>
  </w:num>
  <w:num w:numId="54">
    <w:abstractNumId w:val="66"/>
  </w:num>
  <w:num w:numId="55">
    <w:abstractNumId w:val="69"/>
  </w:num>
  <w:num w:numId="56">
    <w:abstractNumId w:val="79"/>
  </w:num>
  <w:num w:numId="57">
    <w:abstractNumId w:val="50"/>
  </w:num>
  <w:num w:numId="58">
    <w:abstractNumId w:val="6"/>
  </w:num>
  <w:num w:numId="59">
    <w:abstractNumId w:val="10"/>
  </w:num>
  <w:num w:numId="60">
    <w:abstractNumId w:val="7"/>
  </w:num>
  <w:num w:numId="61">
    <w:abstractNumId w:val="9"/>
  </w:num>
  <w:num w:numId="62">
    <w:abstractNumId w:val="21"/>
  </w:num>
  <w:num w:numId="63">
    <w:abstractNumId w:val="15"/>
  </w:num>
  <w:num w:numId="64">
    <w:abstractNumId w:val="22"/>
  </w:num>
  <w:num w:numId="65">
    <w:abstractNumId w:val="37"/>
  </w:num>
  <w:num w:numId="66">
    <w:abstractNumId w:val="62"/>
  </w:num>
  <w:num w:numId="67">
    <w:abstractNumId w:val="63"/>
  </w:num>
  <w:num w:numId="68">
    <w:abstractNumId w:val="82"/>
  </w:num>
  <w:num w:numId="69">
    <w:abstractNumId w:val="49"/>
  </w:num>
  <w:num w:numId="70">
    <w:abstractNumId w:val="51"/>
  </w:num>
  <w:num w:numId="71">
    <w:abstractNumId w:val="34"/>
  </w:num>
  <w:num w:numId="72">
    <w:abstractNumId w:val="16"/>
  </w:num>
  <w:num w:numId="73">
    <w:abstractNumId w:val="36"/>
  </w:num>
  <w:num w:numId="74">
    <w:abstractNumId w:val="58"/>
  </w:num>
  <w:num w:numId="75">
    <w:abstractNumId w:val="91"/>
  </w:num>
  <w:num w:numId="76">
    <w:abstractNumId w:val="0"/>
  </w:num>
  <w:num w:numId="77">
    <w:abstractNumId w:val="76"/>
  </w:num>
  <w:num w:numId="78">
    <w:abstractNumId w:val="92"/>
  </w:num>
  <w:num w:numId="79">
    <w:abstractNumId w:val="94"/>
  </w:num>
  <w:num w:numId="80">
    <w:abstractNumId w:val="28"/>
  </w:num>
  <w:num w:numId="81">
    <w:abstractNumId w:val="88"/>
  </w:num>
  <w:num w:numId="82">
    <w:abstractNumId w:val="26"/>
  </w:num>
  <w:num w:numId="83">
    <w:abstractNumId w:val="23"/>
  </w:num>
  <w:num w:numId="84">
    <w:abstractNumId w:val="29"/>
  </w:num>
  <w:num w:numId="85">
    <w:abstractNumId w:val="54"/>
  </w:num>
  <w:num w:numId="86">
    <w:abstractNumId w:val="73"/>
  </w:num>
  <w:num w:numId="87">
    <w:abstractNumId w:val="99"/>
  </w:num>
  <w:num w:numId="88">
    <w:abstractNumId w:val="44"/>
  </w:num>
  <w:num w:numId="89">
    <w:abstractNumId w:val="25"/>
  </w:num>
  <w:num w:numId="90">
    <w:abstractNumId w:val="103"/>
  </w:num>
  <w:num w:numId="91">
    <w:abstractNumId w:val="83"/>
  </w:num>
  <w:num w:numId="92">
    <w:abstractNumId w:val="90"/>
  </w:num>
  <w:num w:numId="93">
    <w:abstractNumId w:val="30"/>
  </w:num>
  <w:num w:numId="94">
    <w:abstractNumId w:val="97"/>
  </w:num>
  <w:num w:numId="95">
    <w:abstractNumId w:val="33"/>
  </w:num>
  <w:num w:numId="96">
    <w:abstractNumId w:val="43"/>
  </w:num>
  <w:num w:numId="97">
    <w:abstractNumId w:val="2"/>
  </w:num>
  <w:num w:numId="98">
    <w:abstractNumId w:val="80"/>
  </w:num>
  <w:num w:numId="99">
    <w:abstractNumId w:val="72"/>
  </w:num>
  <w:num w:numId="100">
    <w:abstractNumId w:val="20"/>
  </w:num>
  <w:num w:numId="101">
    <w:abstractNumId w:val="70"/>
  </w:num>
  <w:num w:numId="102">
    <w:abstractNumId w:val="12"/>
  </w:num>
  <w:num w:numId="103">
    <w:abstractNumId w:val="56"/>
  </w:num>
  <w:num w:numId="104">
    <w:abstractNumId w:val="10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AA"/>
    <w:rsid w:val="006E6AAA"/>
    <w:rsid w:val="008770F1"/>
    <w:rsid w:val="00C11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6AAA"/>
    <w:pPr>
      <w:keepNext/>
      <w:spacing w:before="240" w:after="60" w:line="240" w:lineRule="auto"/>
      <w:outlineLvl w:val="0"/>
    </w:pPr>
    <w:rPr>
      <w:rFonts w:ascii="Cambria" w:eastAsia="Times New Roman" w:hAnsi="Cambria" w:cs="Times New Roman"/>
      <w:b/>
      <w:bCs/>
      <w:kern w:val="32"/>
      <w:sz w:val="32"/>
      <w:szCs w:val="32"/>
      <w:lang w:val="it-IT" w:eastAsia="it-IT"/>
    </w:rPr>
  </w:style>
  <w:style w:type="paragraph" w:styleId="Heading2">
    <w:name w:val="heading 2"/>
    <w:basedOn w:val="Normal"/>
    <w:link w:val="Heading2Char"/>
    <w:qFormat/>
    <w:rsid w:val="006E6AAA"/>
    <w:pPr>
      <w:spacing w:before="192" w:after="72" w:line="240" w:lineRule="auto"/>
      <w:outlineLvl w:val="1"/>
    </w:pPr>
    <w:rPr>
      <w:rFonts w:ascii="Times New Roman" w:eastAsia="Times New Roman" w:hAnsi="Times New Roman" w:cs="Times New Roman"/>
      <w:b/>
      <w:bCs/>
      <w:color w:val="000000"/>
      <w:sz w:val="31"/>
      <w:szCs w:val="31"/>
      <w:lang w:val="it-IT" w:eastAsia="it-IT"/>
    </w:rPr>
  </w:style>
  <w:style w:type="paragraph" w:styleId="Heading3">
    <w:name w:val="heading 3"/>
    <w:basedOn w:val="Normal"/>
    <w:next w:val="Normal"/>
    <w:link w:val="Heading3Char"/>
    <w:qFormat/>
    <w:rsid w:val="006E6AAA"/>
    <w:pPr>
      <w:keepNext/>
      <w:spacing w:before="240" w:after="60" w:line="270" w:lineRule="atLeast"/>
      <w:outlineLvl w:val="2"/>
    </w:pPr>
    <w:rPr>
      <w:rFonts w:ascii="Arial" w:eastAsia="Times New Roman" w:hAnsi="Arial" w:cs="Arial"/>
      <w:b/>
      <w:bCs/>
      <w:sz w:val="26"/>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6AAA"/>
    <w:rPr>
      <w:rFonts w:ascii="Times New Roman" w:eastAsia="Times New Roman" w:hAnsi="Times New Roman" w:cs="Times New Roman"/>
      <w:b/>
      <w:bCs/>
      <w:color w:val="000000"/>
      <w:sz w:val="31"/>
      <w:szCs w:val="31"/>
      <w:lang w:val="it-IT" w:eastAsia="it-IT"/>
    </w:rPr>
  </w:style>
  <w:style w:type="character" w:customStyle="1" w:styleId="Heading3Char">
    <w:name w:val="Heading 3 Char"/>
    <w:basedOn w:val="DefaultParagraphFont"/>
    <w:link w:val="Heading3"/>
    <w:rsid w:val="006E6AAA"/>
    <w:rPr>
      <w:rFonts w:ascii="Arial" w:eastAsia="Times New Roman" w:hAnsi="Arial" w:cs="Arial"/>
      <w:b/>
      <w:bCs/>
      <w:sz w:val="26"/>
      <w:szCs w:val="26"/>
      <w:lang w:val="en-GB" w:eastAsia="da-DK"/>
    </w:rPr>
  </w:style>
  <w:style w:type="numbering" w:customStyle="1" w:styleId="NoList1">
    <w:name w:val="No List1"/>
    <w:next w:val="NoList"/>
    <w:uiPriority w:val="99"/>
    <w:semiHidden/>
    <w:unhideWhenUsed/>
    <w:rsid w:val="006E6AAA"/>
  </w:style>
  <w:style w:type="table" w:styleId="TableGrid">
    <w:name w:val="Table Grid"/>
    <w:basedOn w:val="TableNormal"/>
    <w:rsid w:val="006E6A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2,Footnote Text Char1 Char1,Footnote Text Char Char Char1,Footnote Text Char1 Char Char,Footnote Text Char Char Char Char,Footnote Text Char Char1 Char,Footnote Text Char Char2,ft,single space,ALTS FOOTNOTE,fn,fn Char"/>
    <w:basedOn w:val="Normal"/>
    <w:link w:val="FootnoteTextChar1"/>
    <w:semiHidden/>
    <w:rsid w:val="006E6AAA"/>
    <w:pPr>
      <w:spacing w:after="0" w:line="270" w:lineRule="atLeast"/>
    </w:pPr>
    <w:rPr>
      <w:rFonts w:ascii="Times New Roman" w:eastAsia="Times New Roman" w:hAnsi="Times New Roman" w:cs="Times New Roman"/>
      <w:sz w:val="20"/>
      <w:szCs w:val="20"/>
      <w:lang w:val="en-GB" w:eastAsia="da-DK"/>
    </w:rPr>
  </w:style>
  <w:style w:type="character" w:customStyle="1" w:styleId="FootnoteTextChar">
    <w:name w:val="Footnote Text Char"/>
    <w:basedOn w:val="DefaultParagraphFont"/>
    <w:semiHidden/>
    <w:rsid w:val="006E6AAA"/>
    <w:rPr>
      <w:sz w:val="20"/>
      <w:szCs w:val="20"/>
    </w:rPr>
  </w:style>
  <w:style w:type="character" w:styleId="FootnoteReference">
    <w:name w:val="footnote reference"/>
    <w:aliases w:val="ftref,16 Point,Superscript 6 Point"/>
    <w:rsid w:val="006E6AAA"/>
    <w:rPr>
      <w:vertAlign w:val="superscript"/>
    </w:rPr>
  </w:style>
  <w:style w:type="paragraph" w:customStyle="1" w:styleId="ecxmsonormal">
    <w:name w:val="ecxmsonormal"/>
    <w:basedOn w:val="Normal"/>
    <w:rsid w:val="006E6AAA"/>
    <w:pPr>
      <w:spacing w:after="324" w:line="240" w:lineRule="auto"/>
    </w:pPr>
    <w:rPr>
      <w:rFonts w:ascii="Times New Roman" w:eastAsia="Times New Roman" w:hAnsi="Times New Roman" w:cs="Times New Roman"/>
      <w:sz w:val="24"/>
      <w:szCs w:val="24"/>
      <w:lang w:val="it-IT" w:eastAsia="it-IT"/>
    </w:rPr>
  </w:style>
  <w:style w:type="character" w:customStyle="1" w:styleId="NoSpacingChar">
    <w:name w:val="No Spacing Char"/>
    <w:link w:val="NoSpacing"/>
    <w:locked/>
    <w:rsid w:val="006E6AAA"/>
    <w:rPr>
      <w:rFonts w:ascii="Calibri" w:hAnsi="Calibri"/>
    </w:rPr>
  </w:style>
  <w:style w:type="paragraph" w:styleId="NoSpacing">
    <w:name w:val="No Spacing"/>
    <w:basedOn w:val="Normal"/>
    <w:link w:val="NoSpacingChar"/>
    <w:qFormat/>
    <w:rsid w:val="006E6AAA"/>
    <w:pPr>
      <w:spacing w:after="0" w:line="240" w:lineRule="auto"/>
    </w:pPr>
    <w:rPr>
      <w:rFonts w:ascii="Calibri" w:hAnsi="Calibri"/>
    </w:rPr>
  </w:style>
  <w:style w:type="paragraph" w:styleId="NormalWeb">
    <w:name w:val="Normal (Web)"/>
    <w:basedOn w:val="Normal"/>
    <w:rsid w:val="006E6AAA"/>
    <w:pPr>
      <w:spacing w:after="264" w:line="408" w:lineRule="atLeast"/>
    </w:pPr>
    <w:rPr>
      <w:rFonts w:ascii="Times New Roman" w:eastAsia="Times New Roman" w:hAnsi="Times New Roman" w:cs="Times New Roman"/>
      <w:sz w:val="29"/>
      <w:szCs w:val="29"/>
      <w:lang w:val="it-IT" w:eastAsia="it-IT"/>
    </w:rPr>
  </w:style>
  <w:style w:type="character" w:styleId="Hyperlink">
    <w:name w:val="Hyperlink"/>
    <w:rsid w:val="006E6AAA"/>
    <w:rPr>
      <w:color w:val="0062A0"/>
      <w:sz w:val="24"/>
      <w:szCs w:val="24"/>
      <w:u w:val="single"/>
      <w:bdr w:val="none" w:sz="0" w:space="0" w:color="auto" w:frame="1"/>
      <w:vertAlign w:val="baseline"/>
    </w:rPr>
  </w:style>
  <w:style w:type="character" w:styleId="Emphasis">
    <w:name w:val="Emphasis"/>
    <w:qFormat/>
    <w:rsid w:val="006E6AAA"/>
    <w:rPr>
      <w:i/>
      <w:iCs/>
      <w:sz w:val="24"/>
      <w:szCs w:val="24"/>
      <w:bdr w:val="none" w:sz="0" w:space="0" w:color="auto" w:frame="1"/>
      <w:vertAlign w:val="baseline"/>
    </w:rPr>
  </w:style>
  <w:style w:type="character" w:styleId="Strong">
    <w:name w:val="Strong"/>
    <w:qFormat/>
    <w:rsid w:val="006E6AAA"/>
    <w:rPr>
      <w:b/>
      <w:bCs/>
    </w:rPr>
  </w:style>
  <w:style w:type="paragraph" w:customStyle="1" w:styleId="Default">
    <w:name w:val="Default"/>
    <w:rsid w:val="006E6AAA"/>
    <w:pPr>
      <w:autoSpaceDE w:val="0"/>
      <w:autoSpaceDN w:val="0"/>
      <w:adjustRightInd w:val="0"/>
      <w:spacing w:after="0" w:line="240" w:lineRule="auto"/>
    </w:pPr>
    <w:rPr>
      <w:rFonts w:ascii="CG Omega" w:eastAsia="Times New Roman" w:hAnsi="CG Omega" w:cs="CG Omega"/>
      <w:color w:val="000000"/>
      <w:sz w:val="24"/>
      <w:szCs w:val="24"/>
      <w:lang w:val="it-IT" w:eastAsia="it-IT"/>
    </w:rPr>
  </w:style>
  <w:style w:type="character" w:customStyle="1" w:styleId="FootnoteTextChar1">
    <w:name w:val="Footnote Text Char1"/>
    <w:aliases w:val="Footnote Text Char2 Char1,Footnote Text Char1 Char1 Char1,Footnote Text Char Char Char1 Char1,Footnote Text Char1 Char Char Char1,Footnote Text Char Char Char Char Char1,Footnote Text Char Char1 Char Char1,ft Char1,single space Char"/>
    <w:link w:val="FootnoteText"/>
    <w:semiHidden/>
    <w:locked/>
    <w:rsid w:val="006E6AAA"/>
    <w:rPr>
      <w:rFonts w:ascii="Times New Roman" w:eastAsia="Times New Roman" w:hAnsi="Times New Roman" w:cs="Times New Roman"/>
      <w:sz w:val="20"/>
      <w:szCs w:val="20"/>
      <w:lang w:val="en-GB" w:eastAsia="da-DK"/>
    </w:rPr>
  </w:style>
  <w:style w:type="paragraph" w:customStyle="1" w:styleId="Reporttext">
    <w:name w:val="Report text"/>
    <w:link w:val="ReporttextChar"/>
    <w:rsid w:val="006E6AAA"/>
    <w:pPr>
      <w:spacing w:before="120" w:after="0" w:line="240" w:lineRule="auto"/>
    </w:pPr>
    <w:rPr>
      <w:rFonts w:ascii="Times New Roman" w:eastAsia="Times New Roman" w:hAnsi="Times New Roman" w:cs="Times New Roman"/>
      <w:szCs w:val="20"/>
    </w:rPr>
  </w:style>
  <w:style w:type="character" w:customStyle="1" w:styleId="ReporttextChar">
    <w:name w:val="Report text Char"/>
    <w:link w:val="Reporttext"/>
    <w:locked/>
    <w:rsid w:val="006E6AAA"/>
    <w:rPr>
      <w:rFonts w:ascii="Times New Roman" w:eastAsia="Times New Roman" w:hAnsi="Times New Roman" w:cs="Times New Roman"/>
      <w:szCs w:val="20"/>
    </w:rPr>
  </w:style>
  <w:style w:type="paragraph" w:customStyle="1" w:styleId="ecxdefault">
    <w:name w:val="ecxdefault"/>
    <w:basedOn w:val="Normal"/>
    <w:rsid w:val="006E6AAA"/>
    <w:pPr>
      <w:spacing w:after="324" w:line="240" w:lineRule="auto"/>
    </w:pPr>
    <w:rPr>
      <w:rFonts w:ascii="Times New Roman" w:eastAsia="Times New Roman" w:hAnsi="Times New Roman" w:cs="Times New Roman"/>
      <w:sz w:val="24"/>
      <w:szCs w:val="24"/>
      <w:lang w:val="it-IT" w:eastAsia="it-IT"/>
    </w:rPr>
  </w:style>
  <w:style w:type="paragraph" w:styleId="Footer">
    <w:name w:val="footer"/>
    <w:basedOn w:val="Normal"/>
    <w:link w:val="FooterChar"/>
    <w:rsid w:val="006E6AAA"/>
    <w:pPr>
      <w:tabs>
        <w:tab w:val="center" w:pos="4819"/>
        <w:tab w:val="right" w:pos="9638"/>
      </w:tabs>
      <w:spacing w:after="0" w:line="270" w:lineRule="atLeast"/>
    </w:pPr>
    <w:rPr>
      <w:rFonts w:ascii="Times New Roman" w:eastAsia="Times New Roman" w:hAnsi="Times New Roman" w:cs="Times New Roman"/>
      <w:sz w:val="23"/>
      <w:szCs w:val="20"/>
      <w:lang w:val="en-GB" w:eastAsia="da-DK"/>
    </w:rPr>
  </w:style>
  <w:style w:type="character" w:customStyle="1" w:styleId="FooterChar">
    <w:name w:val="Footer Char"/>
    <w:basedOn w:val="DefaultParagraphFont"/>
    <w:link w:val="Footer"/>
    <w:rsid w:val="006E6AAA"/>
    <w:rPr>
      <w:rFonts w:ascii="Times New Roman" w:eastAsia="Times New Roman" w:hAnsi="Times New Roman" w:cs="Times New Roman"/>
      <w:sz w:val="23"/>
      <w:szCs w:val="20"/>
      <w:lang w:val="en-GB" w:eastAsia="da-DK"/>
    </w:rPr>
  </w:style>
  <w:style w:type="character" w:styleId="PageNumber">
    <w:name w:val="page number"/>
    <w:basedOn w:val="DefaultParagraphFont"/>
    <w:rsid w:val="006E6AAA"/>
  </w:style>
  <w:style w:type="character" w:customStyle="1" w:styleId="st1">
    <w:name w:val="st1"/>
    <w:basedOn w:val="DefaultParagraphFont"/>
    <w:rsid w:val="006E6AAA"/>
  </w:style>
  <w:style w:type="paragraph" w:styleId="Header">
    <w:name w:val="header"/>
    <w:basedOn w:val="Normal"/>
    <w:link w:val="HeaderChar"/>
    <w:rsid w:val="006E6AAA"/>
    <w:pPr>
      <w:tabs>
        <w:tab w:val="center" w:pos="4819"/>
        <w:tab w:val="right" w:pos="9638"/>
      </w:tabs>
      <w:spacing w:after="0" w:line="270" w:lineRule="atLeast"/>
    </w:pPr>
    <w:rPr>
      <w:rFonts w:ascii="Times New Roman" w:eastAsia="Times New Roman" w:hAnsi="Times New Roman" w:cs="Times New Roman"/>
      <w:sz w:val="23"/>
      <w:szCs w:val="20"/>
      <w:lang w:val="en-GB" w:eastAsia="da-DK"/>
    </w:rPr>
  </w:style>
  <w:style w:type="character" w:customStyle="1" w:styleId="HeaderChar">
    <w:name w:val="Header Char"/>
    <w:basedOn w:val="DefaultParagraphFont"/>
    <w:link w:val="Header"/>
    <w:rsid w:val="006E6AAA"/>
    <w:rPr>
      <w:rFonts w:ascii="Times New Roman" w:eastAsia="Times New Roman" w:hAnsi="Times New Roman" w:cs="Times New Roman"/>
      <w:sz w:val="23"/>
      <w:szCs w:val="20"/>
      <w:lang w:val="en-GB" w:eastAsia="da-DK"/>
    </w:rPr>
  </w:style>
  <w:style w:type="character" w:styleId="CommentReference">
    <w:name w:val="annotation reference"/>
    <w:rsid w:val="006E6AAA"/>
    <w:rPr>
      <w:sz w:val="16"/>
      <w:szCs w:val="16"/>
    </w:rPr>
  </w:style>
  <w:style w:type="paragraph" w:styleId="CommentText">
    <w:name w:val="annotation text"/>
    <w:basedOn w:val="Normal"/>
    <w:link w:val="CommentTextChar"/>
    <w:rsid w:val="006E6AAA"/>
    <w:pPr>
      <w:spacing w:after="0" w:line="270" w:lineRule="atLeast"/>
    </w:pPr>
    <w:rPr>
      <w:rFonts w:ascii="Times New Roman" w:eastAsia="Times New Roman" w:hAnsi="Times New Roman" w:cs="Times New Roman"/>
      <w:sz w:val="20"/>
      <w:szCs w:val="20"/>
      <w:lang w:val="en-GB" w:eastAsia="da-DK"/>
    </w:rPr>
  </w:style>
  <w:style w:type="character" w:customStyle="1" w:styleId="CommentTextChar">
    <w:name w:val="Comment Text Char"/>
    <w:basedOn w:val="DefaultParagraphFont"/>
    <w:link w:val="CommentText"/>
    <w:rsid w:val="006E6AAA"/>
    <w:rPr>
      <w:rFonts w:ascii="Times New Roman" w:eastAsia="Times New Roman" w:hAnsi="Times New Roman" w:cs="Times New Roman"/>
      <w:sz w:val="20"/>
      <w:szCs w:val="20"/>
      <w:lang w:val="en-GB" w:eastAsia="da-DK"/>
    </w:rPr>
  </w:style>
  <w:style w:type="paragraph" w:styleId="CommentSubject">
    <w:name w:val="annotation subject"/>
    <w:basedOn w:val="CommentText"/>
    <w:next w:val="CommentText"/>
    <w:link w:val="CommentSubjectChar"/>
    <w:rsid w:val="006E6AAA"/>
    <w:rPr>
      <w:b/>
      <w:bCs/>
    </w:rPr>
  </w:style>
  <w:style w:type="character" w:customStyle="1" w:styleId="CommentSubjectChar">
    <w:name w:val="Comment Subject Char"/>
    <w:basedOn w:val="CommentTextChar"/>
    <w:link w:val="CommentSubject"/>
    <w:rsid w:val="006E6AAA"/>
    <w:rPr>
      <w:rFonts w:ascii="Times New Roman" w:eastAsia="Times New Roman" w:hAnsi="Times New Roman" w:cs="Times New Roman"/>
      <w:b/>
      <w:bCs/>
      <w:sz w:val="20"/>
      <w:szCs w:val="20"/>
      <w:lang w:val="en-GB" w:eastAsia="da-DK"/>
    </w:rPr>
  </w:style>
  <w:style w:type="paragraph" w:styleId="BalloonText">
    <w:name w:val="Balloon Text"/>
    <w:basedOn w:val="Normal"/>
    <w:link w:val="BalloonTextChar"/>
    <w:rsid w:val="006E6AAA"/>
    <w:pPr>
      <w:spacing w:after="0" w:line="240" w:lineRule="auto"/>
    </w:pPr>
    <w:rPr>
      <w:rFonts w:ascii="Tahoma" w:eastAsia="Times New Roman" w:hAnsi="Tahoma" w:cs="Tahoma"/>
      <w:sz w:val="16"/>
      <w:szCs w:val="16"/>
      <w:lang w:val="en-GB" w:eastAsia="da-DK"/>
    </w:rPr>
  </w:style>
  <w:style w:type="character" w:customStyle="1" w:styleId="BalloonTextChar">
    <w:name w:val="Balloon Text Char"/>
    <w:basedOn w:val="DefaultParagraphFont"/>
    <w:link w:val="BalloonText"/>
    <w:rsid w:val="006E6AAA"/>
    <w:rPr>
      <w:rFonts w:ascii="Tahoma" w:eastAsia="Times New Roman" w:hAnsi="Tahoma" w:cs="Tahoma"/>
      <w:sz w:val="16"/>
      <w:szCs w:val="16"/>
      <w:lang w:val="en-GB" w:eastAsia="da-DK"/>
    </w:rPr>
  </w:style>
  <w:style w:type="paragraph" w:styleId="ListParagraph">
    <w:name w:val="List Paragraph"/>
    <w:basedOn w:val="Normal"/>
    <w:link w:val="ListParagraphChar"/>
    <w:qFormat/>
    <w:rsid w:val="006E6AAA"/>
    <w:pPr>
      <w:spacing w:after="0" w:line="270" w:lineRule="atLeast"/>
      <w:ind w:left="720"/>
    </w:pPr>
    <w:rPr>
      <w:rFonts w:ascii="Times New Roman" w:eastAsia="Times New Roman" w:hAnsi="Times New Roman" w:cs="Times New Roman"/>
      <w:sz w:val="23"/>
      <w:szCs w:val="20"/>
      <w:lang w:val="en-GB" w:eastAsia="da-DK"/>
    </w:rPr>
  </w:style>
  <w:style w:type="character" w:customStyle="1" w:styleId="FootnoteTextChar2Char">
    <w:name w:val="Footnote Text Char2 Char"/>
    <w:aliases w:val="Footnote Text Char1 Char1 Char,Footnote Text Char Char Char1 Char,Footnote Text Char1 Char Char Char,Footnote Text Char Char Char Char Char,Footnote Text Char Char1 Char Char,Footnote Text Char Char2 Char,ft Char,fn Char1"/>
    <w:locked/>
    <w:rsid w:val="006E6AAA"/>
    <w:rPr>
      <w:rFonts w:eastAsia="Cambria"/>
      <w:lang w:val="x-none" w:eastAsia="x-none" w:bidi="ar-SA"/>
    </w:rPr>
  </w:style>
  <w:style w:type="numbering" w:customStyle="1" w:styleId="NoList2">
    <w:name w:val="No List2"/>
    <w:next w:val="NoList"/>
    <w:semiHidden/>
    <w:rsid w:val="006E6AAA"/>
  </w:style>
  <w:style w:type="paragraph" w:customStyle="1" w:styleId="LightGrid-Accent31">
    <w:name w:val="Light Grid - Accent 31"/>
    <w:basedOn w:val="Normal"/>
    <w:link w:val="LightGrid-Accent3Char"/>
    <w:qFormat/>
    <w:rsid w:val="006E6AAA"/>
    <w:pPr>
      <w:spacing w:after="0" w:line="240" w:lineRule="auto"/>
      <w:ind w:left="720"/>
      <w:contextualSpacing/>
    </w:pPr>
    <w:rPr>
      <w:rFonts w:ascii="Times New Roman" w:eastAsia="Times New Roman" w:hAnsi="Times New Roman" w:cs="Times New Roman"/>
      <w:sz w:val="20"/>
      <w:szCs w:val="20"/>
      <w:lang w:val="x-none" w:eastAsia="x-none"/>
    </w:rPr>
  </w:style>
  <w:style w:type="character" w:customStyle="1" w:styleId="LightGrid-Accent3Char">
    <w:name w:val="Light Grid - Accent 3 Char"/>
    <w:link w:val="LightGrid-Accent31"/>
    <w:rsid w:val="006E6AAA"/>
    <w:rPr>
      <w:rFonts w:ascii="Times New Roman" w:eastAsia="Times New Roman" w:hAnsi="Times New Roman" w:cs="Times New Roman"/>
      <w:sz w:val="20"/>
      <w:szCs w:val="20"/>
      <w:lang w:val="x-none" w:eastAsia="x-none"/>
    </w:rPr>
  </w:style>
  <w:style w:type="character" w:customStyle="1" w:styleId="ListParagraphChar">
    <w:name w:val="List Paragraph Char"/>
    <w:link w:val="ListParagraph"/>
    <w:locked/>
    <w:rsid w:val="006E6AAA"/>
    <w:rPr>
      <w:rFonts w:ascii="Times New Roman" w:eastAsia="Times New Roman" w:hAnsi="Times New Roman" w:cs="Times New Roman"/>
      <w:sz w:val="23"/>
      <w:szCs w:val="20"/>
      <w:lang w:val="en-GB" w:eastAsia="da-DK"/>
    </w:rPr>
  </w:style>
  <w:style w:type="character" w:customStyle="1" w:styleId="CharChar5">
    <w:name w:val=" Char Char5"/>
    <w:semiHidden/>
    <w:rsid w:val="006E6AAA"/>
    <w:rPr>
      <w:sz w:val="20"/>
      <w:szCs w:val="20"/>
    </w:rPr>
  </w:style>
  <w:style w:type="table" w:customStyle="1" w:styleId="TableGrid1">
    <w:name w:val="Table Grid1"/>
    <w:basedOn w:val="TableNormal"/>
    <w:next w:val="TableGrid"/>
    <w:rsid w:val="006E6A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 Char Char4"/>
    <w:semiHidden/>
    <w:locked/>
    <w:rsid w:val="006E6AAA"/>
    <w:rPr>
      <w:rFonts w:eastAsia="MS Mincho"/>
      <w:lang w:val="fr-FR" w:eastAsia="fr-FR" w:bidi="ar-SA"/>
    </w:rPr>
  </w:style>
  <w:style w:type="paragraph" w:customStyle="1" w:styleId="ecxmsolistparagraph">
    <w:name w:val="ecxmsolistparagraph"/>
    <w:basedOn w:val="Normal"/>
    <w:rsid w:val="006E6AAA"/>
    <w:pPr>
      <w:spacing w:after="324" w:line="240" w:lineRule="auto"/>
    </w:pPr>
    <w:rPr>
      <w:rFonts w:ascii="Times New Roman" w:eastAsia="Times New Roman" w:hAnsi="Times New Roman" w:cs="Times New Roman"/>
      <w:sz w:val="24"/>
      <w:szCs w:val="24"/>
      <w:lang w:val="it-IT" w:eastAsia="it-IT"/>
    </w:rPr>
  </w:style>
  <w:style w:type="character" w:customStyle="1" w:styleId="hps">
    <w:name w:val="hps"/>
    <w:basedOn w:val="DefaultParagraphFont"/>
    <w:rsid w:val="006E6AAA"/>
  </w:style>
  <w:style w:type="character" w:customStyle="1" w:styleId="unsafesenderemail1">
    <w:name w:val="unsafesenderemail1"/>
    <w:basedOn w:val="DefaultParagraphFont"/>
    <w:rsid w:val="006E6AAA"/>
  </w:style>
  <w:style w:type="paragraph" w:styleId="Revision">
    <w:name w:val="Revision"/>
    <w:hidden/>
    <w:uiPriority w:val="99"/>
    <w:semiHidden/>
    <w:rsid w:val="006E6AAA"/>
    <w:pPr>
      <w:spacing w:after="0" w:line="240" w:lineRule="auto"/>
    </w:pPr>
    <w:rPr>
      <w:rFonts w:ascii="Times New Roman" w:eastAsia="Times New Roman" w:hAnsi="Times New Roman" w:cs="Times New Roman"/>
      <w:sz w:val="23"/>
      <w:szCs w:val="20"/>
      <w:lang w:val="en-GB" w:eastAsia="da-DK"/>
    </w:rPr>
  </w:style>
  <w:style w:type="table" w:styleId="LightShading-Accent1">
    <w:name w:val="Light Shading Accent 1"/>
    <w:basedOn w:val="TableNormal"/>
    <w:uiPriority w:val="60"/>
    <w:rsid w:val="006E6AAA"/>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ieldfield-source">
    <w:name w:val="field field-source"/>
    <w:basedOn w:val="DefaultParagraphFont"/>
    <w:rsid w:val="006E6AAA"/>
  </w:style>
  <w:style w:type="character" w:customStyle="1" w:styleId="Heading1Char">
    <w:name w:val="Heading 1 Char"/>
    <w:basedOn w:val="DefaultParagraphFont"/>
    <w:link w:val="Heading1"/>
    <w:rsid w:val="006E6AAA"/>
    <w:rPr>
      <w:rFonts w:ascii="Cambria" w:eastAsia="Times New Roman" w:hAnsi="Cambria" w:cs="Times New Roman"/>
      <w:b/>
      <w:bCs/>
      <w:kern w:val="32"/>
      <w:sz w:val="32"/>
      <w:szCs w:val="32"/>
      <w:lang w:val="it-IT" w:eastAsia="it-IT"/>
    </w:rPr>
  </w:style>
  <w:style w:type="numbering" w:customStyle="1" w:styleId="NoList3">
    <w:name w:val="No List3"/>
    <w:next w:val="NoList"/>
    <w:semiHidden/>
    <w:rsid w:val="006E6AAA"/>
  </w:style>
  <w:style w:type="table" w:customStyle="1" w:styleId="TableGrid2">
    <w:name w:val="Table Grid2"/>
    <w:basedOn w:val="TableNormal"/>
    <w:next w:val="TableGrid"/>
    <w:rsid w:val="006E6A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s-titre1">
    <w:name w:val="Sous-titre1"/>
    <w:basedOn w:val="Normal"/>
    <w:next w:val="Normal"/>
    <w:rsid w:val="006E6AAA"/>
    <w:pPr>
      <w:autoSpaceDE w:val="0"/>
      <w:autoSpaceDN w:val="0"/>
      <w:adjustRightInd w:val="0"/>
      <w:spacing w:after="0" w:line="240" w:lineRule="auto"/>
    </w:pPr>
    <w:rPr>
      <w:rFonts w:ascii="JBFLLP+ArialNarrow" w:eastAsia="Times New Roman" w:hAnsi="JBFLLP+ArialNarrow" w:cs="Times New Roman"/>
      <w:sz w:val="24"/>
      <w:szCs w:val="24"/>
      <w:lang w:val="it-IT" w:eastAsia="it-IT"/>
    </w:rPr>
  </w:style>
  <w:style w:type="character" w:customStyle="1" w:styleId="A21">
    <w:name w:val="A21"/>
    <w:rsid w:val="006E6AAA"/>
    <w:rPr>
      <w:rFonts w:cs="Quadraat"/>
      <w:color w:val="000000"/>
      <w:sz w:val="11"/>
      <w:szCs w:val="11"/>
    </w:rPr>
  </w:style>
  <w:style w:type="paragraph" w:customStyle="1" w:styleId="Paragraphedeliste">
    <w:name w:val="Paragraphe de liste"/>
    <w:basedOn w:val="Normal"/>
    <w:qFormat/>
    <w:rsid w:val="006E6AAA"/>
    <w:pPr>
      <w:spacing w:after="0" w:line="240" w:lineRule="auto"/>
      <w:ind w:left="720"/>
      <w:contextualSpacing/>
    </w:pPr>
    <w:rPr>
      <w:rFonts w:ascii="Times New Roman" w:eastAsia="Times New Roman" w:hAnsi="Times New Roman" w:cs="Times New Roman"/>
      <w:sz w:val="24"/>
      <w:szCs w:val="24"/>
      <w:lang w:val="fr-FR" w:eastAsia="fr-FR"/>
    </w:rPr>
  </w:style>
  <w:style w:type="paragraph" w:styleId="Title">
    <w:name w:val="Title"/>
    <w:basedOn w:val="Normal"/>
    <w:next w:val="Normal"/>
    <w:link w:val="TitleChar"/>
    <w:qFormat/>
    <w:rsid w:val="006E6AAA"/>
    <w:pPr>
      <w:spacing w:before="240" w:after="60" w:line="240" w:lineRule="auto"/>
      <w:jc w:val="center"/>
      <w:outlineLvl w:val="0"/>
    </w:pPr>
    <w:rPr>
      <w:rFonts w:ascii="Cambria" w:eastAsia="Times New Roman" w:hAnsi="Cambria" w:cs="Times New Roman"/>
      <w:b/>
      <w:bCs/>
      <w:kern w:val="28"/>
      <w:sz w:val="32"/>
      <w:szCs w:val="32"/>
      <w:lang w:val="it-IT" w:eastAsia="it-IT"/>
    </w:rPr>
  </w:style>
  <w:style w:type="character" w:customStyle="1" w:styleId="TitleChar">
    <w:name w:val="Title Char"/>
    <w:basedOn w:val="DefaultParagraphFont"/>
    <w:link w:val="Title"/>
    <w:rsid w:val="006E6AAA"/>
    <w:rPr>
      <w:rFonts w:ascii="Cambria" w:eastAsia="Times New Roman" w:hAnsi="Cambria" w:cs="Times New Roman"/>
      <w:b/>
      <w:bCs/>
      <w:kern w:val="28"/>
      <w:sz w:val="32"/>
      <w:szCs w:val="32"/>
      <w:lang w:val="it-IT" w:eastAsia="it-IT"/>
    </w:rPr>
  </w:style>
  <w:style w:type="paragraph" w:styleId="TOC1">
    <w:name w:val="toc 1"/>
    <w:basedOn w:val="Normal"/>
    <w:next w:val="Normal"/>
    <w:autoRedefine/>
    <w:uiPriority w:val="39"/>
    <w:rsid w:val="006E6AAA"/>
    <w:pPr>
      <w:spacing w:after="0" w:line="240" w:lineRule="auto"/>
    </w:pPr>
    <w:rPr>
      <w:rFonts w:ascii="Times New Roman" w:eastAsia="Times New Roman" w:hAnsi="Times New Roman" w:cs="Times New Roman"/>
      <w:sz w:val="24"/>
      <w:szCs w:val="24"/>
      <w:lang w:val="it-IT" w:eastAsia="it-IT"/>
    </w:rPr>
  </w:style>
  <w:style w:type="paragraph" w:styleId="TOC2">
    <w:name w:val="toc 2"/>
    <w:basedOn w:val="Normal"/>
    <w:next w:val="Normal"/>
    <w:autoRedefine/>
    <w:uiPriority w:val="39"/>
    <w:rsid w:val="006E6AAA"/>
    <w:pPr>
      <w:spacing w:after="0" w:line="240" w:lineRule="auto"/>
      <w:ind w:left="240"/>
    </w:pPr>
    <w:rPr>
      <w:rFonts w:ascii="Times New Roman" w:eastAsia="Times New Roman" w:hAnsi="Times New Roman" w:cs="Times New Roman"/>
      <w:sz w:val="24"/>
      <w:szCs w:val="24"/>
      <w:lang w:val="it-IT" w:eastAsia="it-IT"/>
    </w:rPr>
  </w:style>
  <w:style w:type="character" w:customStyle="1" w:styleId="field-content16">
    <w:name w:val="field-content16"/>
    <w:rsid w:val="006E6AAA"/>
    <w:rPr>
      <w:sz w:val="24"/>
      <w:szCs w:val="24"/>
      <w:bdr w:val="none" w:sz="0" w:space="0" w:color="auto" w:frame="1"/>
      <w:vertAlign w:val="baseline"/>
    </w:rPr>
  </w:style>
  <w:style w:type="character" w:customStyle="1" w:styleId="newsbody">
    <w:name w:val="newsbody"/>
    <w:basedOn w:val="DefaultParagraphFont"/>
    <w:rsid w:val="006E6AAA"/>
  </w:style>
  <w:style w:type="character" w:customStyle="1" w:styleId="hpsatn">
    <w:name w:val="hps atn"/>
    <w:basedOn w:val="DefaultParagraphFont"/>
    <w:rsid w:val="006E6AAA"/>
  </w:style>
  <w:style w:type="numbering" w:customStyle="1" w:styleId="NoList4">
    <w:name w:val="No List4"/>
    <w:next w:val="NoList"/>
    <w:semiHidden/>
    <w:rsid w:val="00C1164B"/>
  </w:style>
  <w:style w:type="table" w:customStyle="1" w:styleId="TableGrid3">
    <w:name w:val="Table Grid3"/>
    <w:basedOn w:val="TableNormal"/>
    <w:next w:val="TableGrid"/>
    <w:rsid w:val="00C1164B"/>
    <w:pPr>
      <w:spacing w:after="0" w:line="27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Body Text Char1 Char1 Char,b"/>
    <w:basedOn w:val="Normal"/>
    <w:link w:val="BodyTextChar"/>
    <w:rsid w:val="00C1164B"/>
    <w:pPr>
      <w:spacing w:after="270" w:line="270" w:lineRule="atLeast"/>
    </w:pPr>
    <w:rPr>
      <w:rFonts w:ascii="Times New Roman" w:eastAsia="Times New Roman" w:hAnsi="Times New Roman" w:cs="Times New Roman"/>
      <w:sz w:val="23"/>
      <w:szCs w:val="20"/>
      <w:lang w:val="en-GB" w:eastAsia="da-DK"/>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1 Char1 Char Char,b Char"/>
    <w:basedOn w:val="DefaultParagraphFont"/>
    <w:link w:val="BodyText"/>
    <w:rsid w:val="00C1164B"/>
    <w:rPr>
      <w:rFonts w:ascii="Times New Roman" w:eastAsia="Times New Roman" w:hAnsi="Times New Roman" w:cs="Times New Roman"/>
      <w:sz w:val="23"/>
      <w:szCs w:val="20"/>
      <w:lang w:val="en-GB" w:eastAsia="da-DK"/>
    </w:rPr>
  </w:style>
  <w:style w:type="paragraph" w:customStyle="1" w:styleId="Bullets">
    <w:name w:val="Bullets"/>
    <w:basedOn w:val="Reporttext"/>
    <w:link w:val="BulletsChar"/>
    <w:rsid w:val="00C1164B"/>
    <w:pPr>
      <w:numPr>
        <w:numId w:val="95"/>
      </w:numPr>
      <w:ind w:left="720" w:hanging="288"/>
    </w:pPr>
  </w:style>
  <w:style w:type="character" w:customStyle="1" w:styleId="BulletsChar">
    <w:name w:val="Bullets Char"/>
    <w:basedOn w:val="ReporttextChar"/>
    <w:link w:val="Bullets"/>
    <w:locked/>
    <w:rsid w:val="00C1164B"/>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6AAA"/>
    <w:pPr>
      <w:keepNext/>
      <w:spacing w:before="240" w:after="60" w:line="240" w:lineRule="auto"/>
      <w:outlineLvl w:val="0"/>
    </w:pPr>
    <w:rPr>
      <w:rFonts w:ascii="Cambria" w:eastAsia="Times New Roman" w:hAnsi="Cambria" w:cs="Times New Roman"/>
      <w:b/>
      <w:bCs/>
      <w:kern w:val="32"/>
      <w:sz w:val="32"/>
      <w:szCs w:val="32"/>
      <w:lang w:val="it-IT" w:eastAsia="it-IT"/>
    </w:rPr>
  </w:style>
  <w:style w:type="paragraph" w:styleId="Heading2">
    <w:name w:val="heading 2"/>
    <w:basedOn w:val="Normal"/>
    <w:link w:val="Heading2Char"/>
    <w:qFormat/>
    <w:rsid w:val="006E6AAA"/>
    <w:pPr>
      <w:spacing w:before="192" w:after="72" w:line="240" w:lineRule="auto"/>
      <w:outlineLvl w:val="1"/>
    </w:pPr>
    <w:rPr>
      <w:rFonts w:ascii="Times New Roman" w:eastAsia="Times New Roman" w:hAnsi="Times New Roman" w:cs="Times New Roman"/>
      <w:b/>
      <w:bCs/>
      <w:color w:val="000000"/>
      <w:sz w:val="31"/>
      <w:szCs w:val="31"/>
      <w:lang w:val="it-IT" w:eastAsia="it-IT"/>
    </w:rPr>
  </w:style>
  <w:style w:type="paragraph" w:styleId="Heading3">
    <w:name w:val="heading 3"/>
    <w:basedOn w:val="Normal"/>
    <w:next w:val="Normal"/>
    <w:link w:val="Heading3Char"/>
    <w:qFormat/>
    <w:rsid w:val="006E6AAA"/>
    <w:pPr>
      <w:keepNext/>
      <w:spacing w:before="240" w:after="60" w:line="270" w:lineRule="atLeast"/>
      <w:outlineLvl w:val="2"/>
    </w:pPr>
    <w:rPr>
      <w:rFonts w:ascii="Arial" w:eastAsia="Times New Roman" w:hAnsi="Arial" w:cs="Arial"/>
      <w:b/>
      <w:bCs/>
      <w:sz w:val="26"/>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6AAA"/>
    <w:rPr>
      <w:rFonts w:ascii="Times New Roman" w:eastAsia="Times New Roman" w:hAnsi="Times New Roman" w:cs="Times New Roman"/>
      <w:b/>
      <w:bCs/>
      <w:color w:val="000000"/>
      <w:sz w:val="31"/>
      <w:szCs w:val="31"/>
      <w:lang w:val="it-IT" w:eastAsia="it-IT"/>
    </w:rPr>
  </w:style>
  <w:style w:type="character" w:customStyle="1" w:styleId="Heading3Char">
    <w:name w:val="Heading 3 Char"/>
    <w:basedOn w:val="DefaultParagraphFont"/>
    <w:link w:val="Heading3"/>
    <w:rsid w:val="006E6AAA"/>
    <w:rPr>
      <w:rFonts w:ascii="Arial" w:eastAsia="Times New Roman" w:hAnsi="Arial" w:cs="Arial"/>
      <w:b/>
      <w:bCs/>
      <w:sz w:val="26"/>
      <w:szCs w:val="26"/>
      <w:lang w:val="en-GB" w:eastAsia="da-DK"/>
    </w:rPr>
  </w:style>
  <w:style w:type="numbering" w:customStyle="1" w:styleId="NoList1">
    <w:name w:val="No List1"/>
    <w:next w:val="NoList"/>
    <w:uiPriority w:val="99"/>
    <w:semiHidden/>
    <w:unhideWhenUsed/>
    <w:rsid w:val="006E6AAA"/>
  </w:style>
  <w:style w:type="table" w:styleId="TableGrid">
    <w:name w:val="Table Grid"/>
    <w:basedOn w:val="TableNormal"/>
    <w:rsid w:val="006E6A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2,Footnote Text Char1 Char1,Footnote Text Char Char Char1,Footnote Text Char1 Char Char,Footnote Text Char Char Char Char,Footnote Text Char Char1 Char,Footnote Text Char Char2,ft,single space,ALTS FOOTNOTE,fn,fn Char"/>
    <w:basedOn w:val="Normal"/>
    <w:link w:val="FootnoteTextChar1"/>
    <w:semiHidden/>
    <w:rsid w:val="006E6AAA"/>
    <w:pPr>
      <w:spacing w:after="0" w:line="270" w:lineRule="atLeast"/>
    </w:pPr>
    <w:rPr>
      <w:rFonts w:ascii="Times New Roman" w:eastAsia="Times New Roman" w:hAnsi="Times New Roman" w:cs="Times New Roman"/>
      <w:sz w:val="20"/>
      <w:szCs w:val="20"/>
      <w:lang w:val="en-GB" w:eastAsia="da-DK"/>
    </w:rPr>
  </w:style>
  <w:style w:type="character" w:customStyle="1" w:styleId="FootnoteTextChar">
    <w:name w:val="Footnote Text Char"/>
    <w:basedOn w:val="DefaultParagraphFont"/>
    <w:semiHidden/>
    <w:rsid w:val="006E6AAA"/>
    <w:rPr>
      <w:sz w:val="20"/>
      <w:szCs w:val="20"/>
    </w:rPr>
  </w:style>
  <w:style w:type="character" w:styleId="FootnoteReference">
    <w:name w:val="footnote reference"/>
    <w:aliases w:val="ftref,16 Point,Superscript 6 Point"/>
    <w:rsid w:val="006E6AAA"/>
    <w:rPr>
      <w:vertAlign w:val="superscript"/>
    </w:rPr>
  </w:style>
  <w:style w:type="paragraph" w:customStyle="1" w:styleId="ecxmsonormal">
    <w:name w:val="ecxmsonormal"/>
    <w:basedOn w:val="Normal"/>
    <w:rsid w:val="006E6AAA"/>
    <w:pPr>
      <w:spacing w:after="324" w:line="240" w:lineRule="auto"/>
    </w:pPr>
    <w:rPr>
      <w:rFonts w:ascii="Times New Roman" w:eastAsia="Times New Roman" w:hAnsi="Times New Roman" w:cs="Times New Roman"/>
      <w:sz w:val="24"/>
      <w:szCs w:val="24"/>
      <w:lang w:val="it-IT" w:eastAsia="it-IT"/>
    </w:rPr>
  </w:style>
  <w:style w:type="character" w:customStyle="1" w:styleId="NoSpacingChar">
    <w:name w:val="No Spacing Char"/>
    <w:link w:val="NoSpacing"/>
    <w:locked/>
    <w:rsid w:val="006E6AAA"/>
    <w:rPr>
      <w:rFonts w:ascii="Calibri" w:hAnsi="Calibri"/>
    </w:rPr>
  </w:style>
  <w:style w:type="paragraph" w:styleId="NoSpacing">
    <w:name w:val="No Spacing"/>
    <w:basedOn w:val="Normal"/>
    <w:link w:val="NoSpacingChar"/>
    <w:qFormat/>
    <w:rsid w:val="006E6AAA"/>
    <w:pPr>
      <w:spacing w:after="0" w:line="240" w:lineRule="auto"/>
    </w:pPr>
    <w:rPr>
      <w:rFonts w:ascii="Calibri" w:hAnsi="Calibri"/>
    </w:rPr>
  </w:style>
  <w:style w:type="paragraph" w:styleId="NormalWeb">
    <w:name w:val="Normal (Web)"/>
    <w:basedOn w:val="Normal"/>
    <w:rsid w:val="006E6AAA"/>
    <w:pPr>
      <w:spacing w:after="264" w:line="408" w:lineRule="atLeast"/>
    </w:pPr>
    <w:rPr>
      <w:rFonts w:ascii="Times New Roman" w:eastAsia="Times New Roman" w:hAnsi="Times New Roman" w:cs="Times New Roman"/>
      <w:sz w:val="29"/>
      <w:szCs w:val="29"/>
      <w:lang w:val="it-IT" w:eastAsia="it-IT"/>
    </w:rPr>
  </w:style>
  <w:style w:type="character" w:styleId="Hyperlink">
    <w:name w:val="Hyperlink"/>
    <w:rsid w:val="006E6AAA"/>
    <w:rPr>
      <w:color w:val="0062A0"/>
      <w:sz w:val="24"/>
      <w:szCs w:val="24"/>
      <w:u w:val="single"/>
      <w:bdr w:val="none" w:sz="0" w:space="0" w:color="auto" w:frame="1"/>
      <w:vertAlign w:val="baseline"/>
    </w:rPr>
  </w:style>
  <w:style w:type="character" w:styleId="Emphasis">
    <w:name w:val="Emphasis"/>
    <w:qFormat/>
    <w:rsid w:val="006E6AAA"/>
    <w:rPr>
      <w:i/>
      <w:iCs/>
      <w:sz w:val="24"/>
      <w:szCs w:val="24"/>
      <w:bdr w:val="none" w:sz="0" w:space="0" w:color="auto" w:frame="1"/>
      <w:vertAlign w:val="baseline"/>
    </w:rPr>
  </w:style>
  <w:style w:type="character" w:styleId="Strong">
    <w:name w:val="Strong"/>
    <w:qFormat/>
    <w:rsid w:val="006E6AAA"/>
    <w:rPr>
      <w:b/>
      <w:bCs/>
    </w:rPr>
  </w:style>
  <w:style w:type="paragraph" w:customStyle="1" w:styleId="Default">
    <w:name w:val="Default"/>
    <w:rsid w:val="006E6AAA"/>
    <w:pPr>
      <w:autoSpaceDE w:val="0"/>
      <w:autoSpaceDN w:val="0"/>
      <w:adjustRightInd w:val="0"/>
      <w:spacing w:after="0" w:line="240" w:lineRule="auto"/>
    </w:pPr>
    <w:rPr>
      <w:rFonts w:ascii="CG Omega" w:eastAsia="Times New Roman" w:hAnsi="CG Omega" w:cs="CG Omega"/>
      <w:color w:val="000000"/>
      <w:sz w:val="24"/>
      <w:szCs w:val="24"/>
      <w:lang w:val="it-IT" w:eastAsia="it-IT"/>
    </w:rPr>
  </w:style>
  <w:style w:type="character" w:customStyle="1" w:styleId="FootnoteTextChar1">
    <w:name w:val="Footnote Text Char1"/>
    <w:aliases w:val="Footnote Text Char2 Char1,Footnote Text Char1 Char1 Char1,Footnote Text Char Char Char1 Char1,Footnote Text Char1 Char Char Char1,Footnote Text Char Char Char Char Char1,Footnote Text Char Char1 Char Char1,ft Char1,single space Char"/>
    <w:link w:val="FootnoteText"/>
    <w:semiHidden/>
    <w:locked/>
    <w:rsid w:val="006E6AAA"/>
    <w:rPr>
      <w:rFonts w:ascii="Times New Roman" w:eastAsia="Times New Roman" w:hAnsi="Times New Roman" w:cs="Times New Roman"/>
      <w:sz w:val="20"/>
      <w:szCs w:val="20"/>
      <w:lang w:val="en-GB" w:eastAsia="da-DK"/>
    </w:rPr>
  </w:style>
  <w:style w:type="paragraph" w:customStyle="1" w:styleId="Reporttext">
    <w:name w:val="Report text"/>
    <w:link w:val="ReporttextChar"/>
    <w:rsid w:val="006E6AAA"/>
    <w:pPr>
      <w:spacing w:before="120" w:after="0" w:line="240" w:lineRule="auto"/>
    </w:pPr>
    <w:rPr>
      <w:rFonts w:ascii="Times New Roman" w:eastAsia="Times New Roman" w:hAnsi="Times New Roman" w:cs="Times New Roman"/>
      <w:szCs w:val="20"/>
    </w:rPr>
  </w:style>
  <w:style w:type="character" w:customStyle="1" w:styleId="ReporttextChar">
    <w:name w:val="Report text Char"/>
    <w:link w:val="Reporttext"/>
    <w:locked/>
    <w:rsid w:val="006E6AAA"/>
    <w:rPr>
      <w:rFonts w:ascii="Times New Roman" w:eastAsia="Times New Roman" w:hAnsi="Times New Roman" w:cs="Times New Roman"/>
      <w:szCs w:val="20"/>
    </w:rPr>
  </w:style>
  <w:style w:type="paragraph" w:customStyle="1" w:styleId="ecxdefault">
    <w:name w:val="ecxdefault"/>
    <w:basedOn w:val="Normal"/>
    <w:rsid w:val="006E6AAA"/>
    <w:pPr>
      <w:spacing w:after="324" w:line="240" w:lineRule="auto"/>
    </w:pPr>
    <w:rPr>
      <w:rFonts w:ascii="Times New Roman" w:eastAsia="Times New Roman" w:hAnsi="Times New Roman" w:cs="Times New Roman"/>
      <w:sz w:val="24"/>
      <w:szCs w:val="24"/>
      <w:lang w:val="it-IT" w:eastAsia="it-IT"/>
    </w:rPr>
  </w:style>
  <w:style w:type="paragraph" w:styleId="Footer">
    <w:name w:val="footer"/>
    <w:basedOn w:val="Normal"/>
    <w:link w:val="FooterChar"/>
    <w:rsid w:val="006E6AAA"/>
    <w:pPr>
      <w:tabs>
        <w:tab w:val="center" w:pos="4819"/>
        <w:tab w:val="right" w:pos="9638"/>
      </w:tabs>
      <w:spacing w:after="0" w:line="270" w:lineRule="atLeast"/>
    </w:pPr>
    <w:rPr>
      <w:rFonts w:ascii="Times New Roman" w:eastAsia="Times New Roman" w:hAnsi="Times New Roman" w:cs="Times New Roman"/>
      <w:sz w:val="23"/>
      <w:szCs w:val="20"/>
      <w:lang w:val="en-GB" w:eastAsia="da-DK"/>
    </w:rPr>
  </w:style>
  <w:style w:type="character" w:customStyle="1" w:styleId="FooterChar">
    <w:name w:val="Footer Char"/>
    <w:basedOn w:val="DefaultParagraphFont"/>
    <w:link w:val="Footer"/>
    <w:rsid w:val="006E6AAA"/>
    <w:rPr>
      <w:rFonts w:ascii="Times New Roman" w:eastAsia="Times New Roman" w:hAnsi="Times New Roman" w:cs="Times New Roman"/>
      <w:sz w:val="23"/>
      <w:szCs w:val="20"/>
      <w:lang w:val="en-GB" w:eastAsia="da-DK"/>
    </w:rPr>
  </w:style>
  <w:style w:type="character" w:styleId="PageNumber">
    <w:name w:val="page number"/>
    <w:basedOn w:val="DefaultParagraphFont"/>
    <w:rsid w:val="006E6AAA"/>
  </w:style>
  <w:style w:type="character" w:customStyle="1" w:styleId="st1">
    <w:name w:val="st1"/>
    <w:basedOn w:val="DefaultParagraphFont"/>
    <w:rsid w:val="006E6AAA"/>
  </w:style>
  <w:style w:type="paragraph" w:styleId="Header">
    <w:name w:val="header"/>
    <w:basedOn w:val="Normal"/>
    <w:link w:val="HeaderChar"/>
    <w:rsid w:val="006E6AAA"/>
    <w:pPr>
      <w:tabs>
        <w:tab w:val="center" w:pos="4819"/>
        <w:tab w:val="right" w:pos="9638"/>
      </w:tabs>
      <w:spacing w:after="0" w:line="270" w:lineRule="atLeast"/>
    </w:pPr>
    <w:rPr>
      <w:rFonts w:ascii="Times New Roman" w:eastAsia="Times New Roman" w:hAnsi="Times New Roman" w:cs="Times New Roman"/>
      <w:sz w:val="23"/>
      <w:szCs w:val="20"/>
      <w:lang w:val="en-GB" w:eastAsia="da-DK"/>
    </w:rPr>
  </w:style>
  <w:style w:type="character" w:customStyle="1" w:styleId="HeaderChar">
    <w:name w:val="Header Char"/>
    <w:basedOn w:val="DefaultParagraphFont"/>
    <w:link w:val="Header"/>
    <w:rsid w:val="006E6AAA"/>
    <w:rPr>
      <w:rFonts w:ascii="Times New Roman" w:eastAsia="Times New Roman" w:hAnsi="Times New Roman" w:cs="Times New Roman"/>
      <w:sz w:val="23"/>
      <w:szCs w:val="20"/>
      <w:lang w:val="en-GB" w:eastAsia="da-DK"/>
    </w:rPr>
  </w:style>
  <w:style w:type="character" w:styleId="CommentReference">
    <w:name w:val="annotation reference"/>
    <w:rsid w:val="006E6AAA"/>
    <w:rPr>
      <w:sz w:val="16"/>
      <w:szCs w:val="16"/>
    </w:rPr>
  </w:style>
  <w:style w:type="paragraph" w:styleId="CommentText">
    <w:name w:val="annotation text"/>
    <w:basedOn w:val="Normal"/>
    <w:link w:val="CommentTextChar"/>
    <w:rsid w:val="006E6AAA"/>
    <w:pPr>
      <w:spacing w:after="0" w:line="270" w:lineRule="atLeast"/>
    </w:pPr>
    <w:rPr>
      <w:rFonts w:ascii="Times New Roman" w:eastAsia="Times New Roman" w:hAnsi="Times New Roman" w:cs="Times New Roman"/>
      <w:sz w:val="20"/>
      <w:szCs w:val="20"/>
      <w:lang w:val="en-GB" w:eastAsia="da-DK"/>
    </w:rPr>
  </w:style>
  <w:style w:type="character" w:customStyle="1" w:styleId="CommentTextChar">
    <w:name w:val="Comment Text Char"/>
    <w:basedOn w:val="DefaultParagraphFont"/>
    <w:link w:val="CommentText"/>
    <w:rsid w:val="006E6AAA"/>
    <w:rPr>
      <w:rFonts w:ascii="Times New Roman" w:eastAsia="Times New Roman" w:hAnsi="Times New Roman" w:cs="Times New Roman"/>
      <w:sz w:val="20"/>
      <w:szCs w:val="20"/>
      <w:lang w:val="en-GB" w:eastAsia="da-DK"/>
    </w:rPr>
  </w:style>
  <w:style w:type="paragraph" w:styleId="CommentSubject">
    <w:name w:val="annotation subject"/>
    <w:basedOn w:val="CommentText"/>
    <w:next w:val="CommentText"/>
    <w:link w:val="CommentSubjectChar"/>
    <w:rsid w:val="006E6AAA"/>
    <w:rPr>
      <w:b/>
      <w:bCs/>
    </w:rPr>
  </w:style>
  <w:style w:type="character" w:customStyle="1" w:styleId="CommentSubjectChar">
    <w:name w:val="Comment Subject Char"/>
    <w:basedOn w:val="CommentTextChar"/>
    <w:link w:val="CommentSubject"/>
    <w:rsid w:val="006E6AAA"/>
    <w:rPr>
      <w:rFonts w:ascii="Times New Roman" w:eastAsia="Times New Roman" w:hAnsi="Times New Roman" w:cs="Times New Roman"/>
      <w:b/>
      <w:bCs/>
      <w:sz w:val="20"/>
      <w:szCs w:val="20"/>
      <w:lang w:val="en-GB" w:eastAsia="da-DK"/>
    </w:rPr>
  </w:style>
  <w:style w:type="paragraph" w:styleId="BalloonText">
    <w:name w:val="Balloon Text"/>
    <w:basedOn w:val="Normal"/>
    <w:link w:val="BalloonTextChar"/>
    <w:rsid w:val="006E6AAA"/>
    <w:pPr>
      <w:spacing w:after="0" w:line="240" w:lineRule="auto"/>
    </w:pPr>
    <w:rPr>
      <w:rFonts w:ascii="Tahoma" w:eastAsia="Times New Roman" w:hAnsi="Tahoma" w:cs="Tahoma"/>
      <w:sz w:val="16"/>
      <w:szCs w:val="16"/>
      <w:lang w:val="en-GB" w:eastAsia="da-DK"/>
    </w:rPr>
  </w:style>
  <w:style w:type="character" w:customStyle="1" w:styleId="BalloonTextChar">
    <w:name w:val="Balloon Text Char"/>
    <w:basedOn w:val="DefaultParagraphFont"/>
    <w:link w:val="BalloonText"/>
    <w:rsid w:val="006E6AAA"/>
    <w:rPr>
      <w:rFonts w:ascii="Tahoma" w:eastAsia="Times New Roman" w:hAnsi="Tahoma" w:cs="Tahoma"/>
      <w:sz w:val="16"/>
      <w:szCs w:val="16"/>
      <w:lang w:val="en-GB" w:eastAsia="da-DK"/>
    </w:rPr>
  </w:style>
  <w:style w:type="paragraph" w:styleId="ListParagraph">
    <w:name w:val="List Paragraph"/>
    <w:basedOn w:val="Normal"/>
    <w:link w:val="ListParagraphChar"/>
    <w:qFormat/>
    <w:rsid w:val="006E6AAA"/>
    <w:pPr>
      <w:spacing w:after="0" w:line="270" w:lineRule="atLeast"/>
      <w:ind w:left="720"/>
    </w:pPr>
    <w:rPr>
      <w:rFonts w:ascii="Times New Roman" w:eastAsia="Times New Roman" w:hAnsi="Times New Roman" w:cs="Times New Roman"/>
      <w:sz w:val="23"/>
      <w:szCs w:val="20"/>
      <w:lang w:val="en-GB" w:eastAsia="da-DK"/>
    </w:rPr>
  </w:style>
  <w:style w:type="character" w:customStyle="1" w:styleId="FootnoteTextChar2Char">
    <w:name w:val="Footnote Text Char2 Char"/>
    <w:aliases w:val="Footnote Text Char1 Char1 Char,Footnote Text Char Char Char1 Char,Footnote Text Char1 Char Char Char,Footnote Text Char Char Char Char Char,Footnote Text Char Char1 Char Char,Footnote Text Char Char2 Char,ft Char,fn Char1"/>
    <w:locked/>
    <w:rsid w:val="006E6AAA"/>
    <w:rPr>
      <w:rFonts w:eastAsia="Cambria"/>
      <w:lang w:val="x-none" w:eastAsia="x-none" w:bidi="ar-SA"/>
    </w:rPr>
  </w:style>
  <w:style w:type="numbering" w:customStyle="1" w:styleId="NoList2">
    <w:name w:val="No List2"/>
    <w:next w:val="NoList"/>
    <w:semiHidden/>
    <w:rsid w:val="006E6AAA"/>
  </w:style>
  <w:style w:type="paragraph" w:customStyle="1" w:styleId="LightGrid-Accent31">
    <w:name w:val="Light Grid - Accent 31"/>
    <w:basedOn w:val="Normal"/>
    <w:link w:val="LightGrid-Accent3Char"/>
    <w:qFormat/>
    <w:rsid w:val="006E6AAA"/>
    <w:pPr>
      <w:spacing w:after="0" w:line="240" w:lineRule="auto"/>
      <w:ind w:left="720"/>
      <w:contextualSpacing/>
    </w:pPr>
    <w:rPr>
      <w:rFonts w:ascii="Times New Roman" w:eastAsia="Times New Roman" w:hAnsi="Times New Roman" w:cs="Times New Roman"/>
      <w:sz w:val="20"/>
      <w:szCs w:val="20"/>
      <w:lang w:val="x-none" w:eastAsia="x-none"/>
    </w:rPr>
  </w:style>
  <w:style w:type="character" w:customStyle="1" w:styleId="LightGrid-Accent3Char">
    <w:name w:val="Light Grid - Accent 3 Char"/>
    <w:link w:val="LightGrid-Accent31"/>
    <w:rsid w:val="006E6AAA"/>
    <w:rPr>
      <w:rFonts w:ascii="Times New Roman" w:eastAsia="Times New Roman" w:hAnsi="Times New Roman" w:cs="Times New Roman"/>
      <w:sz w:val="20"/>
      <w:szCs w:val="20"/>
      <w:lang w:val="x-none" w:eastAsia="x-none"/>
    </w:rPr>
  </w:style>
  <w:style w:type="character" w:customStyle="1" w:styleId="ListParagraphChar">
    <w:name w:val="List Paragraph Char"/>
    <w:link w:val="ListParagraph"/>
    <w:locked/>
    <w:rsid w:val="006E6AAA"/>
    <w:rPr>
      <w:rFonts w:ascii="Times New Roman" w:eastAsia="Times New Roman" w:hAnsi="Times New Roman" w:cs="Times New Roman"/>
      <w:sz w:val="23"/>
      <w:szCs w:val="20"/>
      <w:lang w:val="en-GB" w:eastAsia="da-DK"/>
    </w:rPr>
  </w:style>
  <w:style w:type="character" w:customStyle="1" w:styleId="CharChar5">
    <w:name w:val=" Char Char5"/>
    <w:semiHidden/>
    <w:rsid w:val="006E6AAA"/>
    <w:rPr>
      <w:sz w:val="20"/>
      <w:szCs w:val="20"/>
    </w:rPr>
  </w:style>
  <w:style w:type="table" w:customStyle="1" w:styleId="TableGrid1">
    <w:name w:val="Table Grid1"/>
    <w:basedOn w:val="TableNormal"/>
    <w:next w:val="TableGrid"/>
    <w:rsid w:val="006E6A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 Char Char4"/>
    <w:semiHidden/>
    <w:locked/>
    <w:rsid w:val="006E6AAA"/>
    <w:rPr>
      <w:rFonts w:eastAsia="MS Mincho"/>
      <w:lang w:val="fr-FR" w:eastAsia="fr-FR" w:bidi="ar-SA"/>
    </w:rPr>
  </w:style>
  <w:style w:type="paragraph" w:customStyle="1" w:styleId="ecxmsolistparagraph">
    <w:name w:val="ecxmsolistparagraph"/>
    <w:basedOn w:val="Normal"/>
    <w:rsid w:val="006E6AAA"/>
    <w:pPr>
      <w:spacing w:after="324" w:line="240" w:lineRule="auto"/>
    </w:pPr>
    <w:rPr>
      <w:rFonts w:ascii="Times New Roman" w:eastAsia="Times New Roman" w:hAnsi="Times New Roman" w:cs="Times New Roman"/>
      <w:sz w:val="24"/>
      <w:szCs w:val="24"/>
      <w:lang w:val="it-IT" w:eastAsia="it-IT"/>
    </w:rPr>
  </w:style>
  <w:style w:type="character" w:customStyle="1" w:styleId="hps">
    <w:name w:val="hps"/>
    <w:basedOn w:val="DefaultParagraphFont"/>
    <w:rsid w:val="006E6AAA"/>
  </w:style>
  <w:style w:type="character" w:customStyle="1" w:styleId="unsafesenderemail1">
    <w:name w:val="unsafesenderemail1"/>
    <w:basedOn w:val="DefaultParagraphFont"/>
    <w:rsid w:val="006E6AAA"/>
  </w:style>
  <w:style w:type="paragraph" w:styleId="Revision">
    <w:name w:val="Revision"/>
    <w:hidden/>
    <w:uiPriority w:val="99"/>
    <w:semiHidden/>
    <w:rsid w:val="006E6AAA"/>
    <w:pPr>
      <w:spacing w:after="0" w:line="240" w:lineRule="auto"/>
    </w:pPr>
    <w:rPr>
      <w:rFonts w:ascii="Times New Roman" w:eastAsia="Times New Roman" w:hAnsi="Times New Roman" w:cs="Times New Roman"/>
      <w:sz w:val="23"/>
      <w:szCs w:val="20"/>
      <w:lang w:val="en-GB" w:eastAsia="da-DK"/>
    </w:rPr>
  </w:style>
  <w:style w:type="table" w:styleId="LightShading-Accent1">
    <w:name w:val="Light Shading Accent 1"/>
    <w:basedOn w:val="TableNormal"/>
    <w:uiPriority w:val="60"/>
    <w:rsid w:val="006E6AAA"/>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ieldfield-source">
    <w:name w:val="field field-source"/>
    <w:basedOn w:val="DefaultParagraphFont"/>
    <w:rsid w:val="006E6AAA"/>
  </w:style>
  <w:style w:type="character" w:customStyle="1" w:styleId="Heading1Char">
    <w:name w:val="Heading 1 Char"/>
    <w:basedOn w:val="DefaultParagraphFont"/>
    <w:link w:val="Heading1"/>
    <w:rsid w:val="006E6AAA"/>
    <w:rPr>
      <w:rFonts w:ascii="Cambria" w:eastAsia="Times New Roman" w:hAnsi="Cambria" w:cs="Times New Roman"/>
      <w:b/>
      <w:bCs/>
      <w:kern w:val="32"/>
      <w:sz w:val="32"/>
      <w:szCs w:val="32"/>
      <w:lang w:val="it-IT" w:eastAsia="it-IT"/>
    </w:rPr>
  </w:style>
  <w:style w:type="numbering" w:customStyle="1" w:styleId="NoList3">
    <w:name w:val="No List3"/>
    <w:next w:val="NoList"/>
    <w:semiHidden/>
    <w:rsid w:val="006E6AAA"/>
  </w:style>
  <w:style w:type="table" w:customStyle="1" w:styleId="TableGrid2">
    <w:name w:val="Table Grid2"/>
    <w:basedOn w:val="TableNormal"/>
    <w:next w:val="TableGrid"/>
    <w:rsid w:val="006E6A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s-titre1">
    <w:name w:val="Sous-titre1"/>
    <w:basedOn w:val="Normal"/>
    <w:next w:val="Normal"/>
    <w:rsid w:val="006E6AAA"/>
    <w:pPr>
      <w:autoSpaceDE w:val="0"/>
      <w:autoSpaceDN w:val="0"/>
      <w:adjustRightInd w:val="0"/>
      <w:spacing w:after="0" w:line="240" w:lineRule="auto"/>
    </w:pPr>
    <w:rPr>
      <w:rFonts w:ascii="JBFLLP+ArialNarrow" w:eastAsia="Times New Roman" w:hAnsi="JBFLLP+ArialNarrow" w:cs="Times New Roman"/>
      <w:sz w:val="24"/>
      <w:szCs w:val="24"/>
      <w:lang w:val="it-IT" w:eastAsia="it-IT"/>
    </w:rPr>
  </w:style>
  <w:style w:type="character" w:customStyle="1" w:styleId="A21">
    <w:name w:val="A21"/>
    <w:rsid w:val="006E6AAA"/>
    <w:rPr>
      <w:rFonts w:cs="Quadraat"/>
      <w:color w:val="000000"/>
      <w:sz w:val="11"/>
      <w:szCs w:val="11"/>
    </w:rPr>
  </w:style>
  <w:style w:type="paragraph" w:customStyle="1" w:styleId="Paragraphedeliste">
    <w:name w:val="Paragraphe de liste"/>
    <w:basedOn w:val="Normal"/>
    <w:qFormat/>
    <w:rsid w:val="006E6AAA"/>
    <w:pPr>
      <w:spacing w:after="0" w:line="240" w:lineRule="auto"/>
      <w:ind w:left="720"/>
      <w:contextualSpacing/>
    </w:pPr>
    <w:rPr>
      <w:rFonts w:ascii="Times New Roman" w:eastAsia="Times New Roman" w:hAnsi="Times New Roman" w:cs="Times New Roman"/>
      <w:sz w:val="24"/>
      <w:szCs w:val="24"/>
      <w:lang w:val="fr-FR" w:eastAsia="fr-FR"/>
    </w:rPr>
  </w:style>
  <w:style w:type="paragraph" w:styleId="Title">
    <w:name w:val="Title"/>
    <w:basedOn w:val="Normal"/>
    <w:next w:val="Normal"/>
    <w:link w:val="TitleChar"/>
    <w:qFormat/>
    <w:rsid w:val="006E6AAA"/>
    <w:pPr>
      <w:spacing w:before="240" w:after="60" w:line="240" w:lineRule="auto"/>
      <w:jc w:val="center"/>
      <w:outlineLvl w:val="0"/>
    </w:pPr>
    <w:rPr>
      <w:rFonts w:ascii="Cambria" w:eastAsia="Times New Roman" w:hAnsi="Cambria" w:cs="Times New Roman"/>
      <w:b/>
      <w:bCs/>
      <w:kern w:val="28"/>
      <w:sz w:val="32"/>
      <w:szCs w:val="32"/>
      <w:lang w:val="it-IT" w:eastAsia="it-IT"/>
    </w:rPr>
  </w:style>
  <w:style w:type="character" w:customStyle="1" w:styleId="TitleChar">
    <w:name w:val="Title Char"/>
    <w:basedOn w:val="DefaultParagraphFont"/>
    <w:link w:val="Title"/>
    <w:rsid w:val="006E6AAA"/>
    <w:rPr>
      <w:rFonts w:ascii="Cambria" w:eastAsia="Times New Roman" w:hAnsi="Cambria" w:cs="Times New Roman"/>
      <w:b/>
      <w:bCs/>
      <w:kern w:val="28"/>
      <w:sz w:val="32"/>
      <w:szCs w:val="32"/>
      <w:lang w:val="it-IT" w:eastAsia="it-IT"/>
    </w:rPr>
  </w:style>
  <w:style w:type="paragraph" w:styleId="TOC1">
    <w:name w:val="toc 1"/>
    <w:basedOn w:val="Normal"/>
    <w:next w:val="Normal"/>
    <w:autoRedefine/>
    <w:uiPriority w:val="39"/>
    <w:rsid w:val="006E6AAA"/>
    <w:pPr>
      <w:spacing w:after="0" w:line="240" w:lineRule="auto"/>
    </w:pPr>
    <w:rPr>
      <w:rFonts w:ascii="Times New Roman" w:eastAsia="Times New Roman" w:hAnsi="Times New Roman" w:cs="Times New Roman"/>
      <w:sz w:val="24"/>
      <w:szCs w:val="24"/>
      <w:lang w:val="it-IT" w:eastAsia="it-IT"/>
    </w:rPr>
  </w:style>
  <w:style w:type="paragraph" w:styleId="TOC2">
    <w:name w:val="toc 2"/>
    <w:basedOn w:val="Normal"/>
    <w:next w:val="Normal"/>
    <w:autoRedefine/>
    <w:uiPriority w:val="39"/>
    <w:rsid w:val="006E6AAA"/>
    <w:pPr>
      <w:spacing w:after="0" w:line="240" w:lineRule="auto"/>
      <w:ind w:left="240"/>
    </w:pPr>
    <w:rPr>
      <w:rFonts w:ascii="Times New Roman" w:eastAsia="Times New Roman" w:hAnsi="Times New Roman" w:cs="Times New Roman"/>
      <w:sz w:val="24"/>
      <w:szCs w:val="24"/>
      <w:lang w:val="it-IT" w:eastAsia="it-IT"/>
    </w:rPr>
  </w:style>
  <w:style w:type="character" w:customStyle="1" w:styleId="field-content16">
    <w:name w:val="field-content16"/>
    <w:rsid w:val="006E6AAA"/>
    <w:rPr>
      <w:sz w:val="24"/>
      <w:szCs w:val="24"/>
      <w:bdr w:val="none" w:sz="0" w:space="0" w:color="auto" w:frame="1"/>
      <w:vertAlign w:val="baseline"/>
    </w:rPr>
  </w:style>
  <w:style w:type="character" w:customStyle="1" w:styleId="newsbody">
    <w:name w:val="newsbody"/>
    <w:basedOn w:val="DefaultParagraphFont"/>
    <w:rsid w:val="006E6AAA"/>
  </w:style>
  <w:style w:type="character" w:customStyle="1" w:styleId="hpsatn">
    <w:name w:val="hps atn"/>
    <w:basedOn w:val="DefaultParagraphFont"/>
    <w:rsid w:val="006E6AAA"/>
  </w:style>
  <w:style w:type="numbering" w:customStyle="1" w:styleId="NoList4">
    <w:name w:val="No List4"/>
    <w:next w:val="NoList"/>
    <w:semiHidden/>
    <w:rsid w:val="00C1164B"/>
  </w:style>
  <w:style w:type="table" w:customStyle="1" w:styleId="TableGrid3">
    <w:name w:val="Table Grid3"/>
    <w:basedOn w:val="TableNormal"/>
    <w:next w:val="TableGrid"/>
    <w:rsid w:val="00C1164B"/>
    <w:pPr>
      <w:spacing w:after="0" w:line="27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Body Text Char1 Char1 Char,b"/>
    <w:basedOn w:val="Normal"/>
    <w:link w:val="BodyTextChar"/>
    <w:rsid w:val="00C1164B"/>
    <w:pPr>
      <w:spacing w:after="270" w:line="270" w:lineRule="atLeast"/>
    </w:pPr>
    <w:rPr>
      <w:rFonts w:ascii="Times New Roman" w:eastAsia="Times New Roman" w:hAnsi="Times New Roman" w:cs="Times New Roman"/>
      <w:sz w:val="23"/>
      <w:szCs w:val="20"/>
      <w:lang w:val="en-GB" w:eastAsia="da-DK"/>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1 Char1 Char Char,b Char"/>
    <w:basedOn w:val="DefaultParagraphFont"/>
    <w:link w:val="BodyText"/>
    <w:rsid w:val="00C1164B"/>
    <w:rPr>
      <w:rFonts w:ascii="Times New Roman" w:eastAsia="Times New Roman" w:hAnsi="Times New Roman" w:cs="Times New Roman"/>
      <w:sz w:val="23"/>
      <w:szCs w:val="20"/>
      <w:lang w:val="en-GB" w:eastAsia="da-DK"/>
    </w:rPr>
  </w:style>
  <w:style w:type="paragraph" w:customStyle="1" w:styleId="Bullets">
    <w:name w:val="Bullets"/>
    <w:basedOn w:val="Reporttext"/>
    <w:link w:val="BulletsChar"/>
    <w:rsid w:val="00C1164B"/>
    <w:pPr>
      <w:numPr>
        <w:numId w:val="95"/>
      </w:numPr>
      <w:ind w:left="720" w:hanging="288"/>
    </w:pPr>
  </w:style>
  <w:style w:type="character" w:customStyle="1" w:styleId="BulletsChar">
    <w:name w:val="Bullets Char"/>
    <w:basedOn w:val="ReporttextChar"/>
    <w:link w:val="Bullets"/>
    <w:locked/>
    <w:rsid w:val="00C1164B"/>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hyperlink" Target="http://jobs.undp.org/cj_refer.cfm?cur_job_id=31821" TargetMode="Externa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yperlink" Target="https://www.dropbox.com/sh/kn177z4dddfvgyp/AbtqXNN4Ai"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yperlink" Target="https://www.dropbox.com/sh/kn177z4dddfvgyp/AbtqXNN4Ai" TargetMode="External"/><Relationship Id="rId33" Type="http://schemas.openxmlformats.org/officeDocument/2006/relationships/footer" Target="footer6.xml"/><Relationship Id="rId38" Type="http://schemas.openxmlformats.org/officeDocument/2006/relationships/image" Target="media/image6.emf"/><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jobs.undp.org/cj_apply.cfm?cur_job_id=31821" TargetMode="External"/><Relationship Id="rId20" Type="http://schemas.openxmlformats.org/officeDocument/2006/relationships/footer" Target="footer4.xml"/><Relationship Id="rId29" Type="http://schemas.openxmlformats.org/officeDocument/2006/relationships/hyperlink" Target="https://jobs.undp.org/cj_apply.cfm?cur_job_id=31821"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urors@40.000/2" TargetMode="External"/><Relationship Id="rId32" Type="http://schemas.openxmlformats.org/officeDocument/2006/relationships/header" Target="header8.xml"/><Relationship Id="rId37" Type="http://schemas.openxmlformats.org/officeDocument/2006/relationships/image" Target="media/image5.emf"/><Relationship Id="rId40" Type="http://schemas.openxmlformats.org/officeDocument/2006/relationships/hyperlink" Target="https://jobs.undp.org/cj_apply.cfm?cur_job_id=31821" TargetMode="Externa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jobs.undp.org/cj_refer.cfm?cur_job_id=31821" TargetMode="External"/><Relationship Id="rId23" Type="http://schemas.openxmlformats.org/officeDocument/2006/relationships/hyperlink" Target="http://www.google.it/search?sourceid=ie7&amp;q=sierra+leone+james&amp;rls=com.microsoft:en-us:IE-Address&amp;ie=UTF-8&amp;oe=UTF-8&amp;rlz=1I7SVEC&amp;redir_esc=&amp;ei=NsU8Uda8L4SNtQbfu4D4BQ" TargetMode="External"/><Relationship Id="rId28" Type="http://schemas.openxmlformats.org/officeDocument/2006/relationships/hyperlink" Target="http://jobs.undp.org/cj_refer.cfm?cur_job_id=31821" TargetMode="External"/><Relationship Id="rId36" Type="http://schemas.openxmlformats.org/officeDocument/2006/relationships/hyperlink" Target="http://www.youtube.com/watch?v=WwXYtze_9J4"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erdar.bayriyev@undp.org" TargetMode="External"/><Relationship Id="rId22" Type="http://schemas.openxmlformats.org/officeDocument/2006/relationships/header" Target="header6.xml"/><Relationship Id="rId27" Type="http://schemas.openxmlformats.org/officeDocument/2006/relationships/image" Target="media/image3.emf"/><Relationship Id="rId30" Type="http://schemas.openxmlformats.org/officeDocument/2006/relationships/image" Target="media/image4.png"/><Relationship Id="rId35" Type="http://schemas.openxmlformats.org/officeDocument/2006/relationships/hyperlink" Target="https://www.dropbox.com/sh/kn177z4dddfvgyp/AbtqXNN4Ai" TargetMode="External"/><Relationship Id="rId43" Type="http://schemas.openxmlformats.org/officeDocument/2006/relationships/hyperlink" Target="http://www.justiceforsale.nl" TargetMode="External"/><Relationship Id="rId48" Type="http://schemas.openxmlformats.org/officeDocument/2006/relationships/header" Target="header12.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eliefweb.int/organization/acted" TargetMode="External"/><Relationship Id="rId7" Type="http://schemas.openxmlformats.org/officeDocument/2006/relationships/hyperlink" Target="http://ifproductions.nl/justiceforsale.nl/" TargetMode="External"/><Relationship Id="rId2" Type="http://schemas.openxmlformats.org/officeDocument/2006/relationships/hyperlink" Target="http://www.auditservice.gov.sl/reports-ag-annual-report-2011.html" TargetMode="External"/><Relationship Id="rId1" Type="http://schemas.openxmlformats.org/officeDocument/2006/relationships/hyperlink" Target="http://hdr.undp.org/en/reports/global/hdr2011" TargetMode="External"/><Relationship Id="rId6" Type="http://schemas.openxmlformats.org/officeDocument/2006/relationships/hyperlink" Target="http://www.justice.gov.cd/files/systeme_judiciaire_rdc.html" TargetMode="External"/><Relationship Id="rId5" Type="http://schemas.openxmlformats.org/officeDocument/2006/relationships/hyperlink" Target="http://somsattv.com" TargetMode="External"/><Relationship Id="rId4" Type="http://schemas.openxmlformats.org/officeDocument/2006/relationships/hyperlink" Target="http://www.kobotoolbox.org/about/take-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176</Pages>
  <Words>84041</Words>
  <Characters>479038</Characters>
  <Application>Microsoft Office Word</Application>
  <DocSecurity>0</DocSecurity>
  <Lines>3991</Lines>
  <Paragraphs>1123</Paragraphs>
  <ScaleCrop>false</ScaleCrop>
  <Company/>
  <LinksUpToDate>false</LinksUpToDate>
  <CharactersWithSpaces>561956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Serdar Bayriyev</dc:creator>
  <cp:lastModifiedBy>Serdar Bayriyev</cp:lastModifiedBy>
  <cp:revision>2</cp:revision>
  <dcterms:created xsi:type="dcterms:W3CDTF">2013-12-03T21:12:00Z</dcterms:created>
  <dcterms:modified xsi:type="dcterms:W3CDTF">2013-12-03T21:17:00Z</dcterms:modified>
</cp:coreProperties>
</file>