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8B" w:rsidRDefault="00F0138B" w:rsidP="00F0138B">
      <w:pPr>
        <w:pStyle w:val="Heading1"/>
        <w:jc w:val="center"/>
        <w:rPr>
          <w:rFonts w:asciiTheme="minorHAnsi" w:hAnsiTheme="minorHAnsi"/>
        </w:rPr>
      </w:pPr>
      <w:bookmarkStart w:id="0" w:name="_Toc246955708"/>
      <w:r>
        <w:rPr>
          <w:rFonts w:asciiTheme="minorHAnsi" w:hAnsiTheme="minorHAnsi"/>
        </w:rPr>
        <w:t>EU/UNDP – CBA Project Evaluation Report</w:t>
      </w:r>
    </w:p>
    <w:p w:rsidR="00F0138B" w:rsidRPr="00F0138B" w:rsidRDefault="00F0138B" w:rsidP="00F0138B">
      <w:pPr>
        <w:pStyle w:val="Heading1"/>
        <w:jc w:val="center"/>
        <w:rPr>
          <w:rFonts w:asciiTheme="minorHAnsi" w:hAnsiTheme="minorHAnsi"/>
          <w:color w:val="auto"/>
        </w:rPr>
      </w:pPr>
      <w:r w:rsidRPr="00F0138B">
        <w:rPr>
          <w:rFonts w:asciiTheme="minorHAnsi" w:hAnsiTheme="minorHAnsi"/>
          <w:color w:val="auto"/>
        </w:rPr>
        <w:t>executive summary</w:t>
      </w:r>
      <w:bookmarkEnd w:id="0"/>
    </w:p>
    <w:p w:rsidR="00F0138B" w:rsidRDefault="00F0138B" w:rsidP="00F0138B">
      <w:pPr>
        <w:autoSpaceDE w:val="0"/>
        <w:spacing w:after="120" w:line="240" w:lineRule="auto"/>
        <w:rPr>
          <w:rFonts w:asciiTheme="minorHAnsi" w:hAnsiTheme="minorHAnsi" w:cs="Arial"/>
          <w:color w:val="000000"/>
        </w:rPr>
      </w:pPr>
    </w:p>
    <w:p w:rsidR="00F0138B" w:rsidRDefault="00F0138B" w:rsidP="00DF33A4">
      <w:pPr>
        <w:autoSpaceDE w:val="0"/>
        <w:spacing w:after="120" w:line="240" w:lineRule="auto"/>
        <w:jc w:val="both"/>
        <w:rPr>
          <w:rFonts w:asciiTheme="minorHAnsi" w:hAnsiTheme="minorHAnsi" w:cs="Arial"/>
          <w:color w:val="000000"/>
        </w:rPr>
      </w:pPr>
      <w:r>
        <w:rPr>
          <w:rFonts w:asciiTheme="minorHAnsi" w:hAnsiTheme="minorHAnsi" w:cs="Arial"/>
          <w:color w:val="000000"/>
        </w:rPr>
        <w:t xml:space="preserve">This report reflects on the results of the evaluation of the EU/ UNDP Community Base Approach to Local Development (CBA) project conducted in September-November 2013. The evaluation concluded that: </w:t>
      </w:r>
    </w:p>
    <w:p w:rsidR="00F0138B" w:rsidRPr="004156E7" w:rsidRDefault="00F0138B" w:rsidP="00DF33A4">
      <w:pPr>
        <w:autoSpaceDE w:val="0"/>
        <w:spacing w:after="120" w:line="240" w:lineRule="auto"/>
        <w:jc w:val="both"/>
        <w:rPr>
          <w:rFonts w:asciiTheme="minorHAnsi" w:hAnsiTheme="minorHAnsi" w:cs="Arial"/>
          <w:color w:val="000000"/>
          <w:u w:val="single"/>
        </w:rPr>
      </w:pPr>
      <w:r w:rsidRPr="004156E7">
        <w:rPr>
          <w:rFonts w:asciiTheme="minorHAnsi" w:hAnsiTheme="minorHAnsi" w:cs="Arial"/>
          <w:color w:val="000000"/>
          <w:u w:val="single"/>
        </w:rPr>
        <w:t xml:space="preserve">Relevance </w:t>
      </w:r>
    </w:p>
    <w:p w:rsidR="00F0138B" w:rsidRPr="000B5711" w:rsidRDefault="00F0138B" w:rsidP="00DF33A4">
      <w:pPr>
        <w:autoSpaceDE w:val="0"/>
        <w:spacing w:after="120" w:line="240" w:lineRule="auto"/>
        <w:jc w:val="both"/>
        <w:rPr>
          <w:rFonts w:asciiTheme="minorHAnsi" w:hAnsiTheme="minorHAnsi"/>
        </w:rPr>
      </w:pPr>
      <w:r w:rsidRPr="004156E7">
        <w:rPr>
          <w:rFonts w:asciiTheme="minorHAnsi" w:hAnsiTheme="minorHAnsi" w:cs="Arial"/>
          <w:color w:val="000000"/>
        </w:rPr>
        <w:t>The project is highly relevant to national development priorities, the local governance reform agenda</w:t>
      </w:r>
      <w:r w:rsidRPr="000B5711">
        <w:rPr>
          <w:rFonts w:asciiTheme="minorHAnsi" w:hAnsiTheme="minorHAnsi" w:cs="Arial"/>
          <w:color w:val="000000"/>
        </w:rPr>
        <w:t xml:space="preserve"> and the national energy efficiency strategies. CBA methodology is appropriate and well accepted by partners at all levels.  </w:t>
      </w:r>
    </w:p>
    <w:p w:rsidR="00F0138B" w:rsidRPr="004156E7" w:rsidRDefault="00F0138B" w:rsidP="00DF33A4">
      <w:pPr>
        <w:tabs>
          <w:tab w:val="left" w:pos="8222"/>
        </w:tabs>
        <w:spacing w:after="120" w:line="240" w:lineRule="auto"/>
        <w:jc w:val="both"/>
        <w:rPr>
          <w:rFonts w:asciiTheme="minorHAnsi" w:hAnsiTheme="minorHAnsi" w:cs="Arial"/>
          <w:u w:val="single"/>
        </w:rPr>
      </w:pPr>
      <w:r w:rsidRPr="004156E7">
        <w:rPr>
          <w:rFonts w:asciiTheme="minorHAnsi" w:hAnsiTheme="minorHAnsi" w:cs="Arial"/>
          <w:u w:val="single"/>
        </w:rPr>
        <w:t xml:space="preserve">Effectiveness, efficiency, impact and sustainability </w:t>
      </w:r>
    </w:p>
    <w:p w:rsidR="00F0138B" w:rsidRPr="000B5711" w:rsidRDefault="00F0138B" w:rsidP="00DF33A4">
      <w:pPr>
        <w:tabs>
          <w:tab w:val="left" w:pos="8222"/>
        </w:tabs>
        <w:spacing w:after="120" w:line="240" w:lineRule="auto"/>
        <w:jc w:val="both"/>
        <w:rPr>
          <w:rFonts w:asciiTheme="minorHAnsi" w:hAnsiTheme="minorHAnsi" w:cs="Arial"/>
        </w:rPr>
      </w:pPr>
      <w:r w:rsidRPr="00C30B35">
        <w:rPr>
          <w:rFonts w:asciiTheme="minorHAnsi" w:hAnsiTheme="minorHAnsi" w:cs="Arial"/>
        </w:rPr>
        <w:t>In terms of</w:t>
      </w:r>
      <w:r w:rsidRPr="007B7317">
        <w:rPr>
          <w:rFonts w:asciiTheme="minorHAnsi" w:hAnsiTheme="minorHAnsi" w:cs="Arial"/>
          <w:i/>
        </w:rPr>
        <w:t xml:space="preserve"> </w:t>
      </w:r>
      <w:r w:rsidRPr="00C30B35">
        <w:rPr>
          <w:rFonts w:asciiTheme="minorHAnsi" w:hAnsiTheme="minorHAnsi" w:cs="Arial"/>
          <w:b/>
          <w:i/>
        </w:rPr>
        <w:t>establishing partnership</w:t>
      </w:r>
      <w:r>
        <w:rPr>
          <w:rFonts w:asciiTheme="minorHAnsi" w:hAnsiTheme="minorHAnsi" w:cs="Arial"/>
        </w:rPr>
        <w:t>, CBA uses</w:t>
      </w:r>
      <w:r w:rsidRPr="000B5711">
        <w:rPr>
          <w:rFonts w:asciiTheme="minorHAnsi" w:hAnsiTheme="minorHAnsi" w:cs="Arial"/>
        </w:rPr>
        <w:t xml:space="preserve"> well elaborated and transparent procedures for selecting partner rayons and villages/towns but targeting of most socio-economically vulnerable rayons and villages can be compromised by a lack of local government commitment and inability to meet the co-funding requirements.  </w:t>
      </w:r>
      <w:r w:rsidRPr="000B5711">
        <w:rPr>
          <w:rFonts w:asciiTheme="minorHAnsi" w:hAnsiTheme="minorHAnsi"/>
        </w:rPr>
        <w:t>Besides, t</w:t>
      </w:r>
      <w:r w:rsidRPr="000B5711">
        <w:rPr>
          <w:rFonts w:asciiTheme="minorHAnsi" w:hAnsiTheme="minorHAnsi" w:cs="Arial"/>
        </w:rPr>
        <w:t>he less than 10,000 population criteri</w:t>
      </w:r>
      <w:r>
        <w:rPr>
          <w:rFonts w:asciiTheme="minorHAnsi" w:hAnsiTheme="minorHAnsi" w:cs="Arial"/>
        </w:rPr>
        <w:t>on</w:t>
      </w:r>
      <w:r w:rsidRPr="000B5711">
        <w:rPr>
          <w:rFonts w:asciiTheme="minorHAnsi" w:hAnsiTheme="minorHAnsi" w:cs="Arial"/>
        </w:rPr>
        <w:t xml:space="preserve"> deprives large villages</w:t>
      </w:r>
      <w:r>
        <w:rPr>
          <w:rFonts w:asciiTheme="minorHAnsi" w:hAnsiTheme="minorHAnsi" w:cs="Arial"/>
        </w:rPr>
        <w:t xml:space="preserve"> and small towns</w:t>
      </w:r>
      <w:r w:rsidRPr="000B5711">
        <w:rPr>
          <w:rFonts w:asciiTheme="minorHAnsi" w:hAnsiTheme="minorHAnsi" w:cs="Arial"/>
        </w:rPr>
        <w:t xml:space="preserve"> from participation in CBA, although these </w:t>
      </w:r>
      <w:r>
        <w:rPr>
          <w:rFonts w:asciiTheme="minorHAnsi" w:hAnsiTheme="minorHAnsi" w:cs="Arial"/>
        </w:rPr>
        <w:t>communities</w:t>
      </w:r>
      <w:r w:rsidRPr="000B5711">
        <w:rPr>
          <w:rFonts w:asciiTheme="minorHAnsi" w:hAnsiTheme="minorHAnsi" w:cs="Arial"/>
        </w:rPr>
        <w:t xml:space="preserve"> face very similar development challenges.  </w:t>
      </w:r>
    </w:p>
    <w:p w:rsidR="00F0138B" w:rsidRPr="000B5711" w:rsidRDefault="00F0138B" w:rsidP="00DF33A4">
      <w:pPr>
        <w:spacing w:after="120" w:line="240" w:lineRule="auto"/>
        <w:jc w:val="both"/>
        <w:rPr>
          <w:rFonts w:asciiTheme="minorHAnsi" w:hAnsiTheme="minorHAnsi" w:cs="Arial"/>
        </w:rPr>
      </w:pPr>
      <w:r w:rsidRPr="00C30B35">
        <w:rPr>
          <w:rFonts w:asciiTheme="minorHAnsi" w:hAnsiTheme="minorHAnsi" w:cs="Arial"/>
        </w:rPr>
        <w:t xml:space="preserve">Current </w:t>
      </w:r>
      <w:r w:rsidRPr="00C30B35">
        <w:rPr>
          <w:rFonts w:asciiTheme="minorHAnsi" w:hAnsiTheme="minorHAnsi" w:cs="Arial"/>
          <w:b/>
          <w:i/>
        </w:rPr>
        <w:t>support arrangements</w:t>
      </w:r>
      <w:r w:rsidRPr="000B5711">
        <w:rPr>
          <w:rFonts w:asciiTheme="minorHAnsi" w:hAnsiTheme="minorHAnsi" w:cs="Arial"/>
        </w:rPr>
        <w:t xml:space="preserve"> established at the rayon and oblast level appear to be appropriate and effective for project coordination and steering</w:t>
      </w:r>
      <w:r>
        <w:rPr>
          <w:rFonts w:asciiTheme="minorHAnsi" w:hAnsiTheme="minorHAnsi" w:cs="Arial"/>
        </w:rPr>
        <w:t>, although their role i</w:t>
      </w:r>
      <w:r w:rsidRPr="000B5711">
        <w:rPr>
          <w:rFonts w:asciiTheme="minorHAnsi" w:hAnsiTheme="minorHAnsi" w:cs="Arial"/>
        </w:rPr>
        <w:t>s still limited to facilitating CBA implementation and their general impact on overall development, development planning</w:t>
      </w:r>
      <w:r>
        <w:rPr>
          <w:rFonts w:asciiTheme="minorHAnsi" w:hAnsiTheme="minorHAnsi" w:cs="Arial"/>
        </w:rPr>
        <w:t xml:space="preserve"> and</w:t>
      </w:r>
      <w:r w:rsidRPr="000B5711">
        <w:rPr>
          <w:rFonts w:asciiTheme="minorHAnsi" w:hAnsiTheme="minorHAnsi" w:cs="Arial"/>
        </w:rPr>
        <w:t xml:space="preserve"> participatory budgeting at these levels remains modest. </w:t>
      </w:r>
      <w:r>
        <w:rPr>
          <w:rFonts w:asciiTheme="minorHAnsi" w:hAnsiTheme="minorHAnsi" w:cs="Arial"/>
        </w:rPr>
        <w:t>The p</w:t>
      </w:r>
      <w:r w:rsidRPr="000B5711">
        <w:rPr>
          <w:rFonts w:asciiTheme="minorHAnsi" w:hAnsiTheme="minorHAnsi" w:cs="Arial"/>
        </w:rPr>
        <w:t xml:space="preserve">roject national support structures steer project </w:t>
      </w:r>
      <w:r>
        <w:rPr>
          <w:rFonts w:asciiTheme="minorHAnsi" w:hAnsiTheme="minorHAnsi" w:cs="Arial"/>
        </w:rPr>
        <w:t>implementation,</w:t>
      </w:r>
      <w:r w:rsidRPr="000B5711">
        <w:rPr>
          <w:rFonts w:asciiTheme="minorHAnsi" w:hAnsiTheme="minorHAnsi" w:cs="Arial"/>
        </w:rPr>
        <w:t xml:space="preserve"> but their leverage in facilitating project </w:t>
      </w:r>
      <w:r w:rsidRPr="000B5711">
        <w:rPr>
          <w:rFonts w:asciiTheme="minorHAnsi" w:hAnsiTheme="minorHAnsi" w:cs="Arial"/>
          <w:shd w:val="clear" w:color="auto" w:fill="FFFFFF" w:themeFill="background1"/>
        </w:rPr>
        <w:t>implementation at regio</w:t>
      </w:r>
      <w:r>
        <w:rPr>
          <w:rFonts w:asciiTheme="minorHAnsi" w:hAnsiTheme="minorHAnsi" w:cs="Arial"/>
          <w:shd w:val="clear" w:color="auto" w:fill="FFFFFF" w:themeFill="background1"/>
        </w:rPr>
        <w:t xml:space="preserve">nal and national level is </w:t>
      </w:r>
      <w:r w:rsidRPr="000B5711">
        <w:rPr>
          <w:rFonts w:asciiTheme="minorHAnsi" w:hAnsiTheme="minorHAnsi" w:cs="Arial"/>
          <w:shd w:val="clear" w:color="auto" w:fill="FFFFFF" w:themeFill="background1"/>
        </w:rPr>
        <w:t>underutilized.</w:t>
      </w:r>
    </w:p>
    <w:p w:rsidR="00F0138B" w:rsidRPr="000B5711" w:rsidRDefault="00F0138B" w:rsidP="00DF33A4">
      <w:pPr>
        <w:spacing w:after="120" w:line="240" w:lineRule="auto"/>
        <w:jc w:val="both"/>
        <w:rPr>
          <w:rFonts w:asciiTheme="minorHAnsi" w:hAnsiTheme="minorHAnsi"/>
        </w:rPr>
      </w:pPr>
      <w:r w:rsidRPr="000B5711">
        <w:rPr>
          <w:rFonts w:asciiTheme="minorHAnsi" w:hAnsiTheme="minorHAnsi" w:cs="Arial"/>
        </w:rPr>
        <w:t>The most fruitful cooperation is achieved in oblasts and rayons where collaborations are created through partnerships between elected councils and local administration</w:t>
      </w:r>
      <w:r>
        <w:rPr>
          <w:rFonts w:asciiTheme="minorHAnsi" w:hAnsiTheme="minorHAnsi" w:cs="Arial"/>
        </w:rPr>
        <w:t>s</w:t>
      </w:r>
      <w:r w:rsidRPr="000B5711">
        <w:rPr>
          <w:rFonts w:asciiTheme="minorHAnsi" w:hAnsiTheme="minorHAnsi" w:cs="Arial"/>
        </w:rPr>
        <w:t xml:space="preserve">. </w:t>
      </w:r>
    </w:p>
    <w:p w:rsidR="00F0138B" w:rsidRPr="000B5711" w:rsidRDefault="00F0138B" w:rsidP="00DF33A4">
      <w:pPr>
        <w:spacing w:after="120" w:line="240" w:lineRule="auto"/>
        <w:jc w:val="both"/>
        <w:rPr>
          <w:rFonts w:asciiTheme="minorHAnsi" w:hAnsiTheme="minorHAnsi" w:cs="Arial"/>
          <w:shd w:val="clear" w:color="auto" w:fill="FFFFFF" w:themeFill="background1"/>
        </w:rPr>
      </w:pPr>
      <w:r w:rsidRPr="000B5711">
        <w:rPr>
          <w:rFonts w:asciiTheme="minorHAnsi" w:hAnsiTheme="minorHAnsi" w:cs="Arial"/>
        </w:rPr>
        <w:t>R</w:t>
      </w:r>
      <w:r>
        <w:rPr>
          <w:rFonts w:asciiTheme="minorHAnsi" w:hAnsiTheme="minorHAnsi" w:cs="Arial"/>
        </w:rPr>
        <w:t xml:space="preserve">ayon Resource Centers (RRC) </w:t>
      </w:r>
      <w:r w:rsidRPr="000B5711">
        <w:rPr>
          <w:rFonts w:asciiTheme="minorHAnsi" w:hAnsiTheme="minorHAnsi" w:cs="Arial"/>
        </w:rPr>
        <w:t xml:space="preserve">are playing a crucial role in the CBA support system to communities. </w:t>
      </w:r>
      <w:r>
        <w:rPr>
          <w:rFonts w:asciiTheme="minorHAnsi" w:hAnsiTheme="minorHAnsi" w:cs="Arial"/>
        </w:rPr>
        <w:t xml:space="preserve"> They are </w:t>
      </w:r>
      <w:r w:rsidRPr="000B5711">
        <w:rPr>
          <w:rFonts w:asciiTheme="minorHAnsi" w:hAnsiTheme="minorHAnsi" w:cs="Arial"/>
        </w:rPr>
        <w:t xml:space="preserve">very successful, and sustainability prospects of their work are greater where they are well established structurally/ institutionalized. </w:t>
      </w:r>
    </w:p>
    <w:p w:rsidR="00F0138B" w:rsidRPr="000B5711" w:rsidRDefault="00F0138B" w:rsidP="00DF33A4">
      <w:pPr>
        <w:spacing w:after="120" w:line="240" w:lineRule="auto"/>
        <w:jc w:val="both"/>
        <w:rPr>
          <w:rFonts w:asciiTheme="minorHAnsi" w:hAnsiTheme="minorHAnsi"/>
        </w:rPr>
      </w:pPr>
      <w:r>
        <w:rPr>
          <w:rFonts w:asciiTheme="minorHAnsi" w:hAnsiTheme="minorHAnsi" w:cs="Arial"/>
        </w:rPr>
        <w:t>I</w:t>
      </w:r>
      <w:r w:rsidRPr="000B5711">
        <w:rPr>
          <w:rFonts w:asciiTheme="minorHAnsi" w:hAnsiTheme="minorHAnsi" w:cs="Arial"/>
        </w:rPr>
        <w:t xml:space="preserve">n </w:t>
      </w:r>
      <w:r w:rsidRPr="00C30B35">
        <w:rPr>
          <w:rFonts w:asciiTheme="minorHAnsi" w:hAnsiTheme="minorHAnsi" w:cs="Arial"/>
          <w:b/>
          <w:i/>
        </w:rPr>
        <w:t>social mobilization of communities</w:t>
      </w:r>
      <w:r>
        <w:rPr>
          <w:rFonts w:asciiTheme="minorHAnsi" w:hAnsiTheme="minorHAnsi" w:cs="Arial"/>
        </w:rPr>
        <w:t xml:space="preserve"> </w:t>
      </w:r>
      <w:r>
        <w:rPr>
          <w:rFonts w:asciiTheme="minorHAnsi" w:hAnsiTheme="minorHAnsi" w:cs="Arial"/>
          <w:shd w:val="clear" w:color="auto" w:fill="FFFFFF" w:themeFill="background1"/>
        </w:rPr>
        <w:t>p</w:t>
      </w:r>
      <w:r w:rsidRPr="000B5711">
        <w:rPr>
          <w:rFonts w:asciiTheme="minorHAnsi" w:hAnsiTheme="minorHAnsi" w:cs="Arial"/>
        </w:rPr>
        <w:t xml:space="preserve">revious experience of collective action is an important asset. Social mobilization appears to be the domain of women.  </w:t>
      </w:r>
    </w:p>
    <w:p w:rsidR="00F0138B" w:rsidRPr="000B5711" w:rsidRDefault="00F0138B" w:rsidP="00DF33A4">
      <w:pPr>
        <w:spacing w:after="120" w:line="240" w:lineRule="auto"/>
        <w:jc w:val="both"/>
        <w:rPr>
          <w:rFonts w:asciiTheme="minorHAnsi" w:hAnsiTheme="minorHAnsi" w:cs="Arial"/>
        </w:rPr>
      </w:pPr>
      <w:r w:rsidRPr="000B5711">
        <w:rPr>
          <w:rFonts w:asciiTheme="minorHAnsi" w:hAnsiTheme="minorHAnsi" w:cs="Arial"/>
        </w:rPr>
        <w:t xml:space="preserve">Establishment of community organizations </w:t>
      </w:r>
      <w:r>
        <w:rPr>
          <w:rFonts w:asciiTheme="minorHAnsi" w:hAnsiTheme="minorHAnsi" w:cs="Arial"/>
        </w:rPr>
        <w:t>(CO) is a very effective approach for CBA implementation but o</w:t>
      </w:r>
      <w:r w:rsidRPr="000B5711">
        <w:rPr>
          <w:rFonts w:asciiTheme="minorHAnsi" w:hAnsiTheme="minorHAnsi" w:cs="Arial"/>
        </w:rPr>
        <w:t>verall effectiveness of these organizations beyond CBA is still difficult to judge.</w:t>
      </w:r>
      <w:r>
        <w:rPr>
          <w:rFonts w:asciiTheme="minorHAnsi" w:hAnsiTheme="minorHAnsi" w:cs="Arial"/>
        </w:rPr>
        <w:t xml:space="preserve"> </w:t>
      </w:r>
      <w:r w:rsidRPr="000B5711">
        <w:rPr>
          <w:rFonts w:asciiTheme="minorHAnsi" w:hAnsiTheme="minorHAnsi" w:cs="Arial"/>
        </w:rPr>
        <w:t xml:space="preserve">Wide population coverage and democratic governance and management of established </w:t>
      </w:r>
      <w:proofErr w:type="gramStart"/>
      <w:r w:rsidRPr="000B5711">
        <w:rPr>
          <w:rFonts w:asciiTheme="minorHAnsi" w:hAnsiTheme="minorHAnsi" w:cs="Arial"/>
        </w:rPr>
        <w:t>COs</w:t>
      </w:r>
      <w:proofErr w:type="gramEnd"/>
      <w:r w:rsidRPr="000B5711">
        <w:rPr>
          <w:rFonts w:asciiTheme="minorHAnsi" w:hAnsiTheme="minorHAnsi" w:cs="Arial"/>
        </w:rPr>
        <w:t xml:space="preserve"> is among their most valued assets and are an important provision for their future sustainability. However, their sustainability depends mainly on their leadership and resources mobilization capabilities. </w:t>
      </w:r>
    </w:p>
    <w:p w:rsidR="00F0138B" w:rsidRPr="000B5711" w:rsidRDefault="00F0138B" w:rsidP="00DF33A4">
      <w:pPr>
        <w:spacing w:after="120" w:line="240" w:lineRule="auto"/>
        <w:jc w:val="both"/>
        <w:rPr>
          <w:rFonts w:asciiTheme="minorHAnsi" w:hAnsiTheme="minorHAnsi" w:cs="Arial"/>
        </w:rPr>
      </w:pPr>
      <w:r w:rsidRPr="00C30B35">
        <w:rPr>
          <w:rFonts w:asciiTheme="minorHAnsi" w:hAnsiTheme="minorHAnsi" w:cs="Arial"/>
          <w:b/>
          <w:i/>
        </w:rPr>
        <w:t>Capacity-building</w:t>
      </w:r>
      <w:r w:rsidRPr="000B5711">
        <w:rPr>
          <w:rFonts w:asciiTheme="minorHAnsi" w:hAnsiTheme="minorHAnsi" w:cs="Arial"/>
        </w:rPr>
        <w:t xml:space="preserve"> of RRCs and COs is a very important investment in their effectiveness and maturity. RRCs are gradually built into expertise centers but many are still limited in their technical base, and human capacities and abilities for resource mobilization beyond CBA. Peer exchange proves to be one of the most effective and welcome ways of learning among the CBA partners. </w:t>
      </w:r>
    </w:p>
    <w:p w:rsidR="00F0138B" w:rsidRPr="000B5711" w:rsidRDefault="00F0138B" w:rsidP="00DF33A4">
      <w:pPr>
        <w:spacing w:after="120" w:line="240" w:lineRule="auto"/>
        <w:jc w:val="both"/>
        <w:rPr>
          <w:rFonts w:asciiTheme="minorHAnsi" w:hAnsiTheme="minorHAnsi" w:cs="Arial"/>
        </w:rPr>
      </w:pPr>
      <w:r>
        <w:rPr>
          <w:rFonts w:asciiTheme="minorHAnsi" w:hAnsiTheme="minorHAnsi" w:cs="Arial"/>
        </w:rPr>
        <w:t>CBA achieves r</w:t>
      </w:r>
      <w:r w:rsidRPr="000B5711">
        <w:rPr>
          <w:rFonts w:asciiTheme="minorHAnsi" w:hAnsiTheme="minorHAnsi" w:cs="Arial"/>
        </w:rPr>
        <w:t xml:space="preserve">elatively high </w:t>
      </w:r>
      <w:r w:rsidRPr="00DD5D34">
        <w:rPr>
          <w:rFonts w:asciiTheme="minorHAnsi" w:hAnsiTheme="minorHAnsi" w:cs="Arial"/>
          <w:b/>
          <w:i/>
        </w:rPr>
        <w:t>micro-project implementation</w:t>
      </w:r>
      <w:r>
        <w:rPr>
          <w:rFonts w:asciiTheme="minorHAnsi" w:hAnsiTheme="minorHAnsi" w:cs="Arial"/>
        </w:rPr>
        <w:t xml:space="preserve"> efficiency t</w:t>
      </w:r>
      <w:r w:rsidRPr="000B5711">
        <w:rPr>
          <w:rFonts w:asciiTheme="minorHAnsi" w:hAnsiTheme="minorHAnsi" w:cs="Arial"/>
        </w:rPr>
        <w:t xml:space="preserve">hrough good standardization of project implementation procedures. </w:t>
      </w:r>
      <w:r w:rsidRPr="000B5711">
        <w:rPr>
          <w:rFonts w:asciiTheme="minorHAnsi" w:hAnsiTheme="minorHAnsi"/>
        </w:rPr>
        <w:t xml:space="preserve">Micro-projects are very effective in producing desired results. </w:t>
      </w:r>
      <w:r w:rsidRPr="000B5711">
        <w:rPr>
          <w:rFonts w:asciiTheme="minorHAnsi" w:hAnsiTheme="minorHAnsi" w:cs="Arial"/>
        </w:rPr>
        <w:t xml:space="preserve">Although CBA does not always target the most urgent priorities it serves the purpose of providing the community with a tool for mobilization and solving its problems. </w:t>
      </w:r>
      <w:r>
        <w:rPr>
          <w:rFonts w:asciiTheme="minorHAnsi" w:hAnsiTheme="minorHAnsi" w:cs="Arial"/>
        </w:rPr>
        <w:t>Besides, c</w:t>
      </w:r>
      <w:r w:rsidRPr="000B5711">
        <w:rPr>
          <w:rFonts w:asciiTheme="minorHAnsi" w:hAnsiTheme="minorHAnsi" w:cs="Arial"/>
        </w:rPr>
        <w:t xml:space="preserve">ommunities’ financial participation in micro-projects boosts their sense of responsibility and increases prospects for </w:t>
      </w:r>
      <w:r w:rsidRPr="000B5711">
        <w:rPr>
          <w:rFonts w:asciiTheme="minorHAnsi" w:hAnsiTheme="minorHAnsi" w:cs="Arial"/>
        </w:rPr>
        <w:lastRenderedPageBreak/>
        <w:t xml:space="preserve">sustainable operation and maintenance of the established or improved infrastructure. </w:t>
      </w:r>
      <w:r>
        <w:rPr>
          <w:rFonts w:asciiTheme="minorHAnsi" w:hAnsiTheme="minorHAnsi" w:cs="Arial"/>
        </w:rPr>
        <w:t xml:space="preserve">Overall, </w:t>
      </w:r>
      <w:r w:rsidRPr="000B5711">
        <w:rPr>
          <w:rFonts w:asciiTheme="minorHAnsi" w:hAnsiTheme="minorHAnsi" w:cs="Arial"/>
        </w:rPr>
        <w:t>CBA has had an impressive impact on both communities and local authorities.</w:t>
      </w:r>
    </w:p>
    <w:p w:rsidR="00F0138B" w:rsidRPr="000B5711" w:rsidRDefault="00F0138B" w:rsidP="00DF33A4">
      <w:pPr>
        <w:spacing w:after="120" w:line="240" w:lineRule="auto"/>
        <w:jc w:val="both"/>
        <w:rPr>
          <w:rFonts w:asciiTheme="minorHAnsi" w:hAnsiTheme="minorHAnsi" w:cs="Arial"/>
        </w:rPr>
      </w:pPr>
      <w:r w:rsidRPr="000B5711">
        <w:rPr>
          <w:rFonts w:asciiTheme="minorHAnsi" w:hAnsiTheme="minorHAnsi" w:cs="Arial"/>
        </w:rPr>
        <w:t xml:space="preserve">Multiple examples of retrospective adjustment to the rayon development programs, and plans to accommodate community priorities defined in the CBA process, and to allow budget co-funding reveals that the practice of participatory planning and budgeting is not yet </w:t>
      </w:r>
      <w:r>
        <w:rPr>
          <w:rFonts w:asciiTheme="minorHAnsi" w:hAnsiTheme="minorHAnsi" w:cs="Arial"/>
        </w:rPr>
        <w:t xml:space="preserve">a </w:t>
      </w:r>
      <w:r w:rsidRPr="000B5711">
        <w:rPr>
          <w:rFonts w:asciiTheme="minorHAnsi" w:hAnsiTheme="minorHAnsi" w:cs="Arial"/>
        </w:rPr>
        <w:t>widely spread</w:t>
      </w:r>
      <w:r>
        <w:rPr>
          <w:rFonts w:asciiTheme="minorHAnsi" w:hAnsiTheme="minorHAnsi" w:cs="Arial"/>
        </w:rPr>
        <w:t xml:space="preserve"> practice in the country</w:t>
      </w:r>
      <w:r w:rsidRPr="000B5711">
        <w:rPr>
          <w:rFonts w:asciiTheme="minorHAnsi" w:hAnsiTheme="minorHAnsi" w:cs="Arial"/>
        </w:rPr>
        <w:t xml:space="preserve">. </w:t>
      </w:r>
    </w:p>
    <w:p w:rsidR="00F0138B" w:rsidRPr="000B5711" w:rsidRDefault="00F0138B" w:rsidP="00DF33A4">
      <w:pPr>
        <w:spacing w:after="120" w:line="240" w:lineRule="auto"/>
        <w:jc w:val="both"/>
        <w:rPr>
          <w:rFonts w:asciiTheme="minorHAnsi" w:hAnsiTheme="minorHAnsi"/>
        </w:rPr>
      </w:pPr>
      <w:r w:rsidRPr="000B5711">
        <w:rPr>
          <w:rFonts w:asciiTheme="minorHAnsi" w:hAnsiTheme="minorHAnsi" w:cs="Arial"/>
        </w:rPr>
        <w:t xml:space="preserve">Sustainability of most infrastructures established or improved as a result of micro-projects is secured. It is more difficult to ensure sustainability in cases of communal infrastructure projects that imply paid services/a need to introduce tariffs (such as water supply or waste collection and disposal) or agricultural service cooperatives. </w:t>
      </w:r>
    </w:p>
    <w:p w:rsidR="00F0138B" w:rsidRPr="000B5711" w:rsidRDefault="00F0138B" w:rsidP="00DF33A4">
      <w:pPr>
        <w:spacing w:after="120" w:line="240" w:lineRule="auto"/>
        <w:jc w:val="both"/>
        <w:rPr>
          <w:rFonts w:asciiTheme="minorHAnsi" w:hAnsiTheme="minorHAnsi" w:cs="Arial"/>
        </w:rPr>
      </w:pPr>
      <w:r>
        <w:rPr>
          <w:rFonts w:asciiTheme="minorHAnsi" w:hAnsiTheme="minorHAnsi" w:cs="Arial"/>
        </w:rPr>
        <w:t xml:space="preserve">The CBA </w:t>
      </w:r>
      <w:r w:rsidRPr="00DD5D34">
        <w:rPr>
          <w:rFonts w:asciiTheme="minorHAnsi" w:hAnsiTheme="minorHAnsi" w:cs="Arial"/>
          <w:b/>
          <w:i/>
        </w:rPr>
        <w:t>methodology replication scheme</w:t>
      </w:r>
      <w:r>
        <w:rPr>
          <w:rFonts w:asciiTheme="minorHAnsi" w:hAnsiTheme="minorHAnsi" w:cs="Arial"/>
        </w:rPr>
        <w:t xml:space="preserve"> introduced by the project </w:t>
      </w:r>
      <w:r w:rsidRPr="000B5711">
        <w:rPr>
          <w:rFonts w:asciiTheme="minorHAnsi" w:hAnsiTheme="minorHAnsi"/>
        </w:rPr>
        <w:t xml:space="preserve">is in demand among better off rayons and communities. </w:t>
      </w:r>
    </w:p>
    <w:p w:rsidR="00F0138B" w:rsidRPr="000B5711" w:rsidRDefault="00F0138B" w:rsidP="00DF33A4">
      <w:pPr>
        <w:spacing w:after="120" w:line="240" w:lineRule="auto"/>
        <w:jc w:val="both"/>
        <w:rPr>
          <w:rFonts w:asciiTheme="minorHAnsi" w:hAnsiTheme="minorHAnsi"/>
          <w:sz w:val="22"/>
        </w:rPr>
      </w:pPr>
      <w:r>
        <w:rPr>
          <w:rFonts w:asciiTheme="minorHAnsi" w:hAnsiTheme="minorHAnsi"/>
          <w:sz w:val="22"/>
        </w:rPr>
        <w:t xml:space="preserve">In terms of supporting, </w:t>
      </w:r>
      <w:r w:rsidRPr="00DD5D34">
        <w:rPr>
          <w:rFonts w:asciiTheme="minorHAnsi" w:hAnsiTheme="minorHAnsi"/>
          <w:b/>
          <w:i/>
          <w:sz w:val="22"/>
        </w:rPr>
        <w:t>rural economic development,</w:t>
      </w:r>
      <w:r>
        <w:rPr>
          <w:rFonts w:asciiTheme="minorHAnsi" w:hAnsiTheme="minorHAnsi"/>
          <w:sz w:val="22"/>
        </w:rPr>
        <w:t xml:space="preserve"> t</w:t>
      </w:r>
      <w:r w:rsidRPr="000B5711">
        <w:rPr>
          <w:rFonts w:asciiTheme="minorHAnsi" w:hAnsiTheme="minorHAnsi"/>
          <w:sz w:val="22"/>
        </w:rPr>
        <w:t xml:space="preserve">here are early signs of success in the functioning of </w:t>
      </w:r>
      <w:r>
        <w:rPr>
          <w:rFonts w:asciiTheme="minorHAnsi" w:hAnsiTheme="minorHAnsi"/>
          <w:sz w:val="22"/>
        </w:rPr>
        <w:t>agro-service cooperatives (ASC)</w:t>
      </w:r>
      <w:r w:rsidRPr="000B5711">
        <w:rPr>
          <w:rFonts w:asciiTheme="minorHAnsi" w:hAnsiTheme="minorHAnsi"/>
          <w:sz w:val="22"/>
        </w:rPr>
        <w:t xml:space="preserve"> established under CBA II but it is too early to judge their effectiveness. </w:t>
      </w:r>
      <w:r w:rsidRPr="000B5711">
        <w:rPr>
          <w:rFonts w:asciiTheme="minorHAnsi" w:hAnsiTheme="minorHAnsi"/>
          <w:sz w:val="22"/>
          <w:szCs w:val="22"/>
        </w:rPr>
        <w:t>It remains to be seen how effective</w:t>
      </w:r>
      <w:r w:rsidRPr="000B5711" w:rsidDel="00222869">
        <w:rPr>
          <w:rFonts w:asciiTheme="minorHAnsi" w:hAnsiTheme="minorHAnsi"/>
          <w:sz w:val="22"/>
          <w:szCs w:val="22"/>
        </w:rPr>
        <w:t xml:space="preserve"> is</w:t>
      </w:r>
      <w:r w:rsidRPr="000B5711">
        <w:rPr>
          <w:rFonts w:asciiTheme="minorHAnsi" w:hAnsiTheme="minorHAnsi"/>
          <w:sz w:val="22"/>
          <w:szCs w:val="22"/>
        </w:rPr>
        <w:t xml:space="preserve"> the CBA approach is in targeting the poor and reaching the 80% coverage</w:t>
      </w:r>
      <w:r>
        <w:rPr>
          <w:rFonts w:asciiTheme="minorHAnsi" w:hAnsiTheme="minorHAnsi"/>
          <w:sz w:val="22"/>
          <w:szCs w:val="22"/>
        </w:rPr>
        <w:t xml:space="preserve"> of community residents</w:t>
      </w:r>
      <w:r w:rsidRPr="000B5711">
        <w:rPr>
          <w:rFonts w:asciiTheme="minorHAnsi" w:hAnsiTheme="minorHAnsi"/>
          <w:sz w:val="22"/>
          <w:szCs w:val="22"/>
        </w:rPr>
        <w:t xml:space="preserve">. </w:t>
      </w:r>
      <w:r>
        <w:rPr>
          <w:rFonts w:asciiTheme="minorHAnsi" w:hAnsiTheme="minorHAnsi"/>
          <w:sz w:val="22"/>
          <w:szCs w:val="22"/>
        </w:rPr>
        <w:t>Besides, t</w:t>
      </w:r>
      <w:r w:rsidRPr="000B5711">
        <w:rPr>
          <w:rFonts w:asciiTheme="minorHAnsi" w:hAnsiTheme="minorHAnsi"/>
          <w:sz w:val="22"/>
        </w:rPr>
        <w:t xml:space="preserve">he </w:t>
      </w:r>
      <w:r w:rsidRPr="000B5711" w:rsidDel="00986681">
        <w:rPr>
          <w:rFonts w:asciiTheme="minorHAnsi" w:hAnsiTheme="minorHAnsi"/>
          <w:sz w:val="22"/>
        </w:rPr>
        <w:t xml:space="preserve">vision with regards to </w:t>
      </w:r>
      <w:r w:rsidRPr="000B5711">
        <w:rPr>
          <w:rFonts w:asciiTheme="minorHAnsi" w:hAnsiTheme="minorHAnsi"/>
          <w:sz w:val="22"/>
        </w:rPr>
        <w:t>social and economic vision of the cooperatives and their performance criteria are not yet well defined</w:t>
      </w:r>
      <w:r w:rsidRPr="000B5711" w:rsidDel="00986681">
        <w:rPr>
          <w:rFonts w:asciiTheme="minorHAnsi" w:hAnsiTheme="minorHAnsi"/>
          <w:sz w:val="22"/>
        </w:rPr>
        <w:t xml:space="preserve"> yet</w:t>
      </w:r>
      <w:r w:rsidRPr="000B5711">
        <w:rPr>
          <w:rFonts w:asciiTheme="minorHAnsi" w:hAnsiTheme="minorHAnsi"/>
          <w:sz w:val="22"/>
        </w:rPr>
        <w:t xml:space="preserve">. </w:t>
      </w:r>
    </w:p>
    <w:p w:rsidR="00F0138B" w:rsidRPr="000B5711" w:rsidRDefault="00F0138B" w:rsidP="00DF33A4">
      <w:pPr>
        <w:spacing w:after="120" w:line="240" w:lineRule="auto"/>
        <w:jc w:val="both"/>
        <w:rPr>
          <w:rFonts w:asciiTheme="minorHAnsi" w:hAnsiTheme="minorHAnsi"/>
          <w:sz w:val="22"/>
          <w:szCs w:val="22"/>
        </w:rPr>
      </w:pPr>
      <w:r>
        <w:rPr>
          <w:rFonts w:asciiTheme="minorHAnsi" w:hAnsiTheme="minorHAnsi"/>
          <w:sz w:val="22"/>
          <w:szCs w:val="22"/>
        </w:rPr>
        <w:t>Clearly, t</w:t>
      </w:r>
      <w:r w:rsidRPr="000B5711">
        <w:rPr>
          <w:rFonts w:asciiTheme="minorHAnsi" w:hAnsiTheme="minorHAnsi"/>
          <w:sz w:val="22"/>
          <w:szCs w:val="22"/>
        </w:rPr>
        <w:t>he ASC component has the potential to better mobilize</w:t>
      </w:r>
      <w:r w:rsidRPr="000B5711" w:rsidDel="0062456E">
        <w:rPr>
          <w:rFonts w:asciiTheme="minorHAnsi" w:hAnsiTheme="minorHAnsi"/>
          <w:sz w:val="22"/>
          <w:szCs w:val="22"/>
        </w:rPr>
        <w:t xml:space="preserve"> </w:t>
      </w:r>
      <w:r w:rsidRPr="000B5711">
        <w:rPr>
          <w:rFonts w:asciiTheme="minorHAnsi" w:hAnsiTheme="minorHAnsi"/>
          <w:sz w:val="22"/>
          <w:szCs w:val="22"/>
        </w:rPr>
        <w:t xml:space="preserve">the men and youth </w:t>
      </w:r>
      <w:r w:rsidRPr="000B5711" w:rsidDel="0062456E">
        <w:rPr>
          <w:rFonts w:asciiTheme="minorHAnsi" w:hAnsiTheme="minorHAnsi"/>
          <w:sz w:val="22"/>
          <w:szCs w:val="22"/>
        </w:rPr>
        <w:t xml:space="preserve">part </w:t>
      </w:r>
      <w:r w:rsidRPr="000B5711">
        <w:rPr>
          <w:rFonts w:asciiTheme="minorHAnsi" w:hAnsiTheme="minorHAnsi"/>
          <w:sz w:val="22"/>
          <w:szCs w:val="22"/>
        </w:rPr>
        <w:t xml:space="preserve">of the rural population, </w:t>
      </w:r>
      <w:r>
        <w:rPr>
          <w:rFonts w:asciiTheme="minorHAnsi" w:hAnsiTheme="minorHAnsi"/>
          <w:sz w:val="22"/>
          <w:szCs w:val="22"/>
        </w:rPr>
        <w:t>yet</w:t>
      </w:r>
      <w:r w:rsidRPr="000B5711">
        <w:rPr>
          <w:rFonts w:asciiTheme="minorHAnsi" w:hAnsiTheme="minorHAnsi"/>
          <w:sz w:val="22"/>
          <w:szCs w:val="22"/>
        </w:rPr>
        <w:t xml:space="preserve"> this does not seem to be done </w:t>
      </w:r>
      <w:r>
        <w:rPr>
          <w:rFonts w:asciiTheme="minorHAnsi" w:hAnsiTheme="minorHAnsi"/>
          <w:sz w:val="22"/>
          <w:szCs w:val="22"/>
        </w:rPr>
        <w:t xml:space="preserve">at the </w:t>
      </w:r>
      <w:r w:rsidRPr="000B5711" w:rsidDel="0062456E">
        <w:rPr>
          <w:rFonts w:asciiTheme="minorHAnsi" w:hAnsiTheme="minorHAnsi"/>
          <w:sz w:val="22"/>
          <w:szCs w:val="22"/>
        </w:rPr>
        <w:t>expense</w:t>
      </w:r>
      <w:r w:rsidRPr="000B5711">
        <w:rPr>
          <w:rFonts w:asciiTheme="minorHAnsi" w:hAnsiTheme="minorHAnsi"/>
          <w:sz w:val="22"/>
          <w:szCs w:val="22"/>
        </w:rPr>
        <w:t xml:space="preserve"> of exclu</w:t>
      </w:r>
      <w:r>
        <w:rPr>
          <w:rFonts w:asciiTheme="minorHAnsi" w:hAnsiTheme="minorHAnsi"/>
          <w:sz w:val="22"/>
          <w:szCs w:val="22"/>
        </w:rPr>
        <w:t xml:space="preserve">ding </w:t>
      </w:r>
      <w:r w:rsidRPr="000B5711" w:rsidDel="0062456E">
        <w:rPr>
          <w:rFonts w:asciiTheme="minorHAnsi" w:hAnsiTheme="minorHAnsi"/>
          <w:sz w:val="22"/>
          <w:szCs w:val="22"/>
        </w:rPr>
        <w:t xml:space="preserve">the </w:t>
      </w:r>
      <w:r w:rsidRPr="000B5711">
        <w:rPr>
          <w:rFonts w:asciiTheme="minorHAnsi" w:hAnsiTheme="minorHAnsi"/>
          <w:sz w:val="22"/>
          <w:szCs w:val="22"/>
        </w:rPr>
        <w:t xml:space="preserve">women. </w:t>
      </w:r>
    </w:p>
    <w:p w:rsidR="00F0138B" w:rsidRPr="000B5711" w:rsidRDefault="00F0138B" w:rsidP="00DF33A4">
      <w:pPr>
        <w:spacing w:after="120" w:line="240" w:lineRule="auto"/>
        <w:jc w:val="both"/>
        <w:rPr>
          <w:rFonts w:asciiTheme="minorHAnsi" w:hAnsiTheme="minorHAnsi" w:cs="Arial"/>
          <w:sz w:val="22"/>
          <w:szCs w:val="22"/>
        </w:rPr>
      </w:pPr>
      <w:r w:rsidRPr="000B5711">
        <w:rPr>
          <w:rFonts w:asciiTheme="minorHAnsi" w:hAnsiTheme="minorHAnsi"/>
          <w:sz w:val="22"/>
          <w:szCs w:val="22"/>
        </w:rPr>
        <w:t>With the establishment of a cooperative and purchasing assets necessary for its functioning (basically, completion of CBA micro-project in technical terms) the project of making a cooperative</w:t>
      </w:r>
      <w:r>
        <w:rPr>
          <w:rFonts w:asciiTheme="minorHAnsi" w:hAnsiTheme="minorHAnsi"/>
          <w:sz w:val="22"/>
          <w:szCs w:val="22"/>
        </w:rPr>
        <w:t xml:space="preserve"> function is only the beginning for the</w:t>
      </w:r>
      <w:r w:rsidRPr="000B5711">
        <w:rPr>
          <w:rFonts w:asciiTheme="minorHAnsi" w:hAnsiTheme="minorHAnsi"/>
          <w:sz w:val="22"/>
          <w:szCs w:val="22"/>
        </w:rPr>
        <w:t xml:space="preserve"> community, which implies a need for</w:t>
      </w:r>
      <w:r w:rsidRPr="000B5711" w:rsidDel="0092779E">
        <w:rPr>
          <w:rFonts w:asciiTheme="minorHAnsi" w:hAnsiTheme="minorHAnsi"/>
          <w:sz w:val="22"/>
          <w:szCs w:val="22"/>
        </w:rPr>
        <w:t xml:space="preserve"> s</w:t>
      </w:r>
      <w:r w:rsidRPr="000B5711" w:rsidDel="00986681">
        <w:rPr>
          <w:rFonts w:asciiTheme="minorHAnsi" w:hAnsiTheme="minorHAnsi"/>
          <w:sz w:val="22"/>
          <w:szCs w:val="22"/>
        </w:rPr>
        <w:t>till</w:t>
      </w:r>
      <w:r w:rsidRPr="000B5711">
        <w:rPr>
          <w:rFonts w:asciiTheme="minorHAnsi" w:hAnsiTheme="minorHAnsi"/>
          <w:sz w:val="22"/>
          <w:szCs w:val="22"/>
        </w:rPr>
        <w:t xml:space="preserve"> intensive technical support in the future. </w:t>
      </w:r>
      <w:r w:rsidRPr="000B5711">
        <w:rPr>
          <w:rFonts w:asciiTheme="minorHAnsi" w:hAnsiTheme="minorHAnsi"/>
          <w:sz w:val="22"/>
        </w:rPr>
        <w:t xml:space="preserve">Success in the development of ASCs is largely dependent on adequate support for infrastructure and basic regulatory environment. </w:t>
      </w:r>
      <w:r w:rsidRPr="000B5711">
        <w:rPr>
          <w:rFonts w:asciiTheme="minorHAnsi" w:hAnsiTheme="minorHAnsi" w:cs="Arial"/>
          <w:sz w:val="22"/>
          <w:szCs w:val="22"/>
        </w:rPr>
        <w:t xml:space="preserve">CBA efforts in supporting ASCs are still somewhat isolated from the overall ASC movement in Ukraine. </w:t>
      </w:r>
    </w:p>
    <w:p w:rsidR="00F0138B" w:rsidRPr="000B5711" w:rsidRDefault="00F0138B" w:rsidP="00DF33A4">
      <w:pPr>
        <w:spacing w:after="120" w:line="240" w:lineRule="auto"/>
        <w:jc w:val="both"/>
        <w:rPr>
          <w:rFonts w:asciiTheme="minorHAnsi" w:hAnsiTheme="minorHAnsi"/>
          <w:sz w:val="22"/>
        </w:rPr>
      </w:pPr>
      <w:r w:rsidRPr="000B5711">
        <w:rPr>
          <w:rFonts w:asciiTheme="minorHAnsi" w:hAnsiTheme="minorHAnsi"/>
          <w:sz w:val="22"/>
        </w:rPr>
        <w:t xml:space="preserve">The </w:t>
      </w:r>
      <w:r w:rsidRPr="00DD5D34">
        <w:rPr>
          <w:rFonts w:asciiTheme="minorHAnsi" w:hAnsiTheme="minorHAnsi" w:cs="Arial"/>
          <w:b/>
          <w:i/>
          <w:sz w:val="22"/>
          <w:szCs w:val="22"/>
        </w:rPr>
        <w:t xml:space="preserve">energy efficiency </w:t>
      </w:r>
      <w:r w:rsidRPr="00DD5D34">
        <w:rPr>
          <w:rFonts w:asciiTheme="minorHAnsi" w:hAnsiTheme="minorHAnsi"/>
          <w:b/>
          <w:i/>
          <w:sz w:val="22"/>
        </w:rPr>
        <w:t>component</w:t>
      </w:r>
      <w:r w:rsidRPr="000B5711">
        <w:rPr>
          <w:rFonts w:asciiTheme="minorHAnsi" w:hAnsiTheme="minorHAnsi"/>
          <w:sz w:val="22"/>
        </w:rPr>
        <w:t xml:space="preserve"> of CBA is in high demand but its effective implementation requires a high level of awareness and intensive capacity-building inputs. </w:t>
      </w:r>
      <w:r w:rsidRPr="000B5711">
        <w:rPr>
          <w:rFonts w:asciiTheme="minorHAnsi" w:hAnsiTheme="minorHAnsi" w:cs="Arial"/>
        </w:rPr>
        <w:t xml:space="preserve">CBA assistance to regional authorities to develop </w:t>
      </w:r>
      <w:r>
        <w:rPr>
          <w:rFonts w:asciiTheme="minorHAnsi" w:hAnsiTheme="minorHAnsi" w:cs="Arial"/>
        </w:rPr>
        <w:t>Energy Efficiency S</w:t>
      </w:r>
      <w:r w:rsidRPr="000B5711">
        <w:rPr>
          <w:rFonts w:asciiTheme="minorHAnsi" w:hAnsiTheme="minorHAnsi" w:cs="Arial"/>
        </w:rPr>
        <w:t xml:space="preserve">trategies is important, given the national energy efficiency program, but their implementation remains a challenge. </w:t>
      </w:r>
      <w:r w:rsidRPr="000B5711">
        <w:rPr>
          <w:rFonts w:asciiTheme="minorHAnsi" w:hAnsiTheme="minorHAnsi"/>
          <w:sz w:val="22"/>
        </w:rPr>
        <w:t xml:space="preserve">Potential for </w:t>
      </w:r>
      <w:r>
        <w:rPr>
          <w:rFonts w:asciiTheme="minorHAnsi" w:hAnsiTheme="minorHAnsi"/>
          <w:sz w:val="22"/>
        </w:rPr>
        <w:t>energy efficiency p</w:t>
      </w:r>
      <w:r w:rsidRPr="000B5711">
        <w:rPr>
          <w:rFonts w:asciiTheme="minorHAnsi" w:hAnsiTheme="minorHAnsi"/>
          <w:sz w:val="22"/>
        </w:rPr>
        <w:t>rojects replication is limited unless a supporting environment is created.</w:t>
      </w:r>
    </w:p>
    <w:p w:rsidR="00F0138B" w:rsidRPr="000B5711" w:rsidRDefault="00F0138B" w:rsidP="00DF33A4">
      <w:pPr>
        <w:spacing w:after="120" w:line="240" w:lineRule="auto"/>
        <w:jc w:val="both"/>
        <w:rPr>
          <w:rFonts w:asciiTheme="minorHAnsi" w:hAnsiTheme="minorHAnsi"/>
          <w:sz w:val="22"/>
        </w:rPr>
      </w:pPr>
      <w:r w:rsidRPr="000B5711">
        <w:rPr>
          <w:rFonts w:asciiTheme="minorHAnsi" w:hAnsiTheme="minorHAnsi"/>
          <w:sz w:val="22"/>
        </w:rPr>
        <w:t>The micro-projects are able to raise awareness and demonstrate an impact on</w:t>
      </w:r>
      <w:r>
        <w:rPr>
          <w:rFonts w:asciiTheme="minorHAnsi" w:hAnsiTheme="minorHAnsi"/>
          <w:sz w:val="22"/>
        </w:rPr>
        <w:t xml:space="preserve"> efficient energy use. Often these </w:t>
      </w:r>
      <w:r w:rsidRPr="000B5711">
        <w:rPr>
          <w:rFonts w:asciiTheme="minorHAnsi" w:hAnsiTheme="minorHAnsi"/>
          <w:sz w:val="22"/>
        </w:rPr>
        <w:t>micro-projects have</w:t>
      </w:r>
      <w:r w:rsidRPr="000B5711" w:rsidDel="004B2917">
        <w:rPr>
          <w:rFonts w:asciiTheme="minorHAnsi" w:hAnsiTheme="minorHAnsi"/>
          <w:sz w:val="22"/>
        </w:rPr>
        <w:t xml:space="preserve"> more of</w:t>
      </w:r>
      <w:r w:rsidRPr="000B5711">
        <w:rPr>
          <w:rFonts w:asciiTheme="minorHAnsi" w:hAnsiTheme="minorHAnsi"/>
          <w:sz w:val="22"/>
        </w:rPr>
        <w:t xml:space="preserve"> a technological</w:t>
      </w:r>
      <w:r w:rsidRPr="000B5711" w:rsidDel="004B2917">
        <w:rPr>
          <w:rFonts w:asciiTheme="minorHAnsi" w:hAnsiTheme="minorHAnsi"/>
          <w:sz w:val="22"/>
        </w:rPr>
        <w:t xml:space="preserve"> demonstration</w:t>
      </w:r>
      <w:r w:rsidRPr="000B5711">
        <w:rPr>
          <w:rFonts w:asciiTheme="minorHAnsi" w:hAnsiTheme="minorHAnsi"/>
          <w:sz w:val="22"/>
        </w:rPr>
        <w:t xml:space="preserve"> and social mobilization value but are not necessarily justified from a cost-benefit perspective. </w:t>
      </w:r>
    </w:p>
    <w:p w:rsidR="00F0138B" w:rsidRPr="000B5711" w:rsidRDefault="00F0138B" w:rsidP="00DF33A4">
      <w:pPr>
        <w:spacing w:after="120" w:line="240" w:lineRule="auto"/>
        <w:jc w:val="both"/>
        <w:rPr>
          <w:rFonts w:asciiTheme="minorHAnsi" w:hAnsiTheme="minorHAnsi"/>
        </w:rPr>
      </w:pPr>
      <w:r>
        <w:rPr>
          <w:rFonts w:asciiTheme="minorHAnsi" w:hAnsiTheme="minorHAnsi" w:cs="Arial"/>
        </w:rPr>
        <w:t xml:space="preserve">In the </w:t>
      </w:r>
      <w:r w:rsidRPr="00DD5D34">
        <w:rPr>
          <w:rFonts w:asciiTheme="minorHAnsi" w:hAnsiTheme="minorHAnsi" w:cs="Arial"/>
          <w:b/>
          <w:i/>
        </w:rPr>
        <w:t>knowledge management domain</w:t>
      </w:r>
      <w:r>
        <w:rPr>
          <w:rFonts w:asciiTheme="minorHAnsi" w:hAnsiTheme="minorHAnsi" w:cs="Arial"/>
        </w:rPr>
        <w:t>, c</w:t>
      </w:r>
      <w:r w:rsidRPr="000B5711">
        <w:rPr>
          <w:rFonts w:asciiTheme="minorHAnsi" w:hAnsiTheme="minorHAnsi" w:cs="Arial"/>
        </w:rPr>
        <w:t xml:space="preserve">ooperation </w:t>
      </w:r>
      <w:r w:rsidRPr="000B5711">
        <w:rPr>
          <w:rFonts w:asciiTheme="minorHAnsi" w:hAnsiTheme="minorHAnsi" w:cs="Arial"/>
          <w:shd w:val="clear" w:color="auto" w:fill="FFFFFF" w:themeFill="background1"/>
        </w:rPr>
        <w:t>with UADRC has a strong potential for dissemination of CBA-generated knowledge and for addressing wider local governance</w:t>
      </w:r>
      <w:r w:rsidRPr="000B5711">
        <w:rPr>
          <w:rFonts w:asciiTheme="minorHAnsi" w:hAnsiTheme="minorHAnsi" w:cs="Arial"/>
        </w:rPr>
        <w:t xml:space="preserve"> concerns. Securing outreach and sustainability of the knowledge web platform is a challenge that still lies ahead. Cooperation with Universities opens multiple win-win opportunities that can be further deepened. </w:t>
      </w:r>
    </w:p>
    <w:p w:rsidR="00F0138B" w:rsidRPr="00DD5D34" w:rsidRDefault="00F0138B" w:rsidP="00DF33A4">
      <w:pPr>
        <w:spacing w:after="120" w:line="240" w:lineRule="auto"/>
        <w:jc w:val="both"/>
        <w:rPr>
          <w:rFonts w:asciiTheme="minorHAnsi" w:hAnsiTheme="minorHAnsi"/>
        </w:rPr>
      </w:pPr>
      <w:r w:rsidRPr="00DD5D34">
        <w:rPr>
          <w:rFonts w:asciiTheme="minorHAnsi" w:hAnsiTheme="minorHAnsi" w:cs="Arial"/>
          <w:b/>
          <w:i/>
        </w:rPr>
        <w:t>At the policy level,</w:t>
      </w:r>
      <w:r>
        <w:rPr>
          <w:rFonts w:asciiTheme="minorHAnsi" w:hAnsiTheme="minorHAnsi" w:cs="Arial"/>
        </w:rPr>
        <w:t xml:space="preserve"> t</w:t>
      </w:r>
      <w:r w:rsidRPr="000B5711">
        <w:rPr>
          <w:rFonts w:asciiTheme="minorHAnsi" w:hAnsiTheme="minorHAnsi" w:cs="Arial"/>
        </w:rPr>
        <w:t xml:space="preserve">hrough cooperation with UADRC, CBA is cementing the ground for a strategically important partnership. Project potential to influence directly policy and regulatory environment is still underutilized. </w:t>
      </w:r>
    </w:p>
    <w:p w:rsidR="00F0138B" w:rsidRPr="00DD5D34" w:rsidRDefault="00F0138B" w:rsidP="00DF33A4">
      <w:pPr>
        <w:spacing w:after="120" w:line="240" w:lineRule="auto"/>
        <w:jc w:val="both"/>
        <w:rPr>
          <w:rFonts w:asciiTheme="minorHAnsi" w:hAnsiTheme="minorHAnsi" w:cs="Arial"/>
          <w:u w:val="single"/>
        </w:rPr>
      </w:pPr>
      <w:r w:rsidRPr="00DD5D34">
        <w:rPr>
          <w:rFonts w:asciiTheme="minorHAnsi" w:hAnsiTheme="minorHAnsi" w:cs="Arial"/>
          <w:u w:val="single"/>
        </w:rPr>
        <w:t>Project management</w:t>
      </w:r>
    </w:p>
    <w:p w:rsidR="00F0138B" w:rsidRPr="000B5711" w:rsidRDefault="00F0138B" w:rsidP="00DF33A4">
      <w:pPr>
        <w:spacing w:after="120" w:line="240" w:lineRule="auto"/>
        <w:jc w:val="both"/>
        <w:rPr>
          <w:rFonts w:asciiTheme="minorHAnsi" w:hAnsiTheme="minorHAnsi" w:cs="Arial"/>
        </w:rPr>
      </w:pPr>
      <w:r w:rsidRPr="000B5711">
        <w:rPr>
          <w:rFonts w:asciiTheme="minorHAnsi" w:hAnsiTheme="minorHAnsi"/>
        </w:rPr>
        <w:t xml:space="preserve">CBA is implemented by a very capable team of people but they are working under difficult conditions.  Accelerated speed of CBA II implementation is associated with certain efficiency and effectiveness gains, but compromises the project capacity-building objectives. </w:t>
      </w:r>
      <w:r>
        <w:rPr>
          <w:rFonts w:asciiTheme="minorHAnsi" w:hAnsiTheme="minorHAnsi"/>
        </w:rPr>
        <w:t>Further, t</w:t>
      </w:r>
      <w:r w:rsidRPr="000B5711">
        <w:rPr>
          <w:rFonts w:asciiTheme="minorHAnsi" w:hAnsiTheme="minorHAnsi" w:cs="Arial"/>
        </w:rPr>
        <w:t xml:space="preserve">he project clearly faces a dilemma between investment into further staff capacity-building and outsourcing of narrow expertise. </w:t>
      </w:r>
    </w:p>
    <w:p w:rsidR="00F0138B" w:rsidRPr="00DD5D34" w:rsidRDefault="00F0138B" w:rsidP="00DF33A4">
      <w:pPr>
        <w:shd w:val="clear" w:color="auto" w:fill="FFFFFF" w:themeFill="background1"/>
        <w:spacing w:after="120" w:line="240" w:lineRule="auto"/>
        <w:jc w:val="both"/>
        <w:rPr>
          <w:rFonts w:asciiTheme="minorHAnsi" w:hAnsiTheme="minorHAnsi"/>
          <w:u w:val="single"/>
        </w:rPr>
      </w:pPr>
      <w:r w:rsidRPr="00DD5D34">
        <w:rPr>
          <w:rFonts w:asciiTheme="minorHAnsi" w:hAnsiTheme="minorHAnsi" w:cs="Arial"/>
          <w:u w:val="single"/>
        </w:rPr>
        <w:t xml:space="preserve">Visibility </w:t>
      </w:r>
    </w:p>
    <w:p w:rsidR="00F0138B" w:rsidRPr="000B5711" w:rsidRDefault="00F0138B" w:rsidP="00DF33A4">
      <w:pPr>
        <w:autoSpaceDE w:val="0"/>
        <w:spacing w:after="120" w:line="240" w:lineRule="auto"/>
        <w:jc w:val="both"/>
        <w:rPr>
          <w:rFonts w:asciiTheme="minorHAnsi" w:hAnsiTheme="minorHAnsi"/>
        </w:rPr>
      </w:pPr>
      <w:r w:rsidRPr="000B5711">
        <w:rPr>
          <w:rFonts w:asciiTheme="minorHAnsi" w:hAnsiTheme="minorHAnsi" w:cs="Arial"/>
        </w:rPr>
        <w:lastRenderedPageBreak/>
        <w:t xml:space="preserve">The project is less visible among non-partners and at the national level. The role of EU as the main funder of the project, and UNDP as implementer, is known among partners at all levels.  The project has clear visibility guidelines that are respected.  </w:t>
      </w:r>
    </w:p>
    <w:p w:rsidR="00F0138B" w:rsidRPr="000B5711" w:rsidRDefault="00F0138B" w:rsidP="00DF33A4">
      <w:pPr>
        <w:autoSpaceDE w:val="0"/>
        <w:spacing w:after="120" w:line="240" w:lineRule="auto"/>
        <w:jc w:val="both"/>
        <w:rPr>
          <w:rFonts w:asciiTheme="minorHAnsi" w:hAnsiTheme="minorHAnsi" w:cs="Arial"/>
          <w:lang w:val="en-GB"/>
        </w:rPr>
      </w:pPr>
      <w:r w:rsidRPr="000B5711">
        <w:rPr>
          <w:rFonts w:asciiTheme="minorHAnsi" w:hAnsiTheme="minorHAnsi" w:cs="Arial"/>
        </w:rPr>
        <w:t xml:space="preserve">Media coverage of CBA at the local level is extensive but the message content </w:t>
      </w:r>
      <w:r>
        <w:rPr>
          <w:rFonts w:asciiTheme="minorHAnsi" w:hAnsiTheme="minorHAnsi" w:cs="Arial"/>
        </w:rPr>
        <w:t xml:space="preserve">(in relation to promoting CBA approach) </w:t>
      </w:r>
      <w:r w:rsidRPr="000B5711">
        <w:rPr>
          <w:rFonts w:asciiTheme="minorHAnsi" w:hAnsiTheme="minorHAnsi" w:cs="Arial"/>
        </w:rPr>
        <w:t xml:space="preserve">is </w:t>
      </w:r>
      <w:r>
        <w:rPr>
          <w:rFonts w:asciiTheme="minorHAnsi" w:hAnsiTheme="minorHAnsi" w:cs="Arial"/>
        </w:rPr>
        <w:t>weak and needs improvement</w:t>
      </w:r>
      <w:r w:rsidRPr="000B5711">
        <w:rPr>
          <w:rFonts w:asciiTheme="minorHAnsi" w:hAnsiTheme="minorHAnsi" w:cs="Arial"/>
        </w:rPr>
        <w:t xml:space="preserve">.  </w:t>
      </w:r>
    </w:p>
    <w:p w:rsidR="003D1F4A" w:rsidRPr="00F0138B" w:rsidRDefault="003D1F4A" w:rsidP="00DF33A4">
      <w:pPr>
        <w:jc w:val="both"/>
        <w:rPr>
          <w:lang w:val="en-GB"/>
        </w:rPr>
      </w:pPr>
      <w:bookmarkStart w:id="1" w:name="_GoBack"/>
      <w:bookmarkEnd w:id="1"/>
    </w:p>
    <w:sectPr w:rsidR="003D1F4A" w:rsidRPr="00F0138B" w:rsidSect="00F0138B">
      <w:pgSz w:w="11907" w:h="16839" w:code="9"/>
      <w:pgMar w:top="850" w:right="850" w:bottom="850"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B"/>
    <w:rsid w:val="003D1F4A"/>
    <w:rsid w:val="00581854"/>
    <w:rsid w:val="00AF7351"/>
    <w:rsid w:val="00DF33A4"/>
    <w:rsid w:val="00F0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38B"/>
    <w:pPr>
      <w:suppressAutoHyphens/>
      <w:autoSpaceDN w:val="0"/>
      <w:spacing w:after="180" w:line="264" w:lineRule="auto"/>
      <w:textAlignment w:val="baseline"/>
    </w:pPr>
    <w:rPr>
      <w:rFonts w:ascii="Tw Cen MT" w:eastAsia="Tw Cen MT" w:hAnsi="Tw Cen MT" w:cs="Times New Roman"/>
      <w:kern w:val="3"/>
      <w:sz w:val="23"/>
      <w:szCs w:val="24"/>
      <w:lang w:eastAsia="ja-JP"/>
    </w:rPr>
  </w:style>
  <w:style w:type="paragraph" w:styleId="Heading1">
    <w:name w:val="heading 1"/>
    <w:basedOn w:val="Normal"/>
    <w:next w:val="Normal"/>
    <w:link w:val="Heading1Char"/>
    <w:qFormat/>
    <w:rsid w:val="00F0138B"/>
    <w:pPr>
      <w:spacing w:before="300" w:after="80" w:line="240" w:lineRule="auto"/>
      <w:outlineLvl w:val="0"/>
    </w:pPr>
    <w:rPr>
      <w:rFonts w:ascii="Calibri" w:hAnsi="Calibri"/>
      <w:b/>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38B"/>
    <w:rPr>
      <w:rFonts w:ascii="Calibri" w:eastAsia="Tw Cen MT" w:hAnsi="Calibri" w:cs="Times New Roman"/>
      <w:b/>
      <w:caps/>
      <w:color w:val="775F55"/>
      <w:kern w:val="3"/>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38B"/>
    <w:pPr>
      <w:suppressAutoHyphens/>
      <w:autoSpaceDN w:val="0"/>
      <w:spacing w:after="180" w:line="264" w:lineRule="auto"/>
      <w:textAlignment w:val="baseline"/>
    </w:pPr>
    <w:rPr>
      <w:rFonts w:ascii="Tw Cen MT" w:eastAsia="Tw Cen MT" w:hAnsi="Tw Cen MT" w:cs="Times New Roman"/>
      <w:kern w:val="3"/>
      <w:sz w:val="23"/>
      <w:szCs w:val="24"/>
      <w:lang w:eastAsia="ja-JP"/>
    </w:rPr>
  </w:style>
  <w:style w:type="paragraph" w:styleId="Heading1">
    <w:name w:val="heading 1"/>
    <w:basedOn w:val="Normal"/>
    <w:next w:val="Normal"/>
    <w:link w:val="Heading1Char"/>
    <w:qFormat/>
    <w:rsid w:val="00F0138B"/>
    <w:pPr>
      <w:spacing w:before="300" w:after="80" w:line="240" w:lineRule="auto"/>
      <w:outlineLvl w:val="0"/>
    </w:pPr>
    <w:rPr>
      <w:rFonts w:ascii="Calibri" w:hAnsi="Calibri"/>
      <w:b/>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38B"/>
    <w:rPr>
      <w:rFonts w:ascii="Calibri" w:eastAsia="Tw Cen MT" w:hAnsi="Calibri" w:cs="Times New Roman"/>
      <w:b/>
      <w:caps/>
      <w:color w:val="775F55"/>
      <w:kern w:val="3"/>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00B4CBA53121E54FA3BBB52F0DB8538A00BFD495337152F04996B4EA088F945403" ma:contentTypeVersion="" ma:contentTypeDescription="" ma:contentTypeScope="" ma:versionID="2768645964788ea37a2f534551a720b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B2955-8109-4731-9A13-53C25A2E97AA}">
  <ds:schemaRefs>
    <ds:schemaRef ds:uri="http://schemas.microsoft.com/sharepoint/v3/contenttype/forms"/>
  </ds:schemaRefs>
</ds:datastoreItem>
</file>

<file path=customXml/itemProps2.xml><?xml version="1.0" encoding="utf-8"?>
<ds:datastoreItem xmlns:ds="http://schemas.openxmlformats.org/officeDocument/2006/customXml" ds:itemID="{FCDCE4B6-A3EC-4A0F-82A6-EEC03BD5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8B2951-FD86-4A4F-937D-08191E9E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Gutsman</cp:lastModifiedBy>
  <cp:revision>2</cp:revision>
  <dcterms:created xsi:type="dcterms:W3CDTF">2013-12-18T12:12:00Z</dcterms:created>
  <dcterms:modified xsi:type="dcterms:W3CDTF">2013-12-24T08:16:00Z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0x01010000B4CBA53121E54FA3BBB52F0DB8538A00BFD495337152F04996B4EA088F945403</vt:lpwstr>
  </property>
</Properties>
</file>